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F3E9E6">
      <w:pPr>
        <w:pStyle w:val="16"/>
        <w:pageBreakBefore w:val="0"/>
        <w:kinsoku/>
        <w:wordWrap/>
        <w:overflowPunct w:val="0"/>
        <w:topLinePunct/>
        <w:bidi w:val="0"/>
        <w:spacing w:before="120" w:beforeLines="50" w:beforeAutospacing="0" w:after="120" w:afterLines="50" w:afterAutospacing="0"/>
        <w:jc w:val="center"/>
        <w:outlineLvl w:val="0"/>
        <w:rPr>
          <w:rFonts w:hint="default" w:ascii="Times New Roman" w:hAnsi="Times New Roman" w:eastAsia="宋体" w:cs="Times New Roman"/>
          <w:b/>
          <w:bCs/>
          <w:snapToGrid w:val="0"/>
          <w:color w:val="auto"/>
          <w:sz w:val="30"/>
          <w:szCs w:val="30"/>
          <w:highlight w:val="none"/>
        </w:rPr>
      </w:pPr>
      <w:bookmarkStart w:id="0" w:name="_Toc2467"/>
      <w:bookmarkStart w:id="1" w:name="_Toc19630"/>
      <w:r>
        <w:rPr>
          <w:rFonts w:hint="default" w:ascii="Times New Roman" w:hAnsi="Times New Roman" w:eastAsia="宋体" w:cs="Times New Roman"/>
          <w:b/>
          <w:bCs/>
          <w:snapToGrid w:val="0"/>
          <w:color w:val="auto"/>
          <w:sz w:val="30"/>
          <w:szCs w:val="30"/>
          <w:highlight w:val="none"/>
        </w:rPr>
        <w:t>一、建设项目基本情况</w:t>
      </w:r>
      <w:bookmarkEnd w:id="0"/>
    </w:p>
    <w:tbl>
      <w:tblPr>
        <w:tblStyle w:val="18"/>
        <w:tblW w:w="501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773"/>
        <w:gridCol w:w="2589"/>
        <w:gridCol w:w="1626"/>
        <w:gridCol w:w="2932"/>
      </w:tblGrid>
      <w:tr w14:paraId="379A5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94" w:type="pct"/>
            <w:noWrap w:val="0"/>
            <w:tcMar>
              <w:top w:w="16" w:type="dxa"/>
              <w:left w:w="16" w:type="dxa"/>
              <w:right w:w="16" w:type="dxa"/>
            </w:tcMar>
            <w:vAlign w:val="center"/>
          </w:tcPr>
          <w:p w14:paraId="4CAE6B5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4B6D1874">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名称</w:t>
            </w:r>
          </w:p>
        </w:tc>
        <w:tc>
          <w:tcPr>
            <w:tcW w:w="4005" w:type="pct"/>
            <w:gridSpan w:val="3"/>
            <w:noWrap w:val="0"/>
            <w:vAlign w:val="center"/>
          </w:tcPr>
          <w:p w14:paraId="073A01DA">
            <w:pPr>
              <w:pStyle w:val="16"/>
              <w:keepNext w:val="0"/>
              <w:keepLines w:val="0"/>
              <w:pageBreakBefore w:val="0"/>
              <w:widowControl/>
              <w:suppressLineNumbers w:val="0"/>
              <w:kinsoku/>
              <w:wordWrap/>
              <w:overflowPunct w:val="0"/>
              <w:topLinePunct/>
              <w:bidi w:val="0"/>
              <w:spacing w:before="0" w:beforeAutospacing="0" w:after="0" w:afterAutospacing="0"/>
              <w:ind w:left="0" w:right="0" w:firstLine="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改建600t/d油脂精炼车间（含脱蜡工段600t/d）项目加工单元</w:t>
            </w:r>
          </w:p>
        </w:tc>
      </w:tr>
      <w:tr w14:paraId="301DD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94" w:type="pct"/>
            <w:noWrap w:val="0"/>
            <w:tcMar>
              <w:top w:w="16" w:type="dxa"/>
              <w:left w:w="16" w:type="dxa"/>
              <w:right w:w="16" w:type="dxa"/>
            </w:tcMar>
            <w:vAlign w:val="center"/>
          </w:tcPr>
          <w:p w14:paraId="142D053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4005" w:type="pct"/>
            <w:gridSpan w:val="3"/>
            <w:noWrap w:val="0"/>
            <w:vAlign w:val="center"/>
          </w:tcPr>
          <w:p w14:paraId="35C1975A">
            <w:pPr>
              <w:pStyle w:val="16"/>
              <w:keepNext w:val="0"/>
              <w:keepLines w:val="0"/>
              <w:pageBreakBefore w:val="0"/>
              <w:widowControl/>
              <w:suppressLineNumbers w:val="0"/>
              <w:kinsoku/>
              <w:wordWrap/>
              <w:overflowPunct w:val="0"/>
              <w:topLinePunct/>
              <w:bidi w:val="0"/>
              <w:spacing w:before="0" w:beforeAutospacing="0" w:after="0" w:afterAutospacing="0"/>
              <w:ind w:left="0" w:right="0" w:firstLine="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2505-500107-07-02-389743</w:t>
            </w:r>
          </w:p>
        </w:tc>
      </w:tr>
      <w:tr w14:paraId="64F023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94" w:type="pct"/>
            <w:noWrap w:val="0"/>
            <w:tcMar>
              <w:top w:w="16" w:type="dxa"/>
              <w:left w:w="16" w:type="dxa"/>
              <w:right w:w="16" w:type="dxa"/>
            </w:tcMar>
            <w:vAlign w:val="center"/>
          </w:tcPr>
          <w:p w14:paraId="253F79ED">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1451" w:type="pct"/>
            <w:noWrap w:val="0"/>
            <w:vAlign w:val="center"/>
          </w:tcPr>
          <w:p w14:paraId="1A7C502A">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张</w:t>
            </w:r>
            <w:r>
              <w:rPr>
                <w:rFonts w:hint="eastAsia" w:cs="Times New Roman"/>
                <w:color w:val="auto"/>
                <w:sz w:val="24"/>
                <w:szCs w:val="24"/>
                <w:highlight w:val="none"/>
                <w:lang w:val="en-US" w:eastAsia="zh-CN"/>
              </w:rPr>
              <w:t>**</w:t>
            </w:r>
          </w:p>
        </w:tc>
        <w:tc>
          <w:tcPr>
            <w:tcW w:w="911" w:type="pct"/>
            <w:noWrap w:val="0"/>
            <w:vAlign w:val="center"/>
          </w:tcPr>
          <w:p w14:paraId="481AC7B2">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1642" w:type="pct"/>
            <w:noWrap w:val="0"/>
            <w:vAlign w:val="center"/>
          </w:tcPr>
          <w:p w14:paraId="5E95B052">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37</w:t>
            </w:r>
            <w:bookmarkStart w:id="17" w:name="_GoBack"/>
            <w:bookmarkEnd w:id="17"/>
          </w:p>
        </w:tc>
      </w:tr>
      <w:tr w14:paraId="0A88F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83" w:hRule="atLeast"/>
          <w:jc w:val="center"/>
        </w:trPr>
        <w:tc>
          <w:tcPr>
            <w:tcW w:w="994" w:type="pct"/>
            <w:noWrap w:val="0"/>
            <w:tcMar>
              <w:top w:w="16" w:type="dxa"/>
              <w:left w:w="16" w:type="dxa"/>
              <w:right w:w="16" w:type="dxa"/>
            </w:tcMar>
            <w:vAlign w:val="center"/>
          </w:tcPr>
          <w:p w14:paraId="5C534C56">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4005" w:type="pct"/>
            <w:gridSpan w:val="3"/>
            <w:noWrap w:val="0"/>
            <w:vAlign w:val="center"/>
          </w:tcPr>
          <w:p w14:paraId="52B71C6E">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重庆市九龙坡区铜罐驿镇砖瓦村167号</w:t>
            </w:r>
          </w:p>
        </w:tc>
      </w:tr>
      <w:tr w14:paraId="6A81B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94" w:type="pct"/>
            <w:noWrap w:val="0"/>
            <w:tcMar>
              <w:top w:w="16" w:type="dxa"/>
              <w:left w:w="16" w:type="dxa"/>
              <w:right w:w="16" w:type="dxa"/>
            </w:tcMar>
            <w:vAlign w:val="center"/>
          </w:tcPr>
          <w:p w14:paraId="4593F447">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4005" w:type="pct"/>
            <w:gridSpan w:val="3"/>
            <w:noWrap w:val="0"/>
            <w:vAlign w:val="center"/>
          </w:tcPr>
          <w:p w14:paraId="0D72DE5F">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10</w:t>
            </w:r>
            <w:r>
              <w:rPr>
                <w:rFonts w:hint="default" w:ascii="Times New Roman" w:hAnsi="Times New Roman" w:cs="Times New Roman"/>
                <w:color w:val="auto"/>
                <w:sz w:val="24"/>
                <w:szCs w:val="24"/>
                <w:highlight w:val="none"/>
                <w:u w:val="single"/>
                <w:lang w:val="en-US" w:eastAsia="zh-CN"/>
              </w:rPr>
              <w:t>6</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lang w:val="en-US" w:eastAsia="zh-CN"/>
              </w:rPr>
              <w:t>23</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lang w:val="en-US" w:eastAsia="zh-CN"/>
              </w:rPr>
              <w:t>03.170</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lang w:val="en-US" w:eastAsia="zh-CN"/>
              </w:rPr>
              <w:t>29</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lang w:val="en-US" w:eastAsia="zh-CN"/>
              </w:rPr>
              <w:t>18</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lang w:val="en-US" w:eastAsia="zh-CN"/>
              </w:rPr>
              <w:t>09.605</w:t>
            </w:r>
            <w:r>
              <w:rPr>
                <w:rFonts w:hint="default" w:ascii="Times New Roman" w:hAnsi="Times New Roman" w:cs="Times New Roman"/>
                <w:color w:val="auto"/>
                <w:sz w:val="24"/>
                <w:szCs w:val="24"/>
                <w:highlight w:val="none"/>
              </w:rPr>
              <w:t>秒）</w:t>
            </w:r>
          </w:p>
        </w:tc>
      </w:tr>
      <w:tr w14:paraId="4DB26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94" w:type="pct"/>
            <w:noWrap w:val="0"/>
            <w:tcMar>
              <w:top w:w="16" w:type="dxa"/>
              <w:left w:w="16" w:type="dxa"/>
              <w:right w:w="16" w:type="dxa"/>
            </w:tcMar>
            <w:vAlign w:val="center"/>
          </w:tcPr>
          <w:p w14:paraId="7AF0027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0452FD24">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451" w:type="pct"/>
            <w:noWrap w:val="0"/>
            <w:vAlign w:val="center"/>
          </w:tcPr>
          <w:p w14:paraId="7DFEBBF1">
            <w:pPr>
              <w:keepNext w:val="0"/>
              <w:keepLines w:val="0"/>
              <w:pageBreakBefore w:val="0"/>
              <w:widowControl/>
              <w:suppressLineNumbers w:val="0"/>
              <w:kinsoku/>
              <w:wordWrap/>
              <w:overflowPunct w:val="0"/>
              <w:topLinePunct/>
              <w:bidi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C</w:t>
            </w:r>
            <w:r>
              <w:rPr>
                <w:rFonts w:hint="default" w:ascii="Times New Roman" w:hAnsi="Times New Roman" w:cs="Times New Roman"/>
                <w:color w:val="auto"/>
                <w:sz w:val="24"/>
                <w:highlight w:val="none"/>
                <w:lang w:val="en-US" w:eastAsia="zh-CN"/>
              </w:rPr>
              <w:t>1331食用植物油加工</w:t>
            </w:r>
          </w:p>
        </w:tc>
        <w:tc>
          <w:tcPr>
            <w:tcW w:w="911" w:type="pct"/>
            <w:noWrap w:val="0"/>
            <w:vAlign w:val="center"/>
          </w:tcPr>
          <w:p w14:paraId="19FE5F4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bookmarkStart w:id="2" w:name="_Hlk49843745"/>
            <w:r>
              <w:rPr>
                <w:rFonts w:hint="default" w:ascii="Times New Roman" w:hAnsi="Times New Roman" w:eastAsia="宋体" w:cs="Times New Roman"/>
                <w:color w:val="auto"/>
                <w:sz w:val="24"/>
                <w:szCs w:val="24"/>
                <w:highlight w:val="none"/>
              </w:rPr>
              <w:t>建设项目</w:t>
            </w:r>
          </w:p>
          <w:p w14:paraId="3856789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2"/>
          </w:p>
        </w:tc>
        <w:tc>
          <w:tcPr>
            <w:tcW w:w="1642" w:type="pct"/>
            <w:noWrap w:val="0"/>
            <w:vAlign w:val="center"/>
          </w:tcPr>
          <w:p w14:paraId="457C17C1">
            <w:pPr>
              <w:keepNext w:val="0"/>
              <w:keepLines w:val="0"/>
              <w:pageBreakBefore w:val="0"/>
              <w:widowControl/>
              <w:suppressLineNumbers w:val="0"/>
              <w:kinsoku/>
              <w:wordWrap/>
              <w:overflowPunct w:val="0"/>
              <w:topLinePunct/>
              <w:bidi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sz w:val="24"/>
                <w:highlight w:val="none"/>
                <w:lang w:val="en-US" w:eastAsia="zh-CN"/>
              </w:rPr>
              <w:t>十、农副食品加工业1316.植物油加工133</w:t>
            </w:r>
          </w:p>
        </w:tc>
      </w:tr>
      <w:tr w14:paraId="73F2A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50" w:hRule="atLeast"/>
          <w:jc w:val="center"/>
        </w:trPr>
        <w:tc>
          <w:tcPr>
            <w:tcW w:w="994" w:type="pct"/>
            <w:noWrap w:val="0"/>
            <w:tcMar>
              <w:top w:w="16" w:type="dxa"/>
              <w:left w:w="16" w:type="dxa"/>
              <w:right w:w="16" w:type="dxa"/>
            </w:tcMar>
            <w:vAlign w:val="center"/>
          </w:tcPr>
          <w:p w14:paraId="753C2DD6">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1451" w:type="pct"/>
            <w:noWrap w:val="0"/>
            <w:vAlign w:val="center"/>
          </w:tcPr>
          <w:p w14:paraId="2CF5B49E">
            <w:pPr>
              <w:pageBreakBefore w:val="0"/>
              <w:kinsoku/>
              <w:wordWrap/>
              <w:overflowPunct w:val="0"/>
              <w:topLinePunct/>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14:paraId="4C8C2A57">
            <w:pPr>
              <w:pageBreakBefore w:val="0"/>
              <w:kinsoku/>
              <w:wordWrap/>
              <w:overflowPunct w:val="0"/>
              <w:topLinePunct/>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改建</w:t>
            </w:r>
          </w:p>
          <w:p w14:paraId="6232AF05">
            <w:pPr>
              <w:pageBreakBefore w:val="0"/>
              <w:kinsoku/>
              <w:wordWrap/>
              <w:overflowPunct w:val="0"/>
              <w:topLinePunct/>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00130867">
            <w:pPr>
              <w:pageBreakBefore w:val="0"/>
              <w:kinsoku/>
              <w:wordWrap/>
              <w:overflowPunct w:val="0"/>
              <w:topLinePunct/>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911" w:type="pct"/>
            <w:noWrap w:val="0"/>
            <w:vAlign w:val="center"/>
          </w:tcPr>
          <w:p w14:paraId="728B1EB7">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76A30366">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1642" w:type="pct"/>
            <w:noWrap w:val="0"/>
            <w:vAlign w:val="center"/>
          </w:tcPr>
          <w:p w14:paraId="06A0C14E">
            <w:pPr>
              <w:pageBreakBefore w:val="0"/>
              <w:kinsoku/>
              <w:wordWrap/>
              <w:overflowPunct w:val="0"/>
              <w:topLinePunct/>
              <w:bidi w:val="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14:paraId="7C2DA6BF">
            <w:pPr>
              <w:pageBreakBefore w:val="0"/>
              <w:kinsoku/>
              <w:wordWrap/>
              <w:overflowPunct w:val="0"/>
              <w:topLinePunct/>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3F0F555E">
            <w:pPr>
              <w:pageBreakBefore w:val="0"/>
              <w:kinsoku/>
              <w:wordWrap/>
              <w:overflowPunct w:val="0"/>
              <w:topLinePunct/>
              <w:bidi w:val="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14:paraId="59493E31">
            <w:pPr>
              <w:pageBreakBefore w:val="0"/>
              <w:kinsoku/>
              <w:wordWrap/>
              <w:overflowPunct w:val="0"/>
              <w:topLinePunct/>
              <w:bidi w:val="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36ED2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62" w:hRule="atLeast"/>
          <w:jc w:val="center"/>
        </w:trPr>
        <w:tc>
          <w:tcPr>
            <w:tcW w:w="994" w:type="pct"/>
            <w:noWrap w:val="0"/>
            <w:tcMar>
              <w:top w:w="16" w:type="dxa"/>
              <w:left w:w="16" w:type="dxa"/>
              <w:right w:w="16" w:type="dxa"/>
            </w:tcMar>
            <w:vAlign w:val="center"/>
          </w:tcPr>
          <w:p w14:paraId="39C46E65">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6C2150F1">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1451" w:type="pct"/>
            <w:noWrap w:val="0"/>
            <w:vAlign w:val="center"/>
          </w:tcPr>
          <w:p w14:paraId="6F12F818">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重庆市九龙坡区经济和信息化委员会</w:t>
            </w:r>
          </w:p>
        </w:tc>
        <w:tc>
          <w:tcPr>
            <w:tcW w:w="911" w:type="pct"/>
            <w:noWrap w:val="0"/>
            <w:vAlign w:val="center"/>
          </w:tcPr>
          <w:p w14:paraId="4007F953">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项目审批（核准/备案）文号（选填）</w:t>
            </w:r>
          </w:p>
        </w:tc>
        <w:tc>
          <w:tcPr>
            <w:tcW w:w="1642" w:type="pct"/>
            <w:noWrap w:val="0"/>
            <w:vAlign w:val="center"/>
          </w:tcPr>
          <w:p w14:paraId="44A3922D">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2505-500107-07-02-389743</w:t>
            </w:r>
          </w:p>
        </w:tc>
      </w:tr>
      <w:tr w14:paraId="409E0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94" w:type="pct"/>
            <w:noWrap w:val="0"/>
            <w:tcMar>
              <w:top w:w="16" w:type="dxa"/>
              <w:left w:w="16" w:type="dxa"/>
              <w:right w:w="16" w:type="dxa"/>
            </w:tcMar>
            <w:vAlign w:val="center"/>
          </w:tcPr>
          <w:p w14:paraId="0649C1B5">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w:t>
            </w:r>
          </w:p>
          <w:p w14:paraId="272FE6C7">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（万元）</w:t>
            </w:r>
          </w:p>
        </w:tc>
        <w:tc>
          <w:tcPr>
            <w:tcW w:w="1451" w:type="pct"/>
            <w:noWrap w:val="0"/>
            <w:vAlign w:val="center"/>
          </w:tcPr>
          <w:p w14:paraId="43FFA2C1">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6651.74</w:t>
            </w:r>
          </w:p>
        </w:tc>
        <w:tc>
          <w:tcPr>
            <w:tcW w:w="911" w:type="pct"/>
            <w:noWrap w:val="0"/>
            <w:tcMar>
              <w:top w:w="16" w:type="dxa"/>
              <w:left w:w="16" w:type="dxa"/>
              <w:right w:w="16" w:type="dxa"/>
            </w:tcMar>
            <w:vAlign w:val="center"/>
          </w:tcPr>
          <w:p w14:paraId="3ED70536">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1642" w:type="pct"/>
            <w:noWrap w:val="0"/>
            <w:vAlign w:val="center"/>
          </w:tcPr>
          <w:p w14:paraId="220B489A">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145</w:t>
            </w:r>
          </w:p>
        </w:tc>
      </w:tr>
      <w:tr w14:paraId="70322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994" w:type="pct"/>
            <w:noWrap w:val="0"/>
            <w:tcMar>
              <w:top w:w="16" w:type="dxa"/>
              <w:left w:w="16" w:type="dxa"/>
              <w:right w:w="16" w:type="dxa"/>
            </w:tcMar>
            <w:vAlign w:val="center"/>
          </w:tcPr>
          <w:p w14:paraId="6AF07720">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451" w:type="pct"/>
            <w:noWrap w:val="0"/>
            <w:vAlign w:val="center"/>
          </w:tcPr>
          <w:p w14:paraId="4B29BA06">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.18</w:t>
            </w:r>
          </w:p>
        </w:tc>
        <w:tc>
          <w:tcPr>
            <w:tcW w:w="911" w:type="pct"/>
            <w:noWrap w:val="0"/>
            <w:tcMar>
              <w:top w:w="16" w:type="dxa"/>
              <w:left w:w="16" w:type="dxa"/>
              <w:right w:w="16" w:type="dxa"/>
            </w:tcMar>
            <w:vAlign w:val="center"/>
          </w:tcPr>
          <w:p w14:paraId="156C2400">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1642" w:type="pct"/>
            <w:noWrap w:val="0"/>
            <w:vAlign w:val="center"/>
          </w:tcPr>
          <w:p w14:paraId="037B62E0">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个月</w:t>
            </w:r>
          </w:p>
        </w:tc>
      </w:tr>
      <w:tr w14:paraId="23098F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994" w:type="pct"/>
            <w:noWrap w:val="0"/>
            <w:tcMar>
              <w:top w:w="16" w:type="dxa"/>
              <w:left w:w="16" w:type="dxa"/>
              <w:right w:w="16" w:type="dxa"/>
            </w:tcMar>
            <w:vAlign w:val="center"/>
          </w:tcPr>
          <w:p w14:paraId="4AA4FEC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w:t>
            </w:r>
          </w:p>
          <w:p w14:paraId="4CF7C81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w:t>
            </w:r>
          </w:p>
        </w:tc>
        <w:tc>
          <w:tcPr>
            <w:tcW w:w="1451" w:type="pct"/>
            <w:noWrap w:val="0"/>
            <w:vAlign w:val="center"/>
          </w:tcPr>
          <w:p w14:paraId="2E104455">
            <w:pPr>
              <w:pageBreakBefore w:val="0"/>
              <w:kinsoku/>
              <w:wordWrap/>
              <w:overflowPunct w:val="0"/>
              <w:topLinePunct/>
              <w:bidi w:val="0"/>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否</w:t>
            </w:r>
          </w:p>
          <w:p w14:paraId="111FED05">
            <w:pPr>
              <w:pageBreakBefore w:val="0"/>
              <w:kinsoku/>
              <w:wordWrap/>
              <w:overflowPunct w:val="0"/>
              <w:topLinePunct/>
              <w:bidi w:val="0"/>
              <w:adjustRightInd w:val="0"/>
              <w:snapToGrid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p>
        </w:tc>
        <w:tc>
          <w:tcPr>
            <w:tcW w:w="911" w:type="pct"/>
            <w:noWrap w:val="0"/>
            <w:tcMar>
              <w:top w:w="16" w:type="dxa"/>
              <w:left w:w="16" w:type="dxa"/>
              <w:right w:w="16" w:type="dxa"/>
            </w:tcMar>
            <w:vAlign w:val="center"/>
          </w:tcPr>
          <w:p w14:paraId="3335B9B2">
            <w:pPr>
              <w:pageBreakBefore w:val="0"/>
              <w:kinsoku/>
              <w:wordWrap/>
              <w:overflowPunct w:val="0"/>
              <w:topLinePunct/>
              <w:bidi w:val="0"/>
              <w:adjustRightInd w:val="0"/>
              <w:snapToGrid w:val="0"/>
              <w:jc w:val="both"/>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14:paraId="1543E2BA">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1642" w:type="pct"/>
            <w:noWrap w:val="0"/>
            <w:vAlign w:val="center"/>
          </w:tcPr>
          <w:p w14:paraId="502D590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在现有</w:t>
            </w:r>
            <w:r>
              <w:rPr>
                <w:rFonts w:hint="default" w:ascii="Times New Roman" w:hAnsi="Times New Roman" w:cs="Times New Roman"/>
                <w:color w:val="auto"/>
                <w:sz w:val="24"/>
                <w:szCs w:val="24"/>
                <w:highlight w:val="none"/>
                <w:lang w:val="en-US" w:eastAsia="zh-CN"/>
              </w:rPr>
              <w:t>用地范围内</w:t>
            </w:r>
            <w:r>
              <w:rPr>
                <w:rFonts w:hint="default" w:ascii="Times New Roman" w:hAnsi="Times New Roman" w:eastAsia="宋体" w:cs="Times New Roman"/>
                <w:color w:val="auto"/>
                <w:sz w:val="24"/>
                <w:szCs w:val="24"/>
                <w:highlight w:val="none"/>
                <w:lang w:val="en-US" w:eastAsia="zh-CN"/>
              </w:rPr>
              <w:t>进行</w:t>
            </w:r>
            <w:r>
              <w:rPr>
                <w:rFonts w:hint="eastAsia" w:cs="Times New Roman"/>
                <w:color w:val="auto"/>
                <w:sz w:val="24"/>
                <w:szCs w:val="24"/>
                <w:highlight w:val="none"/>
                <w:lang w:val="en-US" w:eastAsia="zh-CN"/>
              </w:rPr>
              <w:t>改建</w:t>
            </w:r>
            <w:r>
              <w:rPr>
                <w:rFonts w:hint="default" w:ascii="Times New Roman" w:hAnsi="Times New Roman" w:eastAsia="宋体" w:cs="Times New Roman"/>
                <w:color w:val="auto"/>
                <w:sz w:val="24"/>
                <w:szCs w:val="24"/>
                <w:highlight w:val="none"/>
                <w:lang w:val="en-US" w:eastAsia="zh-CN"/>
              </w:rPr>
              <w:t>，不新增占地</w:t>
            </w:r>
          </w:p>
        </w:tc>
      </w:tr>
      <w:tr w14:paraId="135C2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95" w:hRule="atLeast"/>
          <w:jc w:val="center"/>
        </w:trPr>
        <w:tc>
          <w:tcPr>
            <w:tcW w:w="994" w:type="pct"/>
            <w:noWrap w:val="0"/>
            <w:vAlign w:val="center"/>
          </w:tcPr>
          <w:p w14:paraId="48C69BE8">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4005" w:type="pct"/>
            <w:gridSpan w:val="3"/>
            <w:noWrap w:val="0"/>
            <w:vAlign w:val="center"/>
          </w:tcPr>
          <w:p w14:paraId="2529EEA2">
            <w:pPr>
              <w:pStyle w:val="24"/>
              <w:keepNext w:val="0"/>
              <w:keepLines w:val="0"/>
              <w:pageBreakBefore w:val="0"/>
              <w:widowControl w:val="0"/>
              <w:kinsoku/>
              <w:wordWrap/>
              <w:overflowPunct w:val="0"/>
              <w:topLinePunct/>
              <w:autoSpaceDE/>
              <w:autoSpaceDN/>
              <w:bidi w:val="0"/>
              <w:adjustRightInd/>
              <w:snapToGrid/>
              <w:spacing w:line="44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根据《建设项目环境影响报告表编制技术指南（污染影响类）（试行）》“表1专项评价设置原则表”，</w:t>
            </w:r>
            <w:r>
              <w:rPr>
                <w:rFonts w:hint="eastAsia" w:ascii="Times New Roman" w:hAnsi="Times New Roman" w:cs="Times New Roman"/>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大气、地表水、环境风险、生态、海洋专项评价情况见下表1-1</w:t>
            </w:r>
            <w:r>
              <w:rPr>
                <w:rFonts w:hint="default" w:ascii="Times New Roman" w:hAnsi="Times New Roman" w:eastAsia="宋体" w:cs="Times New Roman"/>
                <w:color w:val="auto"/>
                <w:kern w:val="0"/>
                <w:sz w:val="24"/>
                <w:szCs w:val="24"/>
                <w:highlight w:val="none"/>
              </w:rPr>
              <w:t>。</w:t>
            </w:r>
          </w:p>
          <w:p w14:paraId="513D304A">
            <w:pPr>
              <w:pStyle w:val="24"/>
              <w:keepNext w:val="0"/>
              <w:keepLines w:val="0"/>
              <w:pageBreakBefore w:val="0"/>
              <w:widowControl w:val="0"/>
              <w:kinsoku/>
              <w:wordWrap/>
              <w:overflowPunct w:val="0"/>
              <w:topLinePunct/>
              <w:autoSpaceDE/>
              <w:autoSpaceDN/>
              <w:bidi w:val="0"/>
              <w:adjustRightInd/>
              <w:snapToGrid/>
              <w:spacing w:line="400" w:lineRule="exact"/>
              <w:jc w:val="center"/>
              <w:textAlignment w:val="auto"/>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pacing w:val="-1"/>
                <w:sz w:val="22"/>
                <w:szCs w:val="22"/>
                <w:highlight w:val="none"/>
              </w:rPr>
              <w:t>表</w:t>
            </w:r>
            <w:r>
              <w:rPr>
                <w:rFonts w:hint="default" w:ascii="Times New Roman" w:hAnsi="Times New Roman" w:eastAsia="Times New Roman" w:cs="Times New Roman"/>
                <w:b/>
                <w:bCs/>
                <w:color w:val="auto"/>
                <w:spacing w:val="-1"/>
                <w:sz w:val="22"/>
                <w:szCs w:val="22"/>
                <w:highlight w:val="none"/>
              </w:rPr>
              <w:t>1</w:t>
            </w:r>
            <w:r>
              <w:rPr>
                <w:rFonts w:hint="default" w:ascii="Times New Roman" w:hAnsi="Times New Roman" w:eastAsia="宋体" w:cs="Times New Roman"/>
                <w:b/>
                <w:bCs/>
                <w:color w:val="auto"/>
                <w:spacing w:val="-1"/>
                <w:sz w:val="22"/>
                <w:szCs w:val="22"/>
                <w:highlight w:val="none"/>
                <w:lang w:val="en-US" w:eastAsia="zh-CN"/>
              </w:rPr>
              <w:t>-1</w:t>
            </w:r>
            <w:r>
              <w:rPr>
                <w:rFonts w:hint="default" w:ascii="Times New Roman" w:hAnsi="Times New Roman" w:cs="Times New Roman"/>
                <w:b/>
                <w:bCs/>
                <w:color w:val="auto"/>
                <w:spacing w:val="-1"/>
                <w:sz w:val="22"/>
                <w:szCs w:val="22"/>
                <w:highlight w:val="none"/>
              </w:rPr>
              <w:t>专项评价设置原则表</w:t>
            </w:r>
          </w:p>
          <w:tbl>
            <w:tblPr>
              <w:tblStyle w:val="38"/>
              <w:tblW w:w="499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9"/>
              <w:gridCol w:w="2820"/>
              <w:gridCol w:w="3065"/>
              <w:gridCol w:w="493"/>
            </w:tblGrid>
            <w:tr w14:paraId="7F649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94" w:type="pct"/>
                  <w:noWrap w:val="0"/>
                  <w:vAlign w:val="center"/>
                </w:tcPr>
                <w:p w14:paraId="591FB5D1">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专项评价的类别</w:t>
                  </w:r>
                </w:p>
              </w:tc>
              <w:tc>
                <w:tcPr>
                  <w:tcW w:w="1992" w:type="pct"/>
                  <w:noWrap w:val="0"/>
                  <w:vAlign w:val="center"/>
                </w:tcPr>
                <w:p w14:paraId="06433E11">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设置原则</w:t>
                  </w:r>
                </w:p>
              </w:tc>
              <w:tc>
                <w:tcPr>
                  <w:tcW w:w="2164" w:type="pct"/>
                  <w:noWrap w:val="0"/>
                  <w:vAlign w:val="center"/>
                </w:tcPr>
                <w:p w14:paraId="4562E068">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cs="Times New Roman"/>
                      <w:color w:val="auto"/>
                      <w:spacing w:val="0"/>
                      <w:sz w:val="21"/>
                      <w:szCs w:val="21"/>
                      <w:highlight w:val="none"/>
                      <w:lang w:eastAsia="zh-CN"/>
                    </w:rPr>
                    <w:t>本项目</w:t>
                  </w:r>
                </w:p>
              </w:tc>
              <w:tc>
                <w:tcPr>
                  <w:tcW w:w="348" w:type="pct"/>
                  <w:noWrap w:val="0"/>
                  <w:vAlign w:val="center"/>
                </w:tcPr>
                <w:p w14:paraId="00E2CA56">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是否设置</w:t>
                  </w:r>
                </w:p>
              </w:tc>
            </w:tr>
            <w:tr w14:paraId="44A98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94" w:type="pct"/>
                  <w:noWrap w:val="0"/>
                  <w:vAlign w:val="center"/>
                </w:tcPr>
                <w:p w14:paraId="11FACD3C">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大气</w:t>
                  </w:r>
                </w:p>
              </w:tc>
              <w:tc>
                <w:tcPr>
                  <w:tcW w:w="1992" w:type="pct"/>
                  <w:noWrap w:val="0"/>
                  <w:vAlign w:val="center"/>
                </w:tcPr>
                <w:p w14:paraId="00C9A4CB">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排放废气含有毒有害污染物</w:t>
                  </w:r>
                  <w:r>
                    <w:rPr>
                      <w:rFonts w:hint="default" w:ascii="Times New Roman" w:hAnsi="Times New Roman" w:eastAsia="Times New Roman" w:cs="Times New Roman"/>
                      <w:color w:val="auto"/>
                      <w:spacing w:val="0"/>
                      <w:sz w:val="21"/>
                      <w:szCs w:val="21"/>
                      <w:highlight w:val="none"/>
                      <w:vertAlign w:val="superscript"/>
                    </w:rPr>
                    <w:t>1</w:t>
                  </w:r>
                  <w:r>
                    <w:rPr>
                      <w:rFonts w:hint="default" w:ascii="Times New Roman" w:hAnsi="Times New Roman" w:cs="Times New Roman"/>
                      <w:color w:val="auto"/>
                      <w:spacing w:val="0"/>
                      <w:sz w:val="21"/>
                      <w:szCs w:val="21"/>
                      <w:highlight w:val="none"/>
                    </w:rPr>
                    <w:t>、二噁英、苯并</w:t>
                  </w:r>
                  <w:r>
                    <w:rPr>
                      <w:rFonts w:hint="default" w:ascii="Times New Roman" w:hAnsi="Times New Roman" w:eastAsia="Times New Roman" w:cs="Times New Roman"/>
                      <w:color w:val="auto"/>
                      <w:spacing w:val="0"/>
                      <w:sz w:val="21"/>
                      <w:szCs w:val="21"/>
                      <w:highlight w:val="none"/>
                    </w:rPr>
                    <w:t>[a]</w:t>
                  </w:r>
                  <w:r>
                    <w:rPr>
                      <w:rFonts w:hint="default" w:ascii="Times New Roman" w:hAnsi="Times New Roman" w:cs="Times New Roman"/>
                      <w:color w:val="auto"/>
                      <w:spacing w:val="0"/>
                      <w:sz w:val="21"/>
                      <w:szCs w:val="21"/>
                      <w:highlight w:val="none"/>
                    </w:rPr>
                    <w:t>芘、氰化物、氯气且厂界外</w:t>
                  </w:r>
                  <w:r>
                    <w:rPr>
                      <w:rFonts w:hint="default" w:ascii="Times New Roman" w:hAnsi="Times New Roman" w:eastAsia="Times New Roman" w:cs="Times New Roman"/>
                      <w:color w:val="auto"/>
                      <w:spacing w:val="0"/>
                      <w:sz w:val="21"/>
                      <w:szCs w:val="21"/>
                      <w:highlight w:val="none"/>
                    </w:rPr>
                    <w:t>500</w:t>
                  </w:r>
                  <w:r>
                    <w:rPr>
                      <w:rFonts w:hint="default" w:ascii="Times New Roman" w:hAnsi="Times New Roman" w:cs="Times New Roman"/>
                      <w:color w:val="auto"/>
                      <w:spacing w:val="0"/>
                      <w:sz w:val="21"/>
                      <w:szCs w:val="21"/>
                      <w:highlight w:val="none"/>
                    </w:rPr>
                    <w:t>米范围内有环境空气保护目标</w:t>
                  </w:r>
                  <w:r>
                    <w:rPr>
                      <w:rFonts w:hint="default" w:ascii="Times New Roman" w:hAnsi="Times New Roman" w:eastAsia="Times New Roman" w:cs="Times New Roman"/>
                      <w:color w:val="auto"/>
                      <w:spacing w:val="0"/>
                      <w:position w:val="6"/>
                      <w:sz w:val="21"/>
                      <w:szCs w:val="21"/>
                      <w:highlight w:val="none"/>
                      <w:vertAlign w:val="superscript"/>
                    </w:rPr>
                    <w:t>2</w:t>
                  </w:r>
                  <w:r>
                    <w:rPr>
                      <w:rFonts w:hint="default" w:ascii="Times New Roman" w:hAnsi="Times New Roman" w:cs="Times New Roman"/>
                      <w:color w:val="auto"/>
                      <w:spacing w:val="0"/>
                      <w:sz w:val="21"/>
                      <w:szCs w:val="21"/>
                      <w:highlight w:val="none"/>
                    </w:rPr>
                    <w:t>的建设项目。</w:t>
                  </w:r>
                </w:p>
              </w:tc>
              <w:tc>
                <w:tcPr>
                  <w:tcW w:w="2164" w:type="pct"/>
                  <w:noWrap w:val="0"/>
                  <w:vAlign w:val="center"/>
                </w:tcPr>
                <w:p w14:paraId="6FAD7BCD">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本项目</w:t>
                  </w:r>
                  <w:r>
                    <w:rPr>
                      <w:rFonts w:hint="default" w:ascii="Times New Roman" w:hAnsi="Times New Roman" w:cs="Times New Roman"/>
                      <w:color w:val="auto"/>
                      <w:spacing w:val="0"/>
                      <w:sz w:val="21"/>
                      <w:szCs w:val="21"/>
                      <w:highlight w:val="none"/>
                      <w:lang w:val="en-US" w:eastAsia="zh-CN"/>
                    </w:rPr>
                    <w:t>为食用植物油加工项目，厂界外500m范围内有环境空气保护目标，但项目不排放涉及有毒</w:t>
                  </w:r>
                  <w:r>
                    <w:rPr>
                      <w:rFonts w:hint="default" w:ascii="Times New Roman" w:hAnsi="Times New Roman" w:cs="Times New Roman"/>
                      <w:color w:val="auto"/>
                      <w:spacing w:val="0"/>
                      <w:sz w:val="21"/>
                      <w:szCs w:val="21"/>
                      <w:highlight w:val="none"/>
                    </w:rPr>
                    <w:t>有害污染物</w:t>
                  </w:r>
                  <w:r>
                    <w:rPr>
                      <w:rFonts w:hint="default" w:ascii="Times New Roman" w:hAnsi="Times New Roman" w:eastAsia="Times New Roman" w:cs="Times New Roman"/>
                      <w:color w:val="auto"/>
                      <w:spacing w:val="0"/>
                      <w:sz w:val="21"/>
                      <w:szCs w:val="21"/>
                      <w:highlight w:val="none"/>
                      <w:vertAlign w:val="superscript"/>
                    </w:rPr>
                    <w:t>1</w:t>
                  </w:r>
                  <w:r>
                    <w:rPr>
                      <w:rFonts w:hint="default" w:ascii="Times New Roman" w:hAnsi="Times New Roman" w:cs="Times New Roman"/>
                      <w:color w:val="auto"/>
                      <w:spacing w:val="0"/>
                      <w:sz w:val="21"/>
                      <w:szCs w:val="21"/>
                      <w:highlight w:val="none"/>
                    </w:rPr>
                    <w:t>、二噁英、苯并</w:t>
                  </w:r>
                  <w:r>
                    <w:rPr>
                      <w:rFonts w:hint="default" w:ascii="Times New Roman" w:hAnsi="Times New Roman" w:eastAsia="Times New Roman" w:cs="Times New Roman"/>
                      <w:color w:val="auto"/>
                      <w:spacing w:val="0"/>
                      <w:sz w:val="21"/>
                      <w:szCs w:val="21"/>
                      <w:highlight w:val="none"/>
                    </w:rPr>
                    <w:t>[a]</w:t>
                  </w:r>
                  <w:r>
                    <w:rPr>
                      <w:rFonts w:hint="default" w:ascii="Times New Roman" w:hAnsi="Times New Roman" w:cs="Times New Roman"/>
                      <w:color w:val="auto"/>
                      <w:spacing w:val="0"/>
                      <w:sz w:val="21"/>
                      <w:szCs w:val="21"/>
                      <w:highlight w:val="none"/>
                    </w:rPr>
                    <w:t>芘</w:t>
                  </w:r>
                  <w:r>
                    <w:rPr>
                      <w:rFonts w:hint="default" w:ascii="Times New Roman" w:hAnsi="Times New Roman"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lang w:val="en-US" w:eastAsia="zh-CN"/>
                    </w:rPr>
                    <w:t>氰化物、氯气等污染物</w:t>
                  </w:r>
                </w:p>
              </w:tc>
              <w:tc>
                <w:tcPr>
                  <w:tcW w:w="348" w:type="pct"/>
                  <w:noWrap w:val="0"/>
                  <w:vAlign w:val="center"/>
                </w:tcPr>
                <w:p w14:paraId="52BBC806">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否</w:t>
                  </w:r>
                </w:p>
              </w:tc>
            </w:tr>
            <w:tr w14:paraId="74CC0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94" w:type="pct"/>
                  <w:noWrap w:val="0"/>
                  <w:vAlign w:val="center"/>
                </w:tcPr>
                <w:p w14:paraId="550E007A">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地表水</w:t>
                  </w:r>
                </w:p>
              </w:tc>
              <w:tc>
                <w:tcPr>
                  <w:tcW w:w="1992" w:type="pct"/>
                  <w:noWrap w:val="0"/>
                  <w:vAlign w:val="center"/>
                </w:tcPr>
                <w:p w14:paraId="6C029EE6">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新增工业废水直排建设项目（槽罐车外送污水处理厂的除外</w:t>
                  </w:r>
                  <w:r>
                    <w:rPr>
                      <w:rFonts w:hint="default" w:ascii="Times New Roman" w:hAnsi="Times New Roman" w:cs="Times New Roman"/>
                      <w:color w:val="auto"/>
                      <w:spacing w:val="0"/>
                      <w:w w:val="86"/>
                      <w:sz w:val="21"/>
                      <w:szCs w:val="21"/>
                      <w:highlight w:val="none"/>
                    </w:rPr>
                    <w:t>）；</w:t>
                  </w:r>
                  <w:r>
                    <w:rPr>
                      <w:rFonts w:hint="default" w:ascii="Times New Roman" w:hAnsi="Times New Roman" w:cs="Times New Roman"/>
                      <w:color w:val="auto"/>
                      <w:spacing w:val="0"/>
                      <w:sz w:val="21"/>
                      <w:szCs w:val="21"/>
                      <w:highlight w:val="none"/>
                    </w:rPr>
                    <w:t>新增废水直排的污水集中处理厂。</w:t>
                  </w:r>
                </w:p>
              </w:tc>
              <w:tc>
                <w:tcPr>
                  <w:tcW w:w="2164" w:type="pct"/>
                  <w:noWrap w:val="0"/>
                  <w:vAlign w:val="center"/>
                </w:tcPr>
                <w:p w14:paraId="0F2D6C51">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val="en-US" w:eastAsia="zh-CN"/>
                    </w:rPr>
                    <w:t>本项目</w:t>
                  </w:r>
                  <w:r>
                    <w:rPr>
                      <w:rFonts w:hint="default" w:ascii="Times New Roman" w:hAnsi="Times New Roman" w:cs="Times New Roman"/>
                      <w:color w:val="auto"/>
                      <w:spacing w:val="0"/>
                      <w:sz w:val="21"/>
                      <w:szCs w:val="21"/>
                      <w:highlight w:val="none"/>
                    </w:rPr>
                    <w:t>不新增工业废水直排，</w:t>
                  </w:r>
                  <w:r>
                    <w:rPr>
                      <w:rFonts w:hint="default" w:ascii="Times New Roman" w:hAnsi="Times New Roman" w:cs="Times New Roman"/>
                      <w:color w:val="auto"/>
                      <w:spacing w:val="0"/>
                      <w:sz w:val="21"/>
                      <w:szCs w:val="21"/>
                      <w:highlight w:val="none"/>
                      <w:lang w:val="en-US" w:eastAsia="zh-CN"/>
                    </w:rPr>
                    <w:t>无需</w:t>
                  </w:r>
                  <w:r>
                    <w:rPr>
                      <w:rFonts w:hint="default" w:ascii="Times New Roman" w:hAnsi="Times New Roman" w:cs="Times New Roman"/>
                      <w:color w:val="auto"/>
                      <w:spacing w:val="0"/>
                      <w:sz w:val="21"/>
                      <w:szCs w:val="21"/>
                      <w:highlight w:val="none"/>
                    </w:rPr>
                    <w:t>开展地表水专项评价。</w:t>
                  </w:r>
                </w:p>
              </w:tc>
              <w:tc>
                <w:tcPr>
                  <w:tcW w:w="348" w:type="pct"/>
                  <w:noWrap w:val="0"/>
                  <w:vAlign w:val="center"/>
                </w:tcPr>
                <w:p w14:paraId="2CA2067F">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否</w:t>
                  </w:r>
                </w:p>
              </w:tc>
            </w:tr>
            <w:tr w14:paraId="48F3E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94" w:type="pct"/>
                  <w:noWrap w:val="0"/>
                  <w:vAlign w:val="center"/>
                </w:tcPr>
                <w:p w14:paraId="32D4D2F4">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环境风险</w:t>
                  </w:r>
                </w:p>
              </w:tc>
              <w:tc>
                <w:tcPr>
                  <w:tcW w:w="1992" w:type="pct"/>
                  <w:noWrap w:val="0"/>
                  <w:vAlign w:val="center"/>
                </w:tcPr>
                <w:p w14:paraId="792B7086">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有毒有害和易燃易爆危险物质存储量超过临界量</w:t>
                  </w:r>
                  <w:r>
                    <w:rPr>
                      <w:rFonts w:hint="default" w:ascii="Times New Roman" w:hAnsi="Times New Roman" w:eastAsia="Times New Roman" w:cs="Times New Roman"/>
                      <w:color w:val="auto"/>
                      <w:spacing w:val="0"/>
                      <w:position w:val="6"/>
                      <w:sz w:val="21"/>
                      <w:szCs w:val="21"/>
                      <w:highlight w:val="none"/>
                    </w:rPr>
                    <w:t>3</w:t>
                  </w:r>
                  <w:r>
                    <w:rPr>
                      <w:rFonts w:hint="default" w:ascii="Times New Roman" w:hAnsi="Times New Roman" w:cs="Times New Roman"/>
                      <w:color w:val="auto"/>
                      <w:spacing w:val="0"/>
                      <w:sz w:val="21"/>
                      <w:szCs w:val="21"/>
                      <w:highlight w:val="none"/>
                    </w:rPr>
                    <w:t>的建设项目</w:t>
                  </w:r>
                </w:p>
              </w:tc>
              <w:tc>
                <w:tcPr>
                  <w:tcW w:w="2164" w:type="pct"/>
                  <w:noWrap w:val="0"/>
                  <w:vAlign w:val="center"/>
                </w:tcPr>
                <w:p w14:paraId="35FBE561">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val="en-US" w:eastAsia="zh-CN"/>
                    </w:rPr>
                    <w:t>本项目</w:t>
                  </w:r>
                  <w:r>
                    <w:rPr>
                      <w:rFonts w:hint="default" w:ascii="Times New Roman" w:hAnsi="Times New Roman" w:cs="Times New Roman"/>
                      <w:color w:val="auto"/>
                      <w:spacing w:val="0"/>
                      <w:sz w:val="21"/>
                      <w:szCs w:val="21"/>
                      <w:highlight w:val="none"/>
                    </w:rPr>
                    <w:t>环境风险物质存储量</w:t>
                  </w:r>
                  <w:r>
                    <w:rPr>
                      <w:rFonts w:hint="default" w:ascii="Times New Roman" w:hAnsi="Times New Roman" w:cs="Times New Roman"/>
                      <w:color w:val="auto"/>
                      <w:spacing w:val="0"/>
                      <w:sz w:val="21"/>
                      <w:szCs w:val="21"/>
                      <w:highlight w:val="none"/>
                      <w:lang w:val="en-US" w:eastAsia="zh-CN"/>
                    </w:rPr>
                    <w:t>未</w:t>
                  </w:r>
                  <w:r>
                    <w:rPr>
                      <w:rFonts w:hint="default" w:ascii="Times New Roman" w:hAnsi="Times New Roman" w:cs="Times New Roman"/>
                      <w:color w:val="auto"/>
                      <w:spacing w:val="0"/>
                      <w:sz w:val="21"/>
                      <w:szCs w:val="21"/>
                      <w:highlight w:val="none"/>
                    </w:rPr>
                    <w:t>超过临界</w:t>
                  </w:r>
                  <w:r>
                    <w:rPr>
                      <w:rFonts w:hint="default" w:ascii="Times New Roman" w:hAnsi="Times New Roman" w:eastAsia="宋体" w:cs="Times New Roman"/>
                      <w:color w:val="auto"/>
                      <w:spacing w:val="0"/>
                      <w:sz w:val="21"/>
                      <w:szCs w:val="21"/>
                      <w:highlight w:val="none"/>
                    </w:rPr>
                    <w:t>量</w:t>
                  </w:r>
                  <w:r>
                    <w:rPr>
                      <w:rFonts w:hint="default" w:ascii="Times New Roman" w:hAnsi="Times New Roman" w:eastAsia="宋体" w:cs="Times New Roman"/>
                      <w:color w:val="auto"/>
                      <w:spacing w:val="0"/>
                      <w:sz w:val="21"/>
                      <w:szCs w:val="21"/>
                      <w:highlight w:val="none"/>
                      <w:vertAlign w:val="superscript"/>
                    </w:rPr>
                    <w:t>3</w:t>
                  </w:r>
                  <w:r>
                    <w:rPr>
                      <w:rFonts w:hint="default" w:ascii="Times New Roman" w:hAnsi="Times New Roman" w:eastAsia="宋体" w:cs="Times New Roman"/>
                      <w:color w:val="auto"/>
                      <w:spacing w:val="0"/>
                      <w:sz w:val="21"/>
                      <w:szCs w:val="21"/>
                      <w:highlight w:val="none"/>
                    </w:rPr>
                    <w:t>的建设</w:t>
                  </w:r>
                  <w:r>
                    <w:rPr>
                      <w:rFonts w:hint="default" w:ascii="Times New Roman" w:hAnsi="Times New Roman" w:cs="Times New Roman"/>
                      <w:color w:val="auto"/>
                      <w:spacing w:val="0"/>
                      <w:sz w:val="21"/>
                      <w:szCs w:val="21"/>
                      <w:highlight w:val="none"/>
                    </w:rPr>
                    <w:t>项目，</w:t>
                  </w:r>
                  <w:r>
                    <w:rPr>
                      <w:rFonts w:hint="default" w:ascii="Times New Roman" w:hAnsi="Times New Roman" w:cs="Times New Roman"/>
                      <w:color w:val="auto"/>
                      <w:spacing w:val="0"/>
                      <w:sz w:val="21"/>
                      <w:szCs w:val="21"/>
                      <w:highlight w:val="none"/>
                      <w:lang w:val="en-US" w:eastAsia="zh-CN"/>
                    </w:rPr>
                    <w:t>无需设</w:t>
                  </w:r>
                  <w:r>
                    <w:rPr>
                      <w:rFonts w:hint="default" w:ascii="Times New Roman" w:hAnsi="Times New Roman" w:cs="Times New Roman"/>
                      <w:color w:val="auto"/>
                      <w:spacing w:val="0"/>
                      <w:sz w:val="21"/>
                      <w:szCs w:val="21"/>
                      <w:highlight w:val="none"/>
                    </w:rPr>
                    <w:t>置环境风险专项评价。</w:t>
                  </w:r>
                </w:p>
              </w:tc>
              <w:tc>
                <w:tcPr>
                  <w:tcW w:w="348" w:type="pct"/>
                  <w:noWrap w:val="0"/>
                  <w:vAlign w:val="center"/>
                </w:tcPr>
                <w:p w14:paraId="3EE83CEE">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否</w:t>
                  </w:r>
                </w:p>
              </w:tc>
            </w:tr>
            <w:tr w14:paraId="57AC7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94" w:type="pct"/>
                  <w:noWrap w:val="0"/>
                  <w:vAlign w:val="center"/>
                </w:tcPr>
                <w:p w14:paraId="55891C6B">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生态</w:t>
                  </w:r>
                </w:p>
              </w:tc>
              <w:tc>
                <w:tcPr>
                  <w:tcW w:w="1992" w:type="pct"/>
                  <w:noWrap w:val="0"/>
                  <w:vAlign w:val="center"/>
                </w:tcPr>
                <w:p w14:paraId="3DEE5581">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取水口下游</w:t>
                  </w:r>
                  <w:r>
                    <w:rPr>
                      <w:rFonts w:hint="default" w:ascii="Times New Roman" w:hAnsi="Times New Roman" w:eastAsia="Times New Roman" w:cs="Times New Roman"/>
                      <w:color w:val="auto"/>
                      <w:spacing w:val="0"/>
                      <w:sz w:val="21"/>
                      <w:szCs w:val="21"/>
                      <w:highlight w:val="none"/>
                    </w:rPr>
                    <w:t>500</w:t>
                  </w:r>
                  <w:r>
                    <w:rPr>
                      <w:rFonts w:hint="default" w:ascii="Times New Roman" w:hAnsi="Times New Roman" w:cs="Times New Roman"/>
                      <w:color w:val="auto"/>
                      <w:spacing w:val="0"/>
                      <w:sz w:val="21"/>
                      <w:szCs w:val="21"/>
                      <w:highlight w:val="none"/>
                    </w:rPr>
                    <w:t>米范围内有重要水生生物的自然产卵场、索饵场、越冬场和洄游通道的新增河道取水的污染类建设项目。</w:t>
                  </w:r>
                </w:p>
              </w:tc>
              <w:tc>
                <w:tcPr>
                  <w:tcW w:w="2164" w:type="pct"/>
                  <w:noWrap w:val="0"/>
                  <w:vAlign w:val="center"/>
                </w:tcPr>
                <w:p w14:paraId="214F3605">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val="en-US" w:eastAsia="zh-CN"/>
                    </w:rPr>
                    <w:t>本项目</w:t>
                  </w:r>
                  <w:r>
                    <w:rPr>
                      <w:rFonts w:hint="default" w:ascii="Times New Roman" w:hAnsi="Times New Roman" w:cs="Times New Roman"/>
                      <w:color w:val="auto"/>
                      <w:spacing w:val="0"/>
                      <w:sz w:val="21"/>
                      <w:szCs w:val="21"/>
                      <w:highlight w:val="none"/>
                    </w:rPr>
                    <w:t>不涉及</w:t>
                  </w:r>
                  <w:r>
                    <w:rPr>
                      <w:rFonts w:hint="default" w:ascii="Times New Roman" w:hAnsi="Times New Roman" w:cs="Times New Roman"/>
                      <w:color w:val="auto"/>
                      <w:spacing w:val="0"/>
                      <w:sz w:val="21"/>
                      <w:szCs w:val="21"/>
                      <w:highlight w:val="none"/>
                      <w:lang w:val="en-US" w:eastAsia="zh-CN"/>
                    </w:rPr>
                    <w:t>河道</w:t>
                  </w:r>
                  <w:r>
                    <w:rPr>
                      <w:rFonts w:hint="default" w:ascii="Times New Roman" w:hAnsi="Times New Roman" w:cs="Times New Roman"/>
                      <w:color w:val="auto"/>
                      <w:spacing w:val="0"/>
                      <w:sz w:val="21"/>
                      <w:szCs w:val="21"/>
                      <w:highlight w:val="none"/>
                    </w:rPr>
                    <w:t>取水，无需开展生态专项评价。</w:t>
                  </w:r>
                </w:p>
              </w:tc>
              <w:tc>
                <w:tcPr>
                  <w:tcW w:w="348" w:type="pct"/>
                  <w:noWrap w:val="0"/>
                  <w:vAlign w:val="center"/>
                </w:tcPr>
                <w:p w14:paraId="415D7B6C">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否</w:t>
                  </w:r>
                </w:p>
              </w:tc>
            </w:tr>
            <w:tr w14:paraId="19B7C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94" w:type="pct"/>
                  <w:noWrap w:val="0"/>
                  <w:vAlign w:val="center"/>
                </w:tcPr>
                <w:p w14:paraId="6FC6F954">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海洋</w:t>
                  </w:r>
                </w:p>
              </w:tc>
              <w:tc>
                <w:tcPr>
                  <w:tcW w:w="1992" w:type="pct"/>
                  <w:noWrap w:val="0"/>
                  <w:vAlign w:val="center"/>
                </w:tcPr>
                <w:p w14:paraId="66118597">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直接向海排放污染物的海洋工程建设项目。</w:t>
                  </w:r>
                </w:p>
              </w:tc>
              <w:tc>
                <w:tcPr>
                  <w:tcW w:w="2164" w:type="pct"/>
                  <w:noWrap w:val="0"/>
                  <w:vAlign w:val="center"/>
                </w:tcPr>
                <w:p w14:paraId="2635BADA">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rPr>
                  </w:pPr>
                  <w:r>
                    <w:rPr>
                      <w:rFonts w:hint="eastAsia" w:ascii="Times New Roman" w:hAnsi="Times New Roman" w:cs="Times New Roman"/>
                      <w:color w:val="auto"/>
                      <w:spacing w:val="0"/>
                      <w:sz w:val="21"/>
                      <w:szCs w:val="21"/>
                      <w:highlight w:val="none"/>
                      <w:lang w:val="en-US" w:eastAsia="zh-CN"/>
                    </w:rPr>
                    <w:t>本项目</w:t>
                  </w:r>
                  <w:r>
                    <w:rPr>
                      <w:rFonts w:hint="default" w:ascii="Times New Roman" w:hAnsi="Times New Roman" w:cs="Times New Roman"/>
                      <w:color w:val="auto"/>
                      <w:spacing w:val="0"/>
                      <w:sz w:val="21"/>
                      <w:szCs w:val="21"/>
                      <w:highlight w:val="none"/>
                    </w:rPr>
                    <w:t>不属于海洋工程建设项目，无需开展海洋专项评价。</w:t>
                  </w:r>
                </w:p>
              </w:tc>
              <w:tc>
                <w:tcPr>
                  <w:tcW w:w="348" w:type="pct"/>
                  <w:noWrap w:val="0"/>
                  <w:vAlign w:val="center"/>
                </w:tcPr>
                <w:p w14:paraId="44EC644D">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jc w:val="center"/>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否</w:t>
                  </w:r>
                </w:p>
              </w:tc>
            </w:tr>
            <w:tr w14:paraId="3F296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51" w:type="pct"/>
                  <w:gridSpan w:val="3"/>
                  <w:noWrap w:val="0"/>
                  <w:vAlign w:val="center"/>
                </w:tcPr>
                <w:p w14:paraId="0A758B62">
                  <w:pPr>
                    <w:pStyle w:val="24"/>
                    <w:keepNext w:val="0"/>
                    <w:keepLines w:val="0"/>
                    <w:pageBreakBefore w:val="0"/>
                    <w:widowControl w:val="0"/>
                    <w:kinsoku/>
                    <w:wordWrap/>
                    <w:overflowPunct w:val="0"/>
                    <w:topLinePunct/>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注：</w:t>
                  </w:r>
                  <w:r>
                    <w:rPr>
                      <w:rFonts w:hint="default" w:ascii="Times New Roman" w:hAnsi="Times New Roman" w:eastAsia="宋体" w:cs="Times New Roman"/>
                      <w:color w:val="auto"/>
                      <w:spacing w:val="0"/>
                      <w:kern w:val="0"/>
                      <w:sz w:val="21"/>
                      <w:szCs w:val="21"/>
                      <w:highlight w:val="none"/>
                      <w:lang w:val="en-US" w:eastAsia="zh-CN" w:bidi="ar-SA"/>
                    </w:rPr>
                    <w:t>1.废气中有毒有害污染物指纳入《有毒有害大气污染物名录》的污染物（不包括无排放标准的污染物）。</w:t>
                  </w:r>
                </w:p>
                <w:p w14:paraId="02031420">
                  <w:pPr>
                    <w:pStyle w:val="24"/>
                    <w:keepNext w:val="0"/>
                    <w:keepLines w:val="0"/>
                    <w:pageBreakBefore w:val="0"/>
                    <w:widowControl w:val="0"/>
                    <w:kinsoku/>
                    <w:wordWrap/>
                    <w:overflowPunct w:val="0"/>
                    <w:topLinePunct/>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t>2.环境空气保护目标指自然保护区、风景名胜区、居住区、文化区和农村地区中人群较集中的区域。</w:t>
                  </w:r>
                </w:p>
                <w:p w14:paraId="15EB1036">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0" w:firstLineChars="0"/>
                    <w:jc w:val="left"/>
                    <w:textAlignment w:val="auto"/>
                    <w:rPr>
                      <w:rFonts w:hint="default" w:ascii="Times New Roman" w:hAnsi="Times New Roman" w:cs="Times New Roman"/>
                      <w:color w:val="auto"/>
                      <w:spacing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bidi="ar-SA"/>
                    </w:rPr>
                    <w:t>3.临界量及其计算方法可参考《建设项目环境风险评价技术导则》（HJ169）附录B、附录C</w:t>
                  </w:r>
                </w:p>
              </w:tc>
              <w:tc>
                <w:tcPr>
                  <w:tcW w:w="348" w:type="pct"/>
                  <w:noWrap w:val="0"/>
                  <w:vAlign w:val="center"/>
                </w:tcPr>
                <w:p w14:paraId="47B14C07">
                  <w:pPr>
                    <w:pStyle w:val="24"/>
                    <w:keepNext w:val="0"/>
                    <w:keepLines w:val="0"/>
                    <w:pageBreakBefore w:val="0"/>
                    <w:widowControl w:val="0"/>
                    <w:kinsoku/>
                    <w:wordWrap/>
                    <w:overflowPunct w:val="0"/>
                    <w:topLinePunct/>
                    <w:autoSpaceDE/>
                    <w:autoSpaceDN/>
                    <w:bidi w:val="0"/>
                    <w:adjustRightInd/>
                    <w:snapToGrid/>
                    <w:spacing w:line="240" w:lineRule="exact"/>
                    <w:ind w:left="0" w:right="0" w:firstLine="420" w:firstLineChars="200"/>
                    <w:jc w:val="center"/>
                    <w:textAlignment w:val="auto"/>
                    <w:rPr>
                      <w:rFonts w:hint="default" w:ascii="Times New Roman" w:hAnsi="Times New Roman" w:eastAsia="宋体" w:cs="Times New Roman"/>
                      <w:color w:val="auto"/>
                      <w:spacing w:val="0"/>
                      <w:kern w:val="0"/>
                      <w:sz w:val="21"/>
                      <w:szCs w:val="21"/>
                      <w:highlight w:val="none"/>
                      <w:lang w:val="en-US" w:eastAsia="zh-CN" w:bidi="ar-SA"/>
                    </w:rPr>
                  </w:pPr>
                </w:p>
              </w:tc>
            </w:tr>
          </w:tbl>
          <w:p w14:paraId="325CC332">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0"/>
              <w:jc w:val="both"/>
              <w:textAlignment w:val="auto"/>
              <w:rPr>
                <w:rFonts w:hint="default" w:ascii="Times New Roman" w:hAnsi="Times New Roman" w:eastAsia="宋体" w:cs="Times New Roman"/>
                <w:color w:val="auto"/>
                <w:kern w:val="0"/>
                <w:sz w:val="24"/>
                <w:szCs w:val="24"/>
                <w:highlight w:val="none"/>
              </w:rPr>
            </w:pPr>
          </w:p>
        </w:tc>
      </w:tr>
      <w:tr w14:paraId="2C324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95" w:hRule="atLeast"/>
          <w:jc w:val="center"/>
        </w:trPr>
        <w:tc>
          <w:tcPr>
            <w:tcW w:w="994" w:type="pct"/>
            <w:noWrap w:val="0"/>
            <w:vAlign w:val="center"/>
          </w:tcPr>
          <w:p w14:paraId="47947294">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4005" w:type="pct"/>
            <w:gridSpan w:val="3"/>
            <w:noWrap w:val="0"/>
            <w:vAlign w:val="center"/>
          </w:tcPr>
          <w:p w14:paraId="03E1925D">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right="0"/>
              <w:jc w:val="both"/>
              <w:textAlignment w:val="auto"/>
              <w:rPr>
                <w:rFonts w:hint="default" w:ascii="Times New Roman" w:hAnsi="Times New Roman" w:eastAsia="宋体" w:cs="Times New Roman"/>
                <w:b/>
                <w:bCs/>
                <w:color w:val="auto"/>
                <w:sz w:val="24"/>
                <w:highlight w:val="none"/>
                <w:lang w:val="en-US" w:eastAsia="zh-CN" w:bidi="ar"/>
              </w:rPr>
            </w:pPr>
            <w:r>
              <w:rPr>
                <w:rFonts w:hint="default" w:ascii="Times New Roman" w:hAnsi="Times New Roman" w:eastAsia="宋体" w:cs="Times New Roman"/>
                <w:b/>
                <w:bCs/>
                <w:color w:val="auto"/>
                <w:sz w:val="24"/>
                <w:highlight w:val="none"/>
                <w:lang w:val="en-US" w:eastAsia="zh-CN" w:bidi="ar"/>
              </w:rPr>
              <w:t>规划名称：</w:t>
            </w:r>
            <w:r>
              <w:rPr>
                <w:rFonts w:hint="default" w:ascii="Times New Roman" w:hAnsi="Times New Roman" w:eastAsia="宋体" w:cs="Times New Roman"/>
                <w:b w:val="0"/>
                <w:bCs w:val="0"/>
                <w:color w:val="auto"/>
                <w:sz w:val="24"/>
                <w:highlight w:val="none"/>
                <w:lang w:val="en-US" w:eastAsia="zh-CN" w:bidi="ar"/>
              </w:rPr>
              <w:t>《西部（重庆）科学城九龙新城园区规划》（2024年9月）</w:t>
            </w:r>
          </w:p>
          <w:p w14:paraId="26231369">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right="0"/>
              <w:jc w:val="both"/>
              <w:textAlignment w:val="auto"/>
              <w:rPr>
                <w:rFonts w:hint="default" w:ascii="Times New Roman" w:hAnsi="Times New Roman" w:eastAsia="宋体" w:cs="Times New Roman"/>
                <w:b w:val="0"/>
                <w:bCs w:val="0"/>
                <w:color w:val="auto"/>
                <w:sz w:val="24"/>
                <w:highlight w:val="none"/>
                <w:lang w:val="en-US" w:eastAsia="zh-CN" w:bidi="ar"/>
              </w:rPr>
            </w:pPr>
            <w:r>
              <w:rPr>
                <w:rFonts w:hint="default" w:ascii="Times New Roman" w:hAnsi="Times New Roman" w:eastAsia="宋体" w:cs="Times New Roman"/>
                <w:b/>
                <w:bCs/>
                <w:color w:val="auto"/>
                <w:sz w:val="24"/>
                <w:highlight w:val="none"/>
                <w:lang w:val="en-US" w:eastAsia="zh-CN" w:bidi="ar"/>
              </w:rPr>
              <w:t>审查机关：</w:t>
            </w:r>
            <w:r>
              <w:rPr>
                <w:rFonts w:hint="default" w:ascii="Times New Roman" w:hAnsi="Times New Roman" w:eastAsia="宋体" w:cs="Times New Roman"/>
                <w:b w:val="0"/>
                <w:bCs w:val="0"/>
                <w:color w:val="auto"/>
                <w:sz w:val="24"/>
                <w:highlight w:val="none"/>
                <w:lang w:val="en-US" w:eastAsia="zh-CN" w:bidi="ar"/>
              </w:rPr>
              <w:t>重庆市人民政府</w:t>
            </w:r>
          </w:p>
          <w:p w14:paraId="30FC3234">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right="0"/>
              <w:jc w:val="both"/>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bidi="ar"/>
              </w:rPr>
              <w:t>审查文件名称及文号：</w:t>
            </w:r>
            <w:r>
              <w:rPr>
                <w:rFonts w:hint="default" w:ascii="Times New Roman" w:hAnsi="Times New Roman" w:eastAsia="宋体" w:cs="Times New Roman"/>
                <w:b w:val="0"/>
                <w:bCs w:val="0"/>
                <w:color w:val="auto"/>
                <w:sz w:val="24"/>
                <w:highlight w:val="none"/>
                <w:lang w:val="en-US" w:eastAsia="zh-CN" w:bidi="ar"/>
              </w:rPr>
              <w:t>《重庆市人民政府关于同意整合设立西部（重庆）科学城九龙新城园区及核准规划建设范围的批复》（渝府〔2024〕68号）</w:t>
            </w:r>
          </w:p>
        </w:tc>
      </w:tr>
      <w:tr w14:paraId="25DF7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95" w:hRule="atLeast"/>
          <w:jc w:val="center"/>
        </w:trPr>
        <w:tc>
          <w:tcPr>
            <w:tcW w:w="994" w:type="pct"/>
            <w:noWrap w:val="0"/>
            <w:vAlign w:val="center"/>
          </w:tcPr>
          <w:p w14:paraId="26E78368">
            <w:pPr>
              <w:pageBreakBefore w:val="0"/>
              <w:kinsoku/>
              <w:wordWrap/>
              <w:overflowPunct w:val="0"/>
              <w:topLinePunct/>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规划环境影响评价情况</w:t>
            </w:r>
          </w:p>
        </w:tc>
        <w:tc>
          <w:tcPr>
            <w:tcW w:w="4005" w:type="pct"/>
            <w:gridSpan w:val="3"/>
            <w:noWrap w:val="0"/>
            <w:vAlign w:val="center"/>
          </w:tcPr>
          <w:p w14:paraId="50EFD309">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right="0"/>
              <w:jc w:val="both"/>
              <w:textAlignment w:val="auto"/>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b/>
                <w:bCs/>
                <w:color w:val="auto"/>
                <w:sz w:val="24"/>
                <w:highlight w:val="none"/>
                <w:lang w:val="en-US" w:eastAsia="zh-CN" w:bidi="ar"/>
              </w:rPr>
              <w:t>规划环境影响评价文件名称：</w:t>
            </w:r>
            <w:r>
              <w:rPr>
                <w:rFonts w:hint="default" w:ascii="Times New Roman" w:hAnsi="Times New Roman" w:eastAsia="宋体" w:cs="Times New Roman"/>
                <w:color w:val="auto"/>
                <w:sz w:val="24"/>
                <w:highlight w:val="none"/>
                <w:lang w:val="en-US" w:eastAsia="zh-CN" w:bidi="ar"/>
              </w:rPr>
              <w:t>《西部（重庆）科学城九龙新城园区规划环境影响报告书》；</w:t>
            </w:r>
          </w:p>
          <w:p w14:paraId="1919C317">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right="0"/>
              <w:jc w:val="both"/>
              <w:textAlignment w:val="auto"/>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b/>
                <w:bCs/>
                <w:color w:val="auto"/>
                <w:sz w:val="24"/>
                <w:highlight w:val="none"/>
                <w:lang w:val="en-US" w:eastAsia="zh-CN" w:bidi="ar"/>
              </w:rPr>
              <w:t>召集审查机关：</w:t>
            </w:r>
            <w:r>
              <w:rPr>
                <w:rFonts w:hint="default" w:ascii="Times New Roman" w:hAnsi="Times New Roman" w:eastAsia="宋体" w:cs="Times New Roman"/>
                <w:color w:val="auto"/>
                <w:sz w:val="24"/>
                <w:highlight w:val="none"/>
                <w:lang w:val="en-US" w:eastAsia="zh-CN" w:bidi="ar"/>
              </w:rPr>
              <w:t>重庆市生态环境局；</w:t>
            </w:r>
          </w:p>
          <w:p w14:paraId="5DEDD2AA">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right="0"/>
              <w:jc w:val="both"/>
              <w:textAlignment w:val="auto"/>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b/>
                <w:bCs/>
                <w:color w:val="auto"/>
                <w:sz w:val="24"/>
                <w:highlight w:val="none"/>
                <w:lang w:val="en-US" w:eastAsia="zh-CN" w:bidi="ar"/>
              </w:rPr>
              <w:t>审查文件名称及文号：</w:t>
            </w:r>
            <w:r>
              <w:rPr>
                <w:rFonts w:hint="default" w:ascii="Times New Roman" w:hAnsi="Times New Roman" w:eastAsia="宋体" w:cs="Times New Roman"/>
                <w:color w:val="auto"/>
                <w:sz w:val="24"/>
                <w:highlight w:val="none"/>
                <w:lang w:val="en-US" w:eastAsia="zh-CN" w:bidi="ar"/>
              </w:rPr>
              <w:t>《重庆市生态环境局关于西部（重庆）科学城九龙新城园区规划环境影响报告书审查意见的函》（渝环函〔2025〕421号）。</w:t>
            </w:r>
          </w:p>
          <w:p w14:paraId="7C2F2504">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right="0"/>
              <w:jc w:val="both"/>
              <w:textAlignment w:val="auto"/>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b/>
                <w:bCs/>
                <w:color w:val="auto"/>
                <w:sz w:val="24"/>
                <w:highlight w:val="none"/>
                <w:lang w:val="en-US" w:eastAsia="zh-CN" w:bidi="ar"/>
              </w:rPr>
              <w:t>审查时间：</w:t>
            </w:r>
            <w:r>
              <w:rPr>
                <w:rFonts w:hint="default" w:ascii="Times New Roman" w:hAnsi="Times New Roman" w:eastAsia="宋体" w:cs="Times New Roman"/>
                <w:color w:val="auto"/>
                <w:sz w:val="24"/>
                <w:highlight w:val="none"/>
                <w:lang w:val="en-US" w:eastAsia="zh-CN" w:bidi="ar"/>
              </w:rPr>
              <w:t>2025年10月24日</w:t>
            </w:r>
          </w:p>
        </w:tc>
      </w:tr>
      <w:tr w14:paraId="1B084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95" w:hRule="atLeast"/>
          <w:jc w:val="center"/>
        </w:trPr>
        <w:tc>
          <w:tcPr>
            <w:tcW w:w="994" w:type="pct"/>
            <w:noWrap w:val="0"/>
            <w:vAlign w:val="center"/>
          </w:tcPr>
          <w:p w14:paraId="6C178284">
            <w:pPr>
              <w:pageBreakBefore w:val="0"/>
              <w:kinsoku/>
              <w:wordWrap/>
              <w:overflowPunct w:val="0"/>
              <w:topLinePunct/>
              <w:autoSpaceDE w:val="0"/>
              <w:autoSpaceDN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4005" w:type="pct"/>
            <w:gridSpan w:val="3"/>
            <w:noWrap w:val="0"/>
            <w:vAlign w:val="center"/>
          </w:tcPr>
          <w:p w14:paraId="0CE74E65">
            <w:pPr>
              <w:pStyle w:val="8"/>
              <w:pageBreakBefore w:val="0"/>
              <w:numPr>
                <w:ilvl w:val="0"/>
                <w:numId w:val="0"/>
              </w:numPr>
              <w:suppressLineNumbers w:val="0"/>
              <w:kinsoku/>
              <w:wordWrap/>
              <w:overflowPunct w:val="0"/>
              <w:topLinePunct/>
              <w:autoSpaceDE/>
              <w:autoSpaceDN/>
              <w:bidi w:val="0"/>
              <w:adjustRightInd w:val="0"/>
              <w:spacing w:before="0" w:beforeAutospacing="0" w:after="0" w:afterAutospacing="0" w:line="420" w:lineRule="exact"/>
              <w:ind w:right="0" w:rightChars="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与园区规划</w:t>
            </w:r>
            <w:r>
              <w:rPr>
                <w:rFonts w:hint="default" w:ascii="Times New Roman" w:hAnsi="Times New Roman" w:cs="Times New Roman"/>
                <w:color w:val="auto"/>
                <w:sz w:val="24"/>
                <w:szCs w:val="24"/>
                <w:highlight w:val="none"/>
                <w:lang w:val="en-US" w:eastAsia="zh-CN"/>
              </w:rPr>
              <w:t>符合性分析</w:t>
            </w:r>
          </w:p>
          <w:p w14:paraId="4BA69881">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left="0" w:right="0" w:firstLine="480" w:firstLineChars="200"/>
              <w:jc w:val="both"/>
              <w:textAlignment w:val="auto"/>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根据《西部（重庆）科学城九龙新城园区规划》</w:t>
            </w:r>
            <w:r>
              <w:rPr>
                <w:rFonts w:hint="default" w:ascii="Times New Roman" w:hAnsi="Times New Roman" w:cs="Times New Roman"/>
                <w:color w:val="auto"/>
                <w:sz w:val="24"/>
                <w:highlight w:val="none"/>
                <w:lang w:val="en-US" w:eastAsia="zh-CN" w:bidi="ar"/>
              </w:rPr>
              <w:t>及</w:t>
            </w:r>
            <w:r>
              <w:rPr>
                <w:rFonts w:hint="default" w:ascii="Times New Roman" w:hAnsi="Times New Roman" w:cs="Times New Roman"/>
                <w:color w:val="auto"/>
                <w:sz w:val="24"/>
                <w:highlight w:val="none"/>
                <w:lang w:bidi="ar"/>
              </w:rPr>
              <w:t>《重庆市人民政府关于同意整合设立西部（重庆）科学城九龙新城园区及核准规划建设范围的批复》（渝府〔2024〕68号），九龙新城园区共包括五个组团7个区块，即西彭组团（批复文件中西彭区块）、陶家组团（批复文件中陶家区块）、铜罐驿组团（批复文件中铜罐驿区块）、华岩-二郎组团（批复文件中二郎区块和华岩区块）和环杨家坪新经济组团（批复文件中石桥铺区块和黄桷坪区块），规划总面积为34.02km</w:t>
            </w:r>
            <w:r>
              <w:rPr>
                <w:rFonts w:hint="default" w:ascii="Times New Roman" w:hAnsi="Times New Roman" w:cs="Times New Roman"/>
                <w:color w:val="auto"/>
                <w:sz w:val="24"/>
                <w:highlight w:val="none"/>
                <w:vertAlign w:val="superscript"/>
                <w:lang w:bidi="ar"/>
              </w:rPr>
              <w:t>2</w:t>
            </w:r>
            <w:r>
              <w:rPr>
                <w:rFonts w:hint="default" w:ascii="Times New Roman" w:hAnsi="Times New Roman" w:cs="Times New Roman"/>
                <w:color w:val="auto"/>
                <w:sz w:val="24"/>
                <w:highlight w:val="none"/>
                <w:lang w:bidi="ar"/>
              </w:rPr>
              <w:t>。</w:t>
            </w:r>
          </w:p>
          <w:p w14:paraId="25833776">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left="0" w:right="0" w:firstLine="480" w:firstLineChars="200"/>
              <w:jc w:val="both"/>
              <w:textAlignment w:val="auto"/>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铜罐驿组团规划面积为59.40hm</w:t>
            </w:r>
            <w:r>
              <w:rPr>
                <w:rFonts w:hint="default" w:ascii="Times New Roman" w:hAnsi="Times New Roman" w:cs="Times New Roman"/>
                <w:color w:val="auto"/>
                <w:sz w:val="24"/>
                <w:highlight w:val="none"/>
                <w:vertAlign w:val="superscript"/>
                <w:lang w:bidi="ar"/>
              </w:rPr>
              <w:t>2</w:t>
            </w:r>
            <w:r>
              <w:rPr>
                <w:rFonts w:hint="default" w:ascii="Times New Roman" w:hAnsi="Times New Roman" w:cs="Times New Roman"/>
                <w:color w:val="auto"/>
                <w:sz w:val="24"/>
                <w:highlight w:val="none"/>
                <w:lang w:bidi="ar"/>
              </w:rPr>
              <w:t>，东至成渝线铜罐驿段，南至新龙路西段，西至双建路，北至柏杨湾路。该组团主导产业为农副食品加工业、食品制造业。其中，农副食品加工业重点发展粮油加工；食品制造业重点发展方便食品、火锅底料、预制菜等。</w:t>
            </w:r>
          </w:p>
          <w:p w14:paraId="72E8B855">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left="0" w:right="0" w:firstLine="480" w:firstLineChars="200"/>
              <w:jc w:val="both"/>
              <w:textAlignment w:val="auto"/>
              <w:rPr>
                <w:rFonts w:hint="default" w:ascii="Times New Roman" w:hAnsi="Times New Roman" w:cs="Times New Roman"/>
                <w:color w:val="auto"/>
                <w:sz w:val="24"/>
                <w:highlight w:val="none"/>
                <w:lang w:bidi="ar"/>
              </w:rPr>
            </w:pPr>
            <w:r>
              <w:rPr>
                <w:rFonts w:hint="eastAsia" w:cs="Times New Roman"/>
                <w:color w:val="auto"/>
                <w:sz w:val="24"/>
                <w:highlight w:val="none"/>
                <w:lang w:eastAsia="zh-CN" w:bidi="ar"/>
              </w:rPr>
              <w:t>本项目</w:t>
            </w:r>
            <w:r>
              <w:rPr>
                <w:rFonts w:hint="default" w:ascii="Times New Roman" w:hAnsi="Times New Roman" w:cs="Times New Roman"/>
                <w:color w:val="auto"/>
                <w:sz w:val="24"/>
                <w:highlight w:val="none"/>
                <w:lang w:val="en-US" w:eastAsia="zh-CN" w:bidi="ar"/>
              </w:rPr>
              <w:t>为</w:t>
            </w:r>
            <w:r>
              <w:rPr>
                <w:rFonts w:hint="default" w:ascii="Times New Roman" w:hAnsi="Times New Roman" w:cs="Times New Roman"/>
                <w:color w:val="auto"/>
                <w:sz w:val="24"/>
                <w:highlight w:val="none"/>
              </w:rPr>
              <w:t>C</w:t>
            </w:r>
            <w:r>
              <w:rPr>
                <w:rFonts w:hint="default" w:ascii="Times New Roman" w:hAnsi="Times New Roman" w:cs="Times New Roman"/>
                <w:color w:val="auto"/>
                <w:sz w:val="24"/>
                <w:highlight w:val="none"/>
                <w:lang w:val="en-US" w:eastAsia="zh-CN"/>
              </w:rPr>
              <w:t>1331食用植物油加工，</w:t>
            </w:r>
            <w:r>
              <w:rPr>
                <w:rFonts w:hint="default" w:ascii="Times New Roman" w:hAnsi="Times New Roman" w:cs="Times New Roman"/>
                <w:color w:val="auto"/>
                <w:sz w:val="24"/>
                <w:highlight w:val="none"/>
                <w:lang w:bidi="ar"/>
              </w:rPr>
              <w:t>位于九龙坡区铜罐驿镇砖瓦村167号</w:t>
            </w:r>
            <w:r>
              <w:rPr>
                <w:rFonts w:hint="default" w:ascii="Times New Roman" w:hAnsi="Times New Roman" w:cs="Times New Roman"/>
                <w:color w:val="auto"/>
                <w:sz w:val="24"/>
                <w:highlight w:val="none"/>
                <w:lang w:eastAsia="zh-CN" w:bidi="ar"/>
              </w:rPr>
              <w:t>，</w:t>
            </w:r>
            <w:r>
              <w:rPr>
                <w:rFonts w:hint="default" w:ascii="Times New Roman" w:hAnsi="Times New Roman" w:cs="Times New Roman"/>
                <w:color w:val="auto"/>
                <w:sz w:val="24"/>
                <w:highlight w:val="none"/>
                <w:lang w:val="en-US" w:eastAsia="zh-CN" w:bidi="ar"/>
              </w:rPr>
              <w:t>在</w:t>
            </w:r>
            <w:r>
              <w:rPr>
                <w:rFonts w:hint="default" w:ascii="Times New Roman" w:hAnsi="Times New Roman" w:cs="Times New Roman"/>
                <w:color w:val="auto"/>
                <w:sz w:val="24"/>
                <w:highlight w:val="none"/>
                <w:lang w:bidi="ar"/>
              </w:rPr>
              <w:t>西部（重庆）科学城九龙新城园区铜罐驿组团范围内</w:t>
            </w:r>
            <w:r>
              <w:rPr>
                <w:rFonts w:hint="default" w:ascii="Times New Roman" w:hAnsi="Times New Roman" w:cs="Times New Roman"/>
                <w:color w:val="auto"/>
                <w:sz w:val="24"/>
                <w:highlight w:val="none"/>
                <w:lang w:eastAsia="zh-CN" w:bidi="ar"/>
              </w:rPr>
              <w:t>；</w:t>
            </w:r>
            <w:r>
              <w:rPr>
                <w:rFonts w:hint="default" w:ascii="Times New Roman" w:hAnsi="Times New Roman" w:cs="Times New Roman"/>
                <w:color w:val="auto"/>
                <w:sz w:val="24"/>
                <w:highlight w:val="none"/>
                <w:lang w:val="en-US" w:eastAsia="zh-CN" w:bidi="ar"/>
              </w:rPr>
              <w:t>本次在现有厂区范围内进行</w:t>
            </w:r>
            <w:r>
              <w:rPr>
                <w:rFonts w:hint="eastAsia" w:cs="Times New Roman"/>
                <w:color w:val="auto"/>
                <w:sz w:val="24"/>
                <w:highlight w:val="none"/>
                <w:lang w:val="en-US" w:eastAsia="zh-CN" w:bidi="ar"/>
              </w:rPr>
              <w:t>改建</w:t>
            </w:r>
            <w:r>
              <w:rPr>
                <w:rFonts w:hint="default" w:ascii="Times New Roman" w:hAnsi="Times New Roman" w:cs="Times New Roman"/>
                <w:color w:val="auto"/>
                <w:sz w:val="24"/>
                <w:highlight w:val="none"/>
                <w:lang w:val="en-US" w:eastAsia="zh-CN" w:bidi="ar"/>
              </w:rPr>
              <w:t>，属于</w:t>
            </w:r>
            <w:r>
              <w:rPr>
                <w:rFonts w:hint="default" w:ascii="Times New Roman" w:hAnsi="Times New Roman" w:cs="Times New Roman"/>
                <w:color w:val="auto"/>
                <w:sz w:val="24"/>
                <w:highlight w:val="none"/>
                <w:lang w:bidi="ar"/>
              </w:rPr>
              <w:t>铜罐驿组团</w:t>
            </w:r>
            <w:r>
              <w:rPr>
                <w:rFonts w:hint="default" w:ascii="Times New Roman" w:hAnsi="Times New Roman" w:cs="Times New Roman"/>
                <w:color w:val="auto"/>
                <w:sz w:val="24"/>
                <w:highlight w:val="none"/>
                <w:lang w:val="en-US" w:eastAsia="zh-CN" w:bidi="ar"/>
              </w:rPr>
              <w:t>主导产业中农副食品加工业重点发展的粮油加工项目，</w:t>
            </w:r>
            <w:r>
              <w:rPr>
                <w:rFonts w:hint="default" w:ascii="Times New Roman" w:hAnsi="Times New Roman" w:cs="Times New Roman"/>
                <w:color w:val="auto"/>
                <w:sz w:val="24"/>
                <w:highlight w:val="none"/>
                <w:lang w:bidi="ar"/>
              </w:rPr>
              <w:t>符合西部（重庆）科学城九龙新城园区铜罐驿组团产业</w:t>
            </w:r>
            <w:r>
              <w:rPr>
                <w:rFonts w:hint="default" w:ascii="Times New Roman" w:hAnsi="Times New Roman" w:cs="Times New Roman"/>
                <w:color w:val="auto"/>
                <w:sz w:val="24"/>
                <w:highlight w:val="none"/>
                <w:lang w:val="en-US" w:eastAsia="zh-CN" w:bidi="ar"/>
              </w:rPr>
              <w:t>发展</w:t>
            </w:r>
            <w:r>
              <w:rPr>
                <w:rFonts w:hint="default" w:ascii="Times New Roman" w:hAnsi="Times New Roman" w:cs="Times New Roman"/>
                <w:color w:val="auto"/>
                <w:sz w:val="24"/>
                <w:highlight w:val="none"/>
                <w:lang w:bidi="ar"/>
              </w:rPr>
              <w:t>定位要求。</w:t>
            </w:r>
          </w:p>
          <w:p w14:paraId="4A047517">
            <w:pPr>
              <w:pStyle w:val="8"/>
              <w:pageBreakBefore w:val="0"/>
              <w:numPr>
                <w:ilvl w:val="0"/>
                <w:numId w:val="0"/>
              </w:numPr>
              <w:suppressLineNumbers w:val="0"/>
              <w:kinsoku/>
              <w:wordWrap/>
              <w:overflowPunct w:val="0"/>
              <w:topLinePunct/>
              <w:autoSpaceDE/>
              <w:autoSpaceDN/>
              <w:bidi w:val="0"/>
              <w:adjustRightInd w:val="0"/>
              <w:spacing w:before="0" w:beforeAutospacing="0" w:after="0" w:afterAutospacing="0" w:line="420" w:lineRule="exact"/>
              <w:ind w:right="0" w:right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1.2与《西部（重庆）科学城九龙新城园区规划环境影响报告书》符合性分析</w:t>
            </w:r>
          </w:p>
          <w:p w14:paraId="49BFAA26">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left="0" w:right="0" w:firstLine="480" w:firstLineChars="200"/>
              <w:jc w:val="both"/>
              <w:textAlignment w:val="auto"/>
              <w:rPr>
                <w:rFonts w:hint="default" w:ascii="Times New Roman" w:hAnsi="Times New Roman" w:cs="Times New Roman"/>
                <w:color w:val="auto"/>
                <w:sz w:val="24"/>
                <w:highlight w:val="none"/>
                <w:lang w:val="en-US" w:eastAsia="zh-CN" w:bidi="ar"/>
              </w:rPr>
            </w:pPr>
            <w:r>
              <w:rPr>
                <w:rFonts w:hint="default" w:ascii="Times New Roman" w:hAnsi="Times New Roman" w:cs="Times New Roman"/>
                <w:color w:val="auto"/>
                <w:sz w:val="24"/>
                <w:highlight w:val="none"/>
                <w:lang w:val="en-US" w:eastAsia="zh-CN" w:bidi="ar"/>
              </w:rPr>
              <w:t>根据《西部（重庆）科学城九龙新城园区规划环境影响报告书》，</w:t>
            </w:r>
            <w:r>
              <w:rPr>
                <w:rFonts w:hint="eastAsia" w:cs="Times New Roman"/>
                <w:color w:val="auto"/>
                <w:sz w:val="24"/>
                <w:highlight w:val="none"/>
                <w:lang w:val="en-US" w:eastAsia="zh-CN" w:bidi="ar"/>
              </w:rPr>
              <w:t>本项目</w:t>
            </w:r>
            <w:r>
              <w:rPr>
                <w:rFonts w:hint="default" w:ascii="Times New Roman" w:hAnsi="Times New Roman" w:cs="Times New Roman"/>
                <w:color w:val="auto"/>
                <w:sz w:val="24"/>
                <w:highlight w:val="none"/>
                <w:lang w:val="en-US" w:eastAsia="zh-CN" w:bidi="ar"/>
              </w:rPr>
              <w:t>位于西部（重庆）科学城九龙新城园区</w:t>
            </w:r>
            <w:r>
              <w:rPr>
                <w:rFonts w:hint="default" w:ascii="Times New Roman" w:hAnsi="Times New Roman" w:cs="Times New Roman"/>
                <w:color w:val="auto"/>
                <w:sz w:val="24"/>
                <w:highlight w:val="none"/>
                <w:lang w:bidi="ar"/>
              </w:rPr>
              <w:t>铜罐驿组团</w:t>
            </w:r>
            <w:r>
              <w:rPr>
                <w:rFonts w:hint="default" w:ascii="Times New Roman" w:hAnsi="Times New Roman" w:cs="Times New Roman"/>
                <w:color w:val="auto"/>
                <w:sz w:val="24"/>
                <w:highlight w:val="none"/>
                <w:lang w:val="en-US" w:eastAsia="zh-CN" w:bidi="ar"/>
              </w:rPr>
              <w:t>内</w:t>
            </w:r>
            <w:r>
              <w:rPr>
                <w:rFonts w:hint="default" w:ascii="Times New Roman" w:hAnsi="Times New Roman" w:cs="Times New Roman"/>
                <w:color w:val="auto"/>
                <w:sz w:val="24"/>
                <w:highlight w:val="none"/>
                <w:lang w:eastAsia="zh-CN" w:bidi="ar"/>
              </w:rPr>
              <w:t>，</w:t>
            </w:r>
            <w:r>
              <w:rPr>
                <w:rFonts w:hint="eastAsia" w:cs="Times New Roman"/>
                <w:color w:val="auto"/>
                <w:sz w:val="24"/>
                <w:highlight w:val="none"/>
                <w:lang w:val="en-US" w:eastAsia="zh-CN" w:bidi="ar"/>
              </w:rPr>
              <w:t>本项目</w:t>
            </w:r>
            <w:r>
              <w:rPr>
                <w:rFonts w:hint="default" w:ascii="Times New Roman" w:hAnsi="Times New Roman" w:cs="Times New Roman"/>
                <w:color w:val="auto"/>
                <w:sz w:val="24"/>
                <w:highlight w:val="none"/>
                <w:lang w:val="en-US" w:eastAsia="zh-CN" w:bidi="ar"/>
              </w:rPr>
              <w:t>与《西部（重庆）科学城九龙新城园区规划环境影响报告书》提出的生态环境准入要求符合性见表1-2。</w:t>
            </w:r>
          </w:p>
          <w:p w14:paraId="16DE5020">
            <w:pPr>
              <w:keepNext w:val="0"/>
              <w:keepLines w:val="0"/>
              <w:pageBreakBefore w:val="0"/>
              <w:widowControl/>
              <w:suppressLineNumbers w:val="0"/>
              <w:kinsoku/>
              <w:wordWrap/>
              <w:overflowPunct w:val="0"/>
              <w:topLinePunct/>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color w:val="auto"/>
                <w:kern w:val="2"/>
                <w:sz w:val="24"/>
                <w:szCs w:val="24"/>
                <w:highlight w:val="none"/>
                <w:lang w:val="en-US" w:eastAsia="zh-CN" w:bidi="ar"/>
              </w:rPr>
              <w:t>根据表中分析可知</w:t>
            </w:r>
            <w:r>
              <w:rPr>
                <w:rFonts w:hint="default" w:ascii="Times New Roman" w:hAnsi="Times New Roman" w:eastAsia="宋体" w:cs="Times New Roman"/>
                <w:color w:val="auto"/>
                <w:kern w:val="2"/>
                <w:sz w:val="24"/>
                <w:szCs w:val="24"/>
                <w:highlight w:val="none"/>
                <w:lang w:val="en-US" w:eastAsia="zh-CN" w:bidi="ar"/>
              </w:rPr>
              <w:t>，</w:t>
            </w:r>
            <w:r>
              <w:rPr>
                <w:rFonts w:hint="eastAsia" w:cs="Times New Roman"/>
                <w:color w:val="auto"/>
                <w:kern w:val="2"/>
                <w:sz w:val="24"/>
                <w:szCs w:val="24"/>
                <w:highlight w:val="none"/>
                <w:lang w:val="en-US" w:eastAsia="zh-CN" w:bidi="ar"/>
              </w:rPr>
              <w:t>本项目</w:t>
            </w:r>
            <w:r>
              <w:rPr>
                <w:rFonts w:hint="default" w:ascii="Times New Roman" w:hAnsi="Times New Roman" w:eastAsia="宋体" w:cs="Times New Roman"/>
                <w:color w:val="auto"/>
                <w:kern w:val="2"/>
                <w:sz w:val="24"/>
                <w:szCs w:val="24"/>
                <w:highlight w:val="none"/>
                <w:lang w:val="en-US" w:eastAsia="zh-CN" w:bidi="ar"/>
              </w:rPr>
              <w:t>位于西部（重庆）科学城九龙新城园区铜罐驿组团</w:t>
            </w:r>
            <w:r>
              <w:rPr>
                <w:rFonts w:hint="default" w:ascii="Times New Roman" w:hAnsi="Times New Roman"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为食用植物油加工项目，属于铜罐驿组团主导产业</w:t>
            </w:r>
            <w:r>
              <w:rPr>
                <w:rFonts w:hint="default" w:ascii="Times New Roman" w:hAnsi="Times New Roman" w:cs="Times New Roman"/>
                <w:color w:val="auto"/>
                <w:kern w:val="2"/>
                <w:sz w:val="24"/>
                <w:szCs w:val="24"/>
                <w:highlight w:val="none"/>
                <w:lang w:val="en-US" w:eastAsia="zh-CN" w:bidi="ar"/>
              </w:rPr>
              <w:t>中</w:t>
            </w:r>
            <w:r>
              <w:rPr>
                <w:rFonts w:hint="default" w:ascii="Times New Roman" w:hAnsi="Times New Roman" w:eastAsia="宋体" w:cs="Times New Roman"/>
                <w:color w:val="auto"/>
                <w:kern w:val="2"/>
                <w:sz w:val="24"/>
                <w:szCs w:val="24"/>
                <w:highlight w:val="none"/>
                <w:lang w:val="en-US" w:eastAsia="zh-CN" w:bidi="ar"/>
              </w:rPr>
              <w:t>农副食品加工业重点发展</w:t>
            </w:r>
            <w:r>
              <w:rPr>
                <w:rFonts w:hint="default" w:ascii="Times New Roman" w:hAnsi="Times New Roman" w:cs="Times New Roman"/>
                <w:color w:val="auto"/>
                <w:kern w:val="2"/>
                <w:sz w:val="24"/>
                <w:szCs w:val="24"/>
                <w:highlight w:val="none"/>
                <w:lang w:val="en-US" w:eastAsia="zh-CN" w:bidi="ar"/>
              </w:rPr>
              <w:t>的</w:t>
            </w:r>
            <w:r>
              <w:rPr>
                <w:rFonts w:hint="default" w:ascii="Times New Roman" w:hAnsi="Times New Roman" w:eastAsia="宋体" w:cs="Times New Roman"/>
                <w:color w:val="auto"/>
                <w:kern w:val="2"/>
                <w:sz w:val="24"/>
                <w:szCs w:val="24"/>
                <w:highlight w:val="none"/>
                <w:lang w:val="en-US" w:eastAsia="zh-CN" w:bidi="ar"/>
              </w:rPr>
              <w:t>粮油加工项目，无国家现行产业政策明令禁止或淘汰的产业及工艺项目</w:t>
            </w:r>
            <w:r>
              <w:rPr>
                <w:rFonts w:hint="eastAsia" w:cs="Times New Roman"/>
                <w:color w:val="auto"/>
                <w:kern w:val="2"/>
                <w:sz w:val="24"/>
                <w:szCs w:val="24"/>
                <w:highlight w:val="none"/>
                <w:lang w:val="en-US" w:eastAsia="zh-CN" w:bidi="ar"/>
              </w:rPr>
              <w:t>。</w:t>
            </w:r>
            <w:r>
              <w:rPr>
                <w:rFonts w:hint="default" w:ascii="Times New Roman" w:hAnsi="Times New Roman" w:cs="Times New Roman"/>
                <w:color w:val="auto"/>
                <w:spacing w:val="0"/>
                <w:position w:val="0"/>
                <w:sz w:val="24"/>
                <w:szCs w:val="24"/>
                <w:highlight w:val="none"/>
                <w:lang w:val="en-US" w:eastAsia="zh-CN" w:bidi="ar"/>
              </w:rPr>
              <w:t>本项目改建精炼车间位于现有</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default" w:ascii="Times New Roman" w:hAnsi="Times New Roman" w:cs="Times New Roman"/>
                <w:color w:val="auto"/>
                <w:spacing w:val="0"/>
                <w:position w:val="0"/>
                <w:sz w:val="24"/>
                <w:szCs w:val="24"/>
                <w:highlight w:val="none"/>
                <w:lang w:val="en-US" w:eastAsia="zh-CN" w:bidi="ar"/>
              </w:rPr>
              <w:t>厂区内，占地与</w:t>
            </w:r>
            <w:r>
              <w:rPr>
                <w:rFonts w:hint="eastAsia" w:cs="Times New Roman"/>
                <w:color w:val="auto"/>
                <w:spacing w:val="0"/>
                <w:position w:val="0"/>
                <w:sz w:val="24"/>
                <w:szCs w:val="24"/>
                <w:highlight w:val="none"/>
                <w:lang w:val="en-US" w:eastAsia="zh-CN" w:bidi="ar"/>
              </w:rPr>
              <w:t>东南侧</w:t>
            </w:r>
            <w:r>
              <w:rPr>
                <w:rFonts w:hint="default" w:ascii="Times New Roman" w:hAnsi="Times New Roman" w:cs="Times New Roman"/>
                <w:color w:val="auto"/>
                <w:spacing w:val="0"/>
                <w:position w:val="0"/>
                <w:sz w:val="24"/>
                <w:szCs w:val="24"/>
                <w:highlight w:val="none"/>
                <w:lang w:val="en-US" w:eastAsia="zh-CN" w:bidi="ar"/>
              </w:rPr>
              <w:t>优先保护单元-长江上游珍稀特有鱼类国家级自然保护区无重叠，</w:t>
            </w:r>
            <w:r>
              <w:rPr>
                <w:rFonts w:hint="eastAsia" w:cs="Times New Roman"/>
                <w:color w:val="auto"/>
                <w:spacing w:val="0"/>
                <w:position w:val="0"/>
                <w:sz w:val="24"/>
                <w:szCs w:val="24"/>
                <w:highlight w:val="none"/>
                <w:lang w:val="en-US" w:eastAsia="zh-CN" w:bidi="ar"/>
              </w:rPr>
              <w:t>之间</w:t>
            </w:r>
            <w:r>
              <w:rPr>
                <w:rFonts w:hint="default" w:ascii="Times New Roman" w:hAnsi="Times New Roman" w:cs="Times New Roman"/>
                <w:color w:val="auto"/>
                <w:spacing w:val="0"/>
                <w:position w:val="0"/>
                <w:sz w:val="24"/>
                <w:szCs w:val="24"/>
                <w:highlight w:val="none"/>
                <w:lang w:val="en-US" w:eastAsia="zh-CN" w:bidi="ar"/>
              </w:rPr>
              <w:t>距离约180m；现有</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default" w:ascii="Times New Roman" w:hAnsi="Times New Roman" w:cs="Times New Roman"/>
                <w:color w:val="auto"/>
                <w:spacing w:val="0"/>
                <w:position w:val="0"/>
                <w:sz w:val="24"/>
                <w:szCs w:val="24"/>
                <w:highlight w:val="none"/>
                <w:lang w:val="en-US" w:eastAsia="zh-CN" w:bidi="ar"/>
              </w:rPr>
              <w:t>厂区存在与优先保护单元-长江上游珍稀特有鱼类国家级自然保护区重叠区域，重叠区域面积0.003hm</w:t>
            </w:r>
            <w:r>
              <w:rPr>
                <w:rFonts w:hint="default" w:ascii="Times New Roman" w:hAnsi="Times New Roman" w:cs="Times New Roman"/>
                <w:color w:val="auto"/>
                <w:spacing w:val="0"/>
                <w:position w:val="0"/>
                <w:sz w:val="24"/>
                <w:szCs w:val="24"/>
                <w:highlight w:val="none"/>
                <w:vertAlign w:val="superscript"/>
                <w:lang w:val="en-US" w:eastAsia="zh-CN" w:bidi="ar"/>
              </w:rPr>
              <w:t>2</w:t>
            </w:r>
            <w:r>
              <w:rPr>
                <w:rFonts w:hint="default" w:ascii="Times New Roman" w:hAnsi="Times New Roman" w:cs="Times New Roman"/>
                <w:color w:val="auto"/>
                <w:spacing w:val="0"/>
                <w:position w:val="0"/>
                <w:sz w:val="24"/>
                <w:szCs w:val="24"/>
                <w:highlight w:val="none"/>
                <w:lang w:val="en-US" w:eastAsia="zh-CN" w:bidi="ar"/>
              </w:rPr>
              <w:t>，其建设内容为2个油储罐（</w:t>
            </w:r>
            <w:r>
              <w:rPr>
                <w:rFonts w:hint="default" w:ascii="Times New Roman" w:cs="Times New Roman"/>
                <w:color w:val="auto"/>
                <w:spacing w:val="0"/>
                <w:position w:val="0"/>
                <w:sz w:val="24"/>
                <w:szCs w:val="24"/>
                <w:highlight w:val="none"/>
                <w:lang w:val="en-US" w:eastAsia="zh-CN" w:bidi="ar"/>
              </w:rPr>
              <w:t>0Y04#、0Y05#</w:t>
            </w:r>
            <w:r>
              <w:rPr>
                <w:rFonts w:hint="default" w:ascii="Times New Roman" w:hAnsi="Times New Roman" w:cs="Times New Roman"/>
                <w:color w:val="auto"/>
                <w:spacing w:val="0"/>
                <w:position w:val="0"/>
                <w:sz w:val="24"/>
                <w:szCs w:val="24"/>
                <w:highlight w:val="none"/>
                <w:lang w:val="en-US" w:eastAsia="zh-CN" w:bidi="ar"/>
              </w:rPr>
              <w:t>）；本评价提出退让方案，将与优先保护单元重叠区域内的</w:t>
            </w:r>
            <w:r>
              <w:rPr>
                <w:rFonts w:hint="eastAsia" w:cs="Times New Roman"/>
                <w:color w:val="auto"/>
                <w:spacing w:val="0"/>
                <w:position w:val="0"/>
                <w:sz w:val="24"/>
                <w:szCs w:val="24"/>
                <w:highlight w:val="none"/>
                <w:lang w:val="en-US" w:eastAsia="zh-CN" w:bidi="ar"/>
              </w:rPr>
              <w:t>2个</w:t>
            </w:r>
            <w:r>
              <w:rPr>
                <w:rFonts w:hint="default" w:ascii="Times New Roman" w:hAnsi="Times New Roman" w:cs="Times New Roman"/>
                <w:color w:val="auto"/>
                <w:spacing w:val="0"/>
                <w:position w:val="0"/>
                <w:sz w:val="24"/>
                <w:szCs w:val="24"/>
                <w:highlight w:val="none"/>
                <w:lang w:val="en-US" w:eastAsia="zh-CN" w:bidi="ar"/>
              </w:rPr>
              <w:t>储罐（</w:t>
            </w:r>
            <w:r>
              <w:rPr>
                <w:rFonts w:hint="default" w:ascii="Times New Roman" w:cs="Times New Roman"/>
                <w:color w:val="auto"/>
                <w:spacing w:val="0"/>
                <w:position w:val="0"/>
                <w:sz w:val="24"/>
                <w:szCs w:val="24"/>
                <w:highlight w:val="none"/>
                <w:lang w:val="en-US" w:eastAsia="zh-CN" w:bidi="ar"/>
              </w:rPr>
              <w:t>0Y04#、0Y05#</w:t>
            </w:r>
            <w:r>
              <w:rPr>
                <w:rFonts w:hint="default" w:ascii="Times New Roman" w:hAnsi="Times New Roman" w:cs="Times New Roman"/>
                <w:color w:val="auto"/>
                <w:spacing w:val="0"/>
                <w:position w:val="0"/>
                <w:sz w:val="24"/>
                <w:szCs w:val="24"/>
                <w:highlight w:val="none"/>
                <w:lang w:val="en-US" w:eastAsia="zh-CN" w:bidi="ar"/>
              </w:rPr>
              <w:t>）转为空置储罐，并封堵其与输油管线，后续根据政府相关要求实施工作。故项目实施退让方案后满足优先保护单元管控要求</w:t>
            </w:r>
            <w:r>
              <w:rPr>
                <w:rFonts w:hint="default" w:cs="Times New Roman"/>
                <w:color w:val="auto"/>
                <w:spacing w:val="0"/>
                <w:position w:val="0"/>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符合《西部（重庆）科学城九龙新城园区规划环境影响报告书》相关要求。</w:t>
            </w:r>
          </w:p>
          <w:p w14:paraId="540DCD34">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left="0" w:right="0" w:firstLine="480" w:firstLineChars="200"/>
              <w:jc w:val="both"/>
              <w:textAlignment w:val="auto"/>
              <w:rPr>
                <w:rFonts w:hint="default" w:ascii="Times New Roman" w:hAnsi="Times New Roman" w:cs="Times New Roman"/>
                <w:color w:val="auto"/>
                <w:sz w:val="24"/>
                <w:highlight w:val="none"/>
                <w:lang w:val="en-US" w:eastAsia="zh-CN" w:bidi="ar"/>
              </w:rPr>
            </w:pPr>
          </w:p>
          <w:p w14:paraId="6F517E14">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left="0" w:right="0" w:firstLine="480" w:firstLineChars="200"/>
              <w:jc w:val="both"/>
              <w:textAlignment w:val="auto"/>
              <w:rPr>
                <w:rFonts w:hint="default" w:ascii="Times New Roman" w:hAnsi="Times New Roman" w:cs="Times New Roman"/>
                <w:color w:val="auto"/>
                <w:sz w:val="24"/>
                <w:highlight w:val="none"/>
                <w:lang w:val="en-US" w:eastAsia="zh-CN" w:bidi="ar"/>
              </w:rPr>
            </w:pPr>
          </w:p>
          <w:p w14:paraId="59099435">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left="0" w:right="0" w:firstLine="480" w:firstLineChars="200"/>
              <w:jc w:val="both"/>
              <w:textAlignment w:val="auto"/>
              <w:rPr>
                <w:rFonts w:hint="default" w:ascii="Times New Roman" w:hAnsi="Times New Roman" w:cs="Times New Roman"/>
                <w:color w:val="auto"/>
                <w:sz w:val="24"/>
                <w:highlight w:val="none"/>
                <w:lang w:val="en-US" w:eastAsia="zh-CN" w:bidi="ar"/>
              </w:rPr>
            </w:pPr>
          </w:p>
          <w:p w14:paraId="768F0A88">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20" w:lineRule="exact"/>
              <w:ind w:right="0"/>
              <w:jc w:val="both"/>
              <w:textAlignment w:val="auto"/>
              <w:rPr>
                <w:rFonts w:hint="default" w:ascii="Times New Roman" w:hAnsi="Times New Roman" w:cs="Times New Roman"/>
                <w:color w:val="auto"/>
                <w:sz w:val="24"/>
                <w:highlight w:val="none"/>
                <w:lang w:val="en-US" w:eastAsia="zh-CN" w:bidi="ar"/>
              </w:rPr>
            </w:pPr>
          </w:p>
        </w:tc>
      </w:tr>
    </w:tbl>
    <w:p w14:paraId="05CDA62F">
      <w:pPr>
        <w:pageBreakBefore w:val="0"/>
        <w:kinsoku/>
        <w:wordWrap/>
        <w:overflowPunct w:val="0"/>
        <w:topLinePunct/>
        <w:bidi w:val="0"/>
        <w:spacing w:line="360" w:lineRule="auto"/>
        <w:outlineLvl w:val="9"/>
        <w:rPr>
          <w:rFonts w:hint="default" w:ascii="Times New Roman" w:hAnsi="Times New Roman" w:eastAsia="宋体" w:cs="Times New Roman"/>
          <w:color w:val="auto"/>
          <w:sz w:val="30"/>
          <w:highlight w:val="none"/>
        </w:rPr>
        <w:sectPr>
          <w:footerReference r:id="rId3" w:type="default"/>
          <w:pgSz w:w="11906" w:h="16838"/>
          <w:pgMar w:top="1701" w:right="1531" w:bottom="1701" w:left="1531" w:header="851" w:footer="1417" w:gutter="0"/>
          <w:pgBorders>
            <w:top w:val="none" w:sz="0" w:space="0"/>
            <w:left w:val="none" w:sz="0" w:space="0"/>
            <w:bottom w:val="none" w:sz="0" w:space="0"/>
            <w:right w:val="none" w:sz="0" w:space="0"/>
          </w:pgBorders>
          <w:pgNumType w:fmt="decimal" w:start="1"/>
          <w:cols w:space="720" w:num="1"/>
          <w:docGrid w:linePitch="312" w:charSpace="0"/>
        </w:sectPr>
      </w:pP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2509"/>
      </w:tblGrid>
      <w:tr w14:paraId="66A7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8" w:hRule="atLeast"/>
        </w:trPr>
        <w:tc>
          <w:tcPr>
            <w:tcW w:w="272" w:type="pct"/>
            <w:noWrap w:val="0"/>
            <w:vAlign w:val="center"/>
          </w:tcPr>
          <w:p w14:paraId="7FE73300">
            <w:pPr>
              <w:pageBreakBefore w:val="0"/>
              <w:kinsoku/>
              <w:wordWrap/>
              <w:overflowPunct w:val="0"/>
              <w:topLinePunct/>
              <w:autoSpaceDE/>
              <w:autoSpaceDN/>
              <w:bidi w:val="0"/>
              <w:spacing w:line="360" w:lineRule="auto"/>
              <w:jc w:val="center"/>
              <w:textAlignment w:val="auto"/>
              <w:outlineLvl w:val="9"/>
              <w:rPr>
                <w:rFonts w:hint="default" w:ascii="Times New Roman" w:hAnsi="Times New Roman" w:eastAsia="宋体" w:cs="Times New Roman"/>
                <w:color w:val="auto"/>
                <w:sz w:val="30"/>
                <w:highlight w:val="none"/>
                <w:vertAlign w:val="baseline"/>
              </w:rPr>
            </w:pPr>
            <w:r>
              <w:rPr>
                <w:rFonts w:hint="default" w:ascii="Times New Roman" w:hAnsi="Times New Roman" w:eastAsia="宋体" w:cs="Times New Roman"/>
                <w:color w:val="auto"/>
                <w:kern w:val="0"/>
                <w:sz w:val="24"/>
                <w:szCs w:val="24"/>
                <w:highlight w:val="none"/>
              </w:rPr>
              <w:t>规划及规划环境影响评价符合性分析</w:t>
            </w:r>
          </w:p>
        </w:tc>
        <w:tc>
          <w:tcPr>
            <w:tcW w:w="4727" w:type="pct"/>
            <w:noWrap w:val="0"/>
            <w:vAlign w:val="top"/>
          </w:tcPr>
          <w:p w14:paraId="539FD438">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360" w:lineRule="auto"/>
              <w:ind w:right="0"/>
              <w:jc w:val="center"/>
              <w:textAlignment w:val="auto"/>
              <w:rPr>
                <w:rFonts w:hint="default" w:ascii="Times New Roman" w:hAnsi="Times New Roman" w:cs="Times New Roman"/>
                <w:color w:val="auto"/>
                <w:sz w:val="24"/>
                <w:highlight w:val="none"/>
                <w:lang w:val="en-US" w:eastAsia="zh-CN" w:bidi="ar"/>
              </w:rPr>
            </w:pPr>
            <w:r>
              <w:rPr>
                <w:rFonts w:hint="default" w:ascii="Times New Roman" w:hAnsi="Times New Roman" w:cs="Times New Roman"/>
                <w:b/>
                <w:bCs/>
                <w:color w:val="auto"/>
                <w:sz w:val="22"/>
                <w:szCs w:val="22"/>
                <w:highlight w:val="none"/>
                <w:lang w:val="en-US" w:eastAsia="zh-CN" w:bidi="ar"/>
              </w:rPr>
              <w:t>表1-2与规划环评符合性分析</w:t>
            </w:r>
          </w:p>
          <w:tbl>
            <w:tblPr>
              <w:tblStyle w:val="38"/>
              <w:tblW w:w="4989"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62"/>
              <w:gridCol w:w="6091"/>
              <w:gridCol w:w="4364"/>
              <w:gridCol w:w="844"/>
            </w:tblGrid>
            <w:tr w14:paraId="093D6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tcBorders>
                    <w:tl2br w:val="nil"/>
                    <w:tr2bl w:val="nil"/>
                  </w:tcBorders>
                  <w:noWrap w:val="0"/>
                  <w:vAlign w:val="center"/>
                </w:tcPr>
                <w:p w14:paraId="530DFC3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管控类别</w:t>
                  </w:r>
                </w:p>
              </w:tc>
              <w:tc>
                <w:tcPr>
                  <w:tcW w:w="2483" w:type="pct"/>
                  <w:tcBorders>
                    <w:tl2br w:val="nil"/>
                    <w:tr2bl w:val="nil"/>
                  </w:tcBorders>
                  <w:noWrap w:val="0"/>
                  <w:vAlign w:val="center"/>
                </w:tcPr>
                <w:p w14:paraId="21CEDE48">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管控要求</w:t>
                  </w:r>
                </w:p>
              </w:tc>
              <w:tc>
                <w:tcPr>
                  <w:tcW w:w="1779" w:type="pct"/>
                  <w:tcBorders>
                    <w:tl2br w:val="nil"/>
                    <w:tr2bl w:val="nil"/>
                  </w:tcBorders>
                  <w:noWrap w:val="0"/>
                  <w:vAlign w:val="center"/>
                </w:tcPr>
                <w:p w14:paraId="108B7CD6">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eastAsia="zh-CN"/>
                    </w:rPr>
                    <w:t>本项目</w:t>
                  </w:r>
                  <w:r>
                    <w:rPr>
                      <w:rFonts w:hint="default" w:ascii="Times New Roman" w:hAnsi="Times New Roman" w:cs="Times New Roman"/>
                      <w:color w:val="auto"/>
                      <w:spacing w:val="0"/>
                      <w:position w:val="0"/>
                      <w:sz w:val="21"/>
                      <w:szCs w:val="21"/>
                      <w:highlight w:val="none"/>
                      <w:lang w:val="en-US" w:eastAsia="zh-CN"/>
                    </w:rPr>
                    <w:t>情况</w:t>
                  </w:r>
                </w:p>
              </w:tc>
              <w:tc>
                <w:tcPr>
                  <w:tcW w:w="344" w:type="pct"/>
                  <w:tcBorders>
                    <w:tl2br w:val="nil"/>
                    <w:tr2bl w:val="nil"/>
                  </w:tcBorders>
                  <w:noWrap w:val="0"/>
                  <w:vAlign w:val="center"/>
                </w:tcPr>
                <w:p w14:paraId="5EACD50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符合性</w:t>
                  </w:r>
                </w:p>
              </w:tc>
            </w:tr>
            <w:tr w14:paraId="1C92A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restart"/>
                  <w:tcBorders>
                    <w:tl2br w:val="nil"/>
                    <w:tr2bl w:val="nil"/>
                  </w:tcBorders>
                  <w:noWrap w:val="0"/>
                  <w:vAlign w:val="center"/>
                </w:tcPr>
                <w:p w14:paraId="0C96DA22">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空间布局约束</w:t>
                  </w:r>
                </w:p>
              </w:tc>
              <w:tc>
                <w:tcPr>
                  <w:tcW w:w="2483" w:type="pct"/>
                  <w:tcBorders>
                    <w:tl2br w:val="nil"/>
                    <w:tr2bl w:val="nil"/>
                  </w:tcBorders>
                  <w:noWrap w:val="0"/>
                  <w:vAlign w:val="center"/>
                </w:tcPr>
                <w:p w14:paraId="23F246AA">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与优先保护单元重叠区域应严格落实生态环境分区管控中优先保护单元的管控要求，规划实施不得占用优先保护单元</w:t>
                  </w:r>
                </w:p>
              </w:tc>
              <w:tc>
                <w:tcPr>
                  <w:tcW w:w="1779" w:type="pct"/>
                  <w:tcBorders>
                    <w:tl2br w:val="nil"/>
                    <w:tr2bl w:val="nil"/>
                  </w:tcBorders>
                  <w:noWrap w:val="0"/>
                  <w:vAlign w:val="center"/>
                </w:tcPr>
                <w:p w14:paraId="215D671E">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lang w:val="en-US"/>
                    </w:rPr>
                  </w:pPr>
                  <w:r>
                    <w:rPr>
                      <w:rFonts w:hint="default" w:ascii="Times New Roman" w:hAnsi="Times New Roman" w:cs="Times New Roman"/>
                      <w:color w:val="auto"/>
                      <w:spacing w:val="0"/>
                      <w:position w:val="0"/>
                      <w:sz w:val="21"/>
                      <w:szCs w:val="21"/>
                      <w:highlight w:val="none"/>
                      <w:lang w:val="en-US" w:eastAsia="zh-CN" w:bidi="ar"/>
                    </w:rPr>
                    <w:t>本项目改建精炼车间位于现有</w:t>
                  </w:r>
                  <w:r>
                    <w:rPr>
                      <w:rFonts w:hint="default" w:ascii="Times New Roman" w:hAnsi="Times New Roman" w:eastAsia="宋体" w:cs="Times New Roman"/>
                      <w:bCs w:val="0"/>
                      <w:color w:val="auto"/>
                      <w:kern w:val="0"/>
                      <w:sz w:val="21"/>
                      <w:szCs w:val="21"/>
                      <w:highlight w:val="none"/>
                      <w:lang w:val="en-US" w:eastAsia="zh-CN" w:bidi="ar"/>
                    </w:rPr>
                    <w:t>红蜻蜓（重庆）植物油脂有限公司</w:t>
                  </w:r>
                  <w:r>
                    <w:rPr>
                      <w:rFonts w:hint="default" w:ascii="Times New Roman" w:hAnsi="Times New Roman" w:cs="Times New Roman"/>
                      <w:color w:val="auto"/>
                      <w:spacing w:val="0"/>
                      <w:position w:val="0"/>
                      <w:sz w:val="21"/>
                      <w:szCs w:val="21"/>
                      <w:highlight w:val="none"/>
                      <w:lang w:val="en-US" w:eastAsia="zh-CN" w:bidi="ar"/>
                    </w:rPr>
                    <w:t>厂区内，占地与东南侧优先保护单元-长江上游珍稀特有鱼类国家级自然保护区无重叠，之间距离约180m；现有厂区存在与优先保护单元-长江上游珍稀特有鱼类国家级自然保护区重叠区域，重叠区域面积0.003hm</w:t>
                  </w:r>
                  <w:r>
                    <w:rPr>
                      <w:rFonts w:hint="default" w:ascii="Times New Roman" w:hAnsi="Times New Roman" w:cs="Times New Roman"/>
                      <w:color w:val="auto"/>
                      <w:spacing w:val="0"/>
                      <w:position w:val="0"/>
                      <w:sz w:val="21"/>
                      <w:szCs w:val="21"/>
                      <w:highlight w:val="none"/>
                      <w:vertAlign w:val="superscript"/>
                      <w:lang w:val="en-US" w:eastAsia="zh-CN" w:bidi="ar"/>
                    </w:rPr>
                    <w:t>2</w:t>
                  </w:r>
                  <w:r>
                    <w:rPr>
                      <w:rFonts w:hint="default" w:ascii="Times New Roman" w:hAnsi="Times New Roman" w:cs="Times New Roman"/>
                      <w:color w:val="auto"/>
                      <w:spacing w:val="0"/>
                      <w:position w:val="0"/>
                      <w:sz w:val="21"/>
                      <w:szCs w:val="21"/>
                      <w:highlight w:val="none"/>
                      <w:lang w:val="en-US" w:eastAsia="zh-CN" w:bidi="ar"/>
                    </w:rPr>
                    <w:t>，其建设内容为2个油储罐</w:t>
                  </w:r>
                  <w:r>
                    <w:rPr>
                      <w:rFonts w:hint="eastAsia" w:ascii="Times New Roman" w:hAnsi="Times New Roman" w:cs="Times New Roman"/>
                      <w:color w:val="auto"/>
                      <w:spacing w:val="0"/>
                      <w:position w:val="0"/>
                      <w:sz w:val="21"/>
                      <w:szCs w:val="21"/>
                      <w:highlight w:val="none"/>
                      <w:lang w:val="en-US" w:eastAsia="zh-CN" w:bidi="ar"/>
                    </w:rPr>
                    <w:t>（</w:t>
                  </w:r>
                  <w:r>
                    <w:rPr>
                      <w:rFonts w:hint="eastAsia" w:ascii="Times New Roman" w:cs="Times New Roman"/>
                      <w:color w:val="auto"/>
                      <w:spacing w:val="0"/>
                      <w:position w:val="0"/>
                      <w:sz w:val="21"/>
                      <w:szCs w:val="21"/>
                      <w:highlight w:val="none"/>
                      <w:lang w:val="en-US" w:eastAsia="zh-CN" w:bidi="ar"/>
                    </w:rPr>
                    <w:t>0Y04#、0Y05#</w:t>
                  </w:r>
                  <w:r>
                    <w:rPr>
                      <w:rFonts w:hint="eastAsia" w:ascii="Times New Roman" w:hAnsi="Times New Roman" w:cs="Times New Roman"/>
                      <w:color w:val="auto"/>
                      <w:spacing w:val="0"/>
                      <w:position w:val="0"/>
                      <w:sz w:val="21"/>
                      <w:szCs w:val="21"/>
                      <w:highlight w:val="none"/>
                      <w:lang w:val="en-US" w:eastAsia="zh-CN" w:bidi="ar"/>
                    </w:rPr>
                    <w:t>）</w:t>
                  </w:r>
                  <w:r>
                    <w:rPr>
                      <w:rFonts w:hint="default" w:ascii="Times New Roman" w:hAnsi="Times New Roman" w:cs="Times New Roman"/>
                      <w:color w:val="auto"/>
                      <w:spacing w:val="0"/>
                      <w:position w:val="0"/>
                      <w:sz w:val="21"/>
                      <w:szCs w:val="21"/>
                      <w:highlight w:val="none"/>
                      <w:lang w:val="en-US" w:eastAsia="zh-CN" w:bidi="ar"/>
                    </w:rPr>
                    <w:t>；本评价提出退让方案，将与优先保护单元重叠区域内的</w:t>
                  </w:r>
                  <w:r>
                    <w:rPr>
                      <w:rFonts w:hint="eastAsia" w:ascii="Times New Roman" w:hAnsi="Times New Roman" w:cs="Times New Roman"/>
                      <w:color w:val="auto"/>
                      <w:spacing w:val="0"/>
                      <w:position w:val="0"/>
                      <w:sz w:val="21"/>
                      <w:szCs w:val="21"/>
                      <w:highlight w:val="none"/>
                      <w:lang w:val="en-US" w:eastAsia="zh-CN" w:bidi="ar"/>
                    </w:rPr>
                    <w:t>2个</w:t>
                  </w:r>
                  <w:r>
                    <w:rPr>
                      <w:rFonts w:hint="default" w:ascii="Times New Roman" w:hAnsi="Times New Roman" w:cs="Times New Roman"/>
                      <w:color w:val="auto"/>
                      <w:spacing w:val="0"/>
                      <w:position w:val="0"/>
                      <w:sz w:val="21"/>
                      <w:szCs w:val="21"/>
                      <w:highlight w:val="none"/>
                      <w:lang w:val="en-US" w:eastAsia="zh-CN" w:bidi="ar"/>
                    </w:rPr>
                    <w:t>储罐</w:t>
                  </w:r>
                  <w:r>
                    <w:rPr>
                      <w:rFonts w:hint="eastAsia" w:ascii="Times New Roman" w:hAnsi="Times New Roman" w:cs="Times New Roman"/>
                      <w:color w:val="auto"/>
                      <w:spacing w:val="0"/>
                      <w:position w:val="0"/>
                      <w:sz w:val="21"/>
                      <w:szCs w:val="21"/>
                      <w:highlight w:val="none"/>
                      <w:lang w:val="en-US" w:eastAsia="zh-CN" w:bidi="ar"/>
                    </w:rPr>
                    <w:t>（</w:t>
                  </w:r>
                  <w:r>
                    <w:rPr>
                      <w:rFonts w:hint="eastAsia" w:ascii="Times New Roman" w:cs="Times New Roman"/>
                      <w:color w:val="auto"/>
                      <w:spacing w:val="0"/>
                      <w:position w:val="0"/>
                      <w:sz w:val="21"/>
                      <w:szCs w:val="21"/>
                      <w:highlight w:val="none"/>
                      <w:lang w:val="en-US" w:eastAsia="zh-CN" w:bidi="ar"/>
                    </w:rPr>
                    <w:t>0Y04#、0Y05#</w:t>
                  </w:r>
                  <w:r>
                    <w:rPr>
                      <w:rFonts w:hint="eastAsia" w:ascii="Times New Roman" w:hAnsi="Times New Roman" w:cs="Times New Roman"/>
                      <w:color w:val="auto"/>
                      <w:spacing w:val="0"/>
                      <w:position w:val="0"/>
                      <w:sz w:val="21"/>
                      <w:szCs w:val="21"/>
                      <w:highlight w:val="none"/>
                      <w:lang w:val="en-US" w:eastAsia="zh-CN" w:bidi="ar"/>
                    </w:rPr>
                    <w:t>）</w:t>
                  </w:r>
                  <w:r>
                    <w:rPr>
                      <w:rFonts w:hint="default" w:ascii="Times New Roman" w:hAnsi="Times New Roman" w:cs="Times New Roman"/>
                      <w:color w:val="auto"/>
                      <w:spacing w:val="0"/>
                      <w:position w:val="0"/>
                      <w:sz w:val="21"/>
                      <w:szCs w:val="21"/>
                      <w:highlight w:val="none"/>
                      <w:lang w:val="en-US" w:eastAsia="zh-CN" w:bidi="ar"/>
                    </w:rPr>
                    <w:t>转为空置储罐，并封堵其与输油管线连通，后续根据政府相关要求实施工作。故项目实施退让方案后</w:t>
                  </w:r>
                  <w:r>
                    <w:rPr>
                      <w:rFonts w:hint="eastAsia" w:ascii="Times New Roman" w:hAnsi="Times New Roman" w:cs="Times New Roman"/>
                      <w:color w:val="auto"/>
                      <w:spacing w:val="0"/>
                      <w:position w:val="0"/>
                      <w:sz w:val="21"/>
                      <w:szCs w:val="21"/>
                      <w:highlight w:val="none"/>
                      <w:lang w:val="en-US" w:eastAsia="zh-CN" w:bidi="ar"/>
                    </w:rPr>
                    <w:t>在优先保护单元内无建设内容，</w:t>
                  </w:r>
                  <w:r>
                    <w:rPr>
                      <w:rFonts w:hint="default" w:ascii="Times New Roman" w:hAnsi="Times New Roman" w:cs="Times New Roman"/>
                      <w:color w:val="auto"/>
                      <w:spacing w:val="0"/>
                      <w:position w:val="0"/>
                      <w:sz w:val="21"/>
                      <w:szCs w:val="21"/>
                      <w:highlight w:val="none"/>
                      <w:lang w:val="en-US" w:eastAsia="zh-CN" w:bidi="ar"/>
                    </w:rPr>
                    <w:t>满足优先保护单元管控要求</w:t>
                  </w:r>
                </w:p>
              </w:tc>
              <w:tc>
                <w:tcPr>
                  <w:tcW w:w="344" w:type="pct"/>
                  <w:tcBorders>
                    <w:tl2br w:val="nil"/>
                    <w:tr2bl w:val="nil"/>
                  </w:tcBorders>
                  <w:noWrap w:val="0"/>
                  <w:vAlign w:val="center"/>
                </w:tcPr>
                <w:p w14:paraId="6CF4D654">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22498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continue"/>
                  <w:tcBorders>
                    <w:tl2br w:val="nil"/>
                    <w:tr2bl w:val="nil"/>
                  </w:tcBorders>
                  <w:noWrap w:val="0"/>
                  <w:vAlign w:val="center"/>
                </w:tcPr>
                <w:p w14:paraId="05571ABC">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p>
              </w:tc>
              <w:tc>
                <w:tcPr>
                  <w:tcW w:w="2483" w:type="pct"/>
                  <w:tcBorders>
                    <w:tl2br w:val="nil"/>
                    <w:tr2bl w:val="nil"/>
                  </w:tcBorders>
                  <w:noWrap w:val="0"/>
                  <w:vAlign w:val="center"/>
                </w:tcPr>
                <w:p w14:paraId="3682B97C">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涉及环境防护距离的工业企业或项目应通过选址或调整布局原则上将环境防护距离控制在园区边界或用地红线内。园区边界的界定原则按《重庆市生态环境局办公室关于产业园区规划环评及建设项目环评所涉环境防护距离审核相关事宜的通知》执行</w:t>
                  </w:r>
                </w:p>
              </w:tc>
              <w:tc>
                <w:tcPr>
                  <w:tcW w:w="1779" w:type="pct"/>
                  <w:tcBorders>
                    <w:tl2br w:val="nil"/>
                    <w:tr2bl w:val="nil"/>
                  </w:tcBorders>
                  <w:noWrap w:val="0"/>
                  <w:vAlign w:val="center"/>
                </w:tcPr>
                <w:p w14:paraId="0529285C">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本项目</w:t>
                  </w:r>
                  <w:r>
                    <w:rPr>
                      <w:rFonts w:hint="default" w:ascii="Times New Roman" w:hAnsi="Times New Roman" w:cs="Times New Roman"/>
                      <w:color w:val="auto"/>
                      <w:spacing w:val="0"/>
                      <w:position w:val="0"/>
                      <w:sz w:val="21"/>
                      <w:szCs w:val="21"/>
                      <w:highlight w:val="none"/>
                      <w:lang w:val="en-US" w:eastAsia="zh-CN"/>
                    </w:rPr>
                    <w:t>不涉及环境防护距离</w:t>
                  </w:r>
                </w:p>
              </w:tc>
              <w:tc>
                <w:tcPr>
                  <w:tcW w:w="344" w:type="pct"/>
                  <w:tcBorders>
                    <w:tl2br w:val="nil"/>
                    <w:tr2bl w:val="nil"/>
                  </w:tcBorders>
                  <w:noWrap w:val="0"/>
                  <w:vAlign w:val="center"/>
                </w:tcPr>
                <w:p w14:paraId="20D774F4">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符合</w:t>
                  </w:r>
                </w:p>
              </w:tc>
            </w:tr>
            <w:tr w14:paraId="2CCC5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continue"/>
                  <w:tcBorders>
                    <w:tl2br w:val="nil"/>
                    <w:tr2bl w:val="nil"/>
                  </w:tcBorders>
                  <w:noWrap w:val="0"/>
                  <w:vAlign w:val="center"/>
                </w:tcPr>
                <w:p w14:paraId="2794F2B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p>
              </w:tc>
              <w:tc>
                <w:tcPr>
                  <w:tcW w:w="2483" w:type="pct"/>
                  <w:tcBorders>
                    <w:tl2br w:val="nil"/>
                    <w:tr2bl w:val="nil"/>
                  </w:tcBorders>
                  <w:noWrap w:val="0"/>
                  <w:vAlign w:val="center"/>
                </w:tcPr>
                <w:p w14:paraId="405F3E67">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禁止新建、扩建木质家具制造、报废汽车拆解、平板玻璃制造工业项目</w:t>
                  </w:r>
                </w:p>
              </w:tc>
              <w:tc>
                <w:tcPr>
                  <w:tcW w:w="1779" w:type="pct"/>
                  <w:tcBorders>
                    <w:tl2br w:val="nil"/>
                    <w:tr2bl w:val="nil"/>
                  </w:tcBorders>
                  <w:noWrap w:val="0"/>
                  <w:vAlign w:val="center"/>
                </w:tcPr>
                <w:p w14:paraId="45C4672A">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本项目</w:t>
                  </w:r>
                  <w:r>
                    <w:rPr>
                      <w:rFonts w:hint="default" w:ascii="Times New Roman" w:hAnsi="Times New Roman" w:cs="Times New Roman"/>
                      <w:color w:val="auto"/>
                      <w:spacing w:val="0"/>
                      <w:position w:val="0"/>
                      <w:sz w:val="21"/>
                      <w:szCs w:val="21"/>
                      <w:highlight w:val="none"/>
                      <w:lang w:val="en-US" w:eastAsia="zh-CN"/>
                    </w:rPr>
                    <w:t>不属于前述的木质家具制造、报废汽车拆解、平板玻璃制造工业项目</w:t>
                  </w:r>
                </w:p>
              </w:tc>
              <w:tc>
                <w:tcPr>
                  <w:tcW w:w="344" w:type="pct"/>
                  <w:tcBorders>
                    <w:tl2br w:val="nil"/>
                    <w:tr2bl w:val="nil"/>
                  </w:tcBorders>
                  <w:noWrap w:val="0"/>
                  <w:vAlign w:val="center"/>
                </w:tcPr>
                <w:p w14:paraId="7D8ABDC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符合</w:t>
                  </w:r>
                </w:p>
              </w:tc>
            </w:tr>
            <w:tr w14:paraId="3A286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restart"/>
                  <w:tcBorders>
                    <w:tl2br w:val="nil"/>
                    <w:tr2bl w:val="nil"/>
                  </w:tcBorders>
                  <w:noWrap w:val="0"/>
                  <w:vAlign w:val="center"/>
                </w:tcPr>
                <w:p w14:paraId="0F7D395A">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污染物排放管控</w:t>
                  </w:r>
                </w:p>
              </w:tc>
              <w:tc>
                <w:tcPr>
                  <w:tcW w:w="2483" w:type="pct"/>
                  <w:tcBorders>
                    <w:tl2br w:val="nil"/>
                    <w:tr2bl w:val="nil"/>
                  </w:tcBorders>
                  <w:noWrap w:val="0"/>
                  <w:vAlign w:val="center"/>
                </w:tcPr>
                <w:p w14:paraId="030C5E0E">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污染物排放总量不得突破本次规划环评确定的污染物排放总量限值（COD58.37t/a，氨氮18.11/a，NO</w:t>
                  </w:r>
                  <w:r>
                    <w:rPr>
                      <w:rFonts w:hint="default" w:ascii="Times New Roman" w:hAnsi="Times New Roman" w:cs="Times New Roman"/>
                      <w:color w:val="auto"/>
                      <w:spacing w:val="0"/>
                      <w:position w:val="0"/>
                      <w:sz w:val="21"/>
                      <w:szCs w:val="21"/>
                      <w:highlight w:val="none"/>
                      <w:vertAlign w:val="subscript"/>
                    </w:rPr>
                    <w:t>X</w:t>
                  </w:r>
                  <w:r>
                    <w:rPr>
                      <w:rFonts w:hint="default" w:ascii="Times New Roman" w:hAnsi="Times New Roman" w:cs="Times New Roman"/>
                      <w:color w:val="auto"/>
                      <w:spacing w:val="0"/>
                      <w:position w:val="0"/>
                      <w:sz w:val="21"/>
                      <w:szCs w:val="21"/>
                      <w:highlight w:val="none"/>
                    </w:rPr>
                    <w:t>117.43t/a）</w:t>
                  </w:r>
                </w:p>
              </w:tc>
              <w:tc>
                <w:tcPr>
                  <w:tcW w:w="1779" w:type="pct"/>
                  <w:tcBorders>
                    <w:tl2br w:val="nil"/>
                    <w:tr2bl w:val="nil"/>
                  </w:tcBorders>
                  <w:noWrap w:val="0"/>
                  <w:vAlign w:val="center"/>
                </w:tcPr>
                <w:p w14:paraId="39B312EC">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color w:val="auto"/>
                      <w:spacing w:val="0"/>
                      <w:position w:val="0"/>
                      <w:sz w:val="21"/>
                      <w:szCs w:val="21"/>
                      <w:highlight w:val="none"/>
                    </w:rPr>
                  </w:pPr>
                  <w:r>
                    <w:rPr>
                      <w:rFonts w:hint="eastAsia" w:ascii="Times New Roman" w:hAnsi="Times New Roman" w:cs="Times New Roman"/>
                      <w:color w:val="auto"/>
                      <w:spacing w:val="0"/>
                      <w:position w:val="0"/>
                      <w:sz w:val="21"/>
                      <w:szCs w:val="21"/>
                      <w:highlight w:val="none"/>
                      <w:lang w:val="en-US" w:eastAsia="zh-CN"/>
                    </w:rPr>
                    <w:t>本项目</w:t>
                  </w:r>
                  <w:r>
                    <w:rPr>
                      <w:rFonts w:hint="default" w:ascii="Times New Roman" w:hAnsi="Times New Roman" w:cs="Times New Roman"/>
                      <w:color w:val="auto"/>
                      <w:spacing w:val="0"/>
                      <w:position w:val="0"/>
                      <w:sz w:val="21"/>
                      <w:szCs w:val="21"/>
                      <w:highlight w:val="none"/>
                      <w:lang w:val="en-US" w:eastAsia="zh-CN"/>
                    </w:rPr>
                    <w:t>废气通过优化废气治理措施、废水通过回用，废气污染物和废水</w:t>
                  </w:r>
                  <w:r>
                    <w:rPr>
                      <w:rFonts w:hint="default" w:ascii="Times New Roman" w:hAnsi="Times New Roman" w:cs="Times New Roman"/>
                      <w:color w:val="auto"/>
                      <w:spacing w:val="0"/>
                      <w:position w:val="0"/>
                      <w:sz w:val="21"/>
                      <w:szCs w:val="21"/>
                      <w:highlight w:val="none"/>
                    </w:rPr>
                    <w:t>污染物排放总量</w:t>
                  </w:r>
                  <w:r>
                    <w:rPr>
                      <w:rFonts w:hint="default" w:ascii="Times New Roman" w:hAnsi="Times New Roman" w:cs="Times New Roman"/>
                      <w:color w:val="auto"/>
                      <w:spacing w:val="0"/>
                      <w:position w:val="0"/>
                      <w:sz w:val="21"/>
                      <w:szCs w:val="21"/>
                      <w:highlight w:val="none"/>
                      <w:lang w:val="en-US" w:eastAsia="zh-CN"/>
                    </w:rPr>
                    <w:t>均未</w:t>
                  </w:r>
                  <w:r>
                    <w:rPr>
                      <w:rFonts w:hint="default" w:ascii="Times New Roman" w:hAnsi="Times New Roman" w:cs="Times New Roman"/>
                      <w:color w:val="auto"/>
                      <w:spacing w:val="0"/>
                      <w:position w:val="0"/>
                      <w:sz w:val="21"/>
                      <w:szCs w:val="21"/>
                      <w:highlight w:val="none"/>
                    </w:rPr>
                    <w:t>突破本次规划环评确定的污染物排放总量限值</w:t>
                  </w:r>
                </w:p>
              </w:tc>
              <w:tc>
                <w:tcPr>
                  <w:tcW w:w="344" w:type="pct"/>
                  <w:tcBorders>
                    <w:tl2br w:val="nil"/>
                    <w:tr2bl w:val="nil"/>
                  </w:tcBorders>
                  <w:noWrap w:val="0"/>
                  <w:vAlign w:val="center"/>
                </w:tcPr>
                <w:p w14:paraId="36DDAD1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386F9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continue"/>
                  <w:tcBorders>
                    <w:tl2br w:val="nil"/>
                    <w:tr2bl w:val="nil"/>
                  </w:tcBorders>
                  <w:noWrap w:val="0"/>
                  <w:vAlign w:val="center"/>
                </w:tcPr>
                <w:p w14:paraId="4144A38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rPr>
                  </w:pPr>
                </w:p>
              </w:tc>
              <w:tc>
                <w:tcPr>
                  <w:tcW w:w="2483" w:type="pct"/>
                  <w:tcBorders>
                    <w:tl2br w:val="nil"/>
                    <w:tr2bl w:val="nil"/>
                  </w:tcBorders>
                  <w:noWrap w:val="0"/>
                  <w:vAlign w:val="center"/>
                </w:tcPr>
                <w:p w14:paraId="7D69CC2A">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禁止新建、扩建排放废水含有五类重金属（铬、镉、汞、砷、铅）、剧毒物质和持久性有机污染物的工业项目</w:t>
                  </w:r>
                </w:p>
              </w:tc>
              <w:tc>
                <w:tcPr>
                  <w:tcW w:w="1779" w:type="pct"/>
                  <w:tcBorders>
                    <w:tl2br w:val="nil"/>
                    <w:tr2bl w:val="nil"/>
                  </w:tcBorders>
                  <w:noWrap w:val="0"/>
                  <w:vAlign w:val="center"/>
                </w:tcPr>
                <w:p w14:paraId="092AC2DE">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本项目</w:t>
                  </w:r>
                  <w:r>
                    <w:rPr>
                      <w:rFonts w:hint="default" w:ascii="Times New Roman" w:hAnsi="Times New Roman" w:cs="Times New Roman"/>
                      <w:color w:val="auto"/>
                      <w:spacing w:val="0"/>
                      <w:position w:val="0"/>
                      <w:sz w:val="21"/>
                      <w:szCs w:val="21"/>
                      <w:highlight w:val="none"/>
                      <w:lang w:val="en-US" w:eastAsia="zh-CN"/>
                    </w:rPr>
                    <w:t>排放废水不含有五类重金属（铬、镉、汞、砷、铅）、剧毒物质和持久性有机污染物</w:t>
                  </w:r>
                </w:p>
              </w:tc>
              <w:tc>
                <w:tcPr>
                  <w:tcW w:w="344" w:type="pct"/>
                  <w:tcBorders>
                    <w:tl2br w:val="nil"/>
                    <w:tr2bl w:val="nil"/>
                  </w:tcBorders>
                  <w:noWrap w:val="0"/>
                  <w:vAlign w:val="center"/>
                </w:tcPr>
                <w:p w14:paraId="5931E707">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符合</w:t>
                  </w:r>
                </w:p>
              </w:tc>
            </w:tr>
            <w:tr w14:paraId="5FF48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continue"/>
                  <w:tcBorders>
                    <w:tl2br w:val="nil"/>
                    <w:tr2bl w:val="nil"/>
                  </w:tcBorders>
                  <w:noWrap w:val="0"/>
                  <w:vAlign w:val="center"/>
                </w:tcPr>
                <w:p w14:paraId="6FBFC375">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rPr>
                  </w:pPr>
                </w:p>
              </w:tc>
              <w:tc>
                <w:tcPr>
                  <w:tcW w:w="2483" w:type="pct"/>
                  <w:tcBorders>
                    <w:tl2br w:val="nil"/>
                    <w:tr2bl w:val="nil"/>
                  </w:tcBorders>
                  <w:noWrap w:val="0"/>
                  <w:vAlign w:val="center"/>
                </w:tcPr>
                <w:p w14:paraId="1C1CDC65">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小可食品污废水未接入铜罐驿镇污水处理厂前，该企业不得实施增加入河污染物的改建、扩建项目</w:t>
                  </w:r>
                </w:p>
              </w:tc>
              <w:tc>
                <w:tcPr>
                  <w:tcW w:w="1779" w:type="pct"/>
                  <w:tcBorders>
                    <w:tl2br w:val="nil"/>
                    <w:tr2bl w:val="nil"/>
                  </w:tcBorders>
                  <w:noWrap w:val="0"/>
                  <w:vAlign w:val="center"/>
                </w:tcPr>
                <w:p w14:paraId="1F2AB16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w:t>
                  </w:r>
                </w:p>
              </w:tc>
              <w:tc>
                <w:tcPr>
                  <w:tcW w:w="344" w:type="pct"/>
                  <w:tcBorders>
                    <w:tl2br w:val="nil"/>
                    <w:tr2bl w:val="nil"/>
                  </w:tcBorders>
                  <w:noWrap w:val="0"/>
                  <w:vAlign w:val="center"/>
                </w:tcPr>
                <w:p w14:paraId="5BF4FE88">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w:t>
                  </w:r>
                </w:p>
              </w:tc>
            </w:tr>
            <w:tr w14:paraId="7CF27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tcBorders>
                    <w:tl2br w:val="nil"/>
                    <w:tr2bl w:val="nil"/>
                  </w:tcBorders>
                  <w:noWrap w:val="0"/>
                  <w:vAlign w:val="center"/>
                </w:tcPr>
                <w:p w14:paraId="200A343C">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环境风险防控</w:t>
                  </w:r>
                </w:p>
              </w:tc>
              <w:tc>
                <w:tcPr>
                  <w:tcW w:w="2483" w:type="pct"/>
                  <w:tcBorders>
                    <w:tl2br w:val="nil"/>
                    <w:tr2bl w:val="nil"/>
                  </w:tcBorders>
                  <w:noWrap w:val="0"/>
                  <w:vAlign w:val="center"/>
                </w:tcPr>
                <w:p w14:paraId="28C9A9E7">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Times New Roman" w:cs="Times New Roman"/>
                      <w:color w:val="auto"/>
                      <w:spacing w:val="0"/>
                      <w:position w:val="0"/>
                      <w:sz w:val="21"/>
                      <w:szCs w:val="21"/>
                      <w:highlight w:val="none"/>
                    </w:rPr>
                  </w:pPr>
                  <w:r>
                    <w:rPr>
                      <w:rFonts w:hint="default" w:ascii="Times New Roman" w:hAnsi="Times New Roman" w:eastAsia="Times New Roman" w:cs="Times New Roman"/>
                      <w:color w:val="auto"/>
                      <w:spacing w:val="0"/>
                      <w:position w:val="0"/>
                      <w:sz w:val="21"/>
                      <w:szCs w:val="21"/>
                      <w:highlight w:val="none"/>
                    </w:rPr>
                    <w:t>规划区内禁止新建、改扩建化工项目（安全、环保、节能和智能化改造等</w:t>
                  </w:r>
                  <w:r>
                    <w:rPr>
                      <w:rFonts w:hint="eastAsia" w:ascii="Times New Roman" w:hAnsi="Times New Roman" w:cs="Times New Roman"/>
                      <w:color w:val="auto"/>
                      <w:spacing w:val="0"/>
                      <w:position w:val="0"/>
                      <w:sz w:val="21"/>
                      <w:szCs w:val="21"/>
                      <w:highlight w:val="none"/>
                      <w:lang w:eastAsia="zh-CN"/>
                    </w:rPr>
                    <w:t>本项目</w:t>
                  </w:r>
                  <w:r>
                    <w:rPr>
                      <w:rFonts w:hint="default" w:ascii="Times New Roman" w:hAnsi="Times New Roman" w:eastAsia="Times New Roman" w:cs="Times New Roman"/>
                      <w:color w:val="auto"/>
                      <w:spacing w:val="0"/>
                      <w:position w:val="0"/>
                      <w:sz w:val="21"/>
                      <w:szCs w:val="21"/>
                      <w:highlight w:val="none"/>
                    </w:rPr>
                    <w:t>除外）；现有化工项目（重庆和友实业股份有限公司）按国家和重庆市相关要求适时搬入合规化工园区；搬迁前应加强企业日常监管，提升环境风险防范能力，严防发生突发环境事件</w:t>
                  </w:r>
                </w:p>
              </w:tc>
              <w:tc>
                <w:tcPr>
                  <w:tcW w:w="1779" w:type="pct"/>
                  <w:tcBorders>
                    <w:tl2br w:val="nil"/>
                    <w:tr2bl w:val="nil"/>
                  </w:tcBorders>
                  <w:noWrap w:val="0"/>
                  <w:vAlign w:val="center"/>
                </w:tcPr>
                <w:p w14:paraId="1B7A5A7F">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本项目</w:t>
                  </w:r>
                  <w:r>
                    <w:rPr>
                      <w:rFonts w:hint="default" w:ascii="Times New Roman" w:hAnsi="Times New Roman" w:cs="Times New Roman"/>
                      <w:color w:val="auto"/>
                      <w:spacing w:val="0"/>
                      <w:position w:val="0"/>
                      <w:sz w:val="21"/>
                      <w:szCs w:val="21"/>
                      <w:highlight w:val="none"/>
                      <w:lang w:val="en-US" w:eastAsia="zh-CN"/>
                    </w:rPr>
                    <w:t>为食用植物油加工项目，不属于化工项目</w:t>
                  </w:r>
                </w:p>
              </w:tc>
              <w:tc>
                <w:tcPr>
                  <w:tcW w:w="344" w:type="pct"/>
                  <w:tcBorders>
                    <w:tl2br w:val="nil"/>
                    <w:tr2bl w:val="nil"/>
                  </w:tcBorders>
                  <w:noWrap w:val="0"/>
                  <w:vAlign w:val="center"/>
                </w:tcPr>
                <w:p w14:paraId="57C047B2">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7F271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restart"/>
                  <w:tcBorders>
                    <w:tl2br w:val="nil"/>
                    <w:tr2bl w:val="nil"/>
                  </w:tcBorders>
                  <w:noWrap w:val="0"/>
                  <w:vAlign w:val="center"/>
                </w:tcPr>
                <w:p w14:paraId="3D9083EF">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资源开发效率要求</w:t>
                  </w:r>
                </w:p>
              </w:tc>
              <w:tc>
                <w:tcPr>
                  <w:tcW w:w="2483" w:type="pct"/>
                  <w:tcBorders>
                    <w:tl2br w:val="nil"/>
                    <w:tr2bl w:val="nil"/>
                  </w:tcBorders>
                  <w:noWrap w:val="0"/>
                  <w:vAlign w:val="center"/>
                </w:tcPr>
                <w:p w14:paraId="1FD4F31B">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禁止新建、扩建燃用煤、重油等高污染燃料的工业项目，重庆和友实业股份有限公司不再新增燃煤总量</w:t>
                  </w:r>
                </w:p>
              </w:tc>
              <w:tc>
                <w:tcPr>
                  <w:tcW w:w="1779" w:type="pct"/>
                  <w:tcBorders>
                    <w:tl2br w:val="nil"/>
                    <w:tr2bl w:val="nil"/>
                  </w:tcBorders>
                  <w:noWrap w:val="0"/>
                  <w:vAlign w:val="center"/>
                </w:tcPr>
                <w:p w14:paraId="61881414">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本项目</w:t>
                  </w:r>
                  <w:r>
                    <w:rPr>
                      <w:rFonts w:hint="default" w:ascii="Times New Roman" w:hAnsi="Times New Roman" w:cs="Times New Roman"/>
                      <w:color w:val="auto"/>
                      <w:spacing w:val="0"/>
                      <w:position w:val="0"/>
                      <w:sz w:val="21"/>
                      <w:szCs w:val="21"/>
                      <w:highlight w:val="none"/>
                      <w:lang w:val="en-US" w:eastAsia="zh-CN"/>
                    </w:rPr>
                    <w:t>不涉及</w:t>
                  </w:r>
                  <w:r>
                    <w:rPr>
                      <w:rFonts w:hint="default" w:ascii="Times New Roman" w:hAnsi="Times New Roman" w:cs="Times New Roman"/>
                      <w:color w:val="auto"/>
                      <w:spacing w:val="0"/>
                      <w:position w:val="0"/>
                      <w:sz w:val="21"/>
                      <w:szCs w:val="21"/>
                      <w:highlight w:val="none"/>
                    </w:rPr>
                    <w:t>煤、重油等高污染燃料</w:t>
                  </w:r>
                </w:p>
              </w:tc>
              <w:tc>
                <w:tcPr>
                  <w:tcW w:w="344" w:type="pct"/>
                  <w:tcBorders>
                    <w:tl2br w:val="nil"/>
                    <w:tr2bl w:val="nil"/>
                  </w:tcBorders>
                  <w:noWrap w:val="0"/>
                  <w:vAlign w:val="center"/>
                </w:tcPr>
                <w:p w14:paraId="64A62293">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45B85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continue"/>
                  <w:tcBorders>
                    <w:tl2br w:val="nil"/>
                    <w:tr2bl w:val="nil"/>
                  </w:tcBorders>
                  <w:noWrap w:val="0"/>
                  <w:vAlign w:val="center"/>
                </w:tcPr>
                <w:p w14:paraId="12F2CDC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p>
              </w:tc>
              <w:tc>
                <w:tcPr>
                  <w:tcW w:w="2483" w:type="pct"/>
                  <w:tcBorders>
                    <w:tl2br w:val="nil"/>
                    <w:tr2bl w:val="nil"/>
                  </w:tcBorders>
                  <w:noWrap w:val="0"/>
                  <w:vAlign w:val="center"/>
                </w:tcPr>
                <w:p w14:paraId="6C279ECA">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新建和改、扩建的工业项目清洁生产水平应达到国内先进水平</w:t>
                  </w:r>
                </w:p>
              </w:tc>
              <w:tc>
                <w:tcPr>
                  <w:tcW w:w="1779" w:type="pct"/>
                  <w:tcBorders>
                    <w:tl2br w:val="nil"/>
                    <w:tr2bl w:val="nil"/>
                  </w:tcBorders>
                  <w:noWrap w:val="0"/>
                  <w:vAlign w:val="center"/>
                </w:tcPr>
                <w:p w14:paraId="455E5EF0">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根据论证，本项目</w:t>
                  </w:r>
                  <w:r>
                    <w:rPr>
                      <w:rFonts w:hint="default" w:ascii="Times New Roman" w:hAnsi="Times New Roman" w:cs="Times New Roman"/>
                      <w:color w:val="auto"/>
                      <w:spacing w:val="0"/>
                      <w:position w:val="0"/>
                      <w:sz w:val="21"/>
                      <w:szCs w:val="21"/>
                      <w:highlight w:val="none"/>
                    </w:rPr>
                    <w:t>清洁生产水平</w:t>
                  </w:r>
                  <w:r>
                    <w:rPr>
                      <w:rFonts w:hint="default" w:ascii="Times New Roman" w:hAnsi="Times New Roman" w:cs="Times New Roman"/>
                      <w:color w:val="auto"/>
                      <w:spacing w:val="0"/>
                      <w:position w:val="0"/>
                      <w:sz w:val="21"/>
                      <w:szCs w:val="21"/>
                      <w:highlight w:val="none"/>
                      <w:lang w:val="en-US" w:eastAsia="zh-CN"/>
                    </w:rPr>
                    <w:t>达到</w:t>
                  </w:r>
                  <w:r>
                    <w:rPr>
                      <w:rFonts w:hint="default" w:ascii="Times New Roman" w:hAnsi="Times New Roman" w:cs="Times New Roman"/>
                      <w:color w:val="auto"/>
                      <w:spacing w:val="0"/>
                      <w:position w:val="0"/>
                      <w:sz w:val="21"/>
                      <w:szCs w:val="21"/>
                      <w:highlight w:val="none"/>
                    </w:rPr>
                    <w:t>国内先进水平</w:t>
                  </w:r>
                  <w:r>
                    <w:rPr>
                      <w:rFonts w:hint="eastAsia" w:ascii="Times New Roman" w:hAnsi="Times New Roman" w:cs="Times New Roman"/>
                      <w:color w:val="auto"/>
                      <w:spacing w:val="0"/>
                      <w:position w:val="0"/>
                      <w:sz w:val="21"/>
                      <w:szCs w:val="21"/>
                      <w:highlight w:val="none"/>
                      <w:lang w:eastAsia="zh-CN"/>
                    </w:rPr>
                    <w:t>，</w:t>
                  </w:r>
                  <w:r>
                    <w:rPr>
                      <w:rFonts w:hint="eastAsia" w:ascii="Times New Roman" w:hAnsi="Times New Roman" w:cs="Times New Roman"/>
                      <w:color w:val="auto"/>
                      <w:spacing w:val="0"/>
                      <w:position w:val="0"/>
                      <w:sz w:val="21"/>
                      <w:szCs w:val="21"/>
                      <w:highlight w:val="none"/>
                      <w:lang w:val="en-US" w:eastAsia="zh-CN"/>
                    </w:rPr>
                    <w:t>详见清洁生产水平分析</w:t>
                  </w:r>
                </w:p>
              </w:tc>
              <w:tc>
                <w:tcPr>
                  <w:tcW w:w="344" w:type="pct"/>
                  <w:tcBorders>
                    <w:tl2br w:val="nil"/>
                    <w:tr2bl w:val="nil"/>
                  </w:tcBorders>
                  <w:noWrap w:val="0"/>
                  <w:vAlign w:val="center"/>
                </w:tcPr>
                <w:p w14:paraId="7C0F742B">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符合</w:t>
                  </w:r>
                </w:p>
              </w:tc>
            </w:tr>
            <w:tr w14:paraId="08BEA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92" w:type="pct"/>
                  <w:vMerge w:val="continue"/>
                  <w:tcBorders>
                    <w:tl2br w:val="nil"/>
                    <w:tr2bl w:val="nil"/>
                  </w:tcBorders>
                  <w:noWrap w:val="0"/>
                  <w:vAlign w:val="center"/>
                </w:tcPr>
                <w:p w14:paraId="1A899292">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rPr>
                  </w:pPr>
                </w:p>
              </w:tc>
              <w:tc>
                <w:tcPr>
                  <w:tcW w:w="2483" w:type="pct"/>
                  <w:tcBorders>
                    <w:tl2br w:val="nil"/>
                    <w:tr2bl w:val="nil"/>
                  </w:tcBorders>
                  <w:noWrap w:val="0"/>
                  <w:vAlign w:val="center"/>
                </w:tcPr>
                <w:p w14:paraId="01314582">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position w:val="0"/>
                      <w:sz w:val="21"/>
                      <w:szCs w:val="21"/>
                      <w:highlight w:val="none"/>
                    </w:rPr>
                  </w:pPr>
                  <w:r>
                    <w:rPr>
                      <w:rFonts w:hint="default" w:ascii="Times New Roman" w:hAnsi="Times New Roman" w:cs="Times New Roman"/>
                      <w:color w:val="auto"/>
                      <w:spacing w:val="0"/>
                      <w:position w:val="0"/>
                      <w:sz w:val="21"/>
                      <w:szCs w:val="21"/>
                      <w:highlight w:val="none"/>
                    </w:rPr>
                    <w:t>提高化学原料及化学制品制造业工业企业的节能水平，降低区域的能耗强度。加强重点行业能效管理，升级工艺技术，提高用能设备能效水平</w:t>
                  </w:r>
                </w:p>
              </w:tc>
              <w:tc>
                <w:tcPr>
                  <w:tcW w:w="1779" w:type="pct"/>
                  <w:tcBorders>
                    <w:tl2br w:val="nil"/>
                    <w:tr2bl w:val="nil"/>
                  </w:tcBorders>
                  <w:noWrap w:val="0"/>
                  <w:vAlign w:val="center"/>
                </w:tcPr>
                <w:p w14:paraId="39F26B9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position w:val="0"/>
                      <w:sz w:val="21"/>
                      <w:szCs w:val="21"/>
                      <w:highlight w:val="none"/>
                      <w:lang w:eastAsia="zh-CN"/>
                    </w:rPr>
                  </w:pPr>
                  <w:r>
                    <w:rPr>
                      <w:rFonts w:hint="eastAsia" w:ascii="Times New Roman" w:hAnsi="Times New Roman" w:cs="Times New Roman"/>
                      <w:color w:val="auto"/>
                      <w:spacing w:val="0"/>
                      <w:position w:val="0"/>
                      <w:sz w:val="21"/>
                      <w:szCs w:val="21"/>
                      <w:highlight w:val="none"/>
                      <w:lang w:val="en-US" w:eastAsia="zh-CN"/>
                    </w:rPr>
                    <w:t>本项目</w:t>
                  </w:r>
                  <w:r>
                    <w:rPr>
                      <w:rFonts w:hint="default" w:ascii="Times New Roman" w:hAnsi="Times New Roman" w:cs="Times New Roman"/>
                      <w:color w:val="auto"/>
                      <w:spacing w:val="0"/>
                      <w:position w:val="0"/>
                      <w:sz w:val="21"/>
                      <w:szCs w:val="21"/>
                      <w:highlight w:val="none"/>
                      <w:lang w:val="en-US" w:eastAsia="zh-CN"/>
                    </w:rPr>
                    <w:t>为食用植物油加工项目，不属于</w:t>
                  </w:r>
                  <w:r>
                    <w:rPr>
                      <w:rFonts w:hint="default" w:ascii="Times New Roman" w:hAnsi="Times New Roman" w:cs="Times New Roman"/>
                      <w:color w:val="auto"/>
                      <w:spacing w:val="0"/>
                      <w:position w:val="0"/>
                      <w:sz w:val="21"/>
                      <w:szCs w:val="21"/>
                      <w:highlight w:val="none"/>
                    </w:rPr>
                    <w:t>化学原料及化学制品制造业</w:t>
                  </w:r>
                </w:p>
              </w:tc>
              <w:tc>
                <w:tcPr>
                  <w:tcW w:w="344" w:type="pct"/>
                  <w:tcBorders>
                    <w:tl2br w:val="nil"/>
                    <w:tr2bl w:val="nil"/>
                  </w:tcBorders>
                  <w:noWrap w:val="0"/>
                  <w:vAlign w:val="center"/>
                </w:tcPr>
                <w:p w14:paraId="4F2A34C3">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符合</w:t>
                  </w:r>
                </w:p>
              </w:tc>
            </w:tr>
          </w:tbl>
          <w:p w14:paraId="301E7718">
            <w:pPr>
              <w:pStyle w:val="8"/>
              <w:pageBreakBefore w:val="0"/>
              <w:numPr>
                <w:ilvl w:val="0"/>
                <w:numId w:val="0"/>
              </w:numPr>
              <w:suppressLineNumbers w:val="0"/>
              <w:kinsoku/>
              <w:wordWrap/>
              <w:overflowPunct w:val="0"/>
              <w:topLinePunct/>
              <w:autoSpaceDE/>
              <w:autoSpaceDN/>
              <w:bidi w:val="0"/>
              <w:adjustRightInd w:val="0"/>
              <w:spacing w:before="0" w:beforeAutospacing="0" w:after="0" w:afterAutospacing="0"/>
              <w:ind w:right="0" w:right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1.3与园区规划环评审查意见符合性分析</w:t>
            </w:r>
          </w:p>
          <w:p w14:paraId="093BF392">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eastAsia" w:ascii="Times New Roman" w:hAnsi="Times New Roman" w:cs="Times New Roman"/>
                <w:color w:val="auto"/>
                <w:kern w:val="2"/>
                <w:sz w:val="24"/>
                <w:szCs w:val="24"/>
                <w:highlight w:val="none"/>
                <w:lang w:val="en-US" w:eastAsia="zh-CN" w:bidi="ar"/>
              </w:rPr>
              <w:t>本项目</w:t>
            </w:r>
            <w:r>
              <w:rPr>
                <w:rFonts w:hint="default" w:ascii="Times New Roman" w:hAnsi="Times New Roman" w:eastAsia="宋体" w:cs="Times New Roman"/>
                <w:color w:val="auto"/>
                <w:kern w:val="2"/>
                <w:sz w:val="24"/>
                <w:szCs w:val="24"/>
                <w:highlight w:val="none"/>
                <w:lang w:val="en-US" w:eastAsia="zh-CN" w:bidi="ar"/>
              </w:rPr>
              <w:t>与《重庆市生态环境局关于西部（重庆）科学城九龙新城园区规划环境影响报告书审查意见的函》（渝环函〔2025〕421号）符合性分析见表1-3。</w:t>
            </w:r>
          </w:p>
          <w:p w14:paraId="5CCA08AF">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460" w:lineRule="exact"/>
              <w:ind w:left="0" w:right="0" w:firstLine="0" w:firstLineChars="0"/>
              <w:jc w:val="center"/>
              <w:textAlignment w:val="auto"/>
              <w:rPr>
                <w:rFonts w:hint="default" w:ascii="Times New Roman" w:hAnsi="Times New Roman" w:eastAsia="宋体" w:cs="Times New Roman"/>
                <w:b/>
                <w:bCs/>
                <w:color w:val="auto"/>
                <w:kern w:val="2"/>
                <w:sz w:val="22"/>
                <w:szCs w:val="22"/>
                <w:highlight w:val="none"/>
                <w:lang w:val="en-US" w:eastAsia="zh-CN" w:bidi="ar"/>
              </w:rPr>
            </w:pPr>
            <w:r>
              <w:rPr>
                <w:rFonts w:hint="default" w:ascii="Times New Roman" w:hAnsi="Times New Roman" w:eastAsia="宋体" w:cs="Times New Roman"/>
                <w:b/>
                <w:bCs/>
                <w:color w:val="auto"/>
                <w:kern w:val="2"/>
                <w:sz w:val="22"/>
                <w:szCs w:val="22"/>
                <w:highlight w:val="none"/>
                <w:lang w:val="en-US" w:eastAsia="zh-CN" w:bidi="ar"/>
              </w:rPr>
              <w:t>表1-3与园区规划环评审查意见符合性分析</w:t>
            </w:r>
          </w:p>
          <w:tbl>
            <w:tblPr>
              <w:tblStyle w:val="3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30"/>
              <w:gridCol w:w="787"/>
              <w:gridCol w:w="725"/>
              <w:gridCol w:w="6085"/>
              <w:gridCol w:w="3314"/>
              <w:gridCol w:w="645"/>
            </w:tblGrid>
            <w:tr w14:paraId="72014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121A8EB7">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序号</w:t>
                  </w:r>
                </w:p>
              </w:tc>
              <w:tc>
                <w:tcPr>
                  <w:tcW w:w="320" w:type="pct"/>
                  <w:tcBorders>
                    <w:tl2br w:val="nil"/>
                    <w:tr2bl w:val="nil"/>
                  </w:tcBorders>
                  <w:noWrap w:val="0"/>
                  <w:vAlign w:val="center"/>
                </w:tcPr>
                <w:p w14:paraId="71037E22">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类别</w:t>
                  </w:r>
                </w:p>
              </w:tc>
              <w:tc>
                <w:tcPr>
                  <w:tcW w:w="2770" w:type="pct"/>
                  <w:gridSpan w:val="2"/>
                  <w:tcBorders>
                    <w:tl2br w:val="nil"/>
                    <w:tr2bl w:val="nil"/>
                  </w:tcBorders>
                  <w:noWrap w:val="0"/>
                  <w:vAlign w:val="center"/>
                </w:tcPr>
                <w:p w14:paraId="4A4C0232">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审查意见要求</w:t>
                  </w:r>
                </w:p>
              </w:tc>
              <w:tc>
                <w:tcPr>
                  <w:tcW w:w="1348" w:type="pct"/>
                  <w:tcBorders>
                    <w:tl2br w:val="nil"/>
                    <w:tr2bl w:val="nil"/>
                  </w:tcBorders>
                  <w:noWrap w:val="0"/>
                  <w:vAlign w:val="center"/>
                </w:tcPr>
                <w:p w14:paraId="2980480A">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1"/>
                      <w:szCs w:val="21"/>
                      <w:highlight w:val="none"/>
                      <w:lang w:eastAsia="zh-CN"/>
                    </w:rPr>
                  </w:pPr>
                  <w:r>
                    <w:rPr>
                      <w:rFonts w:hint="eastAsia" w:ascii="Times New Roman" w:hAnsi="Times New Roman" w:cs="Times New Roman"/>
                      <w:color w:val="auto"/>
                      <w:spacing w:val="0"/>
                      <w:w w:val="100"/>
                      <w:sz w:val="21"/>
                      <w:szCs w:val="21"/>
                      <w:highlight w:val="none"/>
                      <w:lang w:eastAsia="zh-CN"/>
                    </w:rPr>
                    <w:t>本项目</w:t>
                  </w:r>
                </w:p>
              </w:tc>
              <w:tc>
                <w:tcPr>
                  <w:tcW w:w="262" w:type="pct"/>
                  <w:tcBorders>
                    <w:tl2br w:val="nil"/>
                    <w:tr2bl w:val="nil"/>
                  </w:tcBorders>
                  <w:noWrap w:val="0"/>
                  <w:vAlign w:val="center"/>
                </w:tcPr>
                <w:p w14:paraId="3D36F384">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符合性</w:t>
                  </w:r>
                </w:p>
              </w:tc>
            </w:tr>
            <w:tr w14:paraId="3A36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2A2616EB">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w w:val="100"/>
                      <w:sz w:val="22"/>
                      <w:szCs w:val="22"/>
                      <w:highlight w:val="none"/>
                    </w:rPr>
                  </w:pPr>
                  <w:r>
                    <w:rPr>
                      <w:rFonts w:hint="default" w:ascii="Times New Roman" w:hAnsi="Times New Roman" w:eastAsia="Times New Roman" w:cs="Times New Roman"/>
                      <w:color w:val="auto"/>
                      <w:spacing w:val="0"/>
                      <w:w w:val="100"/>
                      <w:sz w:val="22"/>
                      <w:szCs w:val="22"/>
                      <w:highlight w:val="none"/>
                    </w:rPr>
                    <w:t>1</w:t>
                  </w:r>
                </w:p>
              </w:tc>
              <w:tc>
                <w:tcPr>
                  <w:tcW w:w="320" w:type="pct"/>
                  <w:tcBorders>
                    <w:tl2br w:val="nil"/>
                    <w:tr2bl w:val="nil"/>
                  </w:tcBorders>
                  <w:noWrap w:val="0"/>
                  <w:vAlign w:val="center"/>
                </w:tcPr>
                <w:p w14:paraId="33C9E329">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严格生态环境准入</w:t>
                  </w:r>
                </w:p>
              </w:tc>
              <w:tc>
                <w:tcPr>
                  <w:tcW w:w="2770" w:type="pct"/>
                  <w:gridSpan w:val="2"/>
                  <w:tcBorders>
                    <w:tl2br w:val="nil"/>
                    <w:tr2bl w:val="nil"/>
                  </w:tcBorders>
                  <w:noWrap w:val="0"/>
                  <w:vAlign w:val="center"/>
                </w:tcPr>
                <w:p w14:paraId="365C2959">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pacing w:val="0"/>
                      <w:w w:val="100"/>
                      <w:sz w:val="21"/>
                      <w:szCs w:val="21"/>
                      <w:highlight w:val="none"/>
                      <w:lang w:eastAsia="zh-CN"/>
                    </w:rPr>
                  </w:pPr>
                  <w:r>
                    <w:rPr>
                      <w:rFonts w:hint="default" w:ascii="Times New Roman" w:hAnsi="Times New Roman" w:cs="Times New Roman"/>
                      <w:color w:val="auto"/>
                      <w:spacing w:val="0"/>
                      <w:w w:val="100"/>
                      <w:sz w:val="21"/>
                      <w:szCs w:val="21"/>
                      <w:highlight w:val="none"/>
                    </w:rPr>
                    <w:t>强化规划环评与生态环境分区管控的联动，主要管控措施应符合重庆市及九龙坡区生态环境分区管控要求。严格建设项目环境准入，入驻工业企业需符合国家和重庆市相关产业和环境准入要求以及</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报告书</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制定的生态环境管控要求。有序推动华岩</w:t>
                  </w:r>
                  <w:r>
                    <w:rPr>
                      <w:rFonts w:hint="default" w:ascii="Times New Roman" w:hAnsi="Times New Roman" w:cs="Times New Roman"/>
                      <w:color w:val="auto"/>
                      <w:spacing w:val="0"/>
                      <w:w w:val="100"/>
                      <w:sz w:val="21"/>
                      <w:szCs w:val="21"/>
                      <w:highlight w:val="none"/>
                      <w:lang w:val="en-US" w:eastAsia="zh-CN"/>
                    </w:rPr>
                    <w:t>-二郎组团、环杨家坪新经济组团内环以内工业用地转型升级，后续重点发展研发创新、软件信息等生产性服务业。华岩-二郎组团和环杨家坪新经济组团禁止新增排放重金属（铬、镉、汞、砷、铅等五类重金属）、剧毒物质和持久性有机污染物的工业项目。禁止新建、改扩建化工项目（安全、环保、节能和智能化改造等，</w:t>
                  </w:r>
                  <w:r>
                    <w:rPr>
                      <w:rFonts w:hint="eastAsia" w:ascii="Times New Roman" w:hAnsi="Times New Roman" w:cs="Times New Roman"/>
                      <w:color w:val="auto"/>
                      <w:spacing w:val="0"/>
                      <w:w w:val="100"/>
                      <w:sz w:val="21"/>
                      <w:szCs w:val="21"/>
                      <w:highlight w:val="none"/>
                      <w:lang w:val="en-US" w:eastAsia="zh-CN"/>
                    </w:rPr>
                    <w:t>本项目</w:t>
                  </w:r>
                  <w:r>
                    <w:rPr>
                      <w:rFonts w:hint="default" w:ascii="Times New Roman" w:hAnsi="Times New Roman" w:cs="Times New Roman"/>
                      <w:color w:val="auto"/>
                      <w:spacing w:val="0"/>
                      <w:w w:val="100"/>
                      <w:sz w:val="21"/>
                      <w:szCs w:val="21"/>
                      <w:highlight w:val="none"/>
                      <w:lang w:val="en-US" w:eastAsia="zh-CN"/>
                    </w:rPr>
                    <w:t>除外）</w:t>
                  </w:r>
                  <w:r>
                    <w:rPr>
                      <w:rFonts w:hint="eastAsia" w:ascii="Times New Roman" w:hAnsi="Times New Roman" w:cs="Times New Roman"/>
                      <w:color w:val="auto"/>
                      <w:spacing w:val="0"/>
                      <w:w w:val="100"/>
                      <w:sz w:val="21"/>
                      <w:szCs w:val="21"/>
                      <w:highlight w:val="none"/>
                      <w:lang w:val="en-US" w:eastAsia="zh-CN"/>
                    </w:rPr>
                    <w:t>，</w:t>
                  </w:r>
                  <w:r>
                    <w:rPr>
                      <w:rFonts w:hint="default" w:ascii="Times New Roman" w:hAnsi="Times New Roman" w:cs="Times New Roman"/>
                      <w:color w:val="auto"/>
                      <w:spacing w:val="0"/>
                      <w:w w:val="100"/>
                      <w:sz w:val="21"/>
                      <w:szCs w:val="21"/>
                      <w:highlight w:val="none"/>
                      <w:lang w:val="en-US" w:eastAsia="zh-CN"/>
                    </w:rPr>
                    <w:t>现有化工项目按国家和重庆市相关要求适时搬入合规化工园区。</w:t>
                  </w:r>
                </w:p>
              </w:tc>
              <w:tc>
                <w:tcPr>
                  <w:tcW w:w="1348" w:type="pct"/>
                  <w:tcBorders>
                    <w:tl2br w:val="nil"/>
                    <w:tr2bl w:val="nil"/>
                  </w:tcBorders>
                  <w:noWrap w:val="0"/>
                  <w:vAlign w:val="center"/>
                </w:tcPr>
                <w:p w14:paraId="71398FB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eastAsia" w:ascii="Times New Roman" w:hAnsi="Times New Roman" w:cs="Times New Roman"/>
                      <w:color w:val="auto"/>
                      <w:spacing w:val="0"/>
                      <w:w w:val="100"/>
                      <w:sz w:val="21"/>
                      <w:szCs w:val="21"/>
                      <w:highlight w:val="none"/>
                      <w:lang w:val="en-US" w:eastAsia="zh-CN"/>
                    </w:rPr>
                    <w:t>本项目</w:t>
                  </w:r>
                  <w:r>
                    <w:rPr>
                      <w:rFonts w:hint="default" w:ascii="Times New Roman" w:hAnsi="Times New Roman" w:cs="Times New Roman"/>
                      <w:color w:val="auto"/>
                      <w:spacing w:val="0"/>
                      <w:w w:val="100"/>
                      <w:sz w:val="21"/>
                      <w:szCs w:val="21"/>
                      <w:highlight w:val="none"/>
                      <w:lang w:val="en-US" w:eastAsia="zh-CN"/>
                    </w:rPr>
                    <w:t>位于西部（重庆）科学城九龙新城园区铜罐驿组团内，</w:t>
                  </w:r>
                  <w:r>
                    <w:rPr>
                      <w:rFonts w:hint="default" w:ascii="Times New Roman" w:hAnsi="Times New Roman" w:cs="Times New Roman"/>
                      <w:color w:val="auto"/>
                      <w:spacing w:val="0"/>
                      <w:w w:val="100"/>
                      <w:sz w:val="21"/>
                      <w:szCs w:val="21"/>
                      <w:highlight w:val="none"/>
                    </w:rPr>
                    <w:t>符合</w:t>
                  </w:r>
                  <w:r>
                    <w:rPr>
                      <w:rFonts w:hint="default" w:ascii="Times New Roman" w:hAnsi="Times New Roman" w:cs="Times New Roman"/>
                      <w:color w:val="auto"/>
                      <w:spacing w:val="0"/>
                      <w:w w:val="100"/>
                      <w:sz w:val="21"/>
                      <w:szCs w:val="21"/>
                      <w:highlight w:val="none"/>
                      <w:lang w:val="en-US" w:eastAsia="zh-CN"/>
                    </w:rPr>
                    <w:t>重庆市及九龙坡生态环境分区管控要求，符合国家和重庆市相关产业和环境准入要求以及《报告书》制定的生态环境管控要求</w:t>
                  </w:r>
                  <w:r>
                    <w:rPr>
                      <w:rFonts w:hint="default" w:ascii="Times New Roman" w:hAnsi="Times New Roman" w:cs="Times New Roman"/>
                      <w:color w:val="auto"/>
                      <w:spacing w:val="0"/>
                      <w:w w:val="100"/>
                      <w:sz w:val="21"/>
                      <w:szCs w:val="21"/>
                      <w:highlight w:val="none"/>
                    </w:rPr>
                    <w:t>，不属于化工项目</w:t>
                  </w:r>
                </w:p>
              </w:tc>
              <w:tc>
                <w:tcPr>
                  <w:tcW w:w="262" w:type="pct"/>
                  <w:tcBorders>
                    <w:tl2br w:val="nil"/>
                    <w:tr2bl w:val="nil"/>
                  </w:tcBorders>
                  <w:noWrap w:val="0"/>
                  <w:vAlign w:val="center"/>
                </w:tcPr>
                <w:p w14:paraId="1220FA45">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w:t>
                  </w:r>
                </w:p>
              </w:tc>
            </w:tr>
            <w:tr w14:paraId="52ECC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vMerge w:val="restart"/>
                  <w:tcBorders>
                    <w:tl2br w:val="nil"/>
                    <w:tr2bl w:val="nil"/>
                  </w:tcBorders>
                  <w:noWrap w:val="0"/>
                  <w:vAlign w:val="center"/>
                </w:tcPr>
                <w:p w14:paraId="545FC281">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w w:val="100"/>
                      <w:sz w:val="22"/>
                      <w:szCs w:val="22"/>
                      <w:highlight w:val="none"/>
                    </w:rPr>
                  </w:pPr>
                  <w:r>
                    <w:rPr>
                      <w:rFonts w:hint="default" w:ascii="Times New Roman" w:hAnsi="Times New Roman" w:eastAsia="Times New Roman" w:cs="Times New Roman"/>
                      <w:color w:val="auto"/>
                      <w:spacing w:val="0"/>
                      <w:w w:val="100"/>
                      <w:sz w:val="22"/>
                      <w:szCs w:val="22"/>
                      <w:highlight w:val="none"/>
                    </w:rPr>
                    <w:t>2</w:t>
                  </w:r>
                </w:p>
              </w:tc>
              <w:tc>
                <w:tcPr>
                  <w:tcW w:w="320" w:type="pct"/>
                  <w:vMerge w:val="restart"/>
                  <w:tcBorders>
                    <w:tl2br w:val="nil"/>
                    <w:tr2bl w:val="nil"/>
                  </w:tcBorders>
                  <w:noWrap w:val="0"/>
                  <w:vAlign w:val="center"/>
                </w:tcPr>
                <w:p w14:paraId="02CABA5A">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lang w:val="en-US" w:eastAsia="zh-CN"/>
                    </w:rPr>
                    <w:t>强化</w:t>
                  </w:r>
                  <w:r>
                    <w:rPr>
                      <w:rFonts w:hint="default" w:ascii="Times New Roman" w:hAnsi="Times New Roman" w:cs="Times New Roman"/>
                      <w:color w:val="auto"/>
                      <w:spacing w:val="0"/>
                      <w:w w:val="100"/>
                      <w:sz w:val="21"/>
                      <w:szCs w:val="21"/>
                      <w:highlight w:val="none"/>
                    </w:rPr>
                    <w:t>空间布局约束</w:t>
                  </w:r>
                </w:p>
              </w:tc>
              <w:tc>
                <w:tcPr>
                  <w:tcW w:w="2770" w:type="pct"/>
                  <w:gridSpan w:val="2"/>
                  <w:tcBorders>
                    <w:tl2br w:val="nil"/>
                    <w:tr2bl w:val="nil"/>
                  </w:tcBorders>
                  <w:noWrap w:val="0"/>
                  <w:vAlign w:val="center"/>
                </w:tcPr>
                <w:p w14:paraId="29C1B4E3">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规划区开发建设应符合重庆市、九龙坡区国土空间规划及用途管制要求。规划实施不得占用九龙坡区生态环境分区管控方案中划定的优先保护单元。涉及环境防护距离的工业企业或项目应通过选址或调整布局原则上将环境防护距离控制在园区边界或用地红线内。</w:t>
                  </w:r>
                </w:p>
              </w:tc>
              <w:tc>
                <w:tcPr>
                  <w:tcW w:w="1348" w:type="pct"/>
                  <w:tcBorders>
                    <w:tl2br w:val="nil"/>
                    <w:tr2bl w:val="nil"/>
                  </w:tcBorders>
                  <w:noWrap w:val="0"/>
                  <w:vAlign w:val="center"/>
                </w:tcPr>
                <w:p w14:paraId="534BE477">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本项目</w:t>
                  </w:r>
                  <w:r>
                    <w:rPr>
                      <w:rFonts w:hint="default" w:ascii="Times New Roman" w:hAnsi="Times New Roman" w:cs="Times New Roman"/>
                      <w:color w:val="auto"/>
                      <w:spacing w:val="0"/>
                      <w:w w:val="100"/>
                      <w:sz w:val="21"/>
                      <w:szCs w:val="21"/>
                      <w:highlight w:val="none"/>
                      <w:lang w:val="en-US" w:eastAsia="zh-CN"/>
                    </w:rPr>
                    <w:t>符合重庆市、九龙坡区国土空间规划及用途管制要求</w:t>
                  </w:r>
                  <w:r>
                    <w:rPr>
                      <w:rFonts w:hint="eastAsia" w:ascii="Times New Roman" w:hAnsi="Times New Roman" w:cs="Times New Roman"/>
                      <w:color w:val="auto"/>
                      <w:spacing w:val="0"/>
                      <w:w w:val="100"/>
                      <w:sz w:val="21"/>
                      <w:szCs w:val="21"/>
                      <w:highlight w:val="none"/>
                      <w:lang w:val="en-US" w:eastAsia="zh-CN"/>
                    </w:rPr>
                    <w:t>；本项目改建精炼车间工程占地范围不涉及优先保护单元，现有</w:t>
                  </w:r>
                  <w:r>
                    <w:rPr>
                      <w:rFonts w:hint="default" w:ascii="Times New Roman" w:hAnsi="Times New Roman" w:eastAsia="宋体" w:cs="Times New Roman"/>
                      <w:bCs w:val="0"/>
                      <w:color w:val="auto"/>
                      <w:kern w:val="0"/>
                      <w:sz w:val="21"/>
                      <w:szCs w:val="21"/>
                      <w:highlight w:val="none"/>
                      <w:lang w:val="en-US" w:eastAsia="zh-CN" w:bidi="ar"/>
                    </w:rPr>
                    <w:t>红蜻蜓（重庆）植物油脂有限公司</w:t>
                  </w:r>
                  <w:r>
                    <w:rPr>
                      <w:rFonts w:hint="eastAsia" w:ascii="Times New Roman" w:hAnsi="Times New Roman" w:cs="Times New Roman"/>
                      <w:color w:val="auto"/>
                      <w:spacing w:val="0"/>
                      <w:w w:val="100"/>
                      <w:sz w:val="21"/>
                      <w:szCs w:val="21"/>
                      <w:highlight w:val="none"/>
                      <w:lang w:val="en-US" w:eastAsia="zh-CN"/>
                    </w:rPr>
                    <w:t>厂区与优先保护单元-长江上游珍稀特有鱼类国家级自然保护区重叠部分提出退让方案后不再占用，满足规划要求；本项目</w:t>
                  </w:r>
                  <w:r>
                    <w:rPr>
                      <w:rFonts w:hint="default" w:ascii="Times New Roman" w:hAnsi="Times New Roman" w:cs="Times New Roman"/>
                      <w:color w:val="auto"/>
                      <w:spacing w:val="0"/>
                      <w:w w:val="100"/>
                      <w:sz w:val="21"/>
                      <w:szCs w:val="21"/>
                      <w:highlight w:val="none"/>
                      <w:lang w:val="en-US" w:eastAsia="zh-CN"/>
                    </w:rPr>
                    <w:t>不涉及环境防护距离</w:t>
                  </w:r>
                </w:p>
              </w:tc>
              <w:tc>
                <w:tcPr>
                  <w:tcW w:w="262" w:type="pct"/>
                  <w:tcBorders>
                    <w:tl2br w:val="nil"/>
                    <w:tr2bl w:val="nil"/>
                  </w:tcBorders>
                  <w:noWrap w:val="0"/>
                  <w:vAlign w:val="center"/>
                </w:tcPr>
                <w:p w14:paraId="12CCF22E">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w:t>
                  </w:r>
                </w:p>
              </w:tc>
            </w:tr>
            <w:tr w14:paraId="43250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vMerge w:val="continue"/>
                  <w:tcBorders>
                    <w:tl2br w:val="nil"/>
                    <w:tr2bl w:val="nil"/>
                  </w:tcBorders>
                  <w:noWrap w:val="0"/>
                  <w:vAlign w:val="center"/>
                </w:tcPr>
                <w:p w14:paraId="63030230">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w w:val="100"/>
                      <w:sz w:val="22"/>
                      <w:szCs w:val="22"/>
                      <w:highlight w:val="none"/>
                    </w:rPr>
                  </w:pPr>
                </w:p>
              </w:tc>
              <w:tc>
                <w:tcPr>
                  <w:tcW w:w="320" w:type="pct"/>
                  <w:vMerge w:val="continue"/>
                  <w:tcBorders>
                    <w:tl2br w:val="nil"/>
                    <w:tr2bl w:val="nil"/>
                  </w:tcBorders>
                  <w:noWrap w:val="0"/>
                  <w:vAlign w:val="center"/>
                </w:tcPr>
                <w:p w14:paraId="45724CC4">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p>
              </w:tc>
              <w:tc>
                <w:tcPr>
                  <w:tcW w:w="2770" w:type="pct"/>
                  <w:gridSpan w:val="2"/>
                  <w:tcBorders>
                    <w:tl2br w:val="nil"/>
                    <w:tr2bl w:val="nil"/>
                  </w:tcBorders>
                  <w:noWrap w:val="0"/>
                  <w:vAlign w:val="center"/>
                </w:tcPr>
                <w:p w14:paraId="41F5738F">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合理规划布局，工业用地紧邻居住用地等环境敏感区一侧宜布局宿舍、办公楼等非生产设施，避免对周边环境敏感目标造成影响。西彭组团与居住用地相邻的规划工业用地</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A34、A33地块</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及东北侧规划科研用地兼工业用地禁止新布局高噪声和涉及喷漆、重力铸造、酸洗、熔炼等大气污染较大的工业项目，陶家组团与居住用地相邻的规划工业用地</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L9-01、L27-02-1地块</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禁止新布局高噪声和涉及喷漆、重力铸造、酸洗、熔炼等大气污染较大的工业项目。</w:t>
                  </w:r>
                </w:p>
              </w:tc>
              <w:tc>
                <w:tcPr>
                  <w:tcW w:w="1348" w:type="pct"/>
                  <w:tcBorders>
                    <w:tl2br w:val="nil"/>
                    <w:tr2bl w:val="nil"/>
                  </w:tcBorders>
                  <w:noWrap w:val="0"/>
                  <w:vAlign w:val="center"/>
                </w:tcPr>
                <w:p w14:paraId="4311D1AC">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本项目</w:t>
                  </w:r>
                  <w:r>
                    <w:rPr>
                      <w:rFonts w:hint="default" w:ascii="Times New Roman" w:hAnsi="Times New Roman" w:cs="Times New Roman"/>
                      <w:color w:val="auto"/>
                      <w:spacing w:val="0"/>
                      <w:w w:val="100"/>
                      <w:sz w:val="21"/>
                      <w:szCs w:val="21"/>
                      <w:highlight w:val="none"/>
                      <w:lang w:val="en-US" w:eastAsia="zh-CN"/>
                    </w:rPr>
                    <w:t>位于西部（重庆）科学城九龙新城园区铜罐驿组团内，</w:t>
                  </w:r>
                  <w:r>
                    <w:rPr>
                      <w:rFonts w:hint="eastAsia" w:ascii="Times New Roman" w:hAnsi="Times New Roman" w:cs="Times New Roman"/>
                      <w:color w:val="auto"/>
                      <w:spacing w:val="0"/>
                      <w:w w:val="100"/>
                      <w:sz w:val="21"/>
                      <w:szCs w:val="21"/>
                      <w:highlight w:val="none"/>
                      <w:lang w:val="en-US" w:eastAsia="zh-CN"/>
                    </w:rPr>
                    <w:t>本项目</w:t>
                  </w:r>
                  <w:r>
                    <w:rPr>
                      <w:rFonts w:hint="default" w:ascii="Times New Roman" w:hAnsi="Times New Roman" w:cs="Times New Roman"/>
                      <w:color w:val="auto"/>
                      <w:spacing w:val="0"/>
                      <w:w w:val="100"/>
                      <w:sz w:val="21"/>
                      <w:szCs w:val="21"/>
                      <w:highlight w:val="none"/>
                      <w:lang w:val="en-US" w:eastAsia="zh-CN"/>
                    </w:rPr>
                    <w:t>在现有厂区用地范围内进行</w:t>
                  </w:r>
                  <w:r>
                    <w:rPr>
                      <w:rFonts w:hint="eastAsia" w:ascii="Times New Roman" w:hAnsi="Times New Roman" w:cs="Times New Roman"/>
                      <w:color w:val="auto"/>
                      <w:spacing w:val="0"/>
                      <w:w w:val="100"/>
                      <w:sz w:val="21"/>
                      <w:szCs w:val="21"/>
                      <w:highlight w:val="none"/>
                      <w:lang w:val="en-US" w:eastAsia="zh-CN"/>
                    </w:rPr>
                    <w:t>改建</w:t>
                  </w:r>
                  <w:r>
                    <w:rPr>
                      <w:rFonts w:hint="default" w:ascii="Times New Roman" w:hAnsi="Times New Roman" w:cs="Times New Roman"/>
                      <w:color w:val="auto"/>
                      <w:spacing w:val="0"/>
                      <w:w w:val="100"/>
                      <w:sz w:val="21"/>
                      <w:szCs w:val="21"/>
                      <w:highlight w:val="none"/>
                      <w:lang w:val="en-US" w:eastAsia="zh-CN"/>
                    </w:rPr>
                    <w:t>，不与居住用地紧邻</w:t>
                  </w:r>
                </w:p>
              </w:tc>
              <w:tc>
                <w:tcPr>
                  <w:tcW w:w="262" w:type="pct"/>
                  <w:tcBorders>
                    <w:tl2br w:val="nil"/>
                    <w:tr2bl w:val="nil"/>
                  </w:tcBorders>
                  <w:noWrap w:val="0"/>
                  <w:vAlign w:val="center"/>
                </w:tcPr>
                <w:p w14:paraId="7FC6FCF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1"/>
                      <w:szCs w:val="21"/>
                      <w:highlight w:val="none"/>
                      <w:lang w:val="en-US" w:eastAsia="zh-CN"/>
                    </w:rPr>
                  </w:pPr>
                  <w:r>
                    <w:rPr>
                      <w:rFonts w:hint="default" w:ascii="Times New Roman" w:hAnsi="Times New Roman" w:cs="Times New Roman"/>
                      <w:color w:val="auto"/>
                      <w:spacing w:val="0"/>
                      <w:w w:val="100"/>
                      <w:sz w:val="21"/>
                      <w:szCs w:val="21"/>
                      <w:highlight w:val="none"/>
                      <w:lang w:val="en-US" w:eastAsia="zh-CN"/>
                    </w:rPr>
                    <w:t>符合</w:t>
                  </w:r>
                </w:p>
              </w:tc>
            </w:tr>
            <w:tr w14:paraId="10687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132CB03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w w:val="100"/>
                      <w:sz w:val="22"/>
                      <w:szCs w:val="22"/>
                      <w:highlight w:val="none"/>
                    </w:rPr>
                  </w:pPr>
                  <w:r>
                    <w:rPr>
                      <w:rFonts w:hint="default" w:ascii="Times New Roman" w:hAnsi="Times New Roman" w:eastAsia="Times New Roman" w:cs="Times New Roman"/>
                      <w:color w:val="auto"/>
                      <w:spacing w:val="0"/>
                      <w:w w:val="100"/>
                      <w:sz w:val="22"/>
                      <w:szCs w:val="22"/>
                      <w:highlight w:val="none"/>
                    </w:rPr>
                    <w:t>3</w:t>
                  </w:r>
                </w:p>
              </w:tc>
              <w:tc>
                <w:tcPr>
                  <w:tcW w:w="320" w:type="pct"/>
                  <w:vMerge w:val="restart"/>
                  <w:tcBorders>
                    <w:tl2br w:val="nil"/>
                    <w:tr2bl w:val="nil"/>
                  </w:tcBorders>
                  <w:noWrap w:val="0"/>
                  <w:vAlign w:val="center"/>
                </w:tcPr>
                <w:p w14:paraId="79258619">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lang w:val="en-US" w:eastAsia="zh-CN"/>
                    </w:rPr>
                    <w:t>加强</w:t>
                  </w:r>
                  <w:r>
                    <w:rPr>
                      <w:rFonts w:hint="default" w:ascii="Times New Roman" w:hAnsi="Times New Roman" w:cs="Times New Roman"/>
                      <w:color w:val="auto"/>
                      <w:spacing w:val="0"/>
                      <w:w w:val="100"/>
                      <w:sz w:val="21"/>
                      <w:szCs w:val="21"/>
                      <w:highlight w:val="none"/>
                    </w:rPr>
                    <w:t>污染排放管控</w:t>
                  </w:r>
                </w:p>
              </w:tc>
              <w:tc>
                <w:tcPr>
                  <w:tcW w:w="295" w:type="pct"/>
                  <w:tcBorders>
                    <w:tl2br w:val="nil"/>
                    <w:tr2bl w:val="nil"/>
                  </w:tcBorders>
                  <w:noWrap w:val="0"/>
                  <w:vAlign w:val="center"/>
                </w:tcPr>
                <w:p w14:paraId="411AE4F9">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水污染排放管控</w:t>
                  </w:r>
                </w:p>
              </w:tc>
              <w:tc>
                <w:tcPr>
                  <w:tcW w:w="2474" w:type="pct"/>
                  <w:tcBorders>
                    <w:tl2br w:val="nil"/>
                    <w:tr2bl w:val="nil"/>
                  </w:tcBorders>
                  <w:noWrap w:val="0"/>
                  <w:vAlign w:val="center"/>
                </w:tcPr>
                <w:p w14:paraId="4CCC076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规划区排水系统采用雨、污分流制。西彭组团、陶家组团、铜罐驿组团禁止新增废水排放五类重金属</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铬、镉、汞、砷、铅</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、剧毒物质和持久性有机污染物的工业项目。西彭组团</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除西南铝企业外</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污废水经企业预处理达接管要求后进入西彭工业园区污水处理厂</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西彭工业园区污水处理厂提标扩建预计2025年年底前完成</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西南铝企业污废水进入自建污水处理站处理。陶家组团污废水经企业预处理达接管要求后排入陶家工业污水处理厂进一步处理，陶家工业污水处理厂配套管网建设预计2025年年底前完成。铜罐驿组团污废水</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除重庆和友实业股份有限公司</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经企业预处理达接管要求后进入铜罐驿污水处理厂进一步处理</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同时加快推进铜罐驿污水处理厂配套管网建设工作，小可食品污废水接入铜罐驿污水处理厂前不得实施增加入河污染物的改、扩建项目</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重庆和友实业股份有限公司进入自建污水处理站处理。华岩</w:t>
                  </w:r>
                  <w:r>
                    <w:rPr>
                      <w:rFonts w:hint="default" w:ascii="Times New Roman" w:hAnsi="Times New Roman" w:cs="Times New Roman"/>
                      <w:color w:val="auto"/>
                      <w:spacing w:val="0"/>
                      <w:w w:val="100"/>
                      <w:sz w:val="21"/>
                      <w:szCs w:val="21"/>
                      <w:highlight w:val="none"/>
                      <w:lang w:val="en-US" w:eastAsia="zh-CN"/>
                    </w:rPr>
                    <w:t>-</w:t>
                  </w:r>
                  <w:r>
                    <w:rPr>
                      <w:rFonts w:hint="default" w:ascii="Times New Roman" w:hAnsi="Times New Roman" w:cs="Times New Roman"/>
                      <w:color w:val="auto"/>
                      <w:spacing w:val="0"/>
                      <w:w w:val="100"/>
                      <w:sz w:val="21"/>
                      <w:szCs w:val="21"/>
                      <w:highlight w:val="none"/>
                    </w:rPr>
                    <w:t>二郎组团中华岩区块</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成渝铁路以西区域</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污废水经企业预处理达接管要求后接入九龙工业园区B3区污水处理厂进一步处理</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华岩</w:t>
                  </w:r>
                  <w:r>
                    <w:rPr>
                      <w:rFonts w:hint="default" w:ascii="Times New Roman" w:hAnsi="Times New Roman" w:cs="Times New Roman"/>
                      <w:color w:val="auto"/>
                      <w:spacing w:val="0"/>
                      <w:w w:val="100"/>
                      <w:sz w:val="21"/>
                      <w:szCs w:val="21"/>
                      <w:highlight w:val="none"/>
                      <w:lang w:val="en-US" w:eastAsia="zh-CN"/>
                    </w:rPr>
                    <w:t>-</w:t>
                  </w:r>
                  <w:r>
                    <w:rPr>
                      <w:rFonts w:hint="default" w:ascii="Times New Roman" w:hAnsi="Times New Roman" w:cs="Times New Roman"/>
                      <w:color w:val="auto"/>
                      <w:spacing w:val="0"/>
                      <w:w w:val="100"/>
                      <w:sz w:val="21"/>
                      <w:szCs w:val="21"/>
                      <w:highlight w:val="none"/>
                    </w:rPr>
                    <w:t>二郎组团其他区域依托规划区外大九污水处理厂和彩云湖污水处理厂处理达标后排放。环杨家坪新经济组团污废水经扬声桥污水处理厂、鸡冠石污水处理厂处理达标后排放。</w:t>
                  </w:r>
                </w:p>
              </w:tc>
              <w:tc>
                <w:tcPr>
                  <w:tcW w:w="1348" w:type="pct"/>
                  <w:tcBorders>
                    <w:tl2br w:val="nil"/>
                    <w:tr2bl w:val="nil"/>
                  </w:tcBorders>
                  <w:noWrap w:val="0"/>
                  <w:vAlign w:val="center"/>
                </w:tcPr>
                <w:p w14:paraId="6F0DDC34">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lang w:val="en-US"/>
                    </w:rPr>
                  </w:pPr>
                  <w:r>
                    <w:rPr>
                      <w:rFonts w:hint="eastAsia" w:ascii="Times New Roman" w:hAnsi="Times New Roman" w:cs="Times New Roman"/>
                      <w:color w:val="auto"/>
                      <w:spacing w:val="0"/>
                      <w:w w:val="100"/>
                      <w:sz w:val="21"/>
                      <w:szCs w:val="21"/>
                      <w:highlight w:val="none"/>
                      <w:lang w:val="en-US" w:eastAsia="zh-CN"/>
                    </w:rPr>
                    <w:t>本项目</w:t>
                  </w:r>
                  <w:r>
                    <w:rPr>
                      <w:rFonts w:hint="default" w:ascii="Times New Roman" w:hAnsi="Times New Roman" w:cs="Times New Roman"/>
                      <w:color w:val="auto"/>
                      <w:spacing w:val="0"/>
                      <w:w w:val="100"/>
                      <w:sz w:val="21"/>
                      <w:szCs w:val="21"/>
                      <w:highlight w:val="none"/>
                      <w:lang w:val="en-US" w:eastAsia="zh-CN"/>
                    </w:rPr>
                    <w:t>排水系统为雨、污分流，不属于新增废水排放五类重金属（铬、镉、汞、砷、铅）、剧毒物质和持久性有机污染物的工业项目，位于铜罐驿组团，</w:t>
                  </w:r>
                  <w:r>
                    <w:rPr>
                      <w:rFonts w:hint="eastAsia" w:ascii="Times New Roman" w:hAnsi="Times New Roman" w:cs="Times New Roman"/>
                      <w:color w:val="auto"/>
                      <w:spacing w:val="0"/>
                      <w:w w:val="100"/>
                      <w:sz w:val="21"/>
                      <w:szCs w:val="21"/>
                      <w:highlight w:val="none"/>
                      <w:lang w:val="en-US" w:eastAsia="zh-CN"/>
                    </w:rPr>
                    <w:t>本项目通过工艺升级改造，实现水洗排水回用，减少了废水排放量，不新增污染物排放；厂区</w:t>
                  </w:r>
                  <w:r>
                    <w:rPr>
                      <w:rFonts w:hint="default" w:ascii="Times New Roman" w:hAnsi="Times New Roman" w:cs="Times New Roman"/>
                      <w:color w:val="auto"/>
                      <w:spacing w:val="0"/>
                      <w:w w:val="100"/>
                      <w:sz w:val="21"/>
                      <w:szCs w:val="21"/>
                      <w:highlight w:val="none"/>
                      <w:lang w:val="en-US" w:eastAsia="zh-CN"/>
                    </w:rPr>
                    <w:t>污废水经已建污水处理站处理达标后排入铜罐驿污水处理厂进一步处理</w:t>
                  </w:r>
                </w:p>
              </w:tc>
              <w:tc>
                <w:tcPr>
                  <w:tcW w:w="262" w:type="pct"/>
                  <w:tcBorders>
                    <w:tl2br w:val="nil"/>
                    <w:tr2bl w:val="nil"/>
                  </w:tcBorders>
                  <w:noWrap w:val="0"/>
                  <w:vAlign w:val="center"/>
                </w:tcPr>
                <w:p w14:paraId="00C6050A">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w:t>
                  </w:r>
                </w:p>
              </w:tc>
            </w:tr>
            <w:tr w14:paraId="7552B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2054C33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w w:val="100"/>
                      <w:sz w:val="22"/>
                      <w:szCs w:val="22"/>
                      <w:highlight w:val="none"/>
                    </w:rPr>
                  </w:pPr>
                  <w:r>
                    <w:rPr>
                      <w:rFonts w:hint="default" w:ascii="Times New Roman" w:hAnsi="Times New Roman" w:eastAsia="Times New Roman" w:cs="Times New Roman"/>
                      <w:color w:val="auto"/>
                      <w:spacing w:val="0"/>
                      <w:w w:val="100"/>
                      <w:sz w:val="22"/>
                      <w:szCs w:val="22"/>
                      <w:highlight w:val="none"/>
                    </w:rPr>
                    <w:t>4</w:t>
                  </w:r>
                </w:p>
              </w:tc>
              <w:tc>
                <w:tcPr>
                  <w:tcW w:w="320" w:type="pct"/>
                  <w:vMerge w:val="continue"/>
                  <w:tcBorders>
                    <w:tl2br w:val="nil"/>
                    <w:tr2bl w:val="nil"/>
                  </w:tcBorders>
                  <w:noWrap w:val="0"/>
                  <w:vAlign w:val="center"/>
                </w:tcPr>
                <w:p w14:paraId="7D6DED0F">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2"/>
                      <w:szCs w:val="28"/>
                      <w:highlight w:val="none"/>
                    </w:rPr>
                  </w:pPr>
                </w:p>
              </w:tc>
              <w:tc>
                <w:tcPr>
                  <w:tcW w:w="295" w:type="pct"/>
                  <w:tcBorders>
                    <w:tl2br w:val="nil"/>
                    <w:tr2bl w:val="nil"/>
                  </w:tcBorders>
                  <w:noWrap w:val="0"/>
                  <w:vAlign w:val="center"/>
                </w:tcPr>
                <w:p w14:paraId="0DE23C6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大气污染物排放管控</w:t>
                  </w:r>
                </w:p>
              </w:tc>
              <w:tc>
                <w:tcPr>
                  <w:tcW w:w="2474" w:type="pct"/>
                  <w:tcBorders>
                    <w:tl2br w:val="nil"/>
                    <w:tr2bl w:val="nil"/>
                  </w:tcBorders>
                  <w:noWrap w:val="0"/>
                  <w:vAlign w:val="center"/>
                </w:tcPr>
                <w:p w14:paraId="7A8FD97C">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优化能源结构，严格落实清洁能源计划，鼓励使用天然气、电等清洁能源。燃气锅炉应采用低氮燃烧工艺。加强工业企业大气污染综合治理，各入驻企业应采取有效的废气处理措施，确保工艺废气稳定达标排放。严格按照国家及重庆市关于挥发性有机物治理的相关要求落实污染防治措施，涉及挥发性有机物排放的项目应从源头加强控制，优先使用低</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无</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VOCs含量的原辅料，并按相关要求采用先进高效工艺，减少工艺过程无组织排放。汽车制造业、通用设备制造业企业应根据生产工艺、污染物类型，对工艺废气实施分类收集、分质处理，按照</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应收尽收</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原则提高废气收集率。严格控制工业企业粉尘无组织排放，加强工业企业废气污染防治，确保厂界达标，减少对周边环境敏感目标的影响。</w:t>
                  </w:r>
                </w:p>
              </w:tc>
              <w:tc>
                <w:tcPr>
                  <w:tcW w:w="1348" w:type="pct"/>
                  <w:tcBorders>
                    <w:tl2br w:val="nil"/>
                    <w:tr2bl w:val="nil"/>
                  </w:tcBorders>
                  <w:noWrap w:val="0"/>
                  <w:vAlign w:val="center"/>
                </w:tcPr>
                <w:p w14:paraId="42DD8FF3">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本项目</w:t>
                  </w:r>
                  <w:r>
                    <w:rPr>
                      <w:rFonts w:hint="default" w:ascii="Times New Roman" w:hAnsi="Times New Roman" w:cs="Times New Roman"/>
                      <w:color w:val="auto"/>
                      <w:spacing w:val="0"/>
                      <w:w w:val="100"/>
                      <w:sz w:val="21"/>
                      <w:szCs w:val="21"/>
                      <w:highlight w:val="none"/>
                      <w:lang w:val="en-US" w:eastAsia="zh-CN"/>
                    </w:rPr>
                    <w:t>为食用植物油加工项目，使用清洁能源天然气、电</w:t>
                  </w:r>
                  <w:r>
                    <w:rPr>
                      <w:rFonts w:hint="eastAsia" w:ascii="Times New Roman" w:hAnsi="Times New Roman" w:cs="Times New Roman"/>
                      <w:color w:val="auto"/>
                      <w:spacing w:val="0"/>
                      <w:w w:val="100"/>
                      <w:sz w:val="21"/>
                      <w:szCs w:val="21"/>
                      <w:highlight w:val="none"/>
                      <w:lang w:val="en-US" w:eastAsia="zh-CN"/>
                    </w:rPr>
                    <w:t>；脱色工段白土投料由人工投料升级为密闭负压投料，减少无组织粉尘排放；精炼废气由“冷冻+碱喷淋+次氯酸钠”升级为</w:t>
                  </w:r>
                  <w:r>
                    <w:rPr>
                      <w:rFonts w:hint="default" w:ascii="Times New Roman" w:hAnsi="Times New Roman" w:cs="Times New Roman"/>
                      <w:color w:val="auto"/>
                      <w:spacing w:val="0"/>
                      <w:w w:val="100"/>
                      <w:sz w:val="21"/>
                      <w:szCs w:val="21"/>
                      <w:highlight w:val="none"/>
                      <w:lang w:val="en-US" w:eastAsia="zh-CN"/>
                    </w:rPr>
                    <w:t>“</w:t>
                  </w:r>
                  <w:r>
                    <w:rPr>
                      <w:rFonts w:hint="eastAsia" w:ascii="Times New Roman" w:hAnsi="Times New Roman" w:cs="Times New Roman"/>
                      <w:bCs/>
                      <w:color w:val="auto"/>
                      <w:kern w:val="2"/>
                      <w:sz w:val="21"/>
                      <w:szCs w:val="21"/>
                      <w:highlight w:val="none"/>
                      <w:lang w:val="en-US" w:eastAsia="zh-CN"/>
                    </w:rPr>
                    <w:t>冰冻冷凝+二级碱喷淋+次氯酸钠喷淋+活性炭吸附</w:t>
                  </w:r>
                  <w:r>
                    <w:rPr>
                      <w:rFonts w:hint="default" w:ascii="Times New Roman" w:hAnsi="Times New Roman" w:cs="Times New Roman"/>
                      <w:bCs/>
                      <w:color w:val="auto"/>
                      <w:kern w:val="2"/>
                      <w:sz w:val="21"/>
                      <w:szCs w:val="21"/>
                      <w:highlight w:val="none"/>
                      <w:lang w:val="en-US" w:eastAsia="zh-CN"/>
                    </w:rPr>
                    <w:t>”</w:t>
                  </w:r>
                  <w:r>
                    <w:rPr>
                      <w:rFonts w:hint="default" w:ascii="Times New Roman" w:hAnsi="Times New Roman" w:eastAsia="宋体" w:cs="Times New Roman"/>
                      <w:bCs/>
                      <w:color w:val="auto"/>
                      <w:kern w:val="2"/>
                      <w:sz w:val="21"/>
                      <w:szCs w:val="21"/>
                      <w:highlight w:val="none"/>
                      <w:lang w:val="en-US" w:eastAsia="zh-CN"/>
                    </w:rPr>
                    <w:t>处理工艺</w:t>
                  </w:r>
                  <w:r>
                    <w:rPr>
                      <w:rFonts w:hint="eastAsia" w:ascii="Times New Roman" w:hAnsi="Times New Roman" w:cs="Times New Roman"/>
                      <w:bCs/>
                      <w:color w:val="auto"/>
                      <w:kern w:val="2"/>
                      <w:sz w:val="21"/>
                      <w:szCs w:val="21"/>
                      <w:highlight w:val="none"/>
                      <w:lang w:val="en-US" w:eastAsia="zh-CN"/>
                    </w:rPr>
                    <w:t>；</w:t>
                  </w:r>
                  <w:r>
                    <w:rPr>
                      <w:rFonts w:hint="eastAsia" w:ascii="Times New Roman" w:hAnsi="Times New Roman" w:cs="Times New Roman"/>
                      <w:color w:val="auto"/>
                      <w:spacing w:val="0"/>
                      <w:w w:val="100"/>
                      <w:sz w:val="21"/>
                      <w:szCs w:val="21"/>
                      <w:highlight w:val="none"/>
                      <w:lang w:val="en-US" w:eastAsia="zh-CN"/>
                    </w:rPr>
                    <w:t>燃气锅炉采用低氮燃烧技术，</w:t>
                  </w:r>
                  <w:r>
                    <w:rPr>
                      <w:rFonts w:hint="default" w:ascii="Times New Roman" w:hAnsi="Times New Roman" w:cs="Times New Roman"/>
                      <w:color w:val="auto"/>
                      <w:spacing w:val="0"/>
                      <w:w w:val="100"/>
                      <w:sz w:val="21"/>
                      <w:szCs w:val="21"/>
                      <w:highlight w:val="none"/>
                      <w:lang w:val="en-US" w:eastAsia="zh-CN"/>
                    </w:rPr>
                    <w:t>严格按照国家及重庆市关于挥发性有机物治理的相关要求落实污染防治措施。</w:t>
                  </w:r>
                </w:p>
              </w:tc>
              <w:tc>
                <w:tcPr>
                  <w:tcW w:w="262" w:type="pct"/>
                  <w:tcBorders>
                    <w:tl2br w:val="nil"/>
                    <w:tr2bl w:val="nil"/>
                  </w:tcBorders>
                  <w:noWrap w:val="0"/>
                  <w:vAlign w:val="center"/>
                </w:tcPr>
                <w:p w14:paraId="30E1D24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w:t>
                  </w:r>
                </w:p>
              </w:tc>
            </w:tr>
            <w:tr w14:paraId="12C81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2CF3F17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w w:val="100"/>
                      <w:sz w:val="22"/>
                      <w:szCs w:val="22"/>
                      <w:highlight w:val="none"/>
                    </w:rPr>
                  </w:pPr>
                  <w:r>
                    <w:rPr>
                      <w:rFonts w:hint="default" w:ascii="Times New Roman" w:hAnsi="Times New Roman" w:eastAsia="Times New Roman" w:cs="Times New Roman"/>
                      <w:color w:val="auto"/>
                      <w:spacing w:val="0"/>
                      <w:w w:val="100"/>
                      <w:sz w:val="22"/>
                      <w:szCs w:val="22"/>
                      <w:highlight w:val="none"/>
                    </w:rPr>
                    <w:t>5</w:t>
                  </w:r>
                </w:p>
              </w:tc>
              <w:tc>
                <w:tcPr>
                  <w:tcW w:w="320" w:type="pct"/>
                  <w:vMerge w:val="continue"/>
                  <w:tcBorders>
                    <w:tl2br w:val="nil"/>
                    <w:tr2bl w:val="nil"/>
                  </w:tcBorders>
                  <w:noWrap w:val="0"/>
                  <w:vAlign w:val="center"/>
                </w:tcPr>
                <w:p w14:paraId="3053705F">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2"/>
                      <w:szCs w:val="28"/>
                      <w:highlight w:val="none"/>
                    </w:rPr>
                  </w:pPr>
                </w:p>
              </w:tc>
              <w:tc>
                <w:tcPr>
                  <w:tcW w:w="295" w:type="pct"/>
                  <w:tcBorders>
                    <w:tl2br w:val="nil"/>
                    <w:tr2bl w:val="nil"/>
                  </w:tcBorders>
                  <w:noWrap w:val="0"/>
                  <w:vAlign w:val="center"/>
                </w:tcPr>
                <w:p w14:paraId="56B3376C">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工业固废排放管控</w:t>
                  </w:r>
                </w:p>
              </w:tc>
              <w:tc>
                <w:tcPr>
                  <w:tcW w:w="2474" w:type="pct"/>
                  <w:tcBorders>
                    <w:tl2br w:val="nil"/>
                    <w:tr2bl w:val="nil"/>
                  </w:tcBorders>
                  <w:noWrap w:val="0"/>
                  <w:vAlign w:val="center"/>
                </w:tcPr>
                <w:p w14:paraId="0561A3F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加强一般工业固体废物综合利用和处置，鼓励企业自行回收利用一般工业固体废物，按减量化、资源化、无害化原则妥善收集、处置。危险废物产生单位应严格落实危险废物环境管理制度，做好危险废物管理计划和管理台账，对项目危险废物收集、贮存、运输、利用、处置各环节进行全过程环境监管</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严格按照</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危险废物贮存污染控制标准</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(GB18597-2023</w:t>
                  </w:r>
                  <w:r>
                    <w:rPr>
                      <w:rFonts w:hint="eastAsia"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等有关规定，设置危险废物暂存场所</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危险废物转移应严格执行</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危险废物转移管理办法</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生态环境部公安部交通运输部部令第23号</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等相关要求。</w:t>
                  </w:r>
                </w:p>
              </w:tc>
              <w:tc>
                <w:tcPr>
                  <w:tcW w:w="1348" w:type="pct"/>
                  <w:tcBorders>
                    <w:tl2br w:val="nil"/>
                    <w:tr2bl w:val="nil"/>
                  </w:tcBorders>
                  <w:noWrap w:val="0"/>
                  <w:vAlign w:val="center"/>
                </w:tcPr>
                <w:p w14:paraId="4D2B7B9F">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color w:val="auto"/>
                      <w:spacing w:val="0"/>
                      <w:w w:val="100"/>
                      <w:sz w:val="21"/>
                      <w:szCs w:val="21"/>
                      <w:highlight w:val="none"/>
                      <w:lang w:eastAsia="zh-CN"/>
                    </w:rPr>
                  </w:pPr>
                  <w:r>
                    <w:rPr>
                      <w:rFonts w:hint="eastAsia" w:ascii="Times New Roman" w:hAnsi="Times New Roman" w:cs="Times New Roman"/>
                      <w:color w:val="auto"/>
                      <w:spacing w:val="0"/>
                      <w:w w:val="100"/>
                      <w:sz w:val="21"/>
                      <w:szCs w:val="21"/>
                      <w:highlight w:val="none"/>
                      <w:lang w:val="en-US" w:eastAsia="zh-CN"/>
                    </w:rPr>
                    <w:t>本项目</w:t>
                  </w:r>
                  <w:r>
                    <w:rPr>
                      <w:rFonts w:hint="default" w:ascii="Times New Roman" w:hAnsi="Times New Roman" w:cs="Times New Roman"/>
                      <w:color w:val="auto"/>
                      <w:spacing w:val="0"/>
                      <w:w w:val="100"/>
                      <w:sz w:val="21"/>
                      <w:szCs w:val="21"/>
                      <w:highlight w:val="none"/>
                    </w:rPr>
                    <w:t>各类固体废物均能得到妥善处置，厂区内按《危险废物贮存污染控制标准》</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eastAsia="宋体" w:cs="Times New Roman"/>
                      <w:color w:val="auto"/>
                      <w:spacing w:val="0"/>
                      <w:w w:val="100"/>
                      <w:sz w:val="21"/>
                      <w:szCs w:val="21"/>
                      <w:highlight w:val="none"/>
                      <w:lang w:eastAsia="zh-CN"/>
                    </w:rPr>
                    <w:t>GB</w:t>
                  </w:r>
                  <w:r>
                    <w:rPr>
                      <w:rFonts w:hint="default" w:ascii="Times New Roman" w:hAnsi="Times New Roman" w:eastAsia="Times New Roman" w:cs="Times New Roman"/>
                      <w:color w:val="auto"/>
                      <w:spacing w:val="0"/>
                      <w:w w:val="100"/>
                      <w:sz w:val="21"/>
                      <w:szCs w:val="21"/>
                      <w:highlight w:val="none"/>
                    </w:rPr>
                    <w:t>18579-2023</w:t>
                  </w:r>
                  <w:r>
                    <w:rPr>
                      <w:rFonts w:hint="default" w:ascii="Times New Roman" w:hAnsi="Times New Roman" w:cs="Times New Roman"/>
                      <w:color w:val="auto"/>
                      <w:spacing w:val="0"/>
                      <w:w w:val="100"/>
                      <w:sz w:val="21"/>
                      <w:szCs w:val="21"/>
                      <w:highlight w:val="none"/>
                    </w:rPr>
                    <w:t>）有关规定设置危险废物</w:t>
                  </w:r>
                  <w:r>
                    <w:rPr>
                      <w:rFonts w:hint="default" w:ascii="Times New Roman" w:hAnsi="Times New Roman" w:cs="Times New Roman"/>
                      <w:color w:val="auto"/>
                      <w:spacing w:val="0"/>
                      <w:w w:val="100"/>
                      <w:sz w:val="21"/>
                      <w:szCs w:val="21"/>
                      <w:highlight w:val="none"/>
                      <w:lang w:val="en-US" w:eastAsia="zh-CN"/>
                    </w:rPr>
                    <w:t>贮存库。</w:t>
                  </w:r>
                </w:p>
              </w:tc>
              <w:tc>
                <w:tcPr>
                  <w:tcW w:w="262" w:type="pct"/>
                  <w:tcBorders>
                    <w:tl2br w:val="nil"/>
                    <w:tr2bl w:val="nil"/>
                  </w:tcBorders>
                  <w:noWrap w:val="0"/>
                  <w:vAlign w:val="center"/>
                </w:tcPr>
                <w:p w14:paraId="50C5E1F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w:t>
                  </w:r>
                </w:p>
              </w:tc>
            </w:tr>
            <w:tr w14:paraId="6FB1E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2E9CB577">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w w:val="100"/>
                      <w:sz w:val="22"/>
                      <w:szCs w:val="22"/>
                      <w:highlight w:val="none"/>
                    </w:rPr>
                  </w:pPr>
                  <w:r>
                    <w:rPr>
                      <w:rFonts w:hint="default" w:ascii="Times New Roman" w:hAnsi="Times New Roman" w:eastAsia="Times New Roman" w:cs="Times New Roman"/>
                      <w:color w:val="auto"/>
                      <w:spacing w:val="0"/>
                      <w:w w:val="100"/>
                      <w:sz w:val="22"/>
                      <w:szCs w:val="22"/>
                      <w:highlight w:val="none"/>
                    </w:rPr>
                    <w:t>6</w:t>
                  </w:r>
                </w:p>
              </w:tc>
              <w:tc>
                <w:tcPr>
                  <w:tcW w:w="320" w:type="pct"/>
                  <w:vMerge w:val="continue"/>
                  <w:tcBorders>
                    <w:tl2br w:val="nil"/>
                    <w:tr2bl w:val="nil"/>
                  </w:tcBorders>
                  <w:noWrap w:val="0"/>
                  <w:vAlign w:val="center"/>
                </w:tcPr>
                <w:p w14:paraId="0914098E">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2"/>
                      <w:szCs w:val="28"/>
                      <w:highlight w:val="none"/>
                    </w:rPr>
                  </w:pPr>
                </w:p>
              </w:tc>
              <w:tc>
                <w:tcPr>
                  <w:tcW w:w="295" w:type="pct"/>
                  <w:tcBorders>
                    <w:tl2br w:val="nil"/>
                    <w:tr2bl w:val="nil"/>
                  </w:tcBorders>
                  <w:noWrap w:val="0"/>
                  <w:vAlign w:val="center"/>
                </w:tcPr>
                <w:p w14:paraId="6464211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噪声污染排放管控</w:t>
                  </w:r>
                </w:p>
              </w:tc>
              <w:tc>
                <w:tcPr>
                  <w:tcW w:w="2474" w:type="pct"/>
                  <w:tcBorders>
                    <w:tl2br w:val="nil"/>
                    <w:tr2bl w:val="nil"/>
                  </w:tcBorders>
                  <w:noWrap w:val="0"/>
                  <w:vAlign w:val="center"/>
                </w:tcPr>
                <w:p w14:paraId="5D467D0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加强交通噪声污染防治,合理规划工业片区运输线路和时间</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lang w:val="en-US" w:eastAsia="zh-CN"/>
                    </w:rPr>
                    <w:t>对</w:t>
                  </w:r>
                  <w:r>
                    <w:rPr>
                      <w:rFonts w:hint="default" w:ascii="Times New Roman" w:hAnsi="Times New Roman" w:cs="Times New Roman"/>
                      <w:color w:val="auto"/>
                      <w:spacing w:val="0"/>
                      <w:w w:val="100"/>
                      <w:sz w:val="21"/>
                      <w:szCs w:val="21"/>
                      <w:highlight w:val="none"/>
                    </w:rPr>
                    <w:t>车辆实行限速、限时、禁鸣，减轻运输过程对沿线居民的影响。合理布局企业噪声源，高噪声源企业选址和布局尽量远离居住、学校等声环境敏感目标</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工业企业应优先选择低噪声设备，采取消声、隔声、减振等措施，确保厂界噪声达标。</w:t>
                  </w:r>
                </w:p>
              </w:tc>
              <w:tc>
                <w:tcPr>
                  <w:tcW w:w="1348" w:type="pct"/>
                  <w:tcBorders>
                    <w:tl2br w:val="nil"/>
                    <w:tr2bl w:val="nil"/>
                  </w:tcBorders>
                  <w:noWrap w:val="0"/>
                  <w:vAlign w:val="center"/>
                </w:tcPr>
                <w:p w14:paraId="1491AD8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eastAsia" w:ascii="Times New Roman" w:hAnsi="Times New Roman" w:cs="Times New Roman"/>
                      <w:color w:val="auto"/>
                      <w:spacing w:val="0"/>
                      <w:w w:val="100"/>
                      <w:sz w:val="21"/>
                      <w:szCs w:val="21"/>
                      <w:highlight w:val="none"/>
                      <w:lang w:eastAsia="zh-CN"/>
                    </w:rPr>
                    <w:t>本项目</w:t>
                  </w:r>
                  <w:r>
                    <w:rPr>
                      <w:rFonts w:hint="default" w:ascii="Times New Roman" w:hAnsi="Times New Roman" w:cs="Times New Roman"/>
                      <w:color w:val="auto"/>
                      <w:spacing w:val="0"/>
                      <w:w w:val="100"/>
                      <w:sz w:val="21"/>
                      <w:szCs w:val="21"/>
                      <w:highlight w:val="none"/>
                    </w:rPr>
                    <w:t>选择低噪声设备，采取消声、隔声、减振等措施，厂界噪声达标</w:t>
                  </w:r>
                </w:p>
              </w:tc>
              <w:tc>
                <w:tcPr>
                  <w:tcW w:w="262" w:type="pct"/>
                  <w:tcBorders>
                    <w:tl2br w:val="nil"/>
                    <w:tr2bl w:val="nil"/>
                  </w:tcBorders>
                  <w:noWrap w:val="0"/>
                  <w:vAlign w:val="center"/>
                </w:tcPr>
                <w:p w14:paraId="3B8F3AA8">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w:t>
                  </w:r>
                </w:p>
              </w:tc>
            </w:tr>
            <w:tr w14:paraId="39A07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0331F27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Times New Roman" w:cs="Times New Roman"/>
                      <w:color w:val="auto"/>
                      <w:spacing w:val="0"/>
                      <w:w w:val="100"/>
                      <w:sz w:val="22"/>
                      <w:szCs w:val="22"/>
                      <w:highlight w:val="none"/>
                    </w:rPr>
                  </w:pPr>
                  <w:r>
                    <w:rPr>
                      <w:rFonts w:hint="default" w:ascii="Times New Roman" w:hAnsi="Times New Roman" w:eastAsia="Times New Roman" w:cs="Times New Roman"/>
                      <w:color w:val="auto"/>
                      <w:spacing w:val="0"/>
                      <w:w w:val="100"/>
                      <w:sz w:val="22"/>
                      <w:szCs w:val="22"/>
                      <w:highlight w:val="none"/>
                    </w:rPr>
                    <w:t>7</w:t>
                  </w:r>
                </w:p>
              </w:tc>
              <w:tc>
                <w:tcPr>
                  <w:tcW w:w="320" w:type="pct"/>
                  <w:vMerge w:val="continue"/>
                  <w:tcBorders>
                    <w:tl2br w:val="nil"/>
                    <w:tr2bl w:val="nil"/>
                  </w:tcBorders>
                  <w:noWrap w:val="0"/>
                  <w:vAlign w:val="center"/>
                </w:tcPr>
                <w:p w14:paraId="4F34B1C4">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2"/>
                      <w:szCs w:val="28"/>
                      <w:highlight w:val="none"/>
                    </w:rPr>
                  </w:pPr>
                </w:p>
              </w:tc>
              <w:tc>
                <w:tcPr>
                  <w:tcW w:w="295" w:type="pct"/>
                  <w:tcBorders>
                    <w:tl2br w:val="nil"/>
                    <w:tr2bl w:val="nil"/>
                  </w:tcBorders>
                  <w:noWrap w:val="0"/>
                  <w:vAlign w:val="center"/>
                </w:tcPr>
                <w:p w14:paraId="1FE6916F">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1"/>
                      <w:szCs w:val="21"/>
                      <w:highlight w:val="none"/>
                      <w:lang w:val="en-US" w:eastAsia="zh-CN"/>
                    </w:rPr>
                  </w:pPr>
                  <w:r>
                    <w:rPr>
                      <w:rFonts w:hint="default" w:ascii="Times New Roman" w:hAnsi="Times New Roman" w:cs="Times New Roman"/>
                      <w:color w:val="auto"/>
                      <w:spacing w:val="0"/>
                      <w:w w:val="100"/>
                      <w:sz w:val="21"/>
                      <w:szCs w:val="21"/>
                      <w:highlight w:val="none"/>
                      <w:lang w:val="en-US" w:eastAsia="zh-CN"/>
                    </w:rPr>
                    <w:t>土壤、地下水污染防控</w:t>
                  </w:r>
                </w:p>
              </w:tc>
              <w:tc>
                <w:tcPr>
                  <w:tcW w:w="2474" w:type="pct"/>
                  <w:tcBorders>
                    <w:tl2br w:val="nil"/>
                    <w:tr2bl w:val="nil"/>
                  </w:tcBorders>
                  <w:noWrap w:val="0"/>
                  <w:vAlign w:val="center"/>
                </w:tcPr>
                <w:p w14:paraId="01F70E0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规划区应按照</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中华人民共和国土壤污染防治法</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地下水管理条例</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重庆市建设用地土壤污染防治办法</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等规定要求，依法开展土壤污染状况调查等工作</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未达到土壤污染风险评估报告确定的风险管控、修复目标的地块，禁止开工建设任何与风险管控、修复无关的项目。</w:t>
                  </w:r>
                </w:p>
              </w:tc>
              <w:tc>
                <w:tcPr>
                  <w:tcW w:w="1348" w:type="pct"/>
                  <w:tcBorders>
                    <w:tl2br w:val="nil"/>
                    <w:tr2bl w:val="nil"/>
                  </w:tcBorders>
                  <w:noWrap w:val="0"/>
                  <w:vAlign w:val="center"/>
                </w:tcPr>
                <w:p w14:paraId="00FC17C5">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lang w:eastAsia="zh-CN"/>
                    </w:rPr>
                  </w:pPr>
                  <w:r>
                    <w:rPr>
                      <w:rFonts w:hint="eastAsia" w:ascii="Times New Roman" w:hAnsi="Times New Roman"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在现有厂区范围内进行建设，厂房地面</w:t>
                  </w:r>
                  <w:r>
                    <w:rPr>
                      <w:rFonts w:hint="eastAsia" w:ascii="Times New Roman" w:hAnsi="Times New Roman" w:cs="Times New Roman"/>
                      <w:color w:val="auto"/>
                      <w:sz w:val="21"/>
                      <w:szCs w:val="21"/>
                      <w:highlight w:val="none"/>
                      <w:lang w:val="en-US" w:eastAsia="zh-CN"/>
                    </w:rPr>
                    <w:t>拟</w:t>
                  </w:r>
                  <w:r>
                    <w:rPr>
                      <w:rFonts w:hint="default" w:ascii="Times New Roman" w:hAnsi="Times New Roman" w:cs="Times New Roman"/>
                      <w:color w:val="auto"/>
                      <w:sz w:val="21"/>
                      <w:szCs w:val="21"/>
                      <w:highlight w:val="none"/>
                      <w:lang w:val="en-US" w:eastAsia="zh-CN"/>
                    </w:rPr>
                    <w:t>采取</w:t>
                  </w:r>
                  <w:r>
                    <w:rPr>
                      <w:rFonts w:hint="eastAsia" w:ascii="Times New Roman" w:hAnsi="Times New Roman" w:cs="Times New Roman"/>
                      <w:color w:val="auto"/>
                      <w:sz w:val="21"/>
                      <w:szCs w:val="21"/>
                      <w:highlight w:val="none"/>
                      <w:lang w:val="en-US" w:eastAsia="zh-CN"/>
                    </w:rPr>
                    <w:t>分区</w:t>
                  </w:r>
                  <w:r>
                    <w:rPr>
                      <w:rFonts w:hint="default" w:ascii="Times New Roman" w:hAnsi="Times New Roman" w:cs="Times New Roman"/>
                      <w:color w:val="auto"/>
                      <w:sz w:val="21"/>
                      <w:szCs w:val="21"/>
                      <w:highlight w:val="none"/>
                      <w:lang w:val="en-US" w:eastAsia="zh-CN"/>
                    </w:rPr>
                    <w:t>防渗措施</w:t>
                  </w:r>
                  <w:r>
                    <w:rPr>
                      <w:rFonts w:hint="default" w:ascii="Times New Roman" w:hAnsi="Times New Roman" w:cs="Times New Roman"/>
                      <w:color w:val="auto"/>
                      <w:sz w:val="21"/>
                      <w:szCs w:val="21"/>
                      <w:highlight w:val="none"/>
                    </w:rPr>
                    <w:t>，对地下水、土壤</w:t>
                  </w:r>
                  <w:r>
                    <w:rPr>
                      <w:rFonts w:hint="eastAsia" w:ascii="Times New Roman" w:hAnsi="Times New Roman" w:cs="Times New Roman"/>
                      <w:color w:val="auto"/>
                      <w:sz w:val="21"/>
                      <w:szCs w:val="21"/>
                      <w:highlight w:val="none"/>
                      <w:lang w:val="en-US" w:eastAsia="zh-CN"/>
                    </w:rPr>
                    <w:t>影响较小</w:t>
                  </w:r>
                  <w:r>
                    <w:rPr>
                      <w:rFonts w:hint="default" w:ascii="Times New Roman" w:hAnsi="Times New Roman" w:cs="Times New Roman"/>
                      <w:color w:val="auto"/>
                      <w:sz w:val="21"/>
                      <w:szCs w:val="21"/>
                      <w:highlight w:val="none"/>
                    </w:rPr>
                    <w:t>。</w:t>
                  </w:r>
                </w:p>
              </w:tc>
              <w:tc>
                <w:tcPr>
                  <w:tcW w:w="262" w:type="pct"/>
                  <w:tcBorders>
                    <w:tl2br w:val="nil"/>
                    <w:tr2bl w:val="nil"/>
                  </w:tcBorders>
                  <w:noWrap w:val="0"/>
                  <w:vAlign w:val="center"/>
                </w:tcPr>
                <w:p w14:paraId="53A04348">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0"/>
                      <w:w w:val="100"/>
                      <w:sz w:val="21"/>
                      <w:szCs w:val="21"/>
                      <w:highlight w:val="none"/>
                      <w:lang w:val="en-US" w:eastAsia="zh-CN"/>
                    </w:rPr>
                  </w:pPr>
                  <w:r>
                    <w:rPr>
                      <w:rFonts w:hint="eastAsia" w:ascii="Times New Roman" w:hAnsi="Times New Roman" w:cs="Times New Roman"/>
                      <w:color w:val="auto"/>
                      <w:spacing w:val="0"/>
                      <w:w w:val="100"/>
                      <w:sz w:val="21"/>
                      <w:szCs w:val="21"/>
                      <w:highlight w:val="none"/>
                      <w:lang w:val="en-US" w:eastAsia="zh-CN"/>
                    </w:rPr>
                    <w:t>符合</w:t>
                  </w:r>
                </w:p>
              </w:tc>
            </w:tr>
            <w:tr w14:paraId="76083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17D67CC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2"/>
                      <w:szCs w:val="22"/>
                      <w:highlight w:val="none"/>
                      <w:lang w:val="en-US" w:eastAsia="zh-CN"/>
                    </w:rPr>
                  </w:pPr>
                  <w:r>
                    <w:rPr>
                      <w:rFonts w:hint="default" w:ascii="Times New Roman" w:hAnsi="Times New Roman" w:eastAsia="宋体" w:cs="Times New Roman"/>
                      <w:color w:val="auto"/>
                      <w:spacing w:val="0"/>
                      <w:w w:val="100"/>
                      <w:sz w:val="22"/>
                      <w:szCs w:val="22"/>
                      <w:highlight w:val="none"/>
                      <w:lang w:val="en-US" w:eastAsia="zh-CN"/>
                    </w:rPr>
                    <w:t>8</w:t>
                  </w:r>
                </w:p>
              </w:tc>
              <w:tc>
                <w:tcPr>
                  <w:tcW w:w="320" w:type="pct"/>
                  <w:vMerge w:val="continue"/>
                  <w:tcBorders>
                    <w:tl2br w:val="nil"/>
                    <w:tr2bl w:val="nil"/>
                  </w:tcBorders>
                  <w:noWrap w:val="0"/>
                  <w:vAlign w:val="center"/>
                </w:tcPr>
                <w:p w14:paraId="7AB3AEF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2"/>
                      <w:szCs w:val="28"/>
                      <w:highlight w:val="none"/>
                    </w:rPr>
                  </w:pPr>
                </w:p>
              </w:tc>
              <w:tc>
                <w:tcPr>
                  <w:tcW w:w="295" w:type="pct"/>
                  <w:tcBorders>
                    <w:tl2br w:val="nil"/>
                    <w:tr2bl w:val="nil"/>
                  </w:tcBorders>
                  <w:noWrap w:val="0"/>
                  <w:vAlign w:val="center"/>
                </w:tcPr>
                <w:p w14:paraId="027FA80F">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1"/>
                      <w:szCs w:val="21"/>
                      <w:highlight w:val="none"/>
                      <w:lang w:val="en-US" w:eastAsia="zh-CN"/>
                    </w:rPr>
                  </w:pPr>
                  <w:r>
                    <w:rPr>
                      <w:rFonts w:hint="default" w:ascii="Times New Roman" w:hAnsi="Times New Roman" w:cs="Times New Roman"/>
                      <w:color w:val="auto"/>
                      <w:spacing w:val="0"/>
                      <w:w w:val="100"/>
                      <w:sz w:val="21"/>
                      <w:szCs w:val="21"/>
                      <w:highlight w:val="none"/>
                      <w:lang w:val="en-US" w:eastAsia="zh-CN"/>
                    </w:rPr>
                    <w:t>温室气体排放管控</w:t>
                  </w:r>
                </w:p>
              </w:tc>
              <w:tc>
                <w:tcPr>
                  <w:tcW w:w="2474" w:type="pct"/>
                  <w:tcBorders>
                    <w:tl2br w:val="nil"/>
                    <w:tr2bl w:val="nil"/>
                  </w:tcBorders>
                  <w:noWrap w:val="0"/>
                  <w:vAlign w:val="center"/>
                </w:tcPr>
                <w:p w14:paraId="3693C0C7">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按照碳达峰、碳中和相关政策和国家减污降碳协同创新试点、国家碳达峰试点要求，以能源、交通、产业等领域为重点，统筹抓好碳排放控制管理和生态环境保护工作，推动实现减污降碳协同共治。督促规划区企业采用先进的生产工艺，提高能源综合利用效率，从源头减少和控制温室气体排放，促进产业绿色低碳循环发展。</w:t>
                  </w:r>
                </w:p>
              </w:tc>
              <w:tc>
                <w:tcPr>
                  <w:tcW w:w="1348" w:type="pct"/>
                  <w:tcBorders>
                    <w:tl2br w:val="nil"/>
                    <w:tr2bl w:val="nil"/>
                  </w:tcBorders>
                  <w:noWrap w:val="0"/>
                  <w:vAlign w:val="center"/>
                </w:tcPr>
                <w:p w14:paraId="242034D8">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lang w:val="en-US" w:eastAsia="zh-CN"/>
                    </w:rPr>
                    <w:t>本评价要求建设单位在</w:t>
                  </w:r>
                  <w:r>
                    <w:rPr>
                      <w:rFonts w:hint="default" w:ascii="Times New Roman" w:hAnsi="Times New Roman" w:cs="Times New Roman"/>
                      <w:color w:val="auto"/>
                      <w:sz w:val="21"/>
                      <w:szCs w:val="21"/>
                      <w:highlight w:val="none"/>
                      <w:lang w:val="en-US" w:eastAsia="zh-CN"/>
                    </w:rPr>
                    <w:t>项目建成后积极配合碳减排政策进行减排。</w:t>
                  </w:r>
                </w:p>
              </w:tc>
              <w:tc>
                <w:tcPr>
                  <w:tcW w:w="262" w:type="pct"/>
                  <w:tcBorders>
                    <w:tl2br w:val="nil"/>
                    <w:tr2bl w:val="nil"/>
                  </w:tcBorders>
                  <w:noWrap w:val="0"/>
                  <w:vAlign w:val="center"/>
                </w:tcPr>
                <w:p w14:paraId="7E75BC36">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w:t>
                  </w:r>
                </w:p>
              </w:tc>
            </w:tr>
            <w:tr w14:paraId="1DBC9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6E4FF29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2"/>
                      <w:szCs w:val="22"/>
                      <w:highlight w:val="none"/>
                      <w:lang w:eastAsia="zh-CN"/>
                    </w:rPr>
                  </w:pPr>
                  <w:r>
                    <w:rPr>
                      <w:rFonts w:hint="default" w:ascii="Times New Roman" w:hAnsi="Times New Roman" w:eastAsia="宋体" w:cs="Times New Roman"/>
                      <w:color w:val="auto"/>
                      <w:spacing w:val="0"/>
                      <w:w w:val="100"/>
                      <w:sz w:val="22"/>
                      <w:szCs w:val="22"/>
                      <w:highlight w:val="none"/>
                      <w:lang w:val="en-US" w:eastAsia="zh-CN"/>
                    </w:rPr>
                    <w:t>9</w:t>
                  </w:r>
                </w:p>
              </w:tc>
              <w:tc>
                <w:tcPr>
                  <w:tcW w:w="320" w:type="pct"/>
                  <w:vMerge w:val="continue"/>
                  <w:tcBorders>
                    <w:tl2br w:val="nil"/>
                    <w:tr2bl w:val="nil"/>
                  </w:tcBorders>
                  <w:noWrap w:val="0"/>
                  <w:vAlign w:val="center"/>
                </w:tcPr>
                <w:p w14:paraId="66E0E72D">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2"/>
                      <w:szCs w:val="28"/>
                      <w:highlight w:val="none"/>
                    </w:rPr>
                  </w:pPr>
                </w:p>
              </w:tc>
              <w:tc>
                <w:tcPr>
                  <w:tcW w:w="295" w:type="pct"/>
                  <w:tcBorders>
                    <w:tl2br w:val="nil"/>
                    <w:tr2bl w:val="nil"/>
                  </w:tcBorders>
                  <w:noWrap w:val="0"/>
                  <w:vAlign w:val="center"/>
                </w:tcPr>
                <w:p w14:paraId="64CEF50D">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环境风险防控</w:t>
                  </w:r>
                </w:p>
              </w:tc>
              <w:tc>
                <w:tcPr>
                  <w:tcW w:w="2474" w:type="pct"/>
                  <w:tcBorders>
                    <w:tl2br w:val="nil"/>
                    <w:tr2bl w:val="nil"/>
                  </w:tcBorders>
                  <w:noWrap w:val="0"/>
                  <w:vAlign w:val="center"/>
                </w:tcPr>
                <w:p w14:paraId="3B7B4A90">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规划区应健全环境风险防范体系，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西彭组团南侧临近长江区域开发建设时应同步在紧邻长江一侧雨水排放口设置雨污切换阀，并配套建设园区级事故池，确保事故废水得到有效收集、处理</w:t>
                  </w:r>
                  <w:r>
                    <w:rPr>
                      <w:rFonts w:hint="default" w:ascii="Times New Roman" w:hAnsi="Times New Roman" w:cs="Times New Roman"/>
                      <w:color w:val="auto"/>
                      <w:spacing w:val="0"/>
                      <w:w w:val="100"/>
                      <w:sz w:val="21"/>
                      <w:szCs w:val="21"/>
                      <w:highlight w:val="none"/>
                      <w:lang w:eastAsia="zh-CN"/>
                    </w:rPr>
                    <w:t>；</w:t>
                  </w:r>
                  <w:r>
                    <w:rPr>
                      <w:rFonts w:hint="default" w:ascii="Times New Roman" w:hAnsi="Times New Roman" w:cs="Times New Roman"/>
                      <w:color w:val="auto"/>
                      <w:spacing w:val="0"/>
                      <w:w w:val="100"/>
                      <w:sz w:val="21"/>
                      <w:szCs w:val="21"/>
                      <w:highlight w:val="none"/>
                    </w:rPr>
                    <w:t>西彭组团小冲沟以西尚未开发建设的区域，应禁止引入水环境风险较大或重大的项目。沿江1公里范围内规划仓储用地禁止新引入从事危险化学品储存、运输的仓储物流项目。铜罐驿组团应尽快完成金竹沟闸坝的建设，金竹沟闸坝未建成前，应强化现有重大环境风险源企业的日常环境风险监管，储备足够应急物资，定期开展应急演练，确保事故废水得到有效收集、处理。</w:t>
                  </w:r>
                </w:p>
              </w:tc>
              <w:tc>
                <w:tcPr>
                  <w:tcW w:w="1348" w:type="pct"/>
                  <w:tcBorders>
                    <w:tl2br w:val="nil"/>
                    <w:tr2bl w:val="nil"/>
                  </w:tcBorders>
                  <w:noWrap w:val="0"/>
                  <w:vAlign w:val="center"/>
                </w:tcPr>
                <w:p w14:paraId="3C70E766">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lang w:val="en-US"/>
                    </w:rPr>
                  </w:pPr>
                  <w:r>
                    <w:rPr>
                      <w:rFonts w:hint="default" w:ascii="Times New Roman" w:hAnsi="Times New Roman" w:cs="Times New Roman"/>
                      <w:color w:val="auto"/>
                      <w:spacing w:val="0"/>
                      <w:w w:val="100"/>
                      <w:sz w:val="21"/>
                      <w:szCs w:val="21"/>
                      <w:highlight w:val="none"/>
                      <w:lang w:val="en-US" w:eastAsia="zh-CN"/>
                    </w:rPr>
                    <w:t>本评价要求建设单位在</w:t>
                  </w:r>
                  <w:r>
                    <w:rPr>
                      <w:rFonts w:hint="default" w:ascii="Times New Roman" w:hAnsi="Times New Roman" w:cs="Times New Roman"/>
                      <w:color w:val="auto"/>
                      <w:sz w:val="21"/>
                      <w:szCs w:val="21"/>
                      <w:highlight w:val="none"/>
                      <w:lang w:val="en-US" w:eastAsia="zh-CN"/>
                    </w:rPr>
                    <w:t>项目建成后按要求</w:t>
                  </w:r>
                  <w:r>
                    <w:rPr>
                      <w:rFonts w:hint="eastAsia" w:ascii="Times New Roman" w:hAnsi="Times New Roman" w:cs="Times New Roman"/>
                      <w:color w:val="auto"/>
                      <w:sz w:val="21"/>
                      <w:szCs w:val="21"/>
                      <w:highlight w:val="none"/>
                      <w:lang w:val="en-US" w:eastAsia="zh-CN"/>
                    </w:rPr>
                    <w:t>加强环境风险防范措施，及时</w:t>
                  </w:r>
                  <w:r>
                    <w:rPr>
                      <w:rFonts w:hint="default" w:ascii="Times New Roman" w:hAnsi="Times New Roman" w:cs="Times New Roman"/>
                      <w:color w:val="auto"/>
                      <w:spacing w:val="0"/>
                      <w:w w:val="100"/>
                      <w:sz w:val="21"/>
                      <w:szCs w:val="21"/>
                      <w:highlight w:val="none"/>
                    </w:rPr>
                    <w:t>修订突发环境事件风险评估和应急预案，并定期开展突发性环境事件应急演练，以提升环境风险防范和事故应急处置能力。</w:t>
                  </w:r>
                </w:p>
              </w:tc>
              <w:tc>
                <w:tcPr>
                  <w:tcW w:w="262" w:type="pct"/>
                  <w:tcBorders>
                    <w:tl2br w:val="nil"/>
                    <w:tr2bl w:val="nil"/>
                  </w:tcBorders>
                  <w:noWrap w:val="0"/>
                  <w:vAlign w:val="center"/>
                </w:tcPr>
                <w:p w14:paraId="0133BCEE">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符合</w:t>
                  </w:r>
                </w:p>
              </w:tc>
            </w:tr>
            <w:tr w14:paraId="69F5A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97" w:type="pct"/>
                  <w:tcBorders>
                    <w:tl2br w:val="nil"/>
                    <w:tr2bl w:val="nil"/>
                  </w:tcBorders>
                  <w:noWrap w:val="0"/>
                  <w:vAlign w:val="center"/>
                </w:tcPr>
                <w:p w14:paraId="52C6DEE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2"/>
                      <w:szCs w:val="22"/>
                      <w:highlight w:val="none"/>
                      <w:lang w:val="en-US" w:eastAsia="zh-CN"/>
                    </w:rPr>
                  </w:pPr>
                  <w:r>
                    <w:rPr>
                      <w:rFonts w:hint="default" w:ascii="Times New Roman" w:hAnsi="Times New Roman" w:eastAsia="宋体" w:cs="Times New Roman"/>
                      <w:color w:val="auto"/>
                      <w:spacing w:val="0"/>
                      <w:w w:val="100"/>
                      <w:sz w:val="22"/>
                      <w:szCs w:val="22"/>
                      <w:highlight w:val="none"/>
                      <w:lang w:val="en-US" w:eastAsia="zh-CN"/>
                    </w:rPr>
                    <w:t>10</w:t>
                  </w:r>
                </w:p>
              </w:tc>
              <w:tc>
                <w:tcPr>
                  <w:tcW w:w="320" w:type="pct"/>
                  <w:tcBorders>
                    <w:tl2br w:val="nil"/>
                    <w:tr2bl w:val="nil"/>
                  </w:tcBorders>
                  <w:noWrap w:val="0"/>
                  <w:vAlign w:val="center"/>
                </w:tcPr>
                <w:p w14:paraId="38849F6E">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2"/>
                      <w:szCs w:val="28"/>
                      <w:highlight w:val="none"/>
                      <w:lang w:val="en-US" w:eastAsia="zh-CN"/>
                    </w:rPr>
                  </w:pPr>
                  <w:r>
                    <w:rPr>
                      <w:rFonts w:hint="default" w:ascii="Times New Roman" w:hAnsi="Times New Roman" w:cs="Times New Roman"/>
                      <w:color w:val="auto"/>
                      <w:spacing w:val="0"/>
                      <w:w w:val="100"/>
                      <w:sz w:val="22"/>
                      <w:szCs w:val="28"/>
                      <w:highlight w:val="none"/>
                      <w:lang w:val="en-US" w:eastAsia="zh-CN"/>
                    </w:rPr>
                    <w:t>规范环境管理</w:t>
                  </w:r>
                </w:p>
              </w:tc>
              <w:tc>
                <w:tcPr>
                  <w:tcW w:w="2770" w:type="pct"/>
                  <w:gridSpan w:val="2"/>
                  <w:tcBorders>
                    <w:tl2br w:val="nil"/>
                    <w:tr2bl w:val="nil"/>
                  </w:tcBorders>
                  <w:noWrap w:val="0"/>
                  <w:vAlign w:val="center"/>
                </w:tcPr>
                <w:p w14:paraId="3A0A1BE7">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color w:val="auto"/>
                      <w:spacing w:val="0"/>
                      <w:w w:val="100"/>
                      <w:sz w:val="21"/>
                      <w:szCs w:val="21"/>
                      <w:highlight w:val="none"/>
                    </w:rPr>
                  </w:pPr>
                  <w:r>
                    <w:rPr>
                      <w:rFonts w:hint="default" w:ascii="Times New Roman" w:hAnsi="Times New Roman" w:cs="Times New Roman"/>
                      <w:color w:val="auto"/>
                      <w:spacing w:val="0"/>
                      <w:w w:val="100"/>
                      <w:sz w:val="21"/>
                      <w:szCs w:val="21"/>
                      <w:highlight w:val="none"/>
                    </w:rPr>
                    <w:t>加强日常环境监管，落实建设项目环境影响评价和固定污染源排污许可制度。规划区应建立环境空气、地表水、地下水、土壤等环境要素的监控体系，落实环境跟踪监测计划，适时开展环境影响跟踪评价。规划在实施过程中，若规划范围、规划期限、规模及结构、布局等方面发生重大调整或修订的，应重新或补充进行规划环境影响评价。</w:t>
                  </w:r>
                </w:p>
              </w:tc>
              <w:tc>
                <w:tcPr>
                  <w:tcW w:w="1348" w:type="pct"/>
                  <w:tcBorders>
                    <w:tl2br w:val="nil"/>
                    <w:tr2bl w:val="nil"/>
                  </w:tcBorders>
                  <w:noWrap w:val="0"/>
                  <w:vAlign w:val="center"/>
                </w:tcPr>
                <w:p w14:paraId="799780E8">
                  <w:pPr>
                    <w:pStyle w:val="24"/>
                    <w:keepNext w:val="0"/>
                    <w:keepLines w:val="0"/>
                    <w:pageBreakBefore w:val="0"/>
                    <w:suppressLineNumbers w:val="0"/>
                    <w:kinsoku/>
                    <w:wordWrap/>
                    <w:overflowPunct w:val="0"/>
                    <w:topLinePunct/>
                    <w:autoSpaceDE/>
                    <w:autoSpaceDN/>
                    <w:bidi w:val="0"/>
                    <w:spacing w:before="68" w:beforeAutospacing="0" w:after="0" w:afterAutospacing="0" w:line="219" w:lineRule="auto"/>
                    <w:ind w:right="0"/>
                    <w:jc w:val="both"/>
                    <w:textAlignment w:val="auto"/>
                    <w:rPr>
                      <w:rFonts w:hint="default" w:ascii="Times New Roman" w:hAnsi="Times New Roman" w:cs="Times New Roman"/>
                      <w:color w:val="auto"/>
                      <w:spacing w:val="0"/>
                      <w:w w:val="100"/>
                      <w:sz w:val="21"/>
                      <w:szCs w:val="21"/>
                      <w:highlight w:val="none"/>
                    </w:rPr>
                  </w:pPr>
                  <w:r>
                    <w:rPr>
                      <w:rFonts w:hint="eastAsia" w:ascii="Times New Roman" w:hAnsi="Times New Roman" w:cs="Times New Roman"/>
                      <w:color w:val="auto"/>
                      <w:spacing w:val="0"/>
                      <w:sz w:val="21"/>
                      <w:szCs w:val="21"/>
                      <w:highlight w:val="none"/>
                      <w:lang w:eastAsia="zh-CN"/>
                    </w:rPr>
                    <w:t>本项目</w:t>
                  </w:r>
                  <w:r>
                    <w:rPr>
                      <w:rFonts w:hint="default" w:ascii="Times New Roman" w:hAnsi="Times New Roman" w:cs="Times New Roman"/>
                      <w:color w:val="auto"/>
                      <w:spacing w:val="0"/>
                      <w:sz w:val="21"/>
                      <w:szCs w:val="21"/>
                      <w:highlight w:val="none"/>
                    </w:rPr>
                    <w:t>运营后，严格落实各项环境管理制度</w:t>
                  </w:r>
                </w:p>
              </w:tc>
              <w:tc>
                <w:tcPr>
                  <w:tcW w:w="262" w:type="pct"/>
                  <w:tcBorders>
                    <w:tl2br w:val="nil"/>
                    <w:tr2bl w:val="nil"/>
                  </w:tcBorders>
                  <w:noWrap w:val="0"/>
                  <w:vAlign w:val="center"/>
                </w:tcPr>
                <w:p w14:paraId="0AE277B1">
                  <w:pPr>
                    <w:pStyle w:val="24"/>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0"/>
                      <w:w w:val="100"/>
                      <w:sz w:val="21"/>
                      <w:szCs w:val="21"/>
                      <w:highlight w:val="none"/>
                      <w:lang w:val="en-US" w:eastAsia="zh-CN"/>
                    </w:rPr>
                  </w:pPr>
                  <w:r>
                    <w:rPr>
                      <w:rFonts w:hint="default" w:ascii="Times New Roman" w:hAnsi="Times New Roman" w:cs="Times New Roman"/>
                      <w:color w:val="auto"/>
                      <w:spacing w:val="0"/>
                      <w:w w:val="100"/>
                      <w:sz w:val="21"/>
                      <w:szCs w:val="21"/>
                      <w:highlight w:val="none"/>
                      <w:lang w:val="en-US" w:eastAsia="zh-CN"/>
                    </w:rPr>
                    <w:t>符合</w:t>
                  </w:r>
                </w:p>
              </w:tc>
            </w:tr>
          </w:tbl>
          <w:p w14:paraId="23C2FFFB">
            <w:pPr>
              <w:pageBreakBefore w:val="0"/>
              <w:kinsoku/>
              <w:wordWrap/>
              <w:overflowPunct w:val="0"/>
              <w:topLinePunct/>
              <w:autoSpaceDE/>
              <w:autoSpaceDN/>
              <w:bidi w:val="0"/>
              <w:ind w:firstLine="480" w:firstLineChars="200"/>
              <w:textAlignment w:val="auto"/>
              <w:rPr>
                <w:rFonts w:hint="default" w:ascii="Times New Roman" w:hAnsi="Times New Roman" w:cs="Times New Roman"/>
                <w:color w:val="auto"/>
                <w:sz w:val="24"/>
                <w:szCs w:val="32"/>
                <w:highlight w:val="none"/>
                <w:lang w:val="en-US" w:eastAsia="zh-CN"/>
              </w:rPr>
            </w:pPr>
            <w:r>
              <w:rPr>
                <w:rFonts w:hint="default" w:ascii="Times New Roman" w:hAnsi="Times New Roman" w:cs="Times New Roman"/>
                <w:color w:val="auto"/>
                <w:sz w:val="24"/>
                <w:szCs w:val="32"/>
                <w:highlight w:val="none"/>
                <w:lang w:val="en-US" w:eastAsia="zh-CN"/>
              </w:rPr>
              <w:t>根据表1-3，</w:t>
            </w:r>
            <w:r>
              <w:rPr>
                <w:rFonts w:hint="eastAsia" w:cs="Times New Roman"/>
                <w:color w:val="auto"/>
                <w:sz w:val="24"/>
                <w:szCs w:val="32"/>
                <w:highlight w:val="none"/>
                <w:lang w:val="en-US" w:eastAsia="zh-CN"/>
              </w:rPr>
              <w:t>本项目</w:t>
            </w:r>
            <w:r>
              <w:rPr>
                <w:rFonts w:hint="default" w:ascii="Times New Roman" w:hAnsi="Times New Roman" w:cs="Times New Roman"/>
                <w:color w:val="auto"/>
                <w:sz w:val="24"/>
                <w:szCs w:val="32"/>
                <w:highlight w:val="none"/>
                <w:lang w:val="en-US" w:eastAsia="zh-CN"/>
              </w:rPr>
              <w:t>符合园区规划环评审查意见要求。</w:t>
            </w:r>
          </w:p>
          <w:p w14:paraId="5A16BE69">
            <w:pPr>
              <w:pageBreakBefore w:val="0"/>
              <w:kinsoku/>
              <w:wordWrap/>
              <w:overflowPunct w:val="0"/>
              <w:topLinePunct/>
              <w:autoSpaceDE/>
              <w:autoSpaceDN/>
              <w:bidi w:val="0"/>
              <w:spacing w:line="360" w:lineRule="auto"/>
              <w:textAlignment w:val="auto"/>
              <w:outlineLvl w:val="9"/>
              <w:rPr>
                <w:rFonts w:hint="default" w:ascii="Times New Roman" w:hAnsi="Times New Roman" w:eastAsia="宋体" w:cs="Times New Roman"/>
                <w:color w:val="auto"/>
                <w:sz w:val="30"/>
                <w:highlight w:val="none"/>
                <w:vertAlign w:val="baseline"/>
              </w:rPr>
            </w:pPr>
          </w:p>
        </w:tc>
      </w:tr>
    </w:tbl>
    <w:p w14:paraId="638D2E00">
      <w:pPr>
        <w:pageBreakBefore w:val="0"/>
        <w:kinsoku/>
        <w:wordWrap/>
        <w:overflowPunct w:val="0"/>
        <w:topLinePunct/>
        <w:bidi w:val="0"/>
        <w:spacing w:line="360" w:lineRule="auto"/>
        <w:jc w:val="center"/>
        <w:outlineLvl w:val="9"/>
        <w:rPr>
          <w:rFonts w:hint="default" w:ascii="Times New Roman" w:hAnsi="Times New Roman" w:eastAsia="宋体" w:cs="Times New Roman"/>
          <w:color w:val="auto"/>
          <w:sz w:val="24"/>
          <w:szCs w:val="21"/>
          <w:highlight w:val="none"/>
          <w:vertAlign w:val="baseline"/>
          <w:lang w:val="en-US" w:eastAsia="zh-CN"/>
        </w:rPr>
        <w:sectPr>
          <w:pgSz w:w="16840" w:h="11907" w:orient="landscape"/>
          <w:pgMar w:top="1531" w:right="1701" w:bottom="1531" w:left="2127" w:header="851" w:footer="1814"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
        <w:gridCol w:w="8687"/>
      </w:tblGrid>
      <w:tr w14:paraId="1B47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dxa"/>
            <w:noWrap w:val="0"/>
            <w:vAlign w:val="center"/>
          </w:tcPr>
          <w:p w14:paraId="4D593EA6">
            <w:pPr>
              <w:pageBreakBefore w:val="0"/>
              <w:kinsoku/>
              <w:wordWrap/>
              <w:overflowPunct w:val="0"/>
              <w:topLinePunct/>
              <w:bidi w:val="0"/>
              <w:spacing w:line="360" w:lineRule="auto"/>
              <w:jc w:val="center"/>
              <w:outlineLvl w:val="9"/>
              <w:rPr>
                <w:rFonts w:hint="default" w:ascii="Times New Roman" w:hAnsi="Times New Roman" w:eastAsia="宋体" w:cs="Times New Roman"/>
                <w:color w:val="auto"/>
                <w:sz w:val="30"/>
                <w:highlight w:val="none"/>
                <w:vertAlign w:val="baseline"/>
                <w:lang w:val="en-US" w:eastAsia="zh-CN"/>
              </w:rPr>
            </w:pPr>
            <w:r>
              <w:rPr>
                <w:rFonts w:hint="default" w:ascii="Times New Roman" w:hAnsi="Times New Roman" w:eastAsia="宋体" w:cs="Times New Roman"/>
                <w:color w:val="auto"/>
                <w:sz w:val="24"/>
                <w:szCs w:val="21"/>
                <w:highlight w:val="none"/>
                <w:vertAlign w:val="baseline"/>
                <w:lang w:val="en-US" w:eastAsia="zh-CN"/>
              </w:rPr>
              <w:t>其他符合性分析</w:t>
            </w:r>
          </w:p>
        </w:tc>
        <w:tc>
          <w:tcPr>
            <w:tcW w:w="8662" w:type="dxa"/>
            <w:noWrap w:val="0"/>
            <w:vAlign w:val="top"/>
          </w:tcPr>
          <w:p w14:paraId="415D3AEB">
            <w:pPr>
              <w:pStyle w:val="8"/>
              <w:pageBreakBefore w:val="0"/>
              <w:numPr>
                <w:ilvl w:val="0"/>
                <w:numId w:val="0"/>
              </w:numPr>
              <w:suppressLineNumbers w:val="0"/>
              <w:kinsoku/>
              <w:wordWrap/>
              <w:overflowPunct w:val="0"/>
              <w:topLinePunct/>
              <w:autoSpaceDE/>
              <w:autoSpaceDN/>
              <w:bidi w:val="0"/>
              <w:adjustRightInd w:val="0"/>
              <w:spacing w:before="0" w:beforeAutospacing="0" w:after="0" w:afterAutospacing="0"/>
              <w:ind w:right="0" w:right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1.4与产业政策符合性</w:t>
            </w:r>
          </w:p>
          <w:p w14:paraId="2EC18066">
            <w:pPr>
              <w:keepNext w:val="0"/>
              <w:keepLines w:val="0"/>
              <w:pageBreakBefore w:val="0"/>
              <w:kinsoku/>
              <w:wordWrap/>
              <w:overflowPunct w:val="0"/>
              <w:topLinePunct/>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bidi="ar"/>
              </w:rPr>
            </w:pPr>
            <w:r>
              <w:rPr>
                <w:rFonts w:hint="eastAsia" w:cs="Times New Roman"/>
                <w:snapToGrid w:val="0"/>
                <w:color w:val="auto"/>
                <w:kern w:val="0"/>
                <w:sz w:val="24"/>
                <w:szCs w:val="24"/>
                <w:highlight w:val="none"/>
                <w:lang w:val="en-US" w:eastAsia="zh-CN" w:bidi="ar"/>
              </w:rPr>
              <w:t>本项目</w:t>
            </w:r>
            <w:r>
              <w:rPr>
                <w:rFonts w:hint="default" w:ascii="Times New Roman" w:hAnsi="Times New Roman" w:eastAsia="宋体" w:cs="Times New Roman"/>
                <w:snapToGrid w:val="0"/>
                <w:color w:val="auto"/>
                <w:kern w:val="0"/>
                <w:sz w:val="24"/>
                <w:szCs w:val="24"/>
                <w:highlight w:val="none"/>
                <w:lang w:val="en-US" w:eastAsia="zh-CN" w:bidi="ar"/>
              </w:rPr>
              <w:t>属于</w:t>
            </w:r>
            <w:r>
              <w:rPr>
                <w:rFonts w:hint="default" w:ascii="Times New Roman" w:hAnsi="Times New Roman" w:cs="Times New Roman"/>
                <w:color w:val="auto"/>
                <w:sz w:val="24"/>
                <w:highlight w:val="none"/>
                <w:lang w:val="en-US" w:eastAsia="zh-CN"/>
              </w:rPr>
              <w:t>食用</w:t>
            </w:r>
            <w:r>
              <w:rPr>
                <w:rFonts w:hint="default" w:ascii="Times New Roman" w:hAnsi="Times New Roman" w:eastAsia="宋体" w:cs="Times New Roman"/>
                <w:snapToGrid w:val="0"/>
                <w:color w:val="auto"/>
                <w:kern w:val="0"/>
                <w:sz w:val="24"/>
                <w:szCs w:val="24"/>
                <w:highlight w:val="none"/>
                <w:lang w:val="en-US" w:eastAsia="zh-CN" w:bidi="ar"/>
              </w:rPr>
              <w:t>植物油加工项目，经对照国家发展改革委令第7号（2023年12月27日）公布《产业结构调整指导目录（2024年本）》，</w:t>
            </w:r>
            <w:r>
              <w:rPr>
                <w:rFonts w:hint="eastAsia" w:cs="Times New Roman"/>
                <w:snapToGrid w:val="0"/>
                <w:color w:val="auto"/>
                <w:kern w:val="0"/>
                <w:sz w:val="24"/>
                <w:szCs w:val="24"/>
                <w:highlight w:val="none"/>
                <w:lang w:val="en-US" w:eastAsia="zh-CN" w:bidi="ar"/>
              </w:rPr>
              <w:t>本项目</w:t>
            </w:r>
            <w:r>
              <w:rPr>
                <w:rFonts w:hint="default" w:ascii="Times New Roman" w:hAnsi="Times New Roman" w:eastAsia="宋体" w:cs="Times New Roman"/>
                <w:snapToGrid w:val="0"/>
                <w:color w:val="auto"/>
                <w:kern w:val="0"/>
                <w:sz w:val="24"/>
                <w:szCs w:val="24"/>
                <w:highlight w:val="none"/>
                <w:lang w:val="en-US" w:eastAsia="zh-CN" w:bidi="ar"/>
              </w:rPr>
              <w:t>属于</w:t>
            </w:r>
            <w:r>
              <w:rPr>
                <w:rFonts w:hint="default" w:ascii="Times New Roman" w:hAnsi="Times New Roman" w:cs="Times New Roman"/>
                <w:snapToGrid w:val="0"/>
                <w:color w:val="auto"/>
                <w:kern w:val="0"/>
                <w:sz w:val="24"/>
                <w:szCs w:val="24"/>
                <w:highlight w:val="none"/>
                <w:lang w:val="en-US" w:eastAsia="zh-CN" w:bidi="ar"/>
              </w:rPr>
              <w:t>“</w:t>
            </w:r>
            <w:r>
              <w:rPr>
                <w:rFonts w:hint="default" w:ascii="Times New Roman" w:hAnsi="Times New Roman" w:eastAsia="宋体" w:cs="Times New Roman"/>
                <w:snapToGrid w:val="0"/>
                <w:color w:val="auto"/>
                <w:kern w:val="0"/>
                <w:sz w:val="24"/>
                <w:szCs w:val="24"/>
                <w:highlight w:val="none"/>
                <w:lang w:val="en-US" w:eastAsia="zh-CN" w:bidi="ar"/>
              </w:rPr>
              <w:t>鼓励类</w:t>
            </w:r>
            <w:r>
              <w:rPr>
                <w:rFonts w:hint="default" w:ascii="Times New Roman" w:hAnsi="Times New Roman" w:cs="Times New Roman"/>
                <w:snapToGrid w:val="0"/>
                <w:color w:val="auto"/>
                <w:kern w:val="0"/>
                <w:sz w:val="24"/>
                <w:szCs w:val="24"/>
                <w:highlight w:val="none"/>
                <w:lang w:val="en-US" w:eastAsia="zh-CN" w:bidi="ar"/>
              </w:rPr>
              <w:t>”中“十九、轻工”中“22、菜籽油生产线、花生油生产线”</w:t>
            </w:r>
            <w:r>
              <w:rPr>
                <w:rFonts w:hint="eastAsia" w:cs="Times New Roman"/>
                <w:snapToGrid w:val="0"/>
                <w:color w:val="auto"/>
                <w:kern w:val="0"/>
                <w:sz w:val="24"/>
                <w:szCs w:val="24"/>
                <w:highlight w:val="none"/>
                <w:lang w:val="en-US" w:eastAsia="zh-CN" w:bidi="ar"/>
              </w:rPr>
              <w:t>；本项目改建完成后毛油日处理规模为600t/d，不属于“限制类”中“十二、轻工”中“</w:t>
            </w:r>
            <w:r>
              <w:rPr>
                <w:rFonts w:hint="eastAsia" w:ascii="Times New Roman" w:hAnsi="Times New Roman" w:cs="Times New Roman"/>
                <w:snapToGrid w:val="0"/>
                <w:color w:val="auto"/>
                <w:kern w:val="0"/>
                <w:sz w:val="24"/>
                <w:szCs w:val="24"/>
                <w:highlight w:val="none"/>
                <w:lang w:val="en-US" w:eastAsia="zh-CN" w:bidi="ar"/>
              </w:rPr>
              <w:t>22.</w:t>
            </w:r>
            <w:r>
              <w:rPr>
                <w:rFonts w:hint="default" w:ascii="Times New Roman" w:hAnsi="Times New Roman" w:cs="Times New Roman"/>
                <w:snapToGrid w:val="0"/>
                <w:color w:val="auto"/>
                <w:kern w:val="0"/>
                <w:sz w:val="24"/>
                <w:szCs w:val="24"/>
                <w:highlight w:val="none"/>
                <w:lang w:val="en-US" w:eastAsia="zh-CN" w:bidi="ar"/>
              </w:rPr>
              <w:t>西部地区单线日处理油菜籽、棉籽、花生等油料100吨及以下的加工项目</w:t>
            </w:r>
            <w:r>
              <w:rPr>
                <w:rFonts w:hint="eastAsia" w:ascii="Times New Roman" w:hAnsi="Times New Roman" w:cs="Times New Roman"/>
                <w:snapToGrid w:val="0"/>
                <w:color w:val="auto"/>
                <w:kern w:val="0"/>
                <w:sz w:val="24"/>
                <w:szCs w:val="24"/>
                <w:highlight w:val="none"/>
                <w:lang w:val="en-US" w:eastAsia="zh-CN" w:bidi="ar"/>
              </w:rPr>
              <w:t>”</w:t>
            </w:r>
            <w:r>
              <w:rPr>
                <w:rFonts w:hint="default" w:ascii="Times New Roman" w:hAnsi="Times New Roman" w:eastAsia="宋体" w:cs="Times New Roman"/>
                <w:snapToGrid w:val="0"/>
                <w:color w:val="auto"/>
                <w:kern w:val="0"/>
                <w:sz w:val="24"/>
                <w:szCs w:val="24"/>
                <w:highlight w:val="none"/>
                <w:lang w:val="en-US" w:eastAsia="zh-CN" w:bidi="ar"/>
              </w:rPr>
              <w:t>。同时</w:t>
            </w:r>
            <w:r>
              <w:rPr>
                <w:rFonts w:hint="default" w:ascii="Times New Roman" w:hAnsi="Times New Roman" w:cs="Times New Roman"/>
                <w:snapToGrid w:val="0"/>
                <w:color w:val="auto"/>
                <w:kern w:val="0"/>
                <w:sz w:val="24"/>
                <w:szCs w:val="24"/>
                <w:highlight w:val="none"/>
                <w:lang w:val="en-US" w:eastAsia="zh-CN" w:bidi="ar"/>
              </w:rPr>
              <w:t>项目</w:t>
            </w:r>
            <w:r>
              <w:rPr>
                <w:rFonts w:hint="default" w:ascii="Times New Roman" w:hAnsi="Times New Roman" w:eastAsia="宋体" w:cs="Times New Roman"/>
                <w:snapToGrid w:val="0"/>
                <w:color w:val="auto"/>
                <w:kern w:val="0"/>
                <w:sz w:val="24"/>
                <w:szCs w:val="24"/>
                <w:highlight w:val="none"/>
                <w:lang w:val="en-US" w:eastAsia="zh-CN" w:bidi="ar"/>
              </w:rPr>
              <w:t>经</w:t>
            </w:r>
            <w:r>
              <w:rPr>
                <w:rFonts w:hint="default" w:ascii="Times New Roman" w:hAnsi="Times New Roman" w:eastAsia="宋体" w:cs="Times New Roman"/>
                <w:color w:val="auto"/>
                <w:sz w:val="24"/>
                <w:szCs w:val="24"/>
                <w:highlight w:val="none"/>
                <w:lang w:val="en-US" w:eastAsia="zh-CN"/>
              </w:rPr>
              <w:t>重庆市九龙坡区经济和信息化委员会</w:t>
            </w:r>
            <w:r>
              <w:rPr>
                <w:rFonts w:hint="default" w:ascii="Times New Roman" w:hAnsi="Times New Roman" w:eastAsia="宋体" w:cs="Times New Roman"/>
                <w:snapToGrid w:val="0"/>
                <w:color w:val="auto"/>
                <w:kern w:val="0"/>
                <w:sz w:val="24"/>
                <w:szCs w:val="24"/>
                <w:highlight w:val="none"/>
                <w:lang w:val="en-US" w:eastAsia="zh-CN" w:bidi="ar"/>
              </w:rPr>
              <w:t>核准，项目代码为：</w:t>
            </w:r>
            <w:r>
              <w:rPr>
                <w:rFonts w:hint="default" w:ascii="Times New Roman" w:hAnsi="Times New Roman" w:eastAsia="宋体" w:cs="Times New Roman"/>
                <w:color w:val="auto"/>
                <w:sz w:val="24"/>
                <w:szCs w:val="24"/>
                <w:highlight w:val="none"/>
                <w:lang w:val="en-US" w:eastAsia="zh-CN"/>
              </w:rPr>
              <w:t>2505-500107-07-02-389743</w:t>
            </w:r>
            <w:r>
              <w:rPr>
                <w:rFonts w:hint="default" w:ascii="Times New Roman" w:hAnsi="Times New Roman" w:eastAsia="宋体" w:cs="Times New Roman"/>
                <w:snapToGrid w:val="0"/>
                <w:color w:val="auto"/>
                <w:kern w:val="0"/>
                <w:sz w:val="24"/>
                <w:szCs w:val="24"/>
                <w:highlight w:val="none"/>
                <w:lang w:val="en-US" w:eastAsia="zh-CN" w:bidi="ar"/>
              </w:rPr>
              <w:t>。因此，</w:t>
            </w:r>
            <w:r>
              <w:rPr>
                <w:rFonts w:hint="eastAsia" w:cs="Times New Roman"/>
                <w:snapToGrid w:val="0"/>
                <w:color w:val="auto"/>
                <w:kern w:val="0"/>
                <w:sz w:val="24"/>
                <w:szCs w:val="24"/>
                <w:highlight w:val="none"/>
                <w:lang w:val="en-US" w:eastAsia="zh-CN" w:bidi="ar"/>
              </w:rPr>
              <w:t>本项目</w:t>
            </w:r>
            <w:r>
              <w:rPr>
                <w:rFonts w:hint="default" w:ascii="Times New Roman" w:hAnsi="Times New Roman" w:eastAsia="宋体" w:cs="Times New Roman"/>
                <w:snapToGrid w:val="0"/>
                <w:color w:val="auto"/>
                <w:kern w:val="0"/>
                <w:sz w:val="24"/>
                <w:szCs w:val="24"/>
                <w:highlight w:val="none"/>
                <w:lang w:val="en-US" w:eastAsia="zh-CN" w:bidi="ar"/>
              </w:rPr>
              <w:t>符合国家现行产业政策。</w:t>
            </w:r>
          </w:p>
          <w:p w14:paraId="0726A996">
            <w:pPr>
              <w:pStyle w:val="2"/>
              <w:rPr>
                <w:rFonts w:hint="eastAsia" w:cs="Times New Roman"/>
                <w:b/>
                <w:bCs/>
                <w:snapToGrid w:val="0"/>
                <w:color w:val="auto"/>
                <w:kern w:val="0"/>
                <w:sz w:val="24"/>
                <w:szCs w:val="24"/>
                <w:highlight w:val="none"/>
                <w:lang w:val="en-US" w:eastAsia="zh-CN" w:bidi="ar"/>
              </w:rPr>
            </w:pPr>
            <w:r>
              <w:rPr>
                <w:rFonts w:hint="eastAsia" w:cs="Times New Roman"/>
                <w:b/>
                <w:bCs/>
                <w:snapToGrid w:val="0"/>
                <w:color w:val="auto"/>
                <w:kern w:val="0"/>
                <w:sz w:val="24"/>
                <w:szCs w:val="24"/>
                <w:highlight w:val="none"/>
                <w:lang w:val="en-US" w:eastAsia="zh-CN" w:bidi="ar"/>
              </w:rPr>
              <w:t>1.5选址合理性分析</w:t>
            </w:r>
          </w:p>
          <w:p w14:paraId="6D9CEEE6">
            <w:pPr>
              <w:pStyle w:val="3"/>
              <w:keepNext w:val="0"/>
              <w:keepLines w:val="0"/>
              <w:pageBreakBefore w:val="0"/>
              <w:widowControl/>
              <w:kinsoku/>
              <w:wordWrap/>
              <w:overflowPunct/>
              <w:topLinePunct w:val="0"/>
              <w:autoSpaceDE/>
              <w:autoSpaceDN/>
              <w:bidi w:val="0"/>
              <w:adjustRightInd/>
              <w:snapToGrid w:val="0"/>
              <w:spacing w:before="0" w:after="0" w:line="360" w:lineRule="auto"/>
              <w:ind w:right="0" w:firstLine="512" w:firstLineChars="200"/>
              <w:textAlignment w:val="auto"/>
              <w:rPr>
                <w:rFonts w:hint="default" w:ascii="Times New Roman" w:cs="Times New Roman"/>
                <w:color w:val="auto"/>
                <w:sz w:val="24"/>
                <w:szCs w:val="32"/>
                <w:highlight w:val="none"/>
                <w:lang w:val="en-US" w:eastAsia="zh-CN"/>
              </w:rPr>
            </w:pPr>
            <w:r>
              <w:rPr>
                <w:rFonts w:hint="default" w:ascii="Times New Roman" w:hAnsi="Times New Roman" w:cs="Times New Roman"/>
                <w:bCs w:val="0"/>
                <w:color w:val="auto"/>
                <w:kern w:val="0"/>
                <w:sz w:val="24"/>
                <w:szCs w:val="24"/>
                <w:highlight w:val="none"/>
                <w:lang w:val="en-US" w:eastAsia="zh-CN" w:bidi="ar"/>
              </w:rPr>
              <w:t>红蜻蜓（重庆）植物油脂有限公司</w:t>
            </w:r>
            <w:r>
              <w:rPr>
                <w:rFonts w:hint="eastAsia" w:ascii="Times New Roman" w:cs="Times New Roman"/>
                <w:bCs w:val="0"/>
                <w:color w:val="auto"/>
                <w:kern w:val="0"/>
                <w:sz w:val="24"/>
                <w:szCs w:val="24"/>
                <w:highlight w:val="none"/>
                <w:lang w:val="en-US" w:eastAsia="zh-CN" w:bidi="ar"/>
              </w:rPr>
              <w:t>位于</w:t>
            </w:r>
            <w:r>
              <w:rPr>
                <w:rFonts w:hint="default" w:ascii="Times New Roman" w:hAnsi="Times New Roman" w:eastAsia="宋体" w:cs="Times New Roman"/>
                <w:color w:val="auto"/>
                <w:kern w:val="2"/>
                <w:sz w:val="24"/>
                <w:szCs w:val="24"/>
                <w:highlight w:val="none"/>
                <w:lang w:val="en-US" w:eastAsia="zh-CN" w:bidi="ar"/>
              </w:rPr>
              <w:t>西部（重庆）科学城九龙新城园区铜罐驿组团</w:t>
            </w:r>
            <w:r>
              <w:rPr>
                <w:rFonts w:hint="eastAsia" w:ascii="Times New Roman" w:cs="Times New Roman"/>
                <w:color w:val="auto"/>
                <w:sz w:val="24"/>
                <w:szCs w:val="24"/>
                <w:highlight w:val="none"/>
                <w:lang w:val="en-US" w:eastAsia="zh-CN"/>
              </w:rPr>
              <w:t>，占地面积</w:t>
            </w:r>
            <w:r>
              <w:rPr>
                <w:rFonts w:hint="default" w:ascii="Times New Roman" w:hAnsi="Times New Roman" w:eastAsia="宋体" w:cs="Times New Roman"/>
                <w:color w:val="auto"/>
                <w:sz w:val="24"/>
                <w:szCs w:val="32"/>
                <w:highlight w:val="none"/>
                <w:lang w:val="en-US" w:eastAsia="zh-CN"/>
              </w:rPr>
              <w:t>为97521.6m</w:t>
            </w:r>
            <w:r>
              <w:rPr>
                <w:rFonts w:hint="default" w:ascii="Times New Roman" w:hAnsi="Times New Roman" w:eastAsia="宋体" w:cs="Times New Roman"/>
                <w:color w:val="auto"/>
                <w:sz w:val="24"/>
                <w:szCs w:val="32"/>
                <w:highlight w:val="none"/>
                <w:vertAlign w:val="superscript"/>
                <w:lang w:val="en-US" w:eastAsia="zh-CN"/>
              </w:rPr>
              <w:t>2</w:t>
            </w:r>
            <w:r>
              <w:rPr>
                <w:rFonts w:hint="default" w:ascii="Times New Roman" w:hAnsi="Times New Roman" w:eastAsia="宋体" w:cs="Times New Roman"/>
                <w:color w:val="auto"/>
                <w:sz w:val="24"/>
                <w:szCs w:val="32"/>
                <w:highlight w:val="none"/>
                <w:lang w:val="en-US" w:eastAsia="zh-CN"/>
              </w:rPr>
              <w:t>，该建设用地已取得不动产权证，编号：渝（2022）九龙坡区不动产权第0195915号，</w:t>
            </w:r>
            <w:r>
              <w:rPr>
                <w:rFonts w:hint="eastAsia" w:ascii="Times New Roman" w:cs="Times New Roman"/>
                <w:color w:val="auto"/>
                <w:sz w:val="24"/>
                <w:szCs w:val="32"/>
                <w:highlight w:val="none"/>
                <w:lang w:val="en-US" w:eastAsia="zh-CN"/>
              </w:rPr>
              <w:t>明确</w:t>
            </w:r>
            <w:r>
              <w:rPr>
                <w:rFonts w:hint="default" w:ascii="Times New Roman" w:hAnsi="Times New Roman" w:eastAsia="宋体" w:cs="Times New Roman"/>
                <w:color w:val="auto"/>
                <w:sz w:val="24"/>
                <w:szCs w:val="32"/>
                <w:highlight w:val="none"/>
                <w:lang w:val="en-US" w:eastAsia="zh-CN"/>
              </w:rPr>
              <w:t>用地性质为工业用地</w:t>
            </w:r>
            <w:r>
              <w:rPr>
                <w:rFonts w:hint="eastAsia" w:ascii="Times New Roman" w:cs="Times New Roman"/>
                <w:color w:val="auto"/>
                <w:sz w:val="24"/>
                <w:szCs w:val="32"/>
                <w:highlight w:val="none"/>
                <w:lang w:val="en-US" w:eastAsia="zh-CN"/>
              </w:rPr>
              <w:t>；本次改建</w:t>
            </w:r>
            <w:r>
              <w:rPr>
                <w:rFonts w:hint="eastAsia" w:ascii="Times New Roman" w:cs="Times New Roman"/>
                <w:color w:val="auto"/>
                <w:sz w:val="24"/>
                <w:szCs w:val="24"/>
                <w:highlight w:val="none"/>
                <w:lang w:val="en-US" w:eastAsia="zh-CN"/>
              </w:rPr>
              <w:t>在</w:t>
            </w:r>
            <w:r>
              <w:rPr>
                <w:rFonts w:hint="default" w:ascii="Times New Roman" w:hAnsi="Times New Roman" w:eastAsia="宋体" w:cs="Times New Roman"/>
                <w:bCs w:val="0"/>
                <w:color w:val="auto"/>
                <w:kern w:val="0"/>
                <w:sz w:val="24"/>
                <w:szCs w:val="24"/>
                <w:highlight w:val="none"/>
                <w:lang w:val="en-US" w:eastAsia="zh-CN" w:bidi="ar"/>
              </w:rPr>
              <w:t>现有2#包装</w:t>
            </w:r>
            <w:r>
              <w:rPr>
                <w:rFonts w:hint="default" w:ascii="Times New Roman" w:hAnsi="Times New Roman" w:cs="Times New Roman"/>
                <w:bCs w:val="0"/>
                <w:color w:val="auto"/>
                <w:kern w:val="0"/>
                <w:sz w:val="24"/>
                <w:szCs w:val="24"/>
                <w:highlight w:val="none"/>
                <w:lang w:val="en-US" w:eastAsia="zh-CN" w:bidi="ar"/>
              </w:rPr>
              <w:t>车间</w:t>
            </w:r>
            <w:r>
              <w:rPr>
                <w:rFonts w:hint="eastAsia" w:ascii="Times New Roman" w:cs="Times New Roman"/>
                <w:bCs w:val="0"/>
                <w:color w:val="auto"/>
                <w:kern w:val="0"/>
                <w:sz w:val="24"/>
                <w:szCs w:val="24"/>
                <w:highlight w:val="none"/>
                <w:lang w:val="en-US" w:eastAsia="zh-CN" w:bidi="ar"/>
              </w:rPr>
              <w:t>原址改建精炼车间1座，</w:t>
            </w:r>
            <w:r>
              <w:rPr>
                <w:rFonts w:hint="eastAsia" w:ascii="Times New Roman" w:cs="Times New Roman"/>
                <w:color w:val="auto"/>
                <w:sz w:val="24"/>
                <w:szCs w:val="32"/>
                <w:highlight w:val="none"/>
                <w:lang w:val="en-US" w:eastAsia="zh-CN"/>
              </w:rPr>
              <w:t>不扩大用地规模，改建精炼车间已取得规资部门出具的建设工程规划许可证（建字第500107202500046号），精炼车间建筑面积为5259.58m</w:t>
            </w:r>
            <w:r>
              <w:rPr>
                <w:rFonts w:hint="eastAsia" w:ascii="Times New Roman" w:cs="Times New Roman"/>
                <w:color w:val="auto"/>
                <w:sz w:val="24"/>
                <w:szCs w:val="32"/>
                <w:highlight w:val="none"/>
                <w:vertAlign w:val="superscript"/>
                <w:lang w:val="en-US" w:eastAsia="zh-CN"/>
              </w:rPr>
              <w:t>2</w:t>
            </w:r>
            <w:r>
              <w:rPr>
                <w:rFonts w:hint="eastAsia" w:ascii="Times New Roman" w:cs="Times New Roman"/>
                <w:color w:val="auto"/>
                <w:sz w:val="24"/>
                <w:szCs w:val="32"/>
                <w:highlight w:val="none"/>
                <w:lang w:val="en-US" w:eastAsia="zh-CN"/>
              </w:rPr>
              <w:t>。</w:t>
            </w:r>
          </w:p>
          <w:p w14:paraId="765B1F0B">
            <w:pPr>
              <w:pStyle w:val="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highlight w:val="none"/>
                <w:lang w:val="en-US" w:eastAsia="zh-CN"/>
              </w:rPr>
            </w:pPr>
            <w:r>
              <w:rPr>
                <w:rFonts w:hint="eastAsia" w:ascii="Times New Roman" w:cs="Times New Roman"/>
                <w:color w:val="auto"/>
                <w:spacing w:val="0"/>
                <w:position w:val="0"/>
                <w:sz w:val="24"/>
                <w:szCs w:val="24"/>
                <w:highlight w:val="none"/>
                <w:lang w:val="en-US" w:eastAsia="zh-CN"/>
              </w:rPr>
              <w:t>根据</w:t>
            </w:r>
            <w:r>
              <w:rPr>
                <w:rFonts w:hint="eastAsia" w:cs="Times New Roman"/>
                <w:color w:val="auto"/>
                <w:sz w:val="24"/>
                <w:szCs w:val="22"/>
                <w:highlight w:val="none"/>
                <w:lang w:val="en-US" w:eastAsia="zh-CN"/>
              </w:rPr>
              <w:t>九龙坡区生态环境管控单元图叠图及</w:t>
            </w:r>
            <w:r>
              <w:rPr>
                <w:rFonts w:hint="default" w:ascii="Times New Roman" w:hAnsi="Times New Roman" w:cs="Times New Roman"/>
                <w:color w:val="auto"/>
                <w:sz w:val="24"/>
                <w:szCs w:val="22"/>
                <w:highlight w:val="none"/>
              </w:rPr>
              <w:t>重庆市</w:t>
            </w:r>
            <w:r>
              <w:rPr>
                <w:rFonts w:hint="default" w:ascii="Times New Roman" w:hAnsi="Times New Roman" w:cs="Times New Roman"/>
                <w:color w:val="auto"/>
                <w:sz w:val="24"/>
                <w:szCs w:val="22"/>
                <w:highlight w:val="none"/>
                <w:lang w:val="en-US" w:eastAsia="zh-CN"/>
              </w:rPr>
              <w:t>生态环境分区管控</w:t>
            </w:r>
            <w:r>
              <w:rPr>
                <w:rFonts w:hint="default" w:ascii="Times New Roman" w:hAnsi="Times New Roman" w:cs="Times New Roman"/>
                <w:color w:val="auto"/>
                <w:sz w:val="24"/>
                <w:szCs w:val="22"/>
                <w:highlight w:val="none"/>
              </w:rPr>
              <w:t>智检服务平台查询</w:t>
            </w:r>
            <w:r>
              <w:rPr>
                <w:rFonts w:hint="eastAsia" w:ascii="Times New Roman" w:cs="Times New Roman"/>
                <w:color w:val="auto"/>
                <w:sz w:val="24"/>
                <w:szCs w:val="22"/>
                <w:highlight w:val="none"/>
                <w:lang w:val="en-US" w:eastAsia="zh-CN"/>
              </w:rPr>
              <w:t>结果</w:t>
            </w:r>
            <w:r>
              <w:rPr>
                <w:rFonts w:hint="default" w:ascii="Times New Roman" w:hAnsi="Times New Roman" w:cs="Times New Roman"/>
                <w:color w:val="auto"/>
                <w:sz w:val="24"/>
                <w:szCs w:val="22"/>
                <w:highlight w:val="none"/>
              </w:rPr>
              <w:t>，</w:t>
            </w:r>
            <w:r>
              <w:rPr>
                <w:rFonts w:hint="eastAsia" w:ascii="Times New Roman" w:hAnsi="Times New Roman" w:cs="Times New Roman"/>
                <w:color w:val="auto"/>
                <w:sz w:val="24"/>
                <w:szCs w:val="22"/>
                <w:highlight w:val="none"/>
                <w:lang w:eastAsia="zh-CN"/>
              </w:rPr>
              <w:t>本项目</w:t>
            </w:r>
            <w:r>
              <w:rPr>
                <w:rFonts w:hint="eastAsia" w:cs="Times New Roman"/>
                <w:color w:val="auto"/>
                <w:sz w:val="24"/>
                <w:szCs w:val="22"/>
                <w:highlight w:val="none"/>
                <w:lang w:val="en-US" w:eastAsia="zh-CN"/>
              </w:rPr>
              <w:t>改建精炼车间</w:t>
            </w:r>
            <w:r>
              <w:rPr>
                <w:rFonts w:hint="eastAsia" w:ascii="Times New Roman" w:hAnsi="Times New Roman" w:cs="Times New Roman"/>
                <w:color w:val="auto"/>
                <w:sz w:val="24"/>
                <w:szCs w:val="22"/>
                <w:highlight w:val="none"/>
                <w:lang w:val="en-US" w:eastAsia="zh-CN"/>
              </w:rPr>
              <w:t>工程</w:t>
            </w:r>
            <w:r>
              <w:rPr>
                <w:rFonts w:hint="eastAsia" w:ascii="Times New Roman" w:cs="Times New Roman"/>
                <w:color w:val="auto"/>
                <w:sz w:val="24"/>
                <w:szCs w:val="22"/>
                <w:highlight w:val="none"/>
                <w:lang w:val="en-US" w:eastAsia="zh-CN"/>
              </w:rPr>
              <w:t>不涉及生态保护红线、优先保护单元，</w:t>
            </w:r>
            <w:r>
              <w:rPr>
                <w:rFonts w:hint="eastAsia" w:ascii="Times New Roman" w:hAnsi="Times New Roman" w:cs="Times New Roman"/>
                <w:color w:val="auto"/>
                <w:sz w:val="24"/>
                <w:szCs w:val="22"/>
                <w:highlight w:val="none"/>
                <w:lang w:val="en-US" w:eastAsia="zh-CN"/>
              </w:rPr>
              <w:t>但</w:t>
            </w:r>
            <w:r>
              <w:rPr>
                <w:rFonts w:hint="eastAsia" w:cs="Times New Roman"/>
                <w:color w:val="auto"/>
                <w:sz w:val="24"/>
                <w:szCs w:val="22"/>
                <w:highlight w:val="none"/>
                <w:lang w:val="en-US" w:eastAsia="zh-CN"/>
              </w:rPr>
              <w:t>现有</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eastAsia" w:cs="Times New Roman"/>
                <w:color w:val="auto"/>
                <w:sz w:val="24"/>
                <w:szCs w:val="22"/>
                <w:highlight w:val="none"/>
                <w:lang w:val="en-US" w:eastAsia="zh-CN"/>
              </w:rPr>
              <w:t>厂</w:t>
            </w:r>
            <w:r>
              <w:rPr>
                <w:rFonts w:hint="eastAsia" w:cs="Times New Roman"/>
                <w:color w:val="auto"/>
                <w:sz w:val="24"/>
                <w:szCs w:val="24"/>
                <w:highlight w:val="none"/>
                <w:lang w:val="en-US" w:eastAsia="zh-CN"/>
              </w:rPr>
              <w:t>区</w:t>
            </w:r>
            <w:r>
              <w:rPr>
                <w:rFonts w:hint="eastAsia" w:ascii="Times New Roman" w:hAnsi="Times New Roman" w:cs="Times New Roman"/>
                <w:color w:val="auto"/>
                <w:sz w:val="24"/>
                <w:szCs w:val="24"/>
                <w:highlight w:val="none"/>
                <w:lang w:val="en-US" w:eastAsia="zh-CN"/>
              </w:rPr>
              <w:t>涉及优先保护单元-长江上游珍稀特有鱼类国家级自然保护区</w:t>
            </w:r>
            <w:r>
              <w:rPr>
                <w:rFonts w:hint="eastAsia" w:asci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现有</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eastAsia" w:cs="Times New Roman"/>
                <w:color w:val="auto"/>
                <w:sz w:val="24"/>
                <w:szCs w:val="24"/>
                <w:highlight w:val="none"/>
                <w:lang w:val="en-US" w:eastAsia="zh-CN"/>
              </w:rPr>
              <w:t>厂区</w:t>
            </w:r>
            <w:r>
              <w:rPr>
                <w:rFonts w:hint="default" w:ascii="Times New Roman" w:hAnsi="Times New Roman" w:cs="Times New Roman"/>
                <w:color w:val="auto"/>
                <w:spacing w:val="0"/>
                <w:position w:val="0"/>
                <w:sz w:val="24"/>
                <w:szCs w:val="24"/>
                <w:highlight w:val="none"/>
                <w:lang w:val="en-US" w:eastAsia="zh-CN" w:bidi="ar"/>
              </w:rPr>
              <w:t>与优先保护单元-长江上游珍稀特有鱼类国家级自然保护区重叠面积0.003hm</w:t>
            </w:r>
            <w:r>
              <w:rPr>
                <w:rFonts w:hint="default" w:ascii="Times New Roman" w:hAnsi="Times New Roman" w:cs="Times New Roman"/>
                <w:color w:val="auto"/>
                <w:spacing w:val="0"/>
                <w:position w:val="0"/>
                <w:sz w:val="24"/>
                <w:szCs w:val="24"/>
                <w:highlight w:val="none"/>
                <w:vertAlign w:val="superscript"/>
                <w:lang w:val="en-US" w:eastAsia="zh-CN" w:bidi="ar"/>
              </w:rPr>
              <w:t>2</w:t>
            </w:r>
            <w:r>
              <w:rPr>
                <w:rFonts w:hint="default" w:ascii="Times New Roman" w:hAnsi="Times New Roman" w:cs="Times New Roman"/>
                <w:color w:val="auto"/>
                <w:spacing w:val="0"/>
                <w:position w:val="0"/>
                <w:sz w:val="24"/>
                <w:szCs w:val="24"/>
                <w:highlight w:val="none"/>
                <w:lang w:val="en-US" w:eastAsia="zh-CN" w:bidi="ar"/>
              </w:rPr>
              <w:t>，</w:t>
            </w:r>
            <w:r>
              <w:rPr>
                <w:rFonts w:hint="eastAsia" w:ascii="Times New Roman" w:cs="Times New Roman"/>
                <w:color w:val="auto"/>
                <w:spacing w:val="0"/>
                <w:position w:val="0"/>
                <w:sz w:val="24"/>
                <w:szCs w:val="24"/>
                <w:highlight w:val="none"/>
                <w:lang w:val="en-US" w:eastAsia="zh-CN" w:bidi="ar"/>
              </w:rPr>
              <w:t>重叠区域内建设内容为</w:t>
            </w:r>
            <w:r>
              <w:rPr>
                <w:rFonts w:hint="default" w:ascii="Times New Roman" w:hAnsi="Times New Roman" w:cs="Times New Roman"/>
                <w:color w:val="auto"/>
                <w:spacing w:val="0"/>
                <w:position w:val="0"/>
                <w:sz w:val="24"/>
                <w:szCs w:val="24"/>
                <w:highlight w:val="none"/>
                <w:lang w:val="en-US" w:eastAsia="zh-CN" w:bidi="ar"/>
              </w:rPr>
              <w:t>2个油储罐</w:t>
            </w:r>
            <w:r>
              <w:rPr>
                <w:rFonts w:hint="eastAsia" w:ascii="Times New Roman" w:cs="Times New Roman"/>
                <w:color w:val="auto"/>
                <w:spacing w:val="0"/>
                <w:position w:val="0"/>
                <w:sz w:val="24"/>
                <w:szCs w:val="24"/>
                <w:highlight w:val="none"/>
                <w:lang w:val="en-US" w:eastAsia="zh-CN" w:bidi="ar"/>
              </w:rPr>
              <w:t>（0Y04#、0Y05#），为此，本评价提出</w:t>
            </w:r>
            <w:r>
              <w:rPr>
                <w:rFonts w:hint="default" w:ascii="Times New Roman" w:hAnsi="Times New Roman" w:cs="Times New Roman"/>
                <w:color w:val="auto"/>
                <w:spacing w:val="0"/>
                <w:position w:val="0"/>
                <w:sz w:val="24"/>
                <w:szCs w:val="24"/>
                <w:highlight w:val="none"/>
                <w:lang w:val="en-US" w:eastAsia="zh-CN" w:bidi="ar"/>
              </w:rPr>
              <w:t>退让方案</w:t>
            </w:r>
            <w:r>
              <w:rPr>
                <w:rFonts w:hint="eastAsia" w:ascii="Times New Roman" w:cs="Times New Roman"/>
                <w:color w:val="auto"/>
                <w:spacing w:val="0"/>
                <w:position w:val="0"/>
                <w:sz w:val="24"/>
                <w:szCs w:val="24"/>
                <w:highlight w:val="none"/>
                <w:lang w:val="en-US" w:eastAsia="zh-CN" w:bidi="ar"/>
              </w:rPr>
              <w:t>，</w:t>
            </w:r>
            <w:r>
              <w:rPr>
                <w:rFonts w:hint="default" w:ascii="Times New Roman" w:hAnsi="Times New Roman" w:cs="Times New Roman"/>
                <w:color w:val="auto"/>
                <w:spacing w:val="0"/>
                <w:position w:val="0"/>
                <w:sz w:val="24"/>
                <w:szCs w:val="24"/>
                <w:highlight w:val="none"/>
                <w:lang w:val="en-US" w:eastAsia="zh-CN" w:bidi="ar"/>
              </w:rPr>
              <w:t>将与优先保护单元重叠区域内的</w:t>
            </w:r>
            <w:r>
              <w:rPr>
                <w:rFonts w:hint="eastAsia" w:ascii="Times New Roman" w:cs="Times New Roman"/>
                <w:color w:val="auto"/>
                <w:spacing w:val="0"/>
                <w:position w:val="0"/>
                <w:sz w:val="24"/>
                <w:szCs w:val="24"/>
                <w:highlight w:val="none"/>
                <w:lang w:val="en-US" w:eastAsia="zh-CN" w:bidi="ar"/>
              </w:rPr>
              <w:t>2个</w:t>
            </w:r>
            <w:r>
              <w:rPr>
                <w:rFonts w:hint="default" w:ascii="Times New Roman" w:hAnsi="Times New Roman" w:cs="Times New Roman"/>
                <w:color w:val="auto"/>
                <w:spacing w:val="0"/>
                <w:position w:val="0"/>
                <w:sz w:val="24"/>
                <w:szCs w:val="24"/>
                <w:highlight w:val="none"/>
                <w:lang w:val="en-US" w:eastAsia="zh-CN" w:bidi="ar"/>
              </w:rPr>
              <w:t>储罐</w:t>
            </w:r>
            <w:r>
              <w:rPr>
                <w:rFonts w:hint="eastAsia" w:ascii="Times New Roman" w:cs="Times New Roman"/>
                <w:color w:val="auto"/>
                <w:spacing w:val="0"/>
                <w:position w:val="0"/>
                <w:sz w:val="24"/>
                <w:szCs w:val="24"/>
                <w:highlight w:val="none"/>
                <w:lang w:val="en-US" w:eastAsia="zh-CN" w:bidi="ar"/>
              </w:rPr>
              <w:t>（0Y04#、0Y05#）</w:t>
            </w:r>
            <w:r>
              <w:rPr>
                <w:rFonts w:hint="default" w:ascii="Times New Roman" w:hAnsi="Times New Roman" w:cs="Times New Roman"/>
                <w:color w:val="auto"/>
                <w:spacing w:val="0"/>
                <w:position w:val="0"/>
                <w:sz w:val="24"/>
                <w:szCs w:val="24"/>
                <w:highlight w:val="none"/>
                <w:lang w:val="en-US" w:eastAsia="zh-CN" w:bidi="ar"/>
              </w:rPr>
              <w:t>转为空置储罐，并封堵其与输油管线，</w:t>
            </w:r>
            <w:r>
              <w:rPr>
                <w:rFonts w:hint="eastAsia" w:ascii="Times New Roman" w:cs="Times New Roman"/>
                <w:color w:val="auto"/>
                <w:spacing w:val="0"/>
                <w:position w:val="0"/>
                <w:sz w:val="24"/>
                <w:szCs w:val="24"/>
                <w:highlight w:val="none"/>
                <w:lang w:val="en-US" w:eastAsia="zh-CN" w:bidi="ar"/>
              </w:rPr>
              <w:t>后续则</w:t>
            </w:r>
            <w:r>
              <w:rPr>
                <w:rFonts w:hint="default" w:ascii="Times New Roman" w:hAnsi="Times New Roman" w:cs="Times New Roman"/>
                <w:color w:val="auto"/>
                <w:spacing w:val="0"/>
                <w:position w:val="0"/>
                <w:sz w:val="24"/>
                <w:szCs w:val="24"/>
                <w:highlight w:val="none"/>
                <w:lang w:val="en-US" w:eastAsia="zh-CN" w:bidi="ar"/>
              </w:rPr>
              <w:t>根据政府相关要求实施</w:t>
            </w:r>
            <w:r>
              <w:rPr>
                <w:rFonts w:hint="eastAsia" w:ascii="Times New Roman" w:cs="Times New Roman"/>
                <w:color w:val="auto"/>
                <w:spacing w:val="0"/>
                <w:position w:val="0"/>
                <w:sz w:val="24"/>
                <w:szCs w:val="24"/>
                <w:highlight w:val="none"/>
                <w:lang w:val="en-US" w:eastAsia="zh-CN" w:bidi="ar"/>
              </w:rPr>
              <w:t>。</w:t>
            </w:r>
          </w:p>
          <w:p w14:paraId="66520555">
            <w:pPr>
              <w:pStyle w:val="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eastAsia="宋体"/>
                <w:color w:val="auto"/>
                <w:sz w:val="24"/>
                <w:szCs w:val="24"/>
                <w:highlight w:val="none"/>
                <w:lang w:val="en-US" w:eastAsia="zh-CN"/>
              </w:rPr>
            </w:pPr>
            <w:r>
              <w:rPr>
                <w:rFonts w:hint="eastAsia" w:ascii="Times New Roman" w:cs="Times New Roman"/>
                <w:color w:val="auto"/>
                <w:spacing w:val="0"/>
                <w:position w:val="0"/>
                <w:sz w:val="24"/>
                <w:szCs w:val="24"/>
                <w:highlight w:val="none"/>
                <w:lang w:val="en-US" w:eastAsia="zh-CN"/>
              </w:rPr>
              <w:t>综上，</w:t>
            </w:r>
            <w:r>
              <w:rPr>
                <w:rFonts w:hint="eastAsia" w:cs="Times New Roman"/>
                <w:color w:val="auto"/>
                <w:kern w:val="0"/>
                <w:sz w:val="24"/>
                <w:szCs w:val="24"/>
                <w:highlight w:val="none"/>
                <w:lang w:eastAsia="zh-CN" w:bidi="ar"/>
              </w:rPr>
              <w:t>本</w:t>
            </w:r>
            <w:r>
              <w:rPr>
                <w:rFonts w:hint="eastAsia" w:cs="Times New Roman"/>
                <w:color w:val="auto"/>
                <w:kern w:val="0"/>
                <w:sz w:val="24"/>
                <w:szCs w:val="24"/>
                <w:highlight w:val="none"/>
                <w:lang w:val="en-US" w:eastAsia="zh-CN" w:bidi="ar"/>
              </w:rPr>
              <w:t>次改建项目未扩大用地规模，未改变用地用途，针对现有</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eastAsia" w:cs="Times New Roman"/>
                <w:color w:val="auto"/>
                <w:kern w:val="0"/>
                <w:sz w:val="24"/>
                <w:szCs w:val="24"/>
                <w:highlight w:val="none"/>
                <w:lang w:val="en-US" w:eastAsia="zh-CN" w:bidi="ar"/>
              </w:rPr>
              <w:t>厂区涉及的优先保护单元提出了</w:t>
            </w:r>
            <w:r>
              <w:rPr>
                <w:rFonts w:hint="eastAsia" w:ascii="Times New Roman" w:cs="Times New Roman"/>
                <w:color w:val="auto"/>
                <w:spacing w:val="0"/>
                <w:position w:val="0"/>
                <w:sz w:val="24"/>
                <w:szCs w:val="24"/>
                <w:highlight w:val="none"/>
                <w:lang w:val="en-US" w:eastAsia="zh-CN" w:bidi="ar"/>
              </w:rPr>
              <w:t>退让方案，并</w:t>
            </w:r>
            <w:r>
              <w:rPr>
                <w:rFonts w:hint="default" w:ascii="Times New Roman" w:hAnsi="Times New Roman" w:cs="Times New Roman"/>
                <w:color w:val="auto"/>
                <w:kern w:val="0"/>
                <w:sz w:val="24"/>
                <w:szCs w:val="24"/>
                <w:highlight w:val="none"/>
                <w:lang w:bidi="ar"/>
              </w:rPr>
              <w:t>通过优化废气治理措施和采取废水回用的方式</w:t>
            </w:r>
            <w:r>
              <w:rPr>
                <w:rFonts w:hint="eastAsia" w:ascii="Times New Roman" w:cs="Times New Roman"/>
                <w:color w:val="auto"/>
                <w:kern w:val="0"/>
                <w:sz w:val="24"/>
                <w:szCs w:val="24"/>
                <w:highlight w:val="none"/>
                <w:lang w:val="en-US" w:eastAsia="zh-CN" w:bidi="ar"/>
              </w:rPr>
              <w:t>减少污染物排放，故本次改建项目</w:t>
            </w:r>
            <w:r>
              <w:rPr>
                <w:rFonts w:hint="eastAsia" w:cs="Times New Roman"/>
                <w:color w:val="auto"/>
                <w:kern w:val="0"/>
                <w:sz w:val="24"/>
                <w:szCs w:val="24"/>
                <w:highlight w:val="none"/>
                <w:lang w:val="en-US" w:eastAsia="zh-CN" w:bidi="ar"/>
              </w:rPr>
              <w:t>选址合理。</w:t>
            </w:r>
          </w:p>
          <w:p w14:paraId="45AAB691">
            <w:pPr>
              <w:pageBreakBefore w:val="0"/>
              <w:kinsoku/>
              <w:wordWrap/>
              <w:overflowPunct w:val="0"/>
              <w:topLinePunct/>
              <w:bidi w:val="0"/>
              <w:adjustRightInd w:val="0"/>
              <w:snapToGrid w:val="0"/>
              <w:spacing w:line="460" w:lineRule="exact"/>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lang w:val="en-US" w:eastAsia="zh-CN"/>
              </w:rPr>
              <w:t>1.</w:t>
            </w:r>
            <w:r>
              <w:rPr>
                <w:rFonts w:hint="eastAsia" w:cs="Times New Roman"/>
                <w:b/>
                <w:color w:val="auto"/>
                <w:kern w:val="0"/>
                <w:sz w:val="24"/>
                <w:szCs w:val="24"/>
                <w:highlight w:val="none"/>
                <w:lang w:val="en-US" w:eastAsia="zh-CN"/>
              </w:rPr>
              <w:t>6</w:t>
            </w:r>
            <w:r>
              <w:rPr>
                <w:rFonts w:hint="default" w:ascii="Times New Roman" w:hAnsi="Times New Roman" w:cs="Times New Roman"/>
                <w:b/>
                <w:color w:val="auto"/>
                <w:kern w:val="0"/>
                <w:sz w:val="24"/>
                <w:szCs w:val="24"/>
                <w:highlight w:val="none"/>
              </w:rPr>
              <w:t>与《重庆市发展和改革委员会关于印发重庆市产业投资准入工作手册的通知》（渝发改投〔2022〕1436号）符合性分析</w:t>
            </w:r>
          </w:p>
          <w:p w14:paraId="3ADD976E">
            <w:pPr>
              <w:pageBreakBefore w:val="0"/>
              <w:widowControl w:val="0"/>
              <w:kinsoku/>
              <w:wordWrap/>
              <w:overflowPunct w:val="0"/>
              <w:topLinePunct/>
              <w:bidi w:val="0"/>
              <w:adjustRightInd w:val="0"/>
              <w:snapToGrid w:val="0"/>
              <w:spacing w:line="460" w:lineRule="exact"/>
              <w:ind w:firstLine="480" w:firstLineChars="200"/>
              <w:jc w:val="center"/>
              <w:rPr>
                <w:rFonts w:hint="default" w:ascii="Times New Roman" w:hAnsi="Times New Roman" w:eastAsia="宋体" w:cs="Times New Roman"/>
                <w:b/>
                <w:bCs/>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cs="Times New Roman"/>
                <w:snapToGrid w:val="0"/>
                <w:color w:val="auto"/>
                <w:kern w:val="0"/>
                <w:sz w:val="24"/>
                <w:szCs w:val="24"/>
                <w:highlight w:val="none"/>
              </w:rPr>
              <w:t>与《重庆市发展和改革委员会关于印发重庆市产业投资准入工作手册的通知》（渝发改投〔2022〕1436号）符合性分析详见表1</w:t>
            </w:r>
            <w:r>
              <w:rPr>
                <w:rFonts w:hint="default" w:ascii="Times New Roman" w:hAnsi="Times New Roman" w:cs="Times New Roman"/>
                <w:snapToGrid w:val="0"/>
                <w:color w:val="auto"/>
                <w:kern w:val="0"/>
                <w:sz w:val="24"/>
                <w:szCs w:val="24"/>
                <w:highlight w:val="none"/>
                <w:lang w:val="en-US" w:eastAsia="zh-CN"/>
              </w:rPr>
              <w:t>-4</w:t>
            </w:r>
            <w:r>
              <w:rPr>
                <w:rFonts w:hint="default" w:ascii="Times New Roman" w:hAnsi="Times New Roman" w:cs="Times New Roman"/>
                <w:snapToGrid w:val="0"/>
                <w:color w:val="auto"/>
                <w:kern w:val="0"/>
                <w:sz w:val="24"/>
                <w:szCs w:val="24"/>
                <w:highlight w:val="none"/>
              </w:rPr>
              <w:t>。</w:t>
            </w:r>
          </w:p>
          <w:p w14:paraId="16FF4F7D">
            <w:pPr>
              <w:pStyle w:val="10"/>
              <w:pageBreakBefore w:val="0"/>
              <w:widowControl w:val="0"/>
              <w:kinsoku/>
              <w:wordWrap/>
              <w:overflowPunct w:val="0"/>
              <w:topLinePunct/>
              <w:bidi w:val="0"/>
              <w:spacing w:line="440" w:lineRule="exact"/>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表1-4与重庆市产业投资准入工作手册符合性分析一览表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3627"/>
              <w:gridCol w:w="2624"/>
              <w:gridCol w:w="1093"/>
            </w:tblGrid>
            <w:tr w14:paraId="1AC1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7F106A">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类型</w:t>
                  </w: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E9D5AC9">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准入条件</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8B9520">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情况</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0DA515">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符合性</w:t>
                  </w:r>
                </w:p>
              </w:tc>
            </w:tr>
            <w:tr w14:paraId="5521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8C93B06">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全市范围内不予准入类</w:t>
                  </w: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F06A42">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国家产业结构调整目录中的淘汰类项目。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D2C86C">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不属于淘汰类项目。</w:t>
                  </w:r>
                </w:p>
              </w:tc>
              <w:tc>
                <w:tcPr>
                  <w:tcW w:w="64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B82D5F3">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5628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EB602CE">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B63EFE">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天然林商业性采伐。</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66DB35">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不涉及天然林商业性采伐。</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60CC11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7466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96F295F">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D04B4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法律法规和相关政策命令不予准入的其他项目。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12C298">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不属于不予准入项目。</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EDA4CDA">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4935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E62B01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重点区域不予准入类</w:t>
                  </w: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E5D9B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外环绕城高速公路以内长江、嘉陵江水域采砂。</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6905E5">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不涉及采砂。</w:t>
                  </w:r>
                </w:p>
              </w:tc>
              <w:tc>
                <w:tcPr>
                  <w:tcW w:w="64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916EAF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0329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4F2C30">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572923">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二十五度以上陡坡地开垦种植农作物。</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DCF7E7">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B20AFA2">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4329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C785FA0">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75422A">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在自然保护区核心区、缓冲区的岸线和河段范围内投资建设旅游和生产经营项目。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DEE0AB">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不涉及自然保护区核心区、缓冲区的岸线和河段范围。</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3FC57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4FF8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794065A">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6A6646">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77B24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不涉及饮用水水源保护区。</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A230C5">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104B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F523706">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D2406F">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长江干流岸线3公里范围内和重要支流岸线1公里范围内新建、改建、扩建尾矿库、冶炼渣库和磷石膏库（以提升安全、生态环境保护水平为目的的改建除外）。</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72E89A">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不涉及尾矿库、冶炼渣库和磷石膏库建设。</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F10BCBB">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3BB5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099694C">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627E1B">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在风景名胜区核心景区的岸线和河段范围内投资建设与风景名胜资源保护无关的项目。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8884D6">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不涉及风景名胜区核心景区的岸线和河段范围。</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6CB9A3">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2A80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AED05B3">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DBF053">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在国家湿地公园的岸线和河段范围内挖沙、采矿，以及任何不符合主体功能定位的投资建设项目。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BC09DF">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不涉及国家湿地公园的岸线和河段范围。</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6AE98D6">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254F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247419C">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23CFBB">
                  <w:pPr>
                    <w:pStyle w:val="2"/>
                    <w:pageBreakBefore w:val="0"/>
                    <w:kinsoku/>
                    <w:wordWrap/>
                    <w:overflowPunct w:val="0"/>
                    <w:topLinePunct/>
                    <w:bidi w:val="0"/>
                    <w:spacing w:before="0" w:after="0" w:line="240" w:lineRule="auto"/>
                    <w:ind w:right="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在《长江岸线保护和开发利用总体规划》划定的岸线保护区和保留区内投资建设除事关公共安全及公众利益的防洪护岸、河道治理、供水、生态环境保护、航道整治、国家重要基础设施以外的项目。</w:t>
                  </w:r>
                </w:p>
              </w:tc>
              <w:tc>
                <w:tcPr>
                  <w:tcW w:w="25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855B0A">
                  <w:pPr>
                    <w:pStyle w:val="2"/>
                    <w:pageBreakBefore w:val="0"/>
                    <w:kinsoku/>
                    <w:wordWrap/>
                    <w:overflowPunct w:val="0"/>
                    <w:topLinePunct/>
                    <w:bidi w:val="0"/>
                    <w:spacing w:before="0" w:after="0" w:line="240" w:lineRule="auto"/>
                    <w:ind w:right="0" w:rightChars="0"/>
                    <w:jc w:val="both"/>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不涉及文件划定的岸线保护区和保留区范围。</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BB7355A">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7510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D9D4864">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26A009">
                  <w:pPr>
                    <w:pStyle w:val="2"/>
                    <w:pageBreakBefore w:val="0"/>
                    <w:kinsoku/>
                    <w:wordWrap/>
                    <w:overflowPunct w:val="0"/>
                    <w:topLinePunct/>
                    <w:bidi w:val="0"/>
                    <w:spacing w:before="0" w:after="0" w:line="240" w:lineRule="auto"/>
                    <w:ind w:right="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在《全国重要江河湖泊水功能区划》划定的河段及湖泊保护区、保留区内投资建设不利于水资源及自然生态保护的项目。</w:t>
                  </w:r>
                </w:p>
              </w:tc>
              <w:tc>
                <w:tcPr>
                  <w:tcW w:w="25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D1F8D9">
                  <w:pPr>
                    <w:pStyle w:val="2"/>
                    <w:pageBreakBefore w:val="0"/>
                    <w:kinsoku/>
                    <w:wordWrap/>
                    <w:overflowPunct w:val="0"/>
                    <w:topLinePunct/>
                    <w:bidi w:val="0"/>
                    <w:spacing w:before="0" w:after="0" w:line="240" w:lineRule="auto"/>
                    <w:ind w:right="0" w:rightChars="0"/>
                    <w:jc w:val="both"/>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不涉及文件划定的保护区、保留区范围。</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DC8660B">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4F76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B8E709B">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全市范围内限制准入类</w:t>
                  </w: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8C6FC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新建、扩建不符合国家产能置换要求的严重过剩产能行业的项目。新建、扩建不符合要求的高耗能高排放项目。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702783">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不属于过剩产能、高耗能、高排放项目。</w:t>
                  </w:r>
                </w:p>
              </w:tc>
              <w:tc>
                <w:tcPr>
                  <w:tcW w:w="64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7143E35">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2AC6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E478116">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01E89B">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新建、扩建不符合国家石化、现代煤化工等产业布局规划的项目。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C431B3">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符合相关规划。</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1D36A35">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7574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69CDE0">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06D6B7">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在合规园区外新建、扩建钢铁、石化、化工、焦化、建材、有色、制浆造纸等高污染项目。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B4F71E">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不属于高污染项目。</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F6B533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4EB5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93418C1">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45AD3D">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《汽车产业投资管理规定》（国家发展和改革委员会令第22号）明确禁止建设的汽车投资项目。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DFD8B8">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不属于汽车投资项目。</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94F9B9">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442D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85002B8">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重点区域范围内限制准入类</w:t>
                  </w: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5203EE">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长江干支流、重要湖泊岸线1公里范围内新建、扩建化工园区和化工项目，长江、嘉陵江、乌江岸线1公里范围内布局新建纸浆制造、印染等存在环境风险的项目。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D4E06A">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为食用植物油加工项目，不属于化工、纸浆制造、印染项目。</w:t>
                  </w:r>
                </w:p>
              </w:tc>
              <w:tc>
                <w:tcPr>
                  <w:tcW w:w="64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3F61243">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r>
            <w:tr w14:paraId="34AC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585CACE">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p>
              </w:tc>
              <w:tc>
                <w:tcPr>
                  <w:tcW w:w="21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315E07">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在水产种质资源保护区的岸线和河段范围内新建围湖造田等投资建设项目。</w:t>
                  </w:r>
                </w:p>
              </w:tc>
              <w:tc>
                <w:tcPr>
                  <w:tcW w:w="15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92F1B2">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不涉及水产种质资源保护区的岸线和河段范围，不属于前述围湖造田建设项目。</w:t>
                  </w:r>
                </w:p>
              </w:tc>
              <w:tc>
                <w:tcPr>
                  <w:tcW w:w="64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C7174">
                  <w:pPr>
                    <w:pStyle w:val="2"/>
                    <w:pageBreakBefore w:val="0"/>
                    <w:kinsoku/>
                    <w:wordWrap/>
                    <w:overflowPunct w:val="0"/>
                    <w:topLinePunct/>
                    <w:bidi w:val="0"/>
                    <w:spacing w:before="0" w:after="0" w:line="240" w:lineRule="auto"/>
                    <w:ind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bl>
          <w:p w14:paraId="54FF4D18">
            <w:pPr>
              <w:pStyle w:val="49"/>
              <w:numPr>
                <w:ilvl w:val="0"/>
                <w:numId w:val="0"/>
              </w:numPr>
              <w:tabs>
                <w:tab w:val="clear" w:pos="425"/>
              </w:tabs>
              <w:ind w:left="0" w:leftChars="0" w:firstLine="0" w:firstLineChars="0"/>
              <w:rPr>
                <w:rFonts w:hint="default" w:ascii="Times New Roman" w:hAnsi="Times New Roman" w:cs="Times New Roman"/>
                <w:color w:val="auto"/>
                <w:sz w:val="24"/>
                <w:szCs w:val="24"/>
                <w:highlight w:val="none"/>
              </w:rPr>
            </w:pPr>
            <w:r>
              <w:rPr>
                <w:rFonts w:hint="default" w:ascii="Times New Roman" w:hAnsi="Times New Roman" w:eastAsia="新宋体" w:cs="Times New Roman"/>
                <w:b/>
                <w:i w:val="0"/>
                <w:color w:val="auto"/>
                <w:kern w:val="2"/>
                <w:sz w:val="24"/>
                <w:szCs w:val="24"/>
                <w:highlight w:val="none"/>
                <w:lang w:val="en-US" w:eastAsia="zh-CN" w:bidi="ar-SA"/>
              </w:rPr>
              <w:t>1.</w:t>
            </w:r>
            <w:r>
              <w:rPr>
                <w:rFonts w:hint="eastAsia" w:eastAsia="新宋体" w:cs="Times New Roman"/>
                <w:b/>
                <w:i w:val="0"/>
                <w:color w:val="auto"/>
                <w:kern w:val="2"/>
                <w:sz w:val="24"/>
                <w:szCs w:val="24"/>
                <w:highlight w:val="none"/>
                <w:lang w:val="en-US" w:eastAsia="zh-CN" w:bidi="ar-SA"/>
              </w:rPr>
              <w:t>7</w:t>
            </w:r>
            <w:r>
              <w:rPr>
                <w:rFonts w:hint="default" w:ascii="Times New Roman" w:hAnsi="Times New Roman" w:cs="Times New Roman"/>
                <w:color w:val="auto"/>
                <w:sz w:val="24"/>
                <w:szCs w:val="24"/>
                <w:highlight w:val="none"/>
              </w:rPr>
              <w:t>与《中华人民共和国长江保护法》符合性分析</w:t>
            </w:r>
          </w:p>
          <w:p w14:paraId="3E09C738">
            <w:pPr>
              <w:pStyle w:val="43"/>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项目与《中华人民共和国长江保护法》符合性分析见下表。</w:t>
            </w:r>
          </w:p>
          <w:p w14:paraId="6CF97410">
            <w:pPr>
              <w:pStyle w:val="47"/>
              <w:spacing w:before="120"/>
              <w:ind w:firstLine="442"/>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与《中华人民共和国长江保护法》符合性分析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4444"/>
              <w:gridCol w:w="2297"/>
              <w:gridCol w:w="1007"/>
            </w:tblGrid>
            <w:tr w14:paraId="2988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2D1E4659">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序号</w:t>
                  </w:r>
                </w:p>
              </w:tc>
              <w:tc>
                <w:tcPr>
                  <w:tcW w:w="2625" w:type="pct"/>
                  <w:tcBorders>
                    <w:top w:val="single" w:color="auto" w:sz="4" w:space="0"/>
                    <w:left w:val="single" w:color="auto" w:sz="4" w:space="0"/>
                    <w:bottom w:val="single" w:color="auto" w:sz="4" w:space="0"/>
                    <w:right w:val="single" w:color="auto" w:sz="4" w:space="0"/>
                  </w:tcBorders>
                  <w:noWrap w:val="0"/>
                  <w:vAlign w:val="center"/>
                </w:tcPr>
                <w:p w14:paraId="7F380025">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相关要求</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33BF9B0C">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情况</w:t>
                  </w:r>
                </w:p>
              </w:tc>
              <w:tc>
                <w:tcPr>
                  <w:tcW w:w="595" w:type="pct"/>
                  <w:tcBorders>
                    <w:top w:val="single" w:color="auto" w:sz="4" w:space="0"/>
                    <w:left w:val="single" w:color="auto" w:sz="4" w:space="0"/>
                    <w:bottom w:val="single" w:color="auto" w:sz="4" w:space="0"/>
                    <w:right w:val="single" w:color="auto" w:sz="4" w:space="0"/>
                  </w:tcBorders>
                  <w:noWrap w:val="0"/>
                  <w:vAlign w:val="center"/>
                </w:tcPr>
                <w:p w14:paraId="0181B5C8">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符合性</w:t>
                  </w:r>
                </w:p>
              </w:tc>
            </w:tr>
            <w:tr w14:paraId="4960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29E80F9F">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1</w:t>
                  </w:r>
                </w:p>
              </w:tc>
              <w:tc>
                <w:tcPr>
                  <w:tcW w:w="2625" w:type="pct"/>
                  <w:tcBorders>
                    <w:top w:val="single" w:color="auto" w:sz="4" w:space="0"/>
                    <w:left w:val="single" w:color="auto" w:sz="4" w:space="0"/>
                    <w:bottom w:val="single" w:color="auto" w:sz="4" w:space="0"/>
                    <w:right w:val="single" w:color="auto" w:sz="4" w:space="0"/>
                  </w:tcBorders>
                  <w:noWrap w:val="0"/>
                  <w:vAlign w:val="center"/>
                </w:tcPr>
                <w:p w14:paraId="61862F4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长江流域国土空间开发利用活动应当符合国土空间用途管制要求，并依法取得规划许可。</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61638BB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在现有厂区内</w:t>
                  </w:r>
                  <w:r>
                    <w:rPr>
                      <w:rFonts w:hint="default" w:ascii="Times New Roman" w:hAnsi="Times New Roman" w:cs="Times New Roman"/>
                      <w:color w:val="auto"/>
                      <w:kern w:val="2"/>
                      <w:sz w:val="21"/>
                      <w:szCs w:val="21"/>
                      <w:highlight w:val="none"/>
                      <w:lang w:val="en-US" w:eastAsia="zh-CN" w:bidi="ar"/>
                    </w:rPr>
                    <w:t>进行</w:t>
                  </w:r>
                  <w:r>
                    <w:rPr>
                      <w:rFonts w:hint="eastAsia" w:ascii="Times New Roman" w:hAnsi="Times New Roman" w:cs="Times New Roman"/>
                      <w:color w:val="auto"/>
                      <w:kern w:val="2"/>
                      <w:sz w:val="21"/>
                      <w:szCs w:val="21"/>
                      <w:highlight w:val="none"/>
                      <w:lang w:val="en-US" w:eastAsia="zh-CN" w:bidi="ar"/>
                    </w:rPr>
                    <w:t>改建</w:t>
                  </w:r>
                  <w:r>
                    <w:rPr>
                      <w:rFonts w:hint="default" w:ascii="Times New Roman" w:hAnsi="Times New Roman" w:eastAsia="宋体" w:cs="Times New Roman"/>
                      <w:color w:val="auto"/>
                      <w:kern w:val="2"/>
                      <w:sz w:val="21"/>
                      <w:szCs w:val="21"/>
                      <w:highlight w:val="none"/>
                      <w:lang w:val="en-US" w:eastAsia="zh-CN" w:bidi="ar"/>
                    </w:rPr>
                    <w:t>，不新增用地</w:t>
                  </w:r>
                </w:p>
              </w:tc>
              <w:tc>
                <w:tcPr>
                  <w:tcW w:w="595" w:type="pct"/>
                  <w:tcBorders>
                    <w:top w:val="single" w:color="auto" w:sz="4" w:space="0"/>
                    <w:left w:val="single" w:color="auto" w:sz="4" w:space="0"/>
                    <w:bottom w:val="single" w:color="auto" w:sz="4" w:space="0"/>
                    <w:right w:val="single" w:color="auto" w:sz="4" w:space="0"/>
                  </w:tcBorders>
                  <w:noWrap w:val="0"/>
                  <w:vAlign w:val="center"/>
                </w:tcPr>
                <w:p w14:paraId="19CF092A">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0EEB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18D88466">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2</w:t>
                  </w:r>
                </w:p>
              </w:tc>
              <w:tc>
                <w:tcPr>
                  <w:tcW w:w="2625" w:type="pct"/>
                  <w:tcBorders>
                    <w:top w:val="single" w:color="auto" w:sz="4" w:space="0"/>
                    <w:left w:val="single" w:color="auto" w:sz="4" w:space="0"/>
                    <w:bottom w:val="single" w:color="auto" w:sz="4" w:space="0"/>
                    <w:right w:val="single" w:color="auto" w:sz="4" w:space="0"/>
                  </w:tcBorders>
                  <w:noWrap w:val="0"/>
                  <w:vAlign w:val="center"/>
                </w:tcPr>
                <w:p w14:paraId="24BB837F">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禁止在长江流域重点生态功能区布局对生态系统有严重影响的产业。</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492D08E3">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不属于对生态系统有严重影响的项目</w:t>
                  </w:r>
                </w:p>
              </w:tc>
              <w:tc>
                <w:tcPr>
                  <w:tcW w:w="595" w:type="pct"/>
                  <w:tcBorders>
                    <w:top w:val="single" w:color="auto" w:sz="4" w:space="0"/>
                    <w:left w:val="single" w:color="auto" w:sz="4" w:space="0"/>
                    <w:bottom w:val="single" w:color="auto" w:sz="4" w:space="0"/>
                    <w:right w:val="single" w:color="auto" w:sz="4" w:space="0"/>
                  </w:tcBorders>
                  <w:noWrap w:val="0"/>
                  <w:vAlign w:val="center"/>
                </w:tcPr>
                <w:p w14:paraId="6056D669">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2F3D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6A2F1F95">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3</w:t>
                  </w:r>
                </w:p>
              </w:tc>
              <w:tc>
                <w:tcPr>
                  <w:tcW w:w="2625" w:type="pct"/>
                  <w:tcBorders>
                    <w:top w:val="single" w:color="auto" w:sz="4" w:space="0"/>
                    <w:left w:val="single" w:color="auto" w:sz="4" w:space="0"/>
                    <w:bottom w:val="single" w:color="auto" w:sz="4" w:space="0"/>
                    <w:right w:val="single" w:color="auto" w:sz="4" w:space="0"/>
                  </w:tcBorders>
                  <w:noWrap w:val="0"/>
                  <w:vAlign w:val="center"/>
                </w:tcPr>
                <w:p w14:paraId="4B1ADEB9">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禁止重污染企业和项目向长江中上游转移。</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5730B762">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不属于重污染企业</w:t>
                  </w:r>
                </w:p>
              </w:tc>
              <w:tc>
                <w:tcPr>
                  <w:tcW w:w="595" w:type="pct"/>
                  <w:tcBorders>
                    <w:top w:val="single" w:color="auto" w:sz="4" w:space="0"/>
                    <w:left w:val="single" w:color="auto" w:sz="4" w:space="0"/>
                    <w:bottom w:val="single" w:color="auto" w:sz="4" w:space="0"/>
                    <w:right w:val="single" w:color="auto" w:sz="4" w:space="0"/>
                  </w:tcBorders>
                  <w:noWrap w:val="0"/>
                  <w:vAlign w:val="center"/>
                </w:tcPr>
                <w:p w14:paraId="0AA228E2">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55A3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413EDF95">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4</w:t>
                  </w:r>
                </w:p>
              </w:tc>
              <w:tc>
                <w:tcPr>
                  <w:tcW w:w="2625" w:type="pct"/>
                  <w:tcBorders>
                    <w:top w:val="single" w:color="auto" w:sz="4" w:space="0"/>
                    <w:left w:val="single" w:color="auto" w:sz="4" w:space="0"/>
                    <w:bottom w:val="single" w:color="auto" w:sz="4" w:space="0"/>
                    <w:right w:val="single" w:color="auto" w:sz="4" w:space="0"/>
                  </w:tcBorders>
                  <w:noWrap w:val="0"/>
                  <w:vAlign w:val="center"/>
                </w:tcPr>
                <w:p w14:paraId="618D488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禁止在长江干流岸线三公里范围内和重要支流岸线一公里范围内新建、改建、扩建尾矿库；但是以提升安全、生态环境保护水平为目的改建除外。</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22531FB7">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不属于尾矿库</w:t>
                  </w:r>
                </w:p>
              </w:tc>
              <w:tc>
                <w:tcPr>
                  <w:tcW w:w="595" w:type="pct"/>
                  <w:tcBorders>
                    <w:top w:val="single" w:color="auto" w:sz="4" w:space="0"/>
                    <w:left w:val="single" w:color="auto" w:sz="4" w:space="0"/>
                    <w:bottom w:val="single" w:color="auto" w:sz="4" w:space="0"/>
                    <w:right w:val="single" w:color="auto" w:sz="4" w:space="0"/>
                  </w:tcBorders>
                  <w:noWrap w:val="0"/>
                  <w:vAlign w:val="center"/>
                </w:tcPr>
                <w:p w14:paraId="7E425FBA">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127A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0CB353EE">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5</w:t>
                  </w:r>
                </w:p>
              </w:tc>
              <w:tc>
                <w:tcPr>
                  <w:tcW w:w="2625" w:type="pct"/>
                  <w:tcBorders>
                    <w:top w:val="single" w:color="auto" w:sz="4" w:space="0"/>
                    <w:left w:val="single" w:color="auto" w:sz="4" w:space="0"/>
                    <w:bottom w:val="single" w:color="auto" w:sz="4" w:space="0"/>
                    <w:right w:val="single" w:color="auto" w:sz="4" w:space="0"/>
                  </w:tcBorders>
                  <w:noWrap w:val="0"/>
                  <w:vAlign w:val="center"/>
                </w:tcPr>
                <w:p w14:paraId="4835A5EA">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对长江流域已建小水电工程，不符合生态保护要求的，县级以上地方人民政府应当组织分类整改或者采取措施逐步退出。</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248D629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不属于水电工程</w:t>
                  </w:r>
                </w:p>
              </w:tc>
              <w:tc>
                <w:tcPr>
                  <w:tcW w:w="595" w:type="pct"/>
                  <w:tcBorders>
                    <w:top w:val="single" w:color="auto" w:sz="4" w:space="0"/>
                    <w:left w:val="single" w:color="auto" w:sz="4" w:space="0"/>
                    <w:bottom w:val="single" w:color="auto" w:sz="4" w:space="0"/>
                    <w:right w:val="single" w:color="auto" w:sz="4" w:space="0"/>
                  </w:tcBorders>
                  <w:noWrap w:val="0"/>
                  <w:vAlign w:val="center"/>
                </w:tcPr>
                <w:p w14:paraId="4C768C91">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008B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62CA36D2">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6</w:t>
                  </w:r>
                </w:p>
              </w:tc>
              <w:tc>
                <w:tcPr>
                  <w:tcW w:w="2625" w:type="pct"/>
                  <w:tcBorders>
                    <w:top w:val="single" w:color="auto" w:sz="4" w:space="0"/>
                    <w:left w:val="single" w:color="auto" w:sz="4" w:space="0"/>
                    <w:bottom w:val="single" w:color="auto" w:sz="4" w:space="0"/>
                    <w:right w:val="single" w:color="auto" w:sz="4" w:space="0"/>
                  </w:tcBorders>
                  <w:noWrap w:val="0"/>
                  <w:vAlign w:val="center"/>
                </w:tcPr>
                <w:p w14:paraId="1FD13BA7">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禁止在长江流域水土流失严重、生态脆弱的区域开展可能造成水土流失的生产建设活动。</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7C3060A6">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位于工业园区内，不在长江流域水土流失严重、生态脆弱的区域内</w:t>
                  </w:r>
                </w:p>
              </w:tc>
              <w:tc>
                <w:tcPr>
                  <w:tcW w:w="595" w:type="pct"/>
                  <w:tcBorders>
                    <w:top w:val="single" w:color="auto" w:sz="4" w:space="0"/>
                    <w:left w:val="single" w:color="auto" w:sz="4" w:space="0"/>
                    <w:bottom w:val="single" w:color="auto" w:sz="4" w:space="0"/>
                    <w:right w:val="single" w:color="auto" w:sz="4" w:space="0"/>
                  </w:tcBorders>
                  <w:noWrap w:val="0"/>
                  <w:vAlign w:val="center"/>
                </w:tcPr>
                <w:p w14:paraId="5A92C5E9">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0F62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287C6599">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7</w:t>
                  </w:r>
                </w:p>
              </w:tc>
              <w:tc>
                <w:tcPr>
                  <w:tcW w:w="2625" w:type="pct"/>
                  <w:tcBorders>
                    <w:top w:val="single" w:color="auto" w:sz="4" w:space="0"/>
                    <w:left w:val="single" w:color="auto" w:sz="4" w:space="0"/>
                    <w:bottom w:val="single" w:color="auto" w:sz="4" w:space="0"/>
                    <w:right w:val="single" w:color="auto" w:sz="4" w:space="0"/>
                  </w:tcBorders>
                  <w:noWrap w:val="0"/>
                  <w:vAlign w:val="center"/>
                </w:tcPr>
                <w:p w14:paraId="2FAF2B0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严格限制在长江流域生态保护红线、自然保护地、水生生物重要栖息地水域实施航道整治工程；确需整治的，应当经科学论证，并依法办理相关手续。</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6E696549">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不属于航道整治工程</w:t>
                  </w:r>
                </w:p>
              </w:tc>
              <w:tc>
                <w:tcPr>
                  <w:tcW w:w="595" w:type="pct"/>
                  <w:tcBorders>
                    <w:top w:val="single" w:color="auto" w:sz="4" w:space="0"/>
                    <w:left w:val="single" w:color="auto" w:sz="4" w:space="0"/>
                    <w:bottom w:val="single" w:color="auto" w:sz="4" w:space="0"/>
                    <w:right w:val="single" w:color="auto" w:sz="4" w:space="0"/>
                  </w:tcBorders>
                  <w:noWrap w:val="0"/>
                  <w:vAlign w:val="center"/>
                </w:tcPr>
                <w:p w14:paraId="36A5FD73">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bl>
          <w:p w14:paraId="3D16AE61">
            <w:pPr>
              <w:keepNext w:val="0"/>
              <w:keepLines w:val="0"/>
              <w:pageBreakBefore w:val="0"/>
              <w:widowControl w:val="0"/>
              <w:kinsoku/>
              <w:wordWrap/>
              <w:overflowPunct w:val="0"/>
              <w:topLinePunct/>
              <w:autoSpaceDE/>
              <w:autoSpaceDN/>
              <w:bidi w:val="0"/>
              <w:adjustRightInd/>
              <w:snapToGrid/>
              <w:spacing w:line="460" w:lineRule="exac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lang w:val="en-US" w:eastAsia="zh-CN"/>
              </w:rPr>
              <w:t>与《四川省、重庆市长江经济带发展负面清单实施细则（试行，2022年版）》（川长江办〔2022〕17号）符合性分析</w:t>
            </w:r>
          </w:p>
          <w:p w14:paraId="189D5496">
            <w:pPr>
              <w:pStyle w:val="8"/>
              <w:pageBreakBefore w:val="0"/>
              <w:numPr>
                <w:ilvl w:val="0"/>
                <w:numId w:val="0"/>
              </w:numPr>
              <w:suppressLineNumbers w:val="0"/>
              <w:kinsoku/>
              <w:wordWrap/>
              <w:overflowPunct w:val="0"/>
              <w:topLinePunct/>
              <w:autoSpaceDE/>
              <w:autoSpaceDN/>
              <w:bidi w:val="0"/>
              <w:adjustRightInd w:val="0"/>
              <w:spacing w:before="0" w:beforeAutospacing="0" w:after="0" w:afterAutospacing="0"/>
              <w:ind w:right="0" w:rightChars="0" w:firstLine="480" w:firstLineChars="200"/>
              <w:jc w:val="both"/>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项目与《四川省、重庆市长江经济带发展负面清单实施细则（试行，2022年版）》（川长江办〔2022〕17号）符合性分析见下表。</w:t>
            </w:r>
          </w:p>
          <w:p w14:paraId="01B4D1E1">
            <w:pPr>
              <w:pStyle w:val="17"/>
              <w:keepNext w:val="0"/>
              <w:keepLines w:val="0"/>
              <w:pageBreakBefore w:val="0"/>
              <w:widowControl w:val="0"/>
              <w:kinsoku/>
              <w:wordWrap/>
              <w:overflowPunct w:val="0"/>
              <w:topLinePunct/>
              <w:autoSpaceDE/>
              <w:autoSpaceDN/>
              <w:bidi w:val="0"/>
              <w:adjustRightInd/>
              <w:snapToGrid/>
              <w:spacing w:before="157" w:beforeLines="50" w:after="0"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表1-6与</w:t>
            </w:r>
            <w:r>
              <w:rPr>
                <w:rFonts w:hint="default" w:ascii="Times New Roman" w:hAnsi="Times New Roman" w:cs="Times New Roman"/>
                <w:b/>
                <w:bCs/>
                <w:color w:val="auto"/>
                <w:sz w:val="21"/>
                <w:szCs w:val="21"/>
                <w:highlight w:val="none"/>
                <w:lang w:val="en-US" w:eastAsia="zh-CN"/>
              </w:rPr>
              <w:t>《四川省、重庆市长江经济带发展负面清单实施细则（试行，2022年版）》（川长江办〔2022〕17号）</w:t>
            </w:r>
            <w:r>
              <w:rPr>
                <w:rFonts w:hint="default" w:ascii="Times New Roman" w:hAnsi="Times New Roman" w:cs="Times New Roman"/>
                <w:b/>
                <w:bCs/>
                <w:color w:val="auto"/>
                <w:sz w:val="21"/>
                <w:szCs w:val="21"/>
                <w:highlight w:val="none"/>
                <w:vertAlign w:val="baseline"/>
                <w:lang w:val="en-US" w:eastAsia="zh-CN"/>
              </w:rPr>
              <w:t>的符合性分析</w:t>
            </w:r>
          </w:p>
          <w:tbl>
            <w:tblPr>
              <w:tblStyle w:val="38"/>
              <w:tblW w:w="1282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96"/>
              <w:gridCol w:w="6936"/>
              <w:gridCol w:w="3236"/>
              <w:gridCol w:w="1457"/>
            </w:tblGrid>
            <w:tr w14:paraId="673E8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6591665E">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序号</w:t>
                  </w:r>
                </w:p>
              </w:tc>
              <w:tc>
                <w:tcPr>
                  <w:tcW w:w="2703" w:type="pct"/>
                  <w:noWrap w:val="0"/>
                  <w:vAlign w:val="center"/>
                </w:tcPr>
                <w:p w14:paraId="4AA66A38">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position w:val="1"/>
                      <w:sz w:val="21"/>
                      <w:szCs w:val="21"/>
                      <w:highlight w:val="none"/>
                    </w:rPr>
                    <w:t>川长江办〔</w:t>
                  </w:r>
                  <w:r>
                    <w:rPr>
                      <w:rFonts w:hint="default" w:ascii="Times New Roman" w:hAnsi="Times New Roman" w:eastAsia="Times New Roman" w:cs="Times New Roman"/>
                      <w:color w:val="auto"/>
                      <w:spacing w:val="6"/>
                      <w:position w:val="1"/>
                      <w:sz w:val="21"/>
                      <w:szCs w:val="21"/>
                      <w:highlight w:val="none"/>
                    </w:rPr>
                    <w:t>2022</w:t>
                  </w:r>
                  <w:r>
                    <w:rPr>
                      <w:rFonts w:hint="default" w:ascii="Times New Roman" w:hAnsi="Times New Roman" w:cs="Times New Roman"/>
                      <w:color w:val="auto"/>
                      <w:spacing w:val="6"/>
                      <w:position w:val="1"/>
                      <w:sz w:val="21"/>
                      <w:szCs w:val="21"/>
                      <w:highlight w:val="none"/>
                    </w:rPr>
                    <w:t>〕</w:t>
                  </w:r>
                  <w:r>
                    <w:rPr>
                      <w:rFonts w:hint="default" w:ascii="Times New Roman" w:hAnsi="Times New Roman" w:eastAsia="Times New Roman" w:cs="Times New Roman"/>
                      <w:color w:val="auto"/>
                      <w:spacing w:val="6"/>
                      <w:position w:val="1"/>
                      <w:sz w:val="21"/>
                      <w:szCs w:val="21"/>
                      <w:highlight w:val="none"/>
                    </w:rPr>
                    <w:t>17</w:t>
                  </w:r>
                  <w:r>
                    <w:rPr>
                      <w:rFonts w:hint="default" w:ascii="Times New Roman" w:hAnsi="Times New Roman" w:cs="Times New Roman"/>
                      <w:color w:val="auto"/>
                      <w:spacing w:val="6"/>
                      <w:position w:val="1"/>
                      <w:sz w:val="21"/>
                      <w:szCs w:val="21"/>
                      <w:highlight w:val="none"/>
                    </w:rPr>
                    <w:t>号文要求</w:t>
                  </w:r>
                </w:p>
              </w:tc>
              <w:tc>
                <w:tcPr>
                  <w:tcW w:w="1261" w:type="pct"/>
                  <w:noWrap w:val="0"/>
                  <w:vAlign w:val="center"/>
                </w:tcPr>
                <w:p w14:paraId="73F74B3B">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7"/>
                      <w:sz w:val="21"/>
                      <w:szCs w:val="21"/>
                      <w:highlight w:val="none"/>
                      <w:lang w:eastAsia="zh-CN"/>
                    </w:rPr>
                    <w:t>本项目</w:t>
                  </w:r>
                  <w:r>
                    <w:rPr>
                      <w:rFonts w:hint="default" w:ascii="Times New Roman" w:hAnsi="Times New Roman" w:cs="Times New Roman"/>
                      <w:color w:val="auto"/>
                      <w:spacing w:val="7"/>
                      <w:sz w:val="21"/>
                      <w:szCs w:val="21"/>
                      <w:highlight w:val="none"/>
                    </w:rPr>
                    <w:t>情况</w:t>
                  </w:r>
                </w:p>
              </w:tc>
              <w:tc>
                <w:tcPr>
                  <w:tcW w:w="568" w:type="pct"/>
                  <w:noWrap w:val="0"/>
                  <w:vAlign w:val="center"/>
                </w:tcPr>
                <w:p w14:paraId="0822733A">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符合性分</w:t>
                  </w:r>
                </w:p>
                <w:p w14:paraId="6BD302B0">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析结论</w:t>
                  </w:r>
                </w:p>
              </w:tc>
            </w:tr>
            <w:tr w14:paraId="70D5E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353425C1">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position w:val="1"/>
                      <w:sz w:val="21"/>
                      <w:szCs w:val="21"/>
                      <w:highlight w:val="none"/>
                    </w:rPr>
                    <w:t>1</w:t>
                  </w:r>
                </w:p>
              </w:tc>
              <w:tc>
                <w:tcPr>
                  <w:tcW w:w="2703" w:type="pct"/>
                  <w:noWrap w:val="0"/>
                  <w:vAlign w:val="center"/>
                </w:tcPr>
                <w:p w14:paraId="18EE8389">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第五条禁止新建、改建和扩建不符合全国港口</w:t>
                  </w:r>
                  <w:r>
                    <w:rPr>
                      <w:rFonts w:hint="default" w:ascii="Times New Roman" w:hAnsi="Times New Roman" w:cs="Times New Roman"/>
                      <w:color w:val="auto"/>
                      <w:spacing w:val="6"/>
                      <w:sz w:val="21"/>
                      <w:szCs w:val="21"/>
                      <w:highlight w:val="none"/>
                    </w:rPr>
                    <w:t>布局规划，以及《四川省内河水运发展规划》</w:t>
                  </w:r>
                  <w:r>
                    <w:rPr>
                      <w:rFonts w:hint="default" w:ascii="Times New Roman" w:hAnsi="Times New Roman" w:cs="Times New Roman"/>
                      <w:color w:val="auto"/>
                      <w:spacing w:val="3"/>
                      <w:sz w:val="21"/>
                      <w:szCs w:val="21"/>
                      <w:highlight w:val="none"/>
                    </w:rPr>
                    <w:t>《泸州—宜宾—乐山港口群布局规划》《重庆</w:t>
                  </w:r>
                  <w:r>
                    <w:rPr>
                      <w:rFonts w:hint="default" w:ascii="Times New Roman" w:hAnsi="Times New Roman" w:cs="Times New Roman"/>
                      <w:color w:val="auto"/>
                      <w:spacing w:val="2"/>
                      <w:sz w:val="21"/>
                      <w:szCs w:val="21"/>
                      <w:highlight w:val="none"/>
                    </w:rPr>
                    <w:t>港总体规划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eastAsia="Times New Roman" w:cs="Times New Roman"/>
                      <w:color w:val="auto"/>
                      <w:spacing w:val="2"/>
                      <w:sz w:val="21"/>
                      <w:szCs w:val="21"/>
                      <w:highlight w:val="none"/>
                    </w:rPr>
                    <w:t>2035</w:t>
                  </w:r>
                  <w:r>
                    <w:rPr>
                      <w:rFonts w:hint="default" w:ascii="Times New Roman" w:hAnsi="Times New Roman" w:cs="Times New Roman"/>
                      <w:color w:val="auto"/>
                      <w:spacing w:val="2"/>
                      <w:sz w:val="21"/>
                      <w:szCs w:val="21"/>
                      <w:highlight w:val="none"/>
                    </w:rPr>
                    <w:t>年）》等省级港口布</w:t>
                  </w:r>
                  <w:r>
                    <w:rPr>
                      <w:rFonts w:hint="default" w:ascii="Times New Roman" w:hAnsi="Times New Roman" w:cs="Times New Roman"/>
                      <w:color w:val="auto"/>
                      <w:spacing w:val="1"/>
                      <w:sz w:val="21"/>
                      <w:szCs w:val="21"/>
                      <w:highlight w:val="none"/>
                    </w:rPr>
                    <w:t>局规划</w:t>
                  </w:r>
                  <w:r>
                    <w:rPr>
                      <w:rFonts w:hint="default" w:ascii="Times New Roman" w:hAnsi="Times New Roman" w:cs="Times New Roman"/>
                      <w:color w:val="auto"/>
                      <w:spacing w:val="6"/>
                      <w:sz w:val="21"/>
                      <w:szCs w:val="21"/>
                      <w:highlight w:val="none"/>
                    </w:rPr>
                    <w:t>及市级港口总体规划的码头项目。</w:t>
                  </w:r>
                </w:p>
              </w:tc>
              <w:tc>
                <w:tcPr>
                  <w:tcW w:w="1261" w:type="pct"/>
                  <w:noWrap w:val="0"/>
                  <w:vAlign w:val="center"/>
                </w:tcPr>
                <w:p w14:paraId="7B4EFA0E">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5"/>
                      <w:sz w:val="21"/>
                      <w:szCs w:val="21"/>
                      <w:highlight w:val="none"/>
                      <w:lang w:eastAsia="zh-CN"/>
                    </w:rPr>
                    <w:t>本项目</w:t>
                  </w:r>
                  <w:r>
                    <w:rPr>
                      <w:rFonts w:hint="default" w:ascii="Times New Roman" w:hAnsi="Times New Roman" w:cs="Times New Roman"/>
                      <w:color w:val="auto"/>
                      <w:spacing w:val="15"/>
                      <w:sz w:val="21"/>
                      <w:szCs w:val="21"/>
                      <w:highlight w:val="none"/>
                    </w:rPr>
                    <w:t>不属于港口建</w:t>
                  </w:r>
                  <w:r>
                    <w:rPr>
                      <w:rFonts w:hint="default" w:ascii="Times New Roman" w:hAnsi="Times New Roman" w:cs="Times New Roman"/>
                      <w:color w:val="auto"/>
                      <w:spacing w:val="4"/>
                      <w:sz w:val="21"/>
                      <w:szCs w:val="21"/>
                      <w:highlight w:val="none"/>
                    </w:rPr>
                    <w:t>设项目。</w:t>
                  </w:r>
                </w:p>
              </w:tc>
              <w:tc>
                <w:tcPr>
                  <w:tcW w:w="568" w:type="pct"/>
                  <w:noWrap w:val="0"/>
                  <w:vAlign w:val="center"/>
                </w:tcPr>
                <w:p w14:paraId="30B91242">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2E7E0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18944891">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position w:val="1"/>
                      <w:sz w:val="21"/>
                      <w:szCs w:val="21"/>
                      <w:highlight w:val="none"/>
                    </w:rPr>
                    <w:t>2</w:t>
                  </w:r>
                </w:p>
              </w:tc>
              <w:tc>
                <w:tcPr>
                  <w:tcW w:w="2703" w:type="pct"/>
                  <w:noWrap w:val="0"/>
                  <w:vAlign w:val="center"/>
                </w:tcPr>
                <w:p w14:paraId="7BDE8C19">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第六条禁止新建、改建和扩建不符合《长江干线过江通道布局规划</w:t>
                  </w:r>
                  <w:r>
                    <w:rPr>
                      <w:rFonts w:hint="default" w:ascii="Times New Roman" w:hAnsi="Times New Roman" w:cs="Times New Roman"/>
                      <w:color w:val="auto"/>
                      <w:spacing w:val="6"/>
                      <w:sz w:val="21"/>
                      <w:szCs w:val="21"/>
                      <w:highlight w:val="none"/>
                      <w:lang w:eastAsia="zh-CN"/>
                    </w:rPr>
                    <w:t>（</w:t>
                  </w:r>
                  <w:r>
                    <w:rPr>
                      <w:rFonts w:hint="default" w:ascii="Times New Roman" w:hAnsi="Times New Roman" w:eastAsia="Times New Roman" w:cs="Times New Roman"/>
                      <w:color w:val="auto"/>
                      <w:spacing w:val="6"/>
                      <w:sz w:val="21"/>
                      <w:szCs w:val="21"/>
                      <w:highlight w:val="none"/>
                    </w:rPr>
                    <w:t>2020</w:t>
                  </w:r>
                  <w:r>
                    <w:rPr>
                      <w:rFonts w:hint="default" w:ascii="Times New Roman" w:hAnsi="Times New Roman" w:cs="Times New Roman"/>
                      <w:color w:val="auto"/>
                      <w:spacing w:val="6"/>
                      <w:sz w:val="21"/>
                      <w:szCs w:val="21"/>
                      <w:highlight w:val="none"/>
                    </w:rPr>
                    <w:t>—</w:t>
                  </w:r>
                  <w:r>
                    <w:rPr>
                      <w:rFonts w:hint="default" w:ascii="Times New Roman" w:hAnsi="Times New Roman" w:eastAsia="Times New Roman" w:cs="Times New Roman"/>
                      <w:color w:val="auto"/>
                      <w:spacing w:val="6"/>
                      <w:sz w:val="21"/>
                      <w:szCs w:val="21"/>
                      <w:highlight w:val="none"/>
                    </w:rPr>
                    <w:t>2035</w:t>
                  </w:r>
                  <w:r>
                    <w:rPr>
                      <w:rFonts w:hint="default" w:ascii="Times New Roman" w:hAnsi="Times New Roman" w:cs="Times New Roman"/>
                      <w:color w:val="auto"/>
                      <w:spacing w:val="5"/>
                      <w:sz w:val="21"/>
                      <w:szCs w:val="21"/>
                      <w:highlight w:val="none"/>
                    </w:rPr>
                    <w:t>年）》的过长江通道项目（含桥梁、隧道</w:t>
                  </w:r>
                  <w:r>
                    <w:rPr>
                      <w:rFonts w:hint="default" w:ascii="Times New Roman" w:hAnsi="Times New Roman" w:cs="Times New Roman"/>
                      <w:color w:val="auto"/>
                      <w:spacing w:val="14"/>
                      <w:sz w:val="21"/>
                      <w:szCs w:val="21"/>
                      <w:highlight w:val="none"/>
                    </w:rPr>
                    <w:t>），</w:t>
                  </w:r>
                  <w:r>
                    <w:rPr>
                      <w:rFonts w:hint="default" w:ascii="Times New Roman" w:hAnsi="Times New Roman" w:cs="Times New Roman"/>
                      <w:color w:val="auto"/>
                      <w:spacing w:val="5"/>
                      <w:sz w:val="21"/>
                      <w:szCs w:val="21"/>
                      <w:highlight w:val="none"/>
                    </w:rPr>
                    <w:t>国家发展改</w:t>
                  </w:r>
                  <w:r>
                    <w:rPr>
                      <w:rFonts w:hint="default" w:ascii="Times New Roman" w:hAnsi="Times New Roman" w:cs="Times New Roman"/>
                      <w:color w:val="auto"/>
                      <w:spacing w:val="8"/>
                      <w:sz w:val="21"/>
                      <w:szCs w:val="21"/>
                      <w:highlight w:val="none"/>
                    </w:rPr>
                    <w:t>革委同意过长江通道线位调整的除外。</w:t>
                  </w:r>
                </w:p>
              </w:tc>
              <w:tc>
                <w:tcPr>
                  <w:tcW w:w="1261" w:type="pct"/>
                  <w:noWrap w:val="0"/>
                  <w:vAlign w:val="center"/>
                </w:tcPr>
                <w:p w14:paraId="438A86C1">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2"/>
                      <w:sz w:val="21"/>
                      <w:szCs w:val="21"/>
                      <w:highlight w:val="none"/>
                      <w:lang w:eastAsia="zh-CN"/>
                    </w:rPr>
                    <w:t>本项目</w:t>
                  </w:r>
                  <w:r>
                    <w:rPr>
                      <w:rFonts w:hint="default" w:ascii="Times New Roman" w:hAnsi="Times New Roman" w:cs="Times New Roman"/>
                      <w:color w:val="auto"/>
                      <w:spacing w:val="22"/>
                      <w:sz w:val="21"/>
                      <w:szCs w:val="21"/>
                      <w:highlight w:val="none"/>
                      <w:lang w:eastAsia="zh-CN"/>
                    </w:rPr>
                    <w:t>、</w:t>
                  </w:r>
                  <w:r>
                    <w:rPr>
                      <w:rFonts w:hint="default" w:ascii="Times New Roman" w:hAnsi="Times New Roman" w:cs="Times New Roman"/>
                      <w:color w:val="auto"/>
                      <w:spacing w:val="22"/>
                      <w:sz w:val="21"/>
                      <w:szCs w:val="21"/>
                      <w:highlight w:val="none"/>
                    </w:rPr>
                    <w:t>不属于过长江</w:t>
                  </w:r>
                  <w:r>
                    <w:rPr>
                      <w:rFonts w:hint="default" w:ascii="Times New Roman" w:hAnsi="Times New Roman" w:cs="Times New Roman"/>
                      <w:color w:val="auto"/>
                      <w:spacing w:val="5"/>
                      <w:sz w:val="21"/>
                      <w:szCs w:val="21"/>
                      <w:highlight w:val="none"/>
                    </w:rPr>
                    <w:t>通道项目。</w:t>
                  </w:r>
                </w:p>
              </w:tc>
              <w:tc>
                <w:tcPr>
                  <w:tcW w:w="568" w:type="pct"/>
                  <w:noWrap w:val="0"/>
                  <w:vAlign w:val="center"/>
                </w:tcPr>
                <w:p w14:paraId="02665CBF">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63EDE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79DA59C1">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position w:val="2"/>
                      <w:sz w:val="21"/>
                      <w:szCs w:val="21"/>
                      <w:highlight w:val="none"/>
                    </w:rPr>
                    <w:t>3</w:t>
                  </w:r>
                </w:p>
              </w:tc>
              <w:tc>
                <w:tcPr>
                  <w:tcW w:w="2703" w:type="pct"/>
                  <w:noWrap w:val="0"/>
                  <w:vAlign w:val="center"/>
                </w:tcPr>
                <w:p w14:paraId="3E404128">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第七条禁止在自然保护区核心区、缓冲区的岸</w:t>
                  </w:r>
                  <w:r>
                    <w:rPr>
                      <w:rFonts w:hint="default" w:ascii="Times New Roman" w:hAnsi="Times New Roman" w:cs="Times New Roman"/>
                      <w:color w:val="auto"/>
                      <w:spacing w:val="16"/>
                      <w:sz w:val="21"/>
                      <w:szCs w:val="21"/>
                      <w:highlight w:val="none"/>
                    </w:rPr>
                    <w:t>线和河段范围内投资建设旅游和生产经营项</w:t>
                  </w:r>
                  <w:r>
                    <w:rPr>
                      <w:rFonts w:hint="default" w:ascii="Times New Roman" w:hAnsi="Times New Roman" w:cs="Times New Roman"/>
                      <w:color w:val="auto"/>
                      <w:spacing w:val="5"/>
                      <w:sz w:val="21"/>
                      <w:szCs w:val="21"/>
                      <w:highlight w:val="none"/>
                    </w:rPr>
                    <w:t>目。自然保护区的内部未分区的，依照核心区</w:t>
                  </w:r>
                  <w:r>
                    <w:rPr>
                      <w:rFonts w:hint="default" w:ascii="Times New Roman" w:hAnsi="Times New Roman" w:cs="Times New Roman"/>
                      <w:color w:val="auto"/>
                      <w:spacing w:val="7"/>
                      <w:sz w:val="21"/>
                      <w:szCs w:val="21"/>
                      <w:highlight w:val="none"/>
                    </w:rPr>
                    <w:t>和缓冲区的规定管控。</w:t>
                  </w:r>
                </w:p>
              </w:tc>
              <w:tc>
                <w:tcPr>
                  <w:tcW w:w="1261" w:type="pct"/>
                  <w:noWrap w:val="0"/>
                  <w:vAlign w:val="center"/>
                </w:tcPr>
                <w:p w14:paraId="10EEB1AE">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6"/>
                      <w:sz w:val="21"/>
                      <w:szCs w:val="21"/>
                      <w:highlight w:val="none"/>
                      <w:lang w:eastAsia="zh-CN"/>
                    </w:rPr>
                    <w:t>本项目</w:t>
                  </w:r>
                  <w:r>
                    <w:rPr>
                      <w:rFonts w:hint="default" w:ascii="Times New Roman" w:hAnsi="Times New Roman" w:cs="Times New Roman"/>
                      <w:color w:val="auto"/>
                      <w:spacing w:val="16"/>
                      <w:sz w:val="21"/>
                      <w:szCs w:val="21"/>
                      <w:highlight w:val="none"/>
                      <w:lang w:val="en-US" w:eastAsia="zh-CN"/>
                    </w:rPr>
                    <w:t>属于食用植物油加工项目，在现有厂区范围内进行</w:t>
                  </w:r>
                  <w:r>
                    <w:rPr>
                      <w:rFonts w:hint="eastAsia" w:ascii="Times New Roman" w:hAnsi="Times New Roman" w:cs="Times New Roman"/>
                      <w:color w:val="auto"/>
                      <w:spacing w:val="16"/>
                      <w:sz w:val="21"/>
                      <w:szCs w:val="21"/>
                      <w:highlight w:val="none"/>
                      <w:lang w:val="en-US" w:eastAsia="zh-CN"/>
                    </w:rPr>
                    <w:t>改建</w:t>
                  </w:r>
                  <w:r>
                    <w:rPr>
                      <w:rFonts w:hint="default" w:ascii="Times New Roman" w:hAnsi="Times New Roman" w:cs="Times New Roman"/>
                      <w:color w:val="auto"/>
                      <w:spacing w:val="16"/>
                      <w:sz w:val="21"/>
                      <w:szCs w:val="21"/>
                      <w:highlight w:val="none"/>
                      <w:lang w:val="en-US" w:eastAsia="zh-CN"/>
                    </w:rPr>
                    <w:t>，</w:t>
                  </w:r>
                  <w:r>
                    <w:rPr>
                      <w:rFonts w:hint="eastAsia" w:ascii="Times New Roman" w:hAnsi="Times New Roman" w:cs="Times New Roman"/>
                      <w:color w:val="auto"/>
                      <w:spacing w:val="16"/>
                      <w:sz w:val="21"/>
                      <w:szCs w:val="21"/>
                      <w:highlight w:val="none"/>
                      <w:lang w:val="en-US" w:eastAsia="zh-CN"/>
                    </w:rPr>
                    <w:t>本项目</w:t>
                  </w:r>
                  <w:r>
                    <w:rPr>
                      <w:rFonts w:hint="default" w:ascii="Times New Roman" w:hAnsi="Times New Roman" w:cs="Times New Roman"/>
                      <w:color w:val="auto"/>
                      <w:spacing w:val="16"/>
                      <w:sz w:val="21"/>
                      <w:szCs w:val="21"/>
                      <w:highlight w:val="none"/>
                      <w:lang w:val="en-US" w:eastAsia="zh-CN"/>
                    </w:rPr>
                    <w:t>不涉及</w:t>
                  </w:r>
                  <w:r>
                    <w:rPr>
                      <w:rFonts w:hint="default" w:ascii="Times New Roman" w:hAnsi="Times New Roman" w:cs="Times New Roman"/>
                      <w:color w:val="auto"/>
                      <w:spacing w:val="7"/>
                      <w:sz w:val="21"/>
                      <w:szCs w:val="21"/>
                      <w:highlight w:val="none"/>
                    </w:rPr>
                    <w:t>自然保护区</w:t>
                  </w:r>
                </w:p>
              </w:tc>
              <w:tc>
                <w:tcPr>
                  <w:tcW w:w="568" w:type="pct"/>
                  <w:noWrap w:val="0"/>
                  <w:vAlign w:val="center"/>
                </w:tcPr>
                <w:p w14:paraId="4B9DACAA">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4A05A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6AF3225D">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position w:val="1"/>
                      <w:sz w:val="21"/>
                      <w:szCs w:val="21"/>
                      <w:highlight w:val="none"/>
                    </w:rPr>
                    <w:t>4</w:t>
                  </w:r>
                </w:p>
              </w:tc>
              <w:tc>
                <w:tcPr>
                  <w:tcW w:w="2703" w:type="pct"/>
                  <w:noWrap w:val="0"/>
                  <w:vAlign w:val="center"/>
                </w:tcPr>
                <w:p w14:paraId="794625B1">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1"/>
                      <w:sz w:val="21"/>
                      <w:szCs w:val="21"/>
                      <w:highlight w:val="none"/>
                    </w:rPr>
                    <w:t>第八条禁止违反风景名胜区规划，在风景名</w:t>
                  </w:r>
                  <w:r>
                    <w:rPr>
                      <w:rFonts w:hint="default" w:ascii="Times New Roman" w:hAnsi="Times New Roman" w:cs="Times New Roman"/>
                      <w:color w:val="auto"/>
                      <w:spacing w:val="5"/>
                      <w:sz w:val="21"/>
                      <w:szCs w:val="21"/>
                      <w:highlight w:val="none"/>
                    </w:rPr>
                    <w:t>胜区内设立各类开发区。禁止在风景名胜区核</w:t>
                  </w:r>
                  <w:r>
                    <w:rPr>
                      <w:rFonts w:hint="default" w:ascii="Times New Roman" w:hAnsi="Times New Roman" w:cs="Times New Roman"/>
                      <w:color w:val="auto"/>
                      <w:spacing w:val="16"/>
                      <w:sz w:val="21"/>
                      <w:szCs w:val="21"/>
                      <w:highlight w:val="none"/>
                    </w:rPr>
                    <w:t>心景区的岸线和河段范围内建设宾馆、招待</w:t>
                  </w:r>
                  <w:r>
                    <w:rPr>
                      <w:rFonts w:hint="default" w:ascii="Times New Roman" w:hAnsi="Times New Roman" w:cs="Times New Roman"/>
                      <w:color w:val="auto"/>
                      <w:spacing w:val="5"/>
                      <w:sz w:val="21"/>
                      <w:szCs w:val="21"/>
                      <w:highlight w:val="none"/>
                    </w:rPr>
                    <w:t>所、培训中心、疗养院以及与风景名胜</w:t>
                  </w:r>
                  <w:r>
                    <w:rPr>
                      <w:rFonts w:hint="default" w:ascii="Times New Roman" w:hAnsi="Times New Roman" w:cs="Times New Roman"/>
                      <w:color w:val="auto"/>
                      <w:spacing w:val="5"/>
                      <w:sz w:val="21"/>
                      <w:szCs w:val="21"/>
                      <w:highlight w:val="none"/>
                      <w:lang w:val="en-US" w:eastAsia="zh-CN"/>
                    </w:rPr>
                    <w:t>区</w:t>
                  </w:r>
                  <w:r>
                    <w:rPr>
                      <w:rFonts w:hint="default" w:ascii="Times New Roman" w:hAnsi="Times New Roman" w:cs="Times New Roman"/>
                      <w:color w:val="auto"/>
                      <w:spacing w:val="5"/>
                      <w:sz w:val="21"/>
                      <w:szCs w:val="21"/>
                      <w:highlight w:val="none"/>
                    </w:rPr>
                    <w:t>资源保</w:t>
                  </w:r>
                  <w:r>
                    <w:rPr>
                      <w:rFonts w:hint="default" w:ascii="Times New Roman" w:hAnsi="Times New Roman" w:cs="Times New Roman"/>
                      <w:color w:val="auto"/>
                      <w:spacing w:val="7"/>
                      <w:sz w:val="21"/>
                      <w:szCs w:val="21"/>
                      <w:highlight w:val="none"/>
                    </w:rPr>
                    <w:t>护无关的项目。</w:t>
                  </w:r>
                </w:p>
              </w:tc>
              <w:tc>
                <w:tcPr>
                  <w:tcW w:w="1261" w:type="pct"/>
                  <w:noWrap w:val="0"/>
                  <w:vAlign w:val="center"/>
                </w:tcPr>
                <w:p w14:paraId="436BE2AB">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6"/>
                      <w:sz w:val="21"/>
                      <w:szCs w:val="21"/>
                      <w:highlight w:val="none"/>
                      <w:lang w:eastAsia="zh-CN"/>
                    </w:rPr>
                    <w:t>本项目</w:t>
                  </w:r>
                  <w:r>
                    <w:rPr>
                      <w:rFonts w:hint="default" w:ascii="Times New Roman" w:hAnsi="Times New Roman" w:cs="Times New Roman"/>
                      <w:color w:val="auto"/>
                      <w:spacing w:val="16"/>
                      <w:sz w:val="21"/>
                      <w:szCs w:val="21"/>
                      <w:highlight w:val="none"/>
                    </w:rPr>
                    <w:t>评价范围内不</w:t>
                  </w:r>
                  <w:r>
                    <w:rPr>
                      <w:rFonts w:hint="default" w:ascii="Times New Roman" w:hAnsi="Times New Roman" w:cs="Times New Roman"/>
                      <w:color w:val="auto"/>
                      <w:spacing w:val="7"/>
                      <w:sz w:val="21"/>
                      <w:szCs w:val="21"/>
                      <w:highlight w:val="none"/>
                    </w:rPr>
                    <w:t>涉及风景名胜区。</w:t>
                  </w:r>
                </w:p>
              </w:tc>
              <w:tc>
                <w:tcPr>
                  <w:tcW w:w="568" w:type="pct"/>
                  <w:noWrap w:val="0"/>
                  <w:vAlign w:val="center"/>
                </w:tcPr>
                <w:p w14:paraId="097911A8">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5AC15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06AFCDAB">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2703" w:type="pct"/>
                  <w:noWrap w:val="0"/>
                  <w:vAlign w:val="center"/>
                </w:tcPr>
                <w:p w14:paraId="2A28BD27">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6"/>
                      <w:sz w:val="21"/>
                      <w:szCs w:val="21"/>
                      <w:highlight w:val="none"/>
                    </w:rPr>
                    <w:t>第九条禁止在饮用水水源准保护区的岸线和</w:t>
                  </w:r>
                  <w:r>
                    <w:rPr>
                      <w:rFonts w:hint="default" w:ascii="Times New Roman" w:hAnsi="Times New Roman" w:cs="Times New Roman"/>
                      <w:color w:val="auto"/>
                      <w:spacing w:val="5"/>
                      <w:sz w:val="21"/>
                      <w:szCs w:val="21"/>
                      <w:highlight w:val="none"/>
                    </w:rPr>
                    <w:t>河段范围内新建、扩建对水体污染严重的建设</w:t>
                  </w:r>
                  <w:r>
                    <w:rPr>
                      <w:rFonts w:hint="default" w:ascii="Times New Roman" w:hAnsi="Times New Roman" w:cs="Times New Roman"/>
                      <w:color w:val="auto"/>
                      <w:spacing w:val="8"/>
                      <w:sz w:val="21"/>
                      <w:szCs w:val="21"/>
                      <w:highlight w:val="none"/>
                    </w:rPr>
                    <w:t>项目，禁止改建增加排污量的建设项目。</w:t>
                  </w:r>
                </w:p>
              </w:tc>
              <w:tc>
                <w:tcPr>
                  <w:tcW w:w="1261" w:type="pct"/>
                  <w:noWrap w:val="0"/>
                  <w:vAlign w:val="center"/>
                </w:tcPr>
                <w:p w14:paraId="5FFC8903">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1"/>
                      <w:sz w:val="21"/>
                      <w:szCs w:val="21"/>
                      <w:highlight w:val="none"/>
                    </w:rPr>
                    <w:t>本工程不在饮用水源</w:t>
                  </w:r>
                  <w:r>
                    <w:rPr>
                      <w:rFonts w:hint="default" w:ascii="Times New Roman" w:hAnsi="Times New Roman" w:cs="Times New Roman"/>
                      <w:color w:val="auto"/>
                      <w:spacing w:val="5"/>
                      <w:sz w:val="21"/>
                      <w:szCs w:val="21"/>
                      <w:highlight w:val="none"/>
                    </w:rPr>
                    <w:t>保护区内。</w:t>
                  </w:r>
                </w:p>
              </w:tc>
              <w:tc>
                <w:tcPr>
                  <w:tcW w:w="568" w:type="pct"/>
                  <w:noWrap w:val="0"/>
                  <w:vAlign w:val="center"/>
                </w:tcPr>
                <w:p w14:paraId="1314E3AA">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3708F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7F069610">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position w:val="2"/>
                      <w:sz w:val="21"/>
                      <w:szCs w:val="21"/>
                      <w:highlight w:val="none"/>
                    </w:rPr>
                    <w:t>6</w:t>
                  </w:r>
                </w:p>
              </w:tc>
              <w:tc>
                <w:tcPr>
                  <w:tcW w:w="2703" w:type="pct"/>
                  <w:noWrap w:val="0"/>
                  <w:vAlign w:val="center"/>
                </w:tcPr>
                <w:p w14:paraId="672563F0">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3"/>
                      <w:sz w:val="21"/>
                      <w:szCs w:val="21"/>
                      <w:highlight w:val="none"/>
                    </w:rPr>
                    <w:t>第十条饮用水水源二级保护区的岸线和河段</w:t>
                  </w:r>
                  <w:r>
                    <w:rPr>
                      <w:rFonts w:hint="default" w:ascii="Times New Roman" w:hAnsi="Times New Roman" w:cs="Times New Roman"/>
                      <w:color w:val="auto"/>
                      <w:spacing w:val="3"/>
                      <w:sz w:val="21"/>
                      <w:szCs w:val="21"/>
                      <w:highlight w:val="none"/>
                    </w:rPr>
                    <w:t>范围内，除遵守准保护区规定外，禁止新建、</w:t>
                  </w:r>
                  <w:r>
                    <w:rPr>
                      <w:rFonts w:hint="default" w:ascii="Times New Roman" w:hAnsi="Times New Roman" w:cs="Times New Roman"/>
                      <w:color w:val="auto"/>
                      <w:spacing w:val="7"/>
                      <w:sz w:val="21"/>
                      <w:szCs w:val="21"/>
                      <w:highlight w:val="none"/>
                    </w:rPr>
                    <w:t>改建、扩建排放污染物的投资建设项目；禁</w:t>
                  </w:r>
                  <w:r>
                    <w:rPr>
                      <w:rFonts w:hint="default" w:ascii="Times New Roman" w:hAnsi="Times New Roman" w:cs="Times New Roman"/>
                      <w:color w:val="auto"/>
                      <w:spacing w:val="5"/>
                      <w:sz w:val="21"/>
                      <w:szCs w:val="21"/>
                      <w:highlight w:val="none"/>
                    </w:rPr>
                    <w:t>止从事对水体有污染的水产养殖等活动。</w:t>
                  </w:r>
                </w:p>
              </w:tc>
              <w:tc>
                <w:tcPr>
                  <w:tcW w:w="1261" w:type="pct"/>
                  <w:noWrap w:val="0"/>
                  <w:vAlign w:val="center"/>
                </w:tcPr>
                <w:p w14:paraId="3FDD789E">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6"/>
                      <w:sz w:val="21"/>
                      <w:szCs w:val="21"/>
                      <w:highlight w:val="none"/>
                      <w:lang w:eastAsia="zh-CN"/>
                    </w:rPr>
                    <w:t>本项目</w:t>
                  </w:r>
                  <w:r>
                    <w:rPr>
                      <w:rFonts w:hint="default" w:ascii="Times New Roman" w:hAnsi="Times New Roman" w:cs="Times New Roman"/>
                      <w:color w:val="auto"/>
                      <w:spacing w:val="16"/>
                      <w:sz w:val="21"/>
                      <w:szCs w:val="21"/>
                      <w:highlight w:val="none"/>
                    </w:rPr>
                    <w:t>评价范围内不</w:t>
                  </w:r>
                  <w:r>
                    <w:rPr>
                      <w:rFonts w:hint="default" w:ascii="Times New Roman" w:hAnsi="Times New Roman" w:cs="Times New Roman"/>
                      <w:color w:val="auto"/>
                      <w:spacing w:val="6"/>
                      <w:sz w:val="21"/>
                      <w:szCs w:val="21"/>
                      <w:highlight w:val="none"/>
                    </w:rPr>
                    <w:t>涉及饮用水源。</w:t>
                  </w:r>
                </w:p>
              </w:tc>
              <w:tc>
                <w:tcPr>
                  <w:tcW w:w="568" w:type="pct"/>
                  <w:noWrap w:val="0"/>
                  <w:vAlign w:val="center"/>
                </w:tcPr>
                <w:p w14:paraId="5E058B15">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246B3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1359ABF3">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w:t>
                  </w:r>
                </w:p>
              </w:tc>
              <w:tc>
                <w:tcPr>
                  <w:tcW w:w="2703" w:type="pct"/>
                  <w:noWrap w:val="0"/>
                  <w:vAlign w:val="center"/>
                </w:tcPr>
                <w:p w14:paraId="7A18370F">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6"/>
                      <w:sz w:val="21"/>
                      <w:szCs w:val="21"/>
                      <w:highlight w:val="none"/>
                    </w:rPr>
                    <w:t>第十一条饮用水水源一级保护区的岸线和河</w:t>
                  </w:r>
                  <w:r>
                    <w:rPr>
                      <w:rFonts w:hint="default" w:ascii="Times New Roman" w:hAnsi="Times New Roman" w:cs="Times New Roman"/>
                      <w:color w:val="auto"/>
                      <w:spacing w:val="10"/>
                      <w:sz w:val="21"/>
                      <w:szCs w:val="21"/>
                      <w:highlight w:val="none"/>
                    </w:rPr>
                    <w:t>段范围内，除遵守二级保护区规定外，禁止</w:t>
                  </w:r>
                  <w:r>
                    <w:rPr>
                      <w:rFonts w:hint="default" w:ascii="Times New Roman" w:hAnsi="Times New Roman" w:cs="Times New Roman"/>
                      <w:color w:val="auto"/>
                      <w:spacing w:val="5"/>
                      <w:sz w:val="21"/>
                      <w:szCs w:val="21"/>
                      <w:highlight w:val="none"/>
                    </w:rPr>
                    <w:t>新建、改建、扩建与供水设施和保护水源无关的项目，以及网箱养殖、畜禽养殖、旅游等可</w:t>
                  </w:r>
                  <w:r>
                    <w:rPr>
                      <w:rFonts w:hint="default" w:ascii="Times New Roman" w:hAnsi="Times New Roman" w:cs="Times New Roman"/>
                      <w:color w:val="auto"/>
                      <w:spacing w:val="8"/>
                      <w:sz w:val="21"/>
                      <w:szCs w:val="21"/>
                      <w:highlight w:val="none"/>
                    </w:rPr>
                    <w:t>能污染饮用水水体的投资建设项目。</w:t>
                  </w:r>
                </w:p>
              </w:tc>
              <w:tc>
                <w:tcPr>
                  <w:tcW w:w="1261" w:type="pct"/>
                  <w:noWrap w:val="0"/>
                  <w:vAlign w:val="center"/>
                </w:tcPr>
                <w:p w14:paraId="0D55880D">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1"/>
                      <w:sz w:val="21"/>
                      <w:szCs w:val="21"/>
                      <w:highlight w:val="none"/>
                    </w:rPr>
                    <w:t>本工程不在饮用水源</w:t>
                  </w:r>
                  <w:r>
                    <w:rPr>
                      <w:rFonts w:hint="default" w:ascii="Times New Roman" w:hAnsi="Times New Roman" w:cs="Times New Roman"/>
                      <w:color w:val="auto"/>
                      <w:spacing w:val="5"/>
                      <w:sz w:val="21"/>
                      <w:szCs w:val="21"/>
                      <w:highlight w:val="none"/>
                    </w:rPr>
                    <w:t>保护区内。</w:t>
                  </w:r>
                </w:p>
              </w:tc>
              <w:tc>
                <w:tcPr>
                  <w:tcW w:w="568" w:type="pct"/>
                  <w:noWrap w:val="0"/>
                  <w:vAlign w:val="center"/>
                </w:tcPr>
                <w:p w14:paraId="7EDCE140">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13C17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54745861">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position w:val="2"/>
                      <w:sz w:val="21"/>
                      <w:szCs w:val="21"/>
                      <w:highlight w:val="none"/>
                    </w:rPr>
                    <w:t>8</w:t>
                  </w:r>
                </w:p>
              </w:tc>
              <w:tc>
                <w:tcPr>
                  <w:tcW w:w="2703" w:type="pct"/>
                  <w:noWrap w:val="0"/>
                  <w:vAlign w:val="center"/>
                </w:tcPr>
                <w:p w14:paraId="4909BD18">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6"/>
                      <w:sz w:val="21"/>
                      <w:szCs w:val="21"/>
                      <w:highlight w:val="none"/>
                    </w:rPr>
                    <w:t>第十二条禁止在水产种质资源保护区岸线和</w:t>
                  </w:r>
                  <w:r>
                    <w:rPr>
                      <w:rFonts w:hint="default" w:ascii="Times New Roman" w:hAnsi="Times New Roman" w:cs="Times New Roman"/>
                      <w:color w:val="auto"/>
                      <w:spacing w:val="8"/>
                      <w:sz w:val="21"/>
                      <w:szCs w:val="21"/>
                      <w:highlight w:val="none"/>
                    </w:rPr>
                    <w:t>河段范围内</w:t>
                  </w:r>
                  <w:r>
                    <w:rPr>
                      <w:rFonts w:hint="default" w:ascii="Times New Roman" w:hAnsi="Times New Roman" w:cs="Times New Roman"/>
                      <w:color w:val="auto"/>
                      <w:spacing w:val="5"/>
                      <w:sz w:val="21"/>
                      <w:szCs w:val="21"/>
                      <w:highlight w:val="none"/>
                    </w:rPr>
                    <w:t>新建围湖造田、围湖造地或挖沙采石等投资建</w:t>
                  </w:r>
                  <w:r>
                    <w:rPr>
                      <w:rFonts w:hint="default" w:ascii="Times New Roman" w:hAnsi="Times New Roman" w:cs="Times New Roman"/>
                      <w:color w:val="auto"/>
                      <w:spacing w:val="4"/>
                      <w:sz w:val="21"/>
                      <w:szCs w:val="21"/>
                      <w:highlight w:val="none"/>
                    </w:rPr>
                    <w:t>设项目。</w:t>
                  </w:r>
                </w:p>
              </w:tc>
              <w:tc>
                <w:tcPr>
                  <w:tcW w:w="1261" w:type="pct"/>
                  <w:noWrap w:val="0"/>
                  <w:vAlign w:val="center"/>
                </w:tcPr>
                <w:p w14:paraId="2891DC4D">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6"/>
                      <w:sz w:val="21"/>
                      <w:szCs w:val="21"/>
                      <w:highlight w:val="none"/>
                      <w:lang w:eastAsia="zh-CN"/>
                    </w:rPr>
                    <w:t>本项目</w:t>
                  </w:r>
                  <w:r>
                    <w:rPr>
                      <w:rFonts w:hint="default" w:ascii="Times New Roman" w:hAnsi="Times New Roman" w:cs="Times New Roman"/>
                      <w:color w:val="auto"/>
                      <w:spacing w:val="16"/>
                      <w:sz w:val="21"/>
                      <w:szCs w:val="21"/>
                      <w:highlight w:val="none"/>
                    </w:rPr>
                    <w:t>评价范围内不</w:t>
                  </w:r>
                  <w:r>
                    <w:rPr>
                      <w:rFonts w:hint="default" w:ascii="Times New Roman" w:hAnsi="Times New Roman" w:cs="Times New Roman"/>
                      <w:color w:val="auto"/>
                      <w:spacing w:val="31"/>
                      <w:sz w:val="21"/>
                      <w:szCs w:val="21"/>
                      <w:highlight w:val="none"/>
                    </w:rPr>
                    <w:t>涉及水产种质资源保</w:t>
                  </w:r>
                  <w:r>
                    <w:rPr>
                      <w:rFonts w:hint="default" w:ascii="Times New Roman" w:hAnsi="Times New Roman" w:cs="Times New Roman"/>
                      <w:color w:val="auto"/>
                      <w:spacing w:val="2"/>
                      <w:sz w:val="21"/>
                      <w:szCs w:val="21"/>
                      <w:highlight w:val="none"/>
                    </w:rPr>
                    <w:t>护区。</w:t>
                  </w:r>
                </w:p>
              </w:tc>
              <w:tc>
                <w:tcPr>
                  <w:tcW w:w="568" w:type="pct"/>
                  <w:noWrap w:val="0"/>
                  <w:vAlign w:val="center"/>
                </w:tcPr>
                <w:p w14:paraId="61388428">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51703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tcBorders>
                    <w:bottom w:val="single" w:color="000000" w:sz="6" w:space="0"/>
                  </w:tcBorders>
                  <w:noWrap w:val="0"/>
                  <w:vAlign w:val="center"/>
                </w:tcPr>
                <w:p w14:paraId="75D14A9A">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position w:val="2"/>
                      <w:sz w:val="21"/>
                      <w:szCs w:val="21"/>
                      <w:highlight w:val="none"/>
                    </w:rPr>
                    <w:t>9</w:t>
                  </w:r>
                </w:p>
              </w:tc>
              <w:tc>
                <w:tcPr>
                  <w:tcW w:w="2703" w:type="pct"/>
                  <w:tcBorders>
                    <w:bottom w:val="single" w:color="000000" w:sz="6" w:space="0"/>
                  </w:tcBorders>
                  <w:noWrap w:val="0"/>
                  <w:vAlign w:val="center"/>
                </w:tcPr>
                <w:p w14:paraId="59BC6D0F">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5"/>
                      <w:sz w:val="21"/>
                      <w:szCs w:val="21"/>
                      <w:highlight w:val="none"/>
                    </w:rPr>
                    <w:t>第十三条禁止在国家湿地公园的岸线和河段</w:t>
                  </w:r>
                  <w:r>
                    <w:rPr>
                      <w:rFonts w:hint="default" w:ascii="Times New Roman" w:hAnsi="Times New Roman" w:cs="Times New Roman"/>
                      <w:color w:val="auto"/>
                      <w:spacing w:val="4"/>
                      <w:sz w:val="21"/>
                      <w:szCs w:val="21"/>
                      <w:highlight w:val="none"/>
                    </w:rPr>
                    <w:t>范围内开（围）垦、填埋或者排干湿地，截断</w:t>
                  </w:r>
                  <w:r>
                    <w:rPr>
                      <w:rFonts w:hint="default" w:ascii="Times New Roman" w:hAnsi="Times New Roman" w:cs="Times New Roman"/>
                      <w:color w:val="auto"/>
                      <w:spacing w:val="6"/>
                      <w:sz w:val="21"/>
                      <w:szCs w:val="21"/>
                      <w:highlight w:val="none"/>
                    </w:rPr>
                    <w:t>湿地水源，挖沙、采矿，倾倒有毒有害物质、</w:t>
                  </w:r>
                  <w:r>
                    <w:rPr>
                      <w:rFonts w:hint="default" w:ascii="Times New Roman" w:hAnsi="Times New Roman" w:cs="Times New Roman"/>
                      <w:color w:val="auto"/>
                      <w:spacing w:val="4"/>
                      <w:sz w:val="21"/>
                      <w:szCs w:val="21"/>
                      <w:highlight w:val="none"/>
                    </w:rPr>
                    <w:t>废弃物、垃圾，从事房地产、度假村、高尔夫球场、风力发电、光伏发电等任何不符合主体功能定位的建设项目和开发活动，破坏野生动</w:t>
                  </w:r>
                  <w:r>
                    <w:rPr>
                      <w:rFonts w:hint="default" w:ascii="Times New Roman" w:hAnsi="Times New Roman" w:cs="Times New Roman"/>
                      <w:color w:val="auto"/>
                      <w:spacing w:val="7"/>
                      <w:sz w:val="21"/>
                      <w:szCs w:val="21"/>
                      <w:highlight w:val="none"/>
                    </w:rPr>
                    <w:t>物栖息地和迁徙通道、鱼类</w:t>
                  </w:r>
                  <w:r>
                    <w:rPr>
                      <w:rFonts w:hint="default" w:ascii="Times New Roman" w:hAnsi="Times New Roman" w:cs="Times New Roman"/>
                      <w:color w:val="auto"/>
                      <w:spacing w:val="7"/>
                      <w:sz w:val="21"/>
                      <w:szCs w:val="21"/>
                      <w:highlight w:val="none"/>
                      <w:lang w:val="en-US" w:eastAsia="zh-CN"/>
                    </w:rPr>
                    <w:t>洄</w:t>
                  </w:r>
                  <w:r>
                    <w:rPr>
                      <w:rFonts w:hint="default" w:ascii="Times New Roman" w:hAnsi="Times New Roman" w:cs="Times New Roman"/>
                      <w:color w:val="auto"/>
                      <w:spacing w:val="7"/>
                      <w:sz w:val="21"/>
                      <w:szCs w:val="21"/>
                      <w:highlight w:val="none"/>
                    </w:rPr>
                    <w:t>游通道。</w:t>
                  </w:r>
                </w:p>
              </w:tc>
              <w:tc>
                <w:tcPr>
                  <w:tcW w:w="1261" w:type="pct"/>
                  <w:tcBorders>
                    <w:bottom w:val="single" w:color="000000" w:sz="6" w:space="0"/>
                  </w:tcBorders>
                  <w:noWrap w:val="0"/>
                  <w:vAlign w:val="center"/>
                </w:tcPr>
                <w:p w14:paraId="7F05F9DA">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6"/>
                      <w:sz w:val="21"/>
                      <w:szCs w:val="21"/>
                      <w:highlight w:val="none"/>
                      <w:lang w:eastAsia="zh-CN"/>
                    </w:rPr>
                    <w:t>本项目</w:t>
                  </w:r>
                  <w:r>
                    <w:rPr>
                      <w:rFonts w:hint="default" w:ascii="Times New Roman" w:hAnsi="Times New Roman" w:cs="Times New Roman"/>
                      <w:color w:val="auto"/>
                      <w:spacing w:val="16"/>
                      <w:sz w:val="21"/>
                      <w:szCs w:val="21"/>
                      <w:highlight w:val="none"/>
                    </w:rPr>
                    <w:t>评价范围内不</w:t>
                  </w:r>
                  <w:r>
                    <w:rPr>
                      <w:rFonts w:hint="default" w:ascii="Times New Roman" w:hAnsi="Times New Roman" w:cs="Times New Roman"/>
                      <w:color w:val="auto"/>
                      <w:spacing w:val="7"/>
                      <w:sz w:val="21"/>
                      <w:szCs w:val="21"/>
                      <w:highlight w:val="none"/>
                    </w:rPr>
                    <w:t>涉及国家湿地公园。</w:t>
                  </w:r>
                </w:p>
              </w:tc>
              <w:tc>
                <w:tcPr>
                  <w:tcW w:w="568" w:type="pct"/>
                  <w:tcBorders>
                    <w:bottom w:val="single" w:color="000000" w:sz="6" w:space="0"/>
                  </w:tcBorders>
                  <w:noWrap w:val="0"/>
                  <w:vAlign w:val="center"/>
                </w:tcPr>
                <w:p w14:paraId="3F49E418">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3767C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03D597FB">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2"/>
                      <w:sz w:val="21"/>
                      <w:szCs w:val="21"/>
                      <w:highlight w:val="none"/>
                    </w:rPr>
                    <w:t>10</w:t>
                  </w:r>
                </w:p>
              </w:tc>
              <w:tc>
                <w:tcPr>
                  <w:tcW w:w="2703" w:type="pct"/>
                  <w:noWrap w:val="0"/>
                  <w:vAlign w:val="center"/>
                </w:tcPr>
                <w:p w14:paraId="107DDF76">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第十四条禁止违法利用、占用长江流域河湖岸线。禁止在《长江岸线保护和开发利用总体规划》划定的岸线保护区和岸线保留区内投资建</w:t>
                  </w:r>
                  <w:r>
                    <w:rPr>
                      <w:rFonts w:hint="default" w:ascii="Times New Roman" w:hAnsi="Times New Roman" w:cs="Times New Roman"/>
                      <w:color w:val="auto"/>
                      <w:spacing w:val="6"/>
                      <w:sz w:val="21"/>
                      <w:szCs w:val="21"/>
                      <w:highlight w:val="none"/>
                    </w:rPr>
                    <w:t>设除事关公共安全及公众利益的防洪护岸、河道治理、供水、生态环境保护、航道整治、国</w:t>
                  </w:r>
                  <w:r>
                    <w:rPr>
                      <w:rFonts w:hint="default" w:ascii="Times New Roman" w:hAnsi="Times New Roman" w:cs="Times New Roman"/>
                      <w:color w:val="auto"/>
                      <w:spacing w:val="8"/>
                      <w:sz w:val="21"/>
                      <w:szCs w:val="21"/>
                      <w:highlight w:val="none"/>
                    </w:rPr>
                    <w:t>家重要基础设施以外的项目。</w:t>
                  </w:r>
                </w:p>
              </w:tc>
              <w:tc>
                <w:tcPr>
                  <w:tcW w:w="1261" w:type="pct"/>
                  <w:noWrap w:val="0"/>
                  <w:vAlign w:val="center"/>
                </w:tcPr>
                <w:p w14:paraId="5B409A9A">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5"/>
                      <w:sz w:val="21"/>
                      <w:szCs w:val="21"/>
                      <w:highlight w:val="none"/>
                      <w:lang w:eastAsia="zh-CN"/>
                    </w:rPr>
                    <w:t>本项目</w:t>
                  </w:r>
                  <w:r>
                    <w:rPr>
                      <w:rFonts w:hint="default" w:ascii="Times New Roman" w:hAnsi="Times New Roman" w:cs="Times New Roman"/>
                      <w:color w:val="auto"/>
                      <w:spacing w:val="15"/>
                      <w:sz w:val="21"/>
                      <w:szCs w:val="21"/>
                      <w:highlight w:val="none"/>
                    </w:rPr>
                    <w:t>不占用长江流</w:t>
                  </w:r>
                  <w:r>
                    <w:rPr>
                      <w:rFonts w:hint="default" w:ascii="Times New Roman" w:hAnsi="Times New Roman" w:cs="Times New Roman"/>
                      <w:color w:val="auto"/>
                      <w:spacing w:val="6"/>
                      <w:sz w:val="21"/>
                      <w:szCs w:val="21"/>
                      <w:highlight w:val="none"/>
                    </w:rPr>
                    <w:t>域河湖岸线。</w:t>
                  </w:r>
                </w:p>
              </w:tc>
              <w:tc>
                <w:tcPr>
                  <w:tcW w:w="568" w:type="pct"/>
                  <w:noWrap w:val="0"/>
                  <w:vAlign w:val="center"/>
                </w:tcPr>
                <w:p w14:paraId="2BFCDFDC">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5171F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28A4BF6E">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0"/>
                      <w:position w:val="1"/>
                      <w:sz w:val="21"/>
                      <w:szCs w:val="21"/>
                      <w:highlight w:val="none"/>
                    </w:rPr>
                    <w:t>11</w:t>
                  </w:r>
                </w:p>
              </w:tc>
              <w:tc>
                <w:tcPr>
                  <w:tcW w:w="2703" w:type="pct"/>
                  <w:noWrap w:val="0"/>
                  <w:vAlign w:val="center"/>
                </w:tcPr>
                <w:p w14:paraId="47004445">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第十五条禁止在《全国重要江河湖泊水功能区划》划定的河段及湖泊保护区、保留区内投资</w:t>
                  </w:r>
                  <w:r>
                    <w:rPr>
                      <w:rFonts w:hint="default" w:ascii="Times New Roman" w:hAnsi="Times New Roman" w:cs="Times New Roman"/>
                      <w:color w:val="auto"/>
                      <w:spacing w:val="8"/>
                      <w:sz w:val="21"/>
                      <w:szCs w:val="21"/>
                      <w:highlight w:val="none"/>
                    </w:rPr>
                    <w:t>建设不利于水资源及自然生态保护的项目。</w:t>
                  </w:r>
                </w:p>
              </w:tc>
              <w:tc>
                <w:tcPr>
                  <w:tcW w:w="1261" w:type="pct"/>
                  <w:noWrap w:val="0"/>
                  <w:vAlign w:val="center"/>
                </w:tcPr>
                <w:p w14:paraId="1CFCF9B6">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6"/>
                      <w:sz w:val="21"/>
                      <w:szCs w:val="21"/>
                      <w:highlight w:val="none"/>
                      <w:lang w:eastAsia="zh-CN"/>
                    </w:rPr>
                    <w:t>本项目</w:t>
                  </w:r>
                  <w:r>
                    <w:rPr>
                      <w:rFonts w:hint="default" w:ascii="Times New Roman" w:hAnsi="Times New Roman" w:cs="Times New Roman"/>
                      <w:color w:val="auto"/>
                      <w:spacing w:val="16"/>
                      <w:sz w:val="21"/>
                      <w:szCs w:val="21"/>
                      <w:highlight w:val="none"/>
                    </w:rPr>
                    <w:t>评价范围内不</w:t>
                  </w:r>
                  <w:r>
                    <w:rPr>
                      <w:rFonts w:hint="default" w:ascii="Times New Roman" w:hAnsi="Times New Roman" w:cs="Times New Roman"/>
                      <w:color w:val="auto"/>
                      <w:spacing w:val="8"/>
                      <w:sz w:val="21"/>
                      <w:szCs w:val="21"/>
                      <w:highlight w:val="none"/>
                    </w:rPr>
                    <w:t>涉及《全国重要江河湖泊水功能区划》划定的河段及湖泊保护区、保</w:t>
                  </w:r>
                  <w:r>
                    <w:rPr>
                      <w:rFonts w:hint="default" w:ascii="Times New Roman" w:hAnsi="Times New Roman" w:cs="Times New Roman"/>
                      <w:color w:val="auto"/>
                      <w:spacing w:val="3"/>
                      <w:sz w:val="21"/>
                      <w:szCs w:val="21"/>
                      <w:highlight w:val="none"/>
                    </w:rPr>
                    <w:t>留区。</w:t>
                  </w:r>
                </w:p>
              </w:tc>
              <w:tc>
                <w:tcPr>
                  <w:tcW w:w="568" w:type="pct"/>
                  <w:noWrap w:val="0"/>
                  <w:vAlign w:val="center"/>
                </w:tcPr>
                <w:p w14:paraId="3CD823BD">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6FC9A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4F11C6DD">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1"/>
                      <w:sz w:val="21"/>
                      <w:szCs w:val="21"/>
                      <w:highlight w:val="none"/>
                    </w:rPr>
                    <w:t>12</w:t>
                  </w:r>
                </w:p>
              </w:tc>
              <w:tc>
                <w:tcPr>
                  <w:tcW w:w="2703" w:type="pct"/>
                  <w:noWrap w:val="0"/>
                  <w:vAlign w:val="center"/>
                </w:tcPr>
                <w:p w14:paraId="4B06FE12">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第十六条禁止在长江流域江河、湖泊新设、改</w:t>
                  </w:r>
                  <w:r>
                    <w:rPr>
                      <w:rFonts w:hint="default" w:ascii="Times New Roman" w:hAnsi="Times New Roman" w:cs="Times New Roman"/>
                      <w:color w:val="auto"/>
                      <w:spacing w:val="10"/>
                      <w:sz w:val="21"/>
                      <w:szCs w:val="21"/>
                      <w:highlight w:val="none"/>
                    </w:rPr>
                    <w:t>设或者扩大排污口，经有管辖权的生态环境</w:t>
                  </w:r>
                  <w:r>
                    <w:rPr>
                      <w:rFonts w:hint="default" w:ascii="Times New Roman" w:hAnsi="Times New Roman" w:cs="Times New Roman"/>
                      <w:color w:val="auto"/>
                      <w:spacing w:val="16"/>
                      <w:sz w:val="21"/>
                      <w:szCs w:val="21"/>
                      <w:highlight w:val="none"/>
                    </w:rPr>
                    <w:t>主管部门或者长江流域生态环境监督管理机</w:t>
                  </w:r>
                  <w:r>
                    <w:rPr>
                      <w:rFonts w:hint="default" w:ascii="Times New Roman" w:hAnsi="Times New Roman" w:cs="Times New Roman"/>
                      <w:color w:val="auto"/>
                      <w:spacing w:val="6"/>
                      <w:sz w:val="21"/>
                      <w:szCs w:val="21"/>
                      <w:highlight w:val="none"/>
                    </w:rPr>
                    <w:t>构同意的除外。</w:t>
                  </w:r>
                </w:p>
              </w:tc>
              <w:tc>
                <w:tcPr>
                  <w:tcW w:w="1261" w:type="pct"/>
                  <w:noWrap w:val="0"/>
                  <w:vAlign w:val="center"/>
                </w:tcPr>
                <w:p w14:paraId="6406833B">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2"/>
                      <w:sz w:val="21"/>
                      <w:szCs w:val="21"/>
                      <w:highlight w:val="none"/>
                      <w:lang w:eastAsia="zh-CN"/>
                    </w:rPr>
                    <w:t>本项目</w:t>
                  </w:r>
                  <w:r>
                    <w:rPr>
                      <w:rFonts w:hint="default" w:ascii="Times New Roman" w:hAnsi="Times New Roman" w:cs="Times New Roman"/>
                      <w:color w:val="auto"/>
                      <w:spacing w:val="22"/>
                      <w:sz w:val="21"/>
                      <w:szCs w:val="21"/>
                      <w:highlight w:val="none"/>
                    </w:rPr>
                    <w:t>不在河道设置</w:t>
                  </w:r>
                  <w:r>
                    <w:rPr>
                      <w:rFonts w:hint="default" w:ascii="Times New Roman" w:hAnsi="Times New Roman" w:cs="Times New Roman"/>
                      <w:color w:val="auto"/>
                      <w:spacing w:val="6"/>
                      <w:sz w:val="21"/>
                      <w:szCs w:val="21"/>
                      <w:highlight w:val="none"/>
                    </w:rPr>
                    <w:t>废水排放口。</w:t>
                  </w:r>
                </w:p>
              </w:tc>
              <w:tc>
                <w:tcPr>
                  <w:tcW w:w="568" w:type="pct"/>
                  <w:noWrap w:val="0"/>
                  <w:vAlign w:val="center"/>
                </w:tcPr>
                <w:p w14:paraId="149E15BC">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1CE52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740B29B9">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2"/>
                      <w:sz w:val="21"/>
                      <w:szCs w:val="21"/>
                      <w:highlight w:val="none"/>
                    </w:rPr>
                    <w:t>13</w:t>
                  </w:r>
                </w:p>
              </w:tc>
              <w:tc>
                <w:tcPr>
                  <w:tcW w:w="2703" w:type="pct"/>
                  <w:noWrap w:val="0"/>
                  <w:vAlign w:val="center"/>
                </w:tcPr>
                <w:p w14:paraId="0CDEAC5B">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第十七条禁止在长江干流、大渡河、峨江、赤</w:t>
                  </w:r>
                  <w:r>
                    <w:rPr>
                      <w:rFonts w:hint="default" w:ascii="Times New Roman" w:hAnsi="Times New Roman" w:cs="Times New Roman"/>
                      <w:color w:val="auto"/>
                      <w:spacing w:val="-2"/>
                      <w:sz w:val="21"/>
                      <w:szCs w:val="21"/>
                      <w:highlight w:val="none"/>
                    </w:rPr>
                    <w:t>水河、汜江、嘉陵江、乌江、汉江和</w:t>
                  </w:r>
                  <w:r>
                    <w:rPr>
                      <w:rFonts w:hint="default" w:ascii="Times New Roman" w:hAnsi="Times New Roman" w:eastAsia="Times New Roman" w:cs="Times New Roman"/>
                      <w:color w:val="auto"/>
                      <w:spacing w:val="-2"/>
                      <w:sz w:val="21"/>
                      <w:szCs w:val="21"/>
                      <w:highlight w:val="none"/>
                    </w:rPr>
                    <w:t>51</w:t>
                  </w:r>
                  <w:r>
                    <w:rPr>
                      <w:rFonts w:hint="default" w:ascii="Times New Roman" w:hAnsi="Times New Roman" w:cs="Times New Roman"/>
                      <w:color w:val="auto"/>
                      <w:spacing w:val="-2"/>
                      <w:sz w:val="21"/>
                      <w:szCs w:val="21"/>
                      <w:highlight w:val="none"/>
                    </w:rPr>
                    <w:t>个</w:t>
                  </w:r>
                  <w:r>
                    <w:rPr>
                      <w:rFonts w:hint="default" w:ascii="Times New Roman" w:hAnsi="Times New Roman" w:cs="Times New Roman"/>
                      <w:color w:val="auto"/>
                      <w:spacing w:val="-3"/>
                      <w:sz w:val="21"/>
                      <w:szCs w:val="21"/>
                      <w:highlight w:val="none"/>
                    </w:rPr>
                    <w:t>（四</w:t>
                  </w:r>
                  <w:r>
                    <w:rPr>
                      <w:rFonts w:hint="default" w:ascii="Times New Roman" w:hAnsi="Times New Roman" w:cs="Times New Roman"/>
                      <w:color w:val="auto"/>
                      <w:spacing w:val="8"/>
                      <w:sz w:val="21"/>
                      <w:szCs w:val="21"/>
                      <w:highlight w:val="none"/>
                    </w:rPr>
                    <w:t>川省</w:t>
                  </w:r>
                  <w:r>
                    <w:rPr>
                      <w:rFonts w:hint="default" w:ascii="Times New Roman" w:hAnsi="Times New Roman" w:eastAsia="Times New Roman" w:cs="Times New Roman"/>
                      <w:color w:val="auto"/>
                      <w:spacing w:val="8"/>
                      <w:sz w:val="21"/>
                      <w:szCs w:val="21"/>
                      <w:highlight w:val="none"/>
                    </w:rPr>
                    <w:t>45</w:t>
                  </w:r>
                  <w:r>
                    <w:rPr>
                      <w:rFonts w:hint="default" w:ascii="Times New Roman" w:hAnsi="Times New Roman" w:cs="Times New Roman"/>
                      <w:color w:val="auto"/>
                      <w:spacing w:val="8"/>
                      <w:sz w:val="21"/>
                      <w:szCs w:val="21"/>
                      <w:highlight w:val="none"/>
                    </w:rPr>
                    <w:t>个、重庆市</w:t>
                  </w:r>
                  <w:r>
                    <w:rPr>
                      <w:rFonts w:hint="default" w:ascii="Times New Roman" w:hAnsi="Times New Roman" w:eastAsia="Times New Roman" w:cs="Times New Roman"/>
                      <w:color w:val="auto"/>
                      <w:spacing w:val="8"/>
                      <w:sz w:val="21"/>
                      <w:szCs w:val="21"/>
                      <w:highlight w:val="none"/>
                    </w:rPr>
                    <w:t>6</w:t>
                  </w:r>
                  <w:r>
                    <w:rPr>
                      <w:rFonts w:hint="default" w:ascii="Times New Roman" w:hAnsi="Times New Roman" w:cs="Times New Roman"/>
                      <w:color w:val="auto"/>
                      <w:spacing w:val="8"/>
                      <w:sz w:val="21"/>
                      <w:szCs w:val="21"/>
                      <w:highlight w:val="none"/>
                    </w:rPr>
                    <w:t>个）水生生物保护区开</w:t>
                  </w:r>
                  <w:r>
                    <w:rPr>
                      <w:rFonts w:hint="default" w:ascii="Times New Roman" w:hAnsi="Times New Roman" w:cs="Times New Roman"/>
                      <w:color w:val="auto"/>
                      <w:spacing w:val="6"/>
                      <w:sz w:val="21"/>
                      <w:szCs w:val="21"/>
                      <w:highlight w:val="none"/>
                    </w:rPr>
                    <w:t>展生产性捕捞。</w:t>
                  </w:r>
                </w:p>
              </w:tc>
              <w:tc>
                <w:tcPr>
                  <w:tcW w:w="1261" w:type="pct"/>
                  <w:noWrap w:val="0"/>
                  <w:vAlign w:val="center"/>
                </w:tcPr>
                <w:p w14:paraId="5B33F1F0">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6"/>
                      <w:sz w:val="21"/>
                      <w:szCs w:val="21"/>
                      <w:highlight w:val="none"/>
                      <w:lang w:eastAsia="zh-CN"/>
                    </w:rPr>
                    <w:t>本项目</w:t>
                  </w:r>
                  <w:r>
                    <w:rPr>
                      <w:rFonts w:hint="default" w:ascii="Times New Roman" w:hAnsi="Times New Roman" w:cs="Times New Roman"/>
                      <w:color w:val="auto"/>
                      <w:spacing w:val="16"/>
                      <w:sz w:val="21"/>
                      <w:szCs w:val="21"/>
                      <w:highlight w:val="none"/>
                    </w:rPr>
                    <w:t>评价范围内不</w:t>
                  </w:r>
                  <w:r>
                    <w:rPr>
                      <w:rFonts w:hint="default" w:ascii="Times New Roman" w:hAnsi="Times New Roman" w:cs="Times New Roman"/>
                      <w:color w:val="auto"/>
                      <w:spacing w:val="7"/>
                      <w:sz w:val="21"/>
                      <w:szCs w:val="21"/>
                      <w:highlight w:val="none"/>
                    </w:rPr>
                    <w:t>涉及水生生物保护区。</w:t>
                  </w:r>
                </w:p>
              </w:tc>
              <w:tc>
                <w:tcPr>
                  <w:tcW w:w="568" w:type="pct"/>
                  <w:noWrap w:val="0"/>
                  <w:vAlign w:val="center"/>
                </w:tcPr>
                <w:p w14:paraId="22B1E17A">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2ED4B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19AFAEBE">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1"/>
                      <w:sz w:val="21"/>
                      <w:szCs w:val="21"/>
                      <w:highlight w:val="none"/>
                    </w:rPr>
                    <w:t>14</w:t>
                  </w:r>
                </w:p>
              </w:tc>
              <w:tc>
                <w:tcPr>
                  <w:tcW w:w="2703" w:type="pct"/>
                  <w:noWrap w:val="0"/>
                  <w:vAlign w:val="center"/>
                </w:tcPr>
                <w:p w14:paraId="690BB7CF">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第十八条禁止在长江干支流、重要湖泊岸线一</w:t>
                  </w:r>
                  <w:r>
                    <w:rPr>
                      <w:rFonts w:hint="default" w:ascii="Times New Roman" w:hAnsi="Times New Roman" w:cs="Times New Roman"/>
                      <w:color w:val="auto"/>
                      <w:spacing w:val="5"/>
                      <w:sz w:val="21"/>
                      <w:szCs w:val="21"/>
                      <w:highlight w:val="none"/>
                    </w:rPr>
                    <w:t>公里范围内新建、扩建化工园区和化工项目。</w:t>
                  </w:r>
                </w:p>
              </w:tc>
              <w:tc>
                <w:tcPr>
                  <w:tcW w:w="1261" w:type="pct"/>
                  <w:noWrap w:val="0"/>
                  <w:vAlign w:val="center"/>
                </w:tcPr>
                <w:p w14:paraId="06FE934C">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2"/>
                      <w:sz w:val="21"/>
                      <w:szCs w:val="21"/>
                      <w:highlight w:val="none"/>
                      <w:lang w:eastAsia="zh-CN"/>
                    </w:rPr>
                    <w:t>本项目</w:t>
                  </w:r>
                  <w:r>
                    <w:rPr>
                      <w:rFonts w:hint="default" w:ascii="Times New Roman" w:hAnsi="Times New Roman" w:cs="Times New Roman"/>
                      <w:color w:val="auto"/>
                      <w:spacing w:val="22"/>
                      <w:sz w:val="21"/>
                      <w:szCs w:val="21"/>
                      <w:highlight w:val="none"/>
                    </w:rPr>
                    <w:t>距离长江</w:t>
                  </w:r>
                  <w:r>
                    <w:rPr>
                      <w:rFonts w:hint="default" w:ascii="Times New Roman" w:hAnsi="Times New Roman" w:cs="Times New Roman"/>
                      <w:color w:val="auto"/>
                      <w:spacing w:val="8"/>
                      <w:sz w:val="21"/>
                      <w:szCs w:val="21"/>
                      <w:highlight w:val="none"/>
                    </w:rPr>
                    <w:t>岸线</w:t>
                  </w:r>
                  <w:r>
                    <w:rPr>
                      <w:rFonts w:hint="eastAsia" w:ascii="Times New Roman" w:hAnsi="Times New Roman" w:cs="Times New Roman"/>
                      <w:color w:val="auto"/>
                      <w:spacing w:val="8"/>
                      <w:sz w:val="21"/>
                      <w:szCs w:val="21"/>
                      <w:highlight w:val="none"/>
                      <w:lang w:val="en-US" w:eastAsia="zh-CN"/>
                    </w:rPr>
                    <w:t>距离为</w:t>
                  </w:r>
                  <w:r>
                    <w:rPr>
                      <w:rFonts w:hint="eastAsia" w:ascii="Times New Roman" w:hAnsi="Times New Roman" w:eastAsia="宋体" w:cs="Times New Roman"/>
                      <w:color w:val="auto"/>
                      <w:spacing w:val="10"/>
                      <w:sz w:val="21"/>
                      <w:szCs w:val="21"/>
                      <w:highlight w:val="none"/>
                      <w:lang w:val="en-US" w:eastAsia="zh-CN"/>
                    </w:rPr>
                    <w:t>0.28</w:t>
                  </w:r>
                  <w:r>
                    <w:rPr>
                      <w:rFonts w:hint="default" w:ascii="Times New Roman" w:hAnsi="Times New Roman" w:eastAsia="Times New Roman" w:cs="Times New Roman"/>
                      <w:color w:val="auto"/>
                      <w:sz w:val="21"/>
                      <w:szCs w:val="21"/>
                      <w:highlight w:val="none"/>
                    </w:rPr>
                    <w:t>km</w:t>
                  </w:r>
                  <w:r>
                    <w:rPr>
                      <w:rFonts w:hint="default" w:ascii="Times New Roman" w:hAnsi="Times New Roman" w:cs="Times New Roman"/>
                      <w:color w:val="auto"/>
                      <w:spacing w:val="10"/>
                      <w:sz w:val="21"/>
                      <w:szCs w:val="21"/>
                      <w:highlight w:val="none"/>
                    </w:rPr>
                    <w:t>，</w:t>
                  </w:r>
                  <w:r>
                    <w:rPr>
                      <w:rFonts w:hint="eastAsia" w:ascii="Times New Roman" w:hAnsi="Times New Roman" w:cs="Times New Roman"/>
                      <w:color w:val="auto"/>
                      <w:spacing w:val="10"/>
                      <w:sz w:val="21"/>
                      <w:szCs w:val="21"/>
                      <w:highlight w:val="none"/>
                      <w:lang w:val="en-US" w:eastAsia="zh-CN"/>
                    </w:rPr>
                    <w:t>但</w:t>
                  </w:r>
                  <w:r>
                    <w:rPr>
                      <w:rFonts w:hint="default" w:ascii="Times New Roman" w:hAnsi="Times New Roman" w:cs="Times New Roman"/>
                      <w:color w:val="auto"/>
                      <w:spacing w:val="10"/>
                      <w:sz w:val="21"/>
                      <w:szCs w:val="21"/>
                      <w:highlight w:val="none"/>
                    </w:rPr>
                    <w:t>不属于化工项</w:t>
                  </w:r>
                  <w:r>
                    <w:rPr>
                      <w:rFonts w:hint="default" w:ascii="Times New Roman" w:hAnsi="Times New Roman" w:cs="Times New Roman"/>
                      <w:color w:val="auto"/>
                      <w:spacing w:val="-1"/>
                      <w:sz w:val="21"/>
                      <w:szCs w:val="21"/>
                      <w:highlight w:val="none"/>
                    </w:rPr>
                    <w:t>目。</w:t>
                  </w:r>
                </w:p>
              </w:tc>
              <w:tc>
                <w:tcPr>
                  <w:tcW w:w="568" w:type="pct"/>
                  <w:noWrap w:val="0"/>
                  <w:vAlign w:val="center"/>
                </w:tcPr>
                <w:p w14:paraId="254E09D0">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6FEC9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0DC5B32C">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2"/>
                      <w:sz w:val="21"/>
                      <w:szCs w:val="21"/>
                      <w:highlight w:val="none"/>
                    </w:rPr>
                    <w:t>15</w:t>
                  </w:r>
                </w:p>
              </w:tc>
              <w:tc>
                <w:tcPr>
                  <w:tcW w:w="2703" w:type="pct"/>
                  <w:noWrap w:val="0"/>
                  <w:vAlign w:val="center"/>
                </w:tcPr>
                <w:p w14:paraId="78A9DC07">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3"/>
                      <w:sz w:val="21"/>
                      <w:szCs w:val="21"/>
                      <w:highlight w:val="none"/>
                    </w:rPr>
                    <w:t>第十九条禁止在长江干流岸线三公里范围内</w:t>
                  </w:r>
                  <w:r>
                    <w:rPr>
                      <w:rFonts w:hint="default" w:ascii="Times New Roman" w:hAnsi="Times New Roman" w:cs="Times New Roman"/>
                      <w:color w:val="auto"/>
                      <w:spacing w:val="2"/>
                      <w:sz w:val="21"/>
                      <w:szCs w:val="21"/>
                      <w:highlight w:val="none"/>
                    </w:rPr>
                    <w:t>和重要支流岸线一公里范围内新建、改建、扩</w:t>
                  </w:r>
                  <w:r>
                    <w:rPr>
                      <w:rFonts w:hint="default" w:ascii="Times New Roman" w:hAnsi="Times New Roman" w:cs="Times New Roman"/>
                      <w:color w:val="auto"/>
                      <w:spacing w:val="-4"/>
                      <w:sz w:val="21"/>
                      <w:szCs w:val="21"/>
                      <w:highlight w:val="none"/>
                    </w:rPr>
                    <w:t>建尾矿库、冶炼渣库、磷石膏库，以提升安全、</w:t>
                  </w:r>
                  <w:r>
                    <w:rPr>
                      <w:rFonts w:hint="default" w:ascii="Times New Roman" w:hAnsi="Times New Roman" w:cs="Times New Roman"/>
                      <w:color w:val="auto"/>
                      <w:spacing w:val="5"/>
                      <w:sz w:val="21"/>
                      <w:szCs w:val="21"/>
                      <w:highlight w:val="none"/>
                    </w:rPr>
                    <w:t>生态环境保护水平为目的的改建除外。</w:t>
                  </w:r>
                </w:p>
              </w:tc>
              <w:tc>
                <w:tcPr>
                  <w:tcW w:w="1261" w:type="pct"/>
                  <w:noWrap w:val="0"/>
                  <w:vAlign w:val="center"/>
                </w:tcPr>
                <w:p w14:paraId="7B389F63">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2"/>
                      <w:sz w:val="21"/>
                      <w:szCs w:val="21"/>
                      <w:highlight w:val="none"/>
                      <w:lang w:eastAsia="zh-CN"/>
                    </w:rPr>
                    <w:t>本项目</w:t>
                  </w:r>
                  <w:r>
                    <w:rPr>
                      <w:rFonts w:hint="default" w:ascii="Times New Roman" w:hAnsi="Times New Roman" w:cs="Times New Roman"/>
                      <w:color w:val="auto"/>
                      <w:spacing w:val="22"/>
                      <w:sz w:val="21"/>
                      <w:szCs w:val="21"/>
                      <w:highlight w:val="none"/>
                      <w:lang w:val="en-US" w:eastAsia="zh-CN"/>
                    </w:rPr>
                    <w:t>为食用植物油加工项目，不涉及</w:t>
                  </w:r>
                  <w:r>
                    <w:rPr>
                      <w:rFonts w:hint="default" w:ascii="Times New Roman" w:hAnsi="Times New Roman" w:cs="Times New Roman"/>
                      <w:color w:val="auto"/>
                      <w:spacing w:val="-4"/>
                      <w:sz w:val="21"/>
                      <w:szCs w:val="21"/>
                      <w:highlight w:val="none"/>
                    </w:rPr>
                    <w:t>尾矿库、冶炼渣库、磷石膏库</w:t>
                  </w:r>
                  <w:r>
                    <w:rPr>
                      <w:rFonts w:hint="default" w:ascii="Times New Roman" w:hAnsi="Times New Roman" w:cs="Times New Roman"/>
                      <w:color w:val="auto"/>
                      <w:spacing w:val="-4"/>
                      <w:sz w:val="21"/>
                      <w:szCs w:val="21"/>
                      <w:highlight w:val="none"/>
                      <w:lang w:val="en-US" w:eastAsia="zh-CN"/>
                    </w:rPr>
                    <w:t>的建设</w:t>
                  </w:r>
                  <w:r>
                    <w:rPr>
                      <w:rFonts w:hint="default" w:ascii="Times New Roman" w:hAnsi="Times New Roman" w:cs="Times New Roman"/>
                      <w:color w:val="auto"/>
                      <w:spacing w:val="3"/>
                      <w:sz w:val="21"/>
                      <w:szCs w:val="21"/>
                      <w:highlight w:val="none"/>
                    </w:rPr>
                    <w:t>。</w:t>
                  </w:r>
                </w:p>
              </w:tc>
              <w:tc>
                <w:tcPr>
                  <w:tcW w:w="568" w:type="pct"/>
                  <w:noWrap w:val="0"/>
                  <w:vAlign w:val="center"/>
                </w:tcPr>
                <w:p w14:paraId="38507D0C">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5DCF7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3D267A73">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2"/>
                      <w:sz w:val="21"/>
                      <w:szCs w:val="21"/>
                      <w:highlight w:val="none"/>
                    </w:rPr>
                    <w:t>16</w:t>
                  </w:r>
                </w:p>
              </w:tc>
              <w:tc>
                <w:tcPr>
                  <w:tcW w:w="2703" w:type="pct"/>
                  <w:noWrap w:val="0"/>
                  <w:vAlign w:val="center"/>
                </w:tcPr>
                <w:p w14:paraId="69C5FF16">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第二十条禁止在生态保护红线区域、永久基本</w:t>
                  </w:r>
                  <w:r>
                    <w:rPr>
                      <w:rFonts w:hint="default" w:ascii="Times New Roman" w:hAnsi="Times New Roman" w:cs="Times New Roman"/>
                      <w:color w:val="auto"/>
                      <w:spacing w:val="16"/>
                      <w:sz w:val="21"/>
                      <w:szCs w:val="21"/>
                      <w:highlight w:val="none"/>
                    </w:rPr>
                    <w:t>农田集中区域和其他需要特别保护的区域内</w:t>
                  </w:r>
                  <w:r>
                    <w:rPr>
                      <w:rFonts w:hint="default" w:ascii="Times New Roman" w:hAnsi="Times New Roman" w:cs="Times New Roman"/>
                      <w:color w:val="auto"/>
                      <w:spacing w:val="8"/>
                      <w:sz w:val="21"/>
                      <w:szCs w:val="21"/>
                      <w:highlight w:val="none"/>
                    </w:rPr>
                    <w:t>选址建设尾矿库、冶炼渣库、磷石膏库。</w:t>
                  </w:r>
                </w:p>
              </w:tc>
              <w:tc>
                <w:tcPr>
                  <w:tcW w:w="1261" w:type="pct"/>
                  <w:noWrap w:val="0"/>
                  <w:vAlign w:val="center"/>
                </w:tcPr>
                <w:p w14:paraId="7A203F8F">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6"/>
                      <w:sz w:val="21"/>
                      <w:szCs w:val="21"/>
                      <w:highlight w:val="none"/>
                      <w:lang w:eastAsia="zh-CN"/>
                    </w:rPr>
                    <w:t>本项目</w:t>
                  </w:r>
                  <w:r>
                    <w:rPr>
                      <w:rFonts w:hint="default" w:ascii="Times New Roman" w:hAnsi="Times New Roman" w:cs="Times New Roman"/>
                      <w:color w:val="auto"/>
                      <w:spacing w:val="16"/>
                      <w:sz w:val="21"/>
                      <w:szCs w:val="21"/>
                      <w:highlight w:val="none"/>
                    </w:rPr>
                    <w:t>评价范围内不</w:t>
                  </w:r>
                  <w:r>
                    <w:rPr>
                      <w:rFonts w:hint="default" w:ascii="Times New Roman" w:hAnsi="Times New Roman" w:cs="Times New Roman"/>
                      <w:color w:val="auto"/>
                      <w:spacing w:val="31"/>
                      <w:sz w:val="21"/>
                      <w:szCs w:val="21"/>
                      <w:highlight w:val="none"/>
                    </w:rPr>
                    <w:t>涉及生态保护红线区</w:t>
                  </w:r>
                  <w:r>
                    <w:rPr>
                      <w:rFonts w:hint="default" w:ascii="Times New Roman" w:hAnsi="Times New Roman" w:cs="Times New Roman"/>
                      <w:color w:val="auto"/>
                      <w:spacing w:val="8"/>
                      <w:sz w:val="21"/>
                      <w:szCs w:val="21"/>
                      <w:highlight w:val="none"/>
                    </w:rPr>
                    <w:t>域，不占用永久基本农</w:t>
                  </w:r>
                  <w:r>
                    <w:rPr>
                      <w:rFonts w:hint="default" w:ascii="Times New Roman" w:hAnsi="Times New Roman" w:cs="Times New Roman"/>
                      <w:color w:val="auto"/>
                      <w:spacing w:val="31"/>
                      <w:sz w:val="21"/>
                      <w:szCs w:val="21"/>
                      <w:highlight w:val="none"/>
                    </w:rPr>
                    <w:t>田和其他需要特殊保</w:t>
                  </w:r>
                  <w:r>
                    <w:rPr>
                      <w:rFonts w:hint="default" w:ascii="Times New Roman" w:hAnsi="Times New Roman" w:cs="Times New Roman"/>
                      <w:color w:val="auto"/>
                      <w:spacing w:val="5"/>
                      <w:sz w:val="21"/>
                      <w:szCs w:val="21"/>
                      <w:highlight w:val="none"/>
                    </w:rPr>
                    <w:t>护的区域。</w:t>
                  </w:r>
                </w:p>
              </w:tc>
              <w:tc>
                <w:tcPr>
                  <w:tcW w:w="568" w:type="pct"/>
                  <w:noWrap w:val="0"/>
                  <w:vAlign w:val="center"/>
                </w:tcPr>
                <w:p w14:paraId="589BAF0F">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5FA36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432CCB46">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2"/>
                      <w:sz w:val="21"/>
                      <w:szCs w:val="21"/>
                      <w:highlight w:val="none"/>
                    </w:rPr>
                    <w:t>17</w:t>
                  </w:r>
                </w:p>
              </w:tc>
              <w:tc>
                <w:tcPr>
                  <w:tcW w:w="2703" w:type="pct"/>
                  <w:noWrap w:val="0"/>
                  <w:vAlign w:val="center"/>
                </w:tcPr>
                <w:p w14:paraId="627BBEE2">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6"/>
                      <w:sz w:val="21"/>
                      <w:szCs w:val="21"/>
                      <w:highlight w:val="none"/>
                    </w:rPr>
                    <w:t>第二十一条禁止在合规园区外新建、扩建钢</w:t>
                  </w:r>
                  <w:r>
                    <w:rPr>
                      <w:rFonts w:hint="default" w:ascii="Times New Roman" w:hAnsi="Times New Roman" w:cs="Times New Roman"/>
                      <w:color w:val="auto"/>
                      <w:spacing w:val="5"/>
                      <w:sz w:val="21"/>
                      <w:szCs w:val="21"/>
                      <w:highlight w:val="none"/>
                    </w:rPr>
                    <w:t>铁、石化、化工、焦化、建材、有色、制浆造</w:t>
                  </w:r>
                  <w:r>
                    <w:rPr>
                      <w:rFonts w:hint="default" w:ascii="Times New Roman" w:hAnsi="Times New Roman" w:cs="Times New Roman"/>
                      <w:color w:val="auto"/>
                      <w:spacing w:val="7"/>
                      <w:sz w:val="21"/>
                      <w:szCs w:val="21"/>
                      <w:highlight w:val="none"/>
                    </w:rPr>
                    <w:t>纸等高污染项目。</w:t>
                  </w:r>
                </w:p>
              </w:tc>
              <w:tc>
                <w:tcPr>
                  <w:tcW w:w="1261" w:type="pct"/>
                  <w:noWrap w:val="0"/>
                  <w:vAlign w:val="center"/>
                </w:tcPr>
                <w:p w14:paraId="6497942A">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
                      <w:sz w:val="21"/>
                      <w:szCs w:val="21"/>
                      <w:highlight w:val="none"/>
                      <w:lang w:eastAsia="zh-CN"/>
                    </w:rPr>
                    <w:t>本项目</w:t>
                  </w:r>
                  <w:r>
                    <w:rPr>
                      <w:rFonts w:hint="default" w:ascii="Times New Roman" w:hAnsi="Times New Roman" w:cs="Times New Roman"/>
                      <w:color w:val="auto"/>
                      <w:spacing w:val="1"/>
                      <w:sz w:val="21"/>
                      <w:szCs w:val="21"/>
                      <w:highlight w:val="none"/>
                    </w:rPr>
                    <w:t>不属于</w:t>
                  </w:r>
                  <w:r>
                    <w:rPr>
                      <w:rFonts w:hint="default" w:ascii="Times New Roman" w:hAnsi="Times New Roman" w:cs="Times New Roman"/>
                      <w:color w:val="auto"/>
                      <w:spacing w:val="1"/>
                      <w:sz w:val="21"/>
                      <w:szCs w:val="21"/>
                      <w:highlight w:val="none"/>
                      <w:lang w:val="en-US" w:eastAsia="zh-CN"/>
                    </w:rPr>
                    <w:t>前述</w:t>
                  </w:r>
                  <w:r>
                    <w:rPr>
                      <w:rFonts w:hint="default" w:ascii="Times New Roman" w:hAnsi="Times New Roman" w:cs="Times New Roman"/>
                      <w:color w:val="auto"/>
                      <w:spacing w:val="1"/>
                      <w:sz w:val="21"/>
                      <w:szCs w:val="21"/>
                      <w:highlight w:val="none"/>
                    </w:rPr>
                    <w:t>钢铁、石</w:t>
                  </w:r>
                  <w:r>
                    <w:rPr>
                      <w:rFonts w:hint="default" w:ascii="Times New Roman" w:hAnsi="Times New Roman" w:cs="Times New Roman"/>
                      <w:color w:val="auto"/>
                      <w:spacing w:val="-11"/>
                      <w:sz w:val="21"/>
                      <w:szCs w:val="21"/>
                      <w:highlight w:val="none"/>
                    </w:rPr>
                    <w:t>化、化工、焦化、建材、</w:t>
                  </w:r>
                  <w:r>
                    <w:rPr>
                      <w:rFonts w:hint="default" w:ascii="Times New Roman" w:hAnsi="Times New Roman" w:cs="Times New Roman"/>
                      <w:color w:val="auto"/>
                      <w:spacing w:val="1"/>
                      <w:sz w:val="21"/>
                      <w:szCs w:val="21"/>
                      <w:highlight w:val="none"/>
                    </w:rPr>
                    <w:t>有色、制浆造纸等高污</w:t>
                  </w:r>
                  <w:r>
                    <w:rPr>
                      <w:rFonts w:hint="default" w:ascii="Times New Roman" w:hAnsi="Times New Roman" w:cs="Times New Roman"/>
                      <w:color w:val="auto"/>
                      <w:spacing w:val="-1"/>
                      <w:sz w:val="21"/>
                      <w:szCs w:val="21"/>
                      <w:highlight w:val="none"/>
                    </w:rPr>
                    <w:t>染项目。</w:t>
                  </w:r>
                </w:p>
              </w:tc>
              <w:tc>
                <w:tcPr>
                  <w:tcW w:w="568" w:type="pct"/>
                  <w:noWrap w:val="0"/>
                  <w:vAlign w:val="center"/>
                </w:tcPr>
                <w:p w14:paraId="69529952">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1A757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40F5559A">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2"/>
                      <w:sz w:val="21"/>
                      <w:szCs w:val="21"/>
                      <w:highlight w:val="none"/>
                    </w:rPr>
                    <w:t>18</w:t>
                  </w:r>
                </w:p>
              </w:tc>
              <w:tc>
                <w:tcPr>
                  <w:tcW w:w="2703" w:type="pct"/>
                  <w:noWrap w:val="0"/>
                  <w:vAlign w:val="center"/>
                </w:tcPr>
                <w:p w14:paraId="33085766">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第二十二条禁止新建、扩建不符合国家石化、</w:t>
                  </w:r>
                  <w:r>
                    <w:rPr>
                      <w:rFonts w:hint="default" w:ascii="Times New Roman" w:hAnsi="Times New Roman" w:cs="Times New Roman"/>
                      <w:color w:val="auto"/>
                      <w:spacing w:val="7"/>
                      <w:sz w:val="21"/>
                      <w:szCs w:val="21"/>
                      <w:highlight w:val="none"/>
                    </w:rPr>
                    <w:t>现代煤化工等产业布局规划的项目。</w:t>
                  </w:r>
                </w:p>
              </w:tc>
              <w:tc>
                <w:tcPr>
                  <w:tcW w:w="1261" w:type="pct"/>
                  <w:noWrap w:val="0"/>
                  <w:vAlign w:val="center"/>
                </w:tcPr>
                <w:p w14:paraId="4128CB30">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2"/>
                      <w:sz w:val="21"/>
                      <w:szCs w:val="21"/>
                      <w:highlight w:val="none"/>
                      <w:lang w:eastAsia="zh-CN"/>
                    </w:rPr>
                    <w:t>本项目</w:t>
                  </w:r>
                  <w:r>
                    <w:rPr>
                      <w:rFonts w:hint="default" w:ascii="Times New Roman" w:hAnsi="Times New Roman" w:cs="Times New Roman"/>
                      <w:color w:val="auto"/>
                      <w:spacing w:val="22"/>
                      <w:sz w:val="21"/>
                      <w:szCs w:val="21"/>
                      <w:highlight w:val="none"/>
                    </w:rPr>
                    <w:t>不属于</w:t>
                  </w:r>
                  <w:r>
                    <w:rPr>
                      <w:rFonts w:hint="default" w:ascii="Times New Roman" w:hAnsi="Times New Roman" w:cs="Times New Roman"/>
                      <w:color w:val="auto"/>
                      <w:spacing w:val="22"/>
                      <w:sz w:val="21"/>
                      <w:szCs w:val="21"/>
                      <w:highlight w:val="none"/>
                      <w:lang w:val="en-US" w:eastAsia="zh-CN"/>
                    </w:rPr>
                    <w:t>前述</w:t>
                  </w:r>
                  <w:r>
                    <w:rPr>
                      <w:rFonts w:hint="default" w:ascii="Times New Roman" w:hAnsi="Times New Roman" w:cs="Times New Roman"/>
                      <w:color w:val="auto"/>
                      <w:spacing w:val="7"/>
                      <w:sz w:val="21"/>
                      <w:szCs w:val="21"/>
                      <w:highlight w:val="none"/>
                    </w:rPr>
                    <w:t>石化、现代煤化工</w:t>
                  </w:r>
                  <w:r>
                    <w:rPr>
                      <w:rFonts w:hint="default" w:ascii="Times New Roman" w:hAnsi="Times New Roman" w:cs="Times New Roman"/>
                      <w:color w:val="auto"/>
                      <w:spacing w:val="31"/>
                      <w:sz w:val="21"/>
                      <w:szCs w:val="21"/>
                      <w:highlight w:val="none"/>
                    </w:rPr>
                    <w:t>等产业布局规划的项</w:t>
                  </w:r>
                  <w:r>
                    <w:rPr>
                      <w:rFonts w:hint="default" w:ascii="Times New Roman" w:hAnsi="Times New Roman" w:cs="Times New Roman"/>
                      <w:color w:val="auto"/>
                      <w:spacing w:val="-1"/>
                      <w:sz w:val="21"/>
                      <w:szCs w:val="21"/>
                      <w:highlight w:val="none"/>
                    </w:rPr>
                    <w:t>目。</w:t>
                  </w:r>
                </w:p>
              </w:tc>
              <w:tc>
                <w:tcPr>
                  <w:tcW w:w="568" w:type="pct"/>
                  <w:noWrap w:val="0"/>
                  <w:vAlign w:val="center"/>
                </w:tcPr>
                <w:p w14:paraId="6A174750">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344B5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7B711174">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position w:val="2"/>
                      <w:sz w:val="21"/>
                      <w:szCs w:val="21"/>
                      <w:highlight w:val="none"/>
                    </w:rPr>
                    <w:t>19</w:t>
                  </w:r>
                </w:p>
              </w:tc>
              <w:tc>
                <w:tcPr>
                  <w:tcW w:w="2703" w:type="pct"/>
                  <w:noWrap w:val="0"/>
                  <w:vAlign w:val="center"/>
                </w:tcPr>
                <w:p w14:paraId="48C89B68">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第二十三条禁止新建、扩建法律法规和相关政</w:t>
                  </w:r>
                  <w:r>
                    <w:rPr>
                      <w:rFonts w:hint="default" w:ascii="Times New Roman" w:hAnsi="Times New Roman" w:cs="Times New Roman"/>
                      <w:color w:val="auto"/>
                      <w:spacing w:val="6"/>
                      <w:sz w:val="21"/>
                      <w:szCs w:val="21"/>
                      <w:highlight w:val="none"/>
                    </w:rPr>
                    <w:t>策明令禁止的落后产能项目。对《产业结构调</w:t>
                  </w:r>
                  <w:r>
                    <w:rPr>
                      <w:rFonts w:hint="default" w:ascii="Times New Roman" w:hAnsi="Times New Roman" w:cs="Times New Roman"/>
                      <w:color w:val="auto"/>
                      <w:spacing w:val="7"/>
                      <w:sz w:val="21"/>
                      <w:szCs w:val="21"/>
                      <w:highlight w:val="none"/>
                    </w:rPr>
                    <w:t>整指导目录》中淘汰类项目，禁止投资；限</w:t>
                  </w:r>
                  <w:r>
                    <w:rPr>
                      <w:rFonts w:hint="default" w:ascii="Times New Roman" w:hAnsi="Times New Roman" w:cs="Times New Roman"/>
                      <w:color w:val="auto"/>
                      <w:spacing w:val="6"/>
                      <w:sz w:val="21"/>
                      <w:szCs w:val="21"/>
                      <w:highlight w:val="none"/>
                    </w:rPr>
                    <w:t>制类的新建项目，禁止投资，对属于限制类的现有生产能力，允许企业在一定期限内采取措施改造升级。</w:t>
                  </w:r>
                </w:p>
              </w:tc>
              <w:tc>
                <w:tcPr>
                  <w:tcW w:w="1261" w:type="pct"/>
                  <w:noWrap w:val="0"/>
                  <w:vAlign w:val="center"/>
                </w:tcPr>
                <w:p w14:paraId="2409A147">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10"/>
                      <w:sz w:val="21"/>
                      <w:szCs w:val="21"/>
                      <w:highlight w:val="none"/>
                      <w:lang w:eastAsia="zh-CN"/>
                    </w:rPr>
                    <w:t>本项目</w:t>
                  </w:r>
                  <w:r>
                    <w:rPr>
                      <w:rFonts w:hint="default" w:ascii="Times New Roman" w:hAnsi="Times New Roman" w:cs="Times New Roman"/>
                      <w:color w:val="auto"/>
                      <w:spacing w:val="10"/>
                      <w:sz w:val="21"/>
                      <w:szCs w:val="21"/>
                      <w:highlight w:val="none"/>
                    </w:rPr>
                    <w:t>不属于国家明</w:t>
                  </w:r>
                  <w:r>
                    <w:rPr>
                      <w:rFonts w:hint="default" w:ascii="Times New Roman" w:hAnsi="Times New Roman" w:cs="Times New Roman"/>
                      <w:color w:val="auto"/>
                      <w:spacing w:val="31"/>
                      <w:sz w:val="21"/>
                      <w:szCs w:val="21"/>
                      <w:highlight w:val="none"/>
                    </w:rPr>
                    <w:t>令禁止或限制建设类</w:t>
                  </w:r>
                  <w:r>
                    <w:rPr>
                      <w:rFonts w:hint="default" w:ascii="Times New Roman" w:hAnsi="Times New Roman" w:cs="Times New Roman"/>
                      <w:color w:val="auto"/>
                      <w:spacing w:val="2"/>
                      <w:sz w:val="21"/>
                      <w:szCs w:val="21"/>
                      <w:highlight w:val="none"/>
                    </w:rPr>
                    <w:t>项目。</w:t>
                  </w:r>
                </w:p>
              </w:tc>
              <w:tc>
                <w:tcPr>
                  <w:tcW w:w="568" w:type="pct"/>
                  <w:noWrap w:val="0"/>
                  <w:vAlign w:val="center"/>
                </w:tcPr>
                <w:p w14:paraId="596E95AB">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2D14E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vMerge w:val="restart"/>
                  <w:noWrap w:val="0"/>
                  <w:vAlign w:val="center"/>
                </w:tcPr>
                <w:p w14:paraId="6A77DC3D">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position w:val="2"/>
                      <w:sz w:val="21"/>
                      <w:szCs w:val="21"/>
                      <w:highlight w:val="none"/>
                    </w:rPr>
                    <w:t>20</w:t>
                  </w:r>
                </w:p>
              </w:tc>
              <w:tc>
                <w:tcPr>
                  <w:tcW w:w="2703" w:type="pct"/>
                  <w:tcBorders>
                    <w:bottom w:val="single" w:color="000000" w:sz="6" w:space="0"/>
                  </w:tcBorders>
                  <w:noWrap w:val="0"/>
                  <w:vAlign w:val="center"/>
                </w:tcPr>
                <w:p w14:paraId="56F7EF26">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第二十四条禁止新建、扩建不符合国家产能置换要求的严重过剩产能行业的项目。</w:t>
                  </w:r>
                </w:p>
              </w:tc>
              <w:tc>
                <w:tcPr>
                  <w:tcW w:w="1261" w:type="pct"/>
                  <w:vMerge w:val="restart"/>
                  <w:noWrap w:val="0"/>
                  <w:vAlign w:val="center"/>
                </w:tcPr>
                <w:p w14:paraId="144E76D3">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2"/>
                      <w:sz w:val="21"/>
                      <w:szCs w:val="21"/>
                      <w:highlight w:val="none"/>
                      <w:lang w:eastAsia="zh-CN"/>
                    </w:rPr>
                    <w:t>本项目</w:t>
                  </w:r>
                  <w:r>
                    <w:rPr>
                      <w:rFonts w:hint="default" w:ascii="Times New Roman" w:hAnsi="Times New Roman" w:cs="Times New Roman"/>
                      <w:color w:val="auto"/>
                      <w:spacing w:val="22"/>
                      <w:sz w:val="21"/>
                      <w:szCs w:val="21"/>
                      <w:highlight w:val="none"/>
                    </w:rPr>
                    <w:t>不属于严重过</w:t>
                  </w:r>
                  <w:r>
                    <w:rPr>
                      <w:rFonts w:hint="default" w:ascii="Times New Roman" w:hAnsi="Times New Roman" w:cs="Times New Roman"/>
                      <w:color w:val="auto"/>
                      <w:spacing w:val="6"/>
                      <w:sz w:val="21"/>
                      <w:szCs w:val="21"/>
                      <w:highlight w:val="none"/>
                    </w:rPr>
                    <w:t>剩产能项目。</w:t>
                  </w:r>
                </w:p>
              </w:tc>
              <w:tc>
                <w:tcPr>
                  <w:tcW w:w="568" w:type="pct"/>
                  <w:vMerge w:val="restart"/>
                  <w:noWrap w:val="0"/>
                  <w:vAlign w:val="center"/>
                </w:tcPr>
                <w:p w14:paraId="5666A928">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59094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vMerge w:val="continue"/>
                  <w:noWrap w:val="0"/>
                  <w:vAlign w:val="center"/>
                </w:tcPr>
                <w:p w14:paraId="57E56203">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2703" w:type="pct"/>
                  <w:tcBorders>
                    <w:top w:val="single" w:color="000000" w:sz="6" w:space="0"/>
                  </w:tcBorders>
                  <w:noWrap w:val="0"/>
                  <w:vAlign w:val="center"/>
                </w:tcPr>
                <w:p w14:paraId="5B7ACCAD">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合国家产能置换要求的严重过剩产能行业，不得以其他任何名义、任何方式备案新增产能项</w:t>
                  </w:r>
                  <w:r>
                    <w:rPr>
                      <w:rFonts w:hint="default" w:ascii="Times New Roman" w:hAnsi="Times New Roman" w:cs="Times New Roman"/>
                      <w:color w:val="auto"/>
                      <w:spacing w:val="-1"/>
                      <w:sz w:val="21"/>
                      <w:szCs w:val="21"/>
                      <w:highlight w:val="none"/>
                    </w:rPr>
                    <w:t>目。</w:t>
                  </w:r>
                </w:p>
              </w:tc>
              <w:tc>
                <w:tcPr>
                  <w:tcW w:w="1261" w:type="pct"/>
                  <w:vMerge w:val="continue"/>
                  <w:noWrap w:val="0"/>
                  <w:vAlign w:val="center"/>
                </w:tcPr>
                <w:p w14:paraId="2956ADBE">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p>
              </w:tc>
              <w:tc>
                <w:tcPr>
                  <w:tcW w:w="568" w:type="pct"/>
                  <w:vMerge w:val="continue"/>
                  <w:noWrap w:val="0"/>
                  <w:vAlign w:val="center"/>
                </w:tcPr>
                <w:p w14:paraId="6B649565">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r>
            <w:tr w14:paraId="2F619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0189A303">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position w:val="1"/>
                      <w:sz w:val="21"/>
                      <w:szCs w:val="21"/>
                      <w:highlight w:val="none"/>
                    </w:rPr>
                    <w:t>21</w:t>
                  </w:r>
                </w:p>
              </w:tc>
              <w:tc>
                <w:tcPr>
                  <w:tcW w:w="2703" w:type="pct"/>
                  <w:noWrap w:val="0"/>
                  <w:vAlign w:val="center"/>
                </w:tcPr>
                <w:p w14:paraId="10C36AC2">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16"/>
                      <w:sz w:val="21"/>
                      <w:szCs w:val="21"/>
                      <w:highlight w:val="none"/>
                    </w:rPr>
                    <w:t>第二十五</w:t>
                  </w:r>
                  <w:r>
                    <w:rPr>
                      <w:rFonts w:hint="default" w:ascii="Times New Roman" w:hAnsi="Times New Roman" w:eastAsia="宋体" w:cs="Times New Roman"/>
                      <w:color w:val="auto"/>
                      <w:spacing w:val="5"/>
                      <w:sz w:val="21"/>
                      <w:szCs w:val="21"/>
                      <w:highlight w:val="none"/>
                    </w:rPr>
                    <w:t>条禁止建设以下燃油汽车投资项目（不在中国境内销售产品的投资项目除外</w:t>
                  </w:r>
                  <w:r>
                    <w:rPr>
                      <w:rFonts w:hint="default" w:ascii="Times New Roman" w:hAnsi="Times New Roman" w:eastAsia="宋体" w:cs="Times New Roman"/>
                      <w:color w:val="auto"/>
                      <w:spacing w:val="5"/>
                      <w:sz w:val="21"/>
                      <w:szCs w:val="21"/>
                      <w:highlight w:val="none"/>
                      <w:lang w:eastAsia="zh-CN"/>
                    </w:rPr>
                    <w:t>）</w:t>
                  </w:r>
                </w:p>
              </w:tc>
              <w:tc>
                <w:tcPr>
                  <w:tcW w:w="1261" w:type="pct"/>
                  <w:noWrap w:val="0"/>
                  <w:vAlign w:val="center"/>
                </w:tcPr>
                <w:p w14:paraId="5F7F2355">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1"/>
                      <w:sz w:val="21"/>
                      <w:szCs w:val="21"/>
                      <w:highlight w:val="none"/>
                      <w:lang w:eastAsia="zh-CN"/>
                    </w:rPr>
                    <w:t>本项目</w:t>
                  </w:r>
                  <w:r>
                    <w:rPr>
                      <w:rFonts w:hint="default" w:ascii="Times New Roman" w:hAnsi="Times New Roman" w:cs="Times New Roman"/>
                      <w:color w:val="auto"/>
                      <w:spacing w:val="21"/>
                      <w:sz w:val="21"/>
                      <w:szCs w:val="21"/>
                      <w:highlight w:val="none"/>
                    </w:rPr>
                    <w:t>不属于燃油汽</w:t>
                  </w:r>
                  <w:r>
                    <w:rPr>
                      <w:rFonts w:hint="default" w:ascii="Times New Roman" w:hAnsi="Times New Roman" w:cs="Times New Roman"/>
                      <w:color w:val="auto"/>
                      <w:spacing w:val="5"/>
                      <w:sz w:val="21"/>
                      <w:szCs w:val="21"/>
                      <w:highlight w:val="none"/>
                    </w:rPr>
                    <w:t>车投资项目。</w:t>
                  </w:r>
                </w:p>
              </w:tc>
              <w:tc>
                <w:tcPr>
                  <w:tcW w:w="568" w:type="pct"/>
                  <w:noWrap w:val="0"/>
                  <w:vAlign w:val="center"/>
                </w:tcPr>
                <w:p w14:paraId="479C6382">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r w14:paraId="31C61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66" w:type="pct"/>
                  <w:noWrap w:val="0"/>
                  <w:vAlign w:val="center"/>
                </w:tcPr>
                <w:p w14:paraId="631C6DB7">
                  <w:pPr>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position w:val="1"/>
                      <w:sz w:val="21"/>
                      <w:szCs w:val="21"/>
                      <w:highlight w:val="none"/>
                    </w:rPr>
                    <w:t>22</w:t>
                  </w:r>
                </w:p>
              </w:tc>
              <w:tc>
                <w:tcPr>
                  <w:tcW w:w="2703" w:type="pct"/>
                  <w:noWrap w:val="0"/>
                  <w:vAlign w:val="center"/>
                </w:tcPr>
                <w:p w14:paraId="616035FA">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第二十六条禁止新建、扩建不符合要求的高耗</w:t>
                  </w:r>
                  <w:r>
                    <w:rPr>
                      <w:rFonts w:hint="default" w:ascii="Times New Roman" w:hAnsi="Times New Roman" w:cs="Times New Roman"/>
                      <w:color w:val="auto"/>
                      <w:spacing w:val="7"/>
                      <w:sz w:val="21"/>
                      <w:szCs w:val="21"/>
                      <w:highlight w:val="none"/>
                    </w:rPr>
                    <w:t>能、高排放、低水平项目。</w:t>
                  </w:r>
                </w:p>
              </w:tc>
              <w:tc>
                <w:tcPr>
                  <w:tcW w:w="1261" w:type="pct"/>
                  <w:noWrap w:val="0"/>
                  <w:vAlign w:val="center"/>
                </w:tcPr>
                <w:p w14:paraId="47839B07">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both"/>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1"/>
                      <w:sz w:val="21"/>
                      <w:szCs w:val="21"/>
                      <w:highlight w:val="none"/>
                      <w:lang w:eastAsia="zh-CN"/>
                    </w:rPr>
                    <w:t>本项目</w:t>
                  </w:r>
                  <w:r>
                    <w:rPr>
                      <w:rFonts w:hint="default" w:ascii="Times New Roman" w:hAnsi="Times New Roman" w:cs="Times New Roman"/>
                      <w:color w:val="auto"/>
                      <w:spacing w:val="21"/>
                      <w:sz w:val="21"/>
                      <w:szCs w:val="21"/>
                      <w:highlight w:val="none"/>
                    </w:rPr>
                    <w:t>不属于不符合</w:t>
                  </w:r>
                  <w:r>
                    <w:rPr>
                      <w:rFonts w:hint="default" w:ascii="Times New Roman" w:hAnsi="Times New Roman" w:cs="Times New Roman"/>
                      <w:color w:val="auto"/>
                      <w:spacing w:val="19"/>
                      <w:sz w:val="21"/>
                      <w:szCs w:val="21"/>
                      <w:highlight w:val="none"/>
                    </w:rPr>
                    <w:t>要求的高耗能、高排</w:t>
                  </w:r>
                  <w:r>
                    <w:rPr>
                      <w:rFonts w:hint="default" w:ascii="Times New Roman" w:hAnsi="Times New Roman" w:cs="Times New Roman"/>
                      <w:color w:val="auto"/>
                      <w:spacing w:val="5"/>
                      <w:sz w:val="21"/>
                      <w:szCs w:val="21"/>
                      <w:highlight w:val="none"/>
                    </w:rPr>
                    <w:t>放、低水平项目。</w:t>
                  </w:r>
                </w:p>
              </w:tc>
              <w:tc>
                <w:tcPr>
                  <w:tcW w:w="568" w:type="pct"/>
                  <w:noWrap w:val="0"/>
                  <w:vAlign w:val="center"/>
                </w:tcPr>
                <w:p w14:paraId="3179E7E7">
                  <w:pPr>
                    <w:pStyle w:val="24"/>
                    <w:keepNext w:val="0"/>
                    <w:keepLines w:val="0"/>
                    <w:pageBreakBefore w:val="0"/>
                    <w:widowControl/>
                    <w:kinsoku/>
                    <w:wordWrap/>
                    <w:overflowPunct w:val="0"/>
                    <w:topLinePunct/>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符合</w:t>
                  </w:r>
                </w:p>
              </w:tc>
            </w:tr>
          </w:tbl>
          <w:p w14:paraId="707BA728">
            <w:pPr>
              <w:pStyle w:val="17"/>
              <w:keepNext w:val="0"/>
              <w:keepLines w:val="0"/>
              <w:pageBreakBefore w:val="0"/>
              <w:widowControl w:val="0"/>
              <w:kinsoku/>
              <w:wordWrap/>
              <w:overflowPunct w:val="0"/>
              <w:topLinePunct/>
              <w:autoSpaceDE/>
              <w:autoSpaceDN/>
              <w:bidi w:val="0"/>
              <w:adjustRightInd/>
              <w:snapToGrid/>
              <w:spacing w:after="0" w:line="460" w:lineRule="exact"/>
              <w:ind w:left="0" w:leftChars="0"/>
              <w:textAlignment w:val="auto"/>
              <w:rPr>
                <w:rFonts w:hint="default" w:ascii="Times New Roman" w:hAnsi="Times New Roman" w:cs="Times New Roman"/>
                <w:b w:val="0"/>
                <w:bCs w:val="0"/>
                <w:color w:val="auto"/>
                <w:kern w:val="0"/>
                <w:highlight w:val="none"/>
                <w:lang w:val="en-US" w:eastAsia="zh-CN"/>
              </w:rPr>
            </w:pPr>
            <w:r>
              <w:rPr>
                <w:rFonts w:hint="default" w:ascii="Times New Roman" w:hAnsi="Times New Roman" w:cs="Times New Roman"/>
                <w:b w:val="0"/>
                <w:bCs w:val="0"/>
                <w:color w:val="auto"/>
                <w:kern w:val="0"/>
                <w:highlight w:val="none"/>
              </w:rPr>
              <w:t>根据上表可知，</w:t>
            </w:r>
            <w:r>
              <w:rPr>
                <w:rFonts w:hint="eastAsia" w:ascii="Times New Roman" w:hAnsi="Times New Roman" w:cs="Times New Roman"/>
                <w:b w:val="0"/>
                <w:bCs w:val="0"/>
                <w:color w:val="auto"/>
                <w:kern w:val="0"/>
                <w:highlight w:val="none"/>
                <w:lang w:eastAsia="zh-CN"/>
              </w:rPr>
              <w:t>本项目</w:t>
            </w:r>
            <w:r>
              <w:rPr>
                <w:rFonts w:hint="default" w:ascii="Times New Roman" w:hAnsi="Times New Roman" w:cs="Times New Roman"/>
                <w:b w:val="0"/>
                <w:bCs w:val="0"/>
                <w:color w:val="auto"/>
                <w:kern w:val="0"/>
                <w:highlight w:val="none"/>
              </w:rPr>
              <w:t>不属于</w:t>
            </w:r>
            <w:r>
              <w:rPr>
                <w:rFonts w:hint="default" w:ascii="Times New Roman" w:hAnsi="Times New Roman" w:cs="Times New Roman"/>
                <w:b w:val="0"/>
                <w:bCs w:val="0"/>
                <w:color w:val="auto"/>
                <w:sz w:val="24"/>
                <w:szCs w:val="32"/>
                <w:highlight w:val="none"/>
                <w:lang w:val="en-US" w:eastAsia="zh-CN"/>
              </w:rPr>
              <w:t>《四川省、重庆市长江经济带发展负面清单实施细则（试行，2022年版）》（川长江办〔2022〕17号）</w:t>
            </w:r>
            <w:r>
              <w:rPr>
                <w:rFonts w:hint="default" w:ascii="Times New Roman" w:hAnsi="Times New Roman" w:cs="Times New Roman"/>
                <w:b w:val="0"/>
                <w:bCs w:val="0"/>
                <w:color w:val="auto"/>
                <w:highlight w:val="none"/>
                <w:vertAlign w:val="baseline"/>
                <w:lang w:val="en-US" w:eastAsia="zh-CN"/>
              </w:rPr>
              <w:t>中</w:t>
            </w:r>
            <w:r>
              <w:rPr>
                <w:rFonts w:hint="default" w:ascii="Times New Roman" w:hAnsi="Times New Roman" w:cs="Times New Roman"/>
                <w:b w:val="0"/>
                <w:bCs w:val="0"/>
                <w:color w:val="auto"/>
                <w:kern w:val="0"/>
                <w:highlight w:val="none"/>
              </w:rPr>
              <w:t>负面清单内容，</w:t>
            </w:r>
            <w:r>
              <w:rPr>
                <w:rFonts w:hint="eastAsia" w:ascii="Times New Roman" w:hAnsi="Times New Roman" w:cs="Times New Roman"/>
                <w:b w:val="0"/>
                <w:bCs w:val="0"/>
                <w:color w:val="auto"/>
                <w:kern w:val="0"/>
                <w:highlight w:val="none"/>
                <w:lang w:val="en-US" w:eastAsia="zh-CN"/>
              </w:rPr>
              <w:t>本项目</w:t>
            </w:r>
            <w:r>
              <w:rPr>
                <w:rFonts w:hint="default" w:ascii="Times New Roman" w:hAnsi="Times New Roman" w:cs="Times New Roman"/>
                <w:b w:val="0"/>
                <w:bCs w:val="0"/>
                <w:color w:val="auto"/>
                <w:kern w:val="0"/>
                <w:highlight w:val="none"/>
                <w:lang w:val="en-US" w:eastAsia="zh-CN"/>
              </w:rPr>
              <w:t>与该指南要求相符。</w:t>
            </w:r>
          </w:p>
          <w:p w14:paraId="565BAD17">
            <w:pPr>
              <w:pStyle w:val="49"/>
              <w:numPr>
                <w:ilvl w:val="2"/>
                <w:numId w:val="0"/>
              </w:numPr>
              <w:tabs>
                <w:tab w:val="clear" w:pos="425"/>
              </w:tabs>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1.</w:t>
            </w:r>
            <w:r>
              <w:rPr>
                <w:rFonts w:hint="eastAsia" w:cs="Times New Roman"/>
                <w:b/>
                <w:bCs/>
                <w:color w:val="auto"/>
                <w:kern w:val="0"/>
                <w:sz w:val="24"/>
                <w:szCs w:val="24"/>
                <w:highlight w:val="none"/>
                <w:lang w:val="en-US" w:eastAsia="zh-CN" w:bidi="ar-SA"/>
              </w:rPr>
              <w:t>9</w:t>
            </w:r>
            <w:r>
              <w:rPr>
                <w:rFonts w:hint="default" w:ascii="Times New Roman" w:hAnsi="Times New Roman" w:eastAsia="宋体" w:cs="Times New Roman"/>
                <w:b/>
                <w:bCs/>
                <w:color w:val="auto"/>
                <w:kern w:val="0"/>
                <w:sz w:val="24"/>
                <w:szCs w:val="24"/>
                <w:highlight w:val="none"/>
                <w:lang w:val="en-US" w:eastAsia="zh-CN" w:bidi="ar-SA"/>
              </w:rPr>
              <w:t>与《长江经济带发展负面清单指南（试行，2022年版）》（长江办〔2022〕7号）符合性分析</w:t>
            </w:r>
          </w:p>
          <w:p w14:paraId="52D69CE1">
            <w:pPr>
              <w:pStyle w:val="43"/>
              <w:rPr>
                <w:rFonts w:hint="default" w:ascii="Times New Roman" w:hAnsi="Times New Roman" w:cs="Times New Roman"/>
                <w:color w:val="auto"/>
                <w:highlight w:val="none"/>
              </w:rPr>
            </w:pPr>
            <w:r>
              <w:rPr>
                <w:rFonts w:hint="eastAsia" w:cs="Times New Roman"/>
                <w:color w:val="auto"/>
                <w:sz w:val="24"/>
                <w:szCs w:val="22"/>
                <w:highlight w:val="none"/>
                <w:lang w:val="en-US" w:eastAsia="zh-CN"/>
              </w:rPr>
              <w:t>本项目</w:t>
            </w:r>
            <w:r>
              <w:rPr>
                <w:rFonts w:hint="default" w:ascii="Times New Roman" w:hAnsi="Times New Roman" w:cs="Times New Roman"/>
                <w:color w:val="auto"/>
                <w:sz w:val="24"/>
                <w:szCs w:val="22"/>
                <w:highlight w:val="none"/>
              </w:rPr>
              <w:t>与《长江经济带发展负面清单指南（试行，2022年版）》（长江办〔2022〕7号）符合性分析见下表。</w:t>
            </w:r>
          </w:p>
          <w:p w14:paraId="177F4C6A">
            <w:pPr>
              <w:pStyle w:val="47"/>
              <w:spacing w:before="120"/>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表1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与《长江经济带发展负面清单指南（试行，2022年版）》符合性分析表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4516"/>
              <w:gridCol w:w="2748"/>
              <w:gridCol w:w="654"/>
            </w:tblGrid>
            <w:tr w14:paraId="6C17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1689289A">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序号</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1B113F9E">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实施细则</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1812F6F">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项目情况</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18648C6B">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符合性</w:t>
                  </w:r>
                </w:p>
              </w:tc>
            </w:tr>
            <w:tr w14:paraId="7EBB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08238730">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69879DA3">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禁止建设不符合全国和省级港口布局规划以及港口总体规划的码头项目，禁止建设不符合《长江干线过江通道布局规划》的过长江通道项目。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A5850BF">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不属于码头、过长江通道项目。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1DC07D59">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116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7BA245AA">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3D7FB2D2">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5EE02A8">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不在自然保护区核心区、缓冲区的岸线和河段以及风景名胜区核心景区和河段范围内。</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14E9647D">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CC5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4C55D11F">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3</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194AC2D8">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2B473CB">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不在饮用水水源一级保护区和二级保护区的岸线和河段范围内。</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4BA76870">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0E1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2F59015A">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4</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2B304510">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42BF1D8">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位于工业园区内，不新建排污口，不属于挖砂、采矿等项目。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0202B9D2">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5DAA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1A51B4AB">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5</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4C0F6F37">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0BE138C">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不在《长江岸线保护和开发利用总体规划》划定的岸线保护区内；不在《全国重要江河湖泊水功能区划》划定的河段保护区、保留区内。</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6F5460C7">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A75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1778A8C9">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6</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5B606FC8">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禁止未经许可在长江干支流及湖泊新设、改设或扩大排污口。</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DA3DB31">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不新设、改设或扩大排污口</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4F1EA7E9">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6FB9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74324501">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7</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32EAA441">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一江一口两湖七河</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和</w:t>
                  </w:r>
                  <w:r>
                    <w:rPr>
                      <w:rFonts w:hint="default" w:ascii="Times New Roman" w:hAnsi="Times New Roman" w:cs="Times New Roman"/>
                      <w:color w:val="auto"/>
                      <w:kern w:val="2"/>
                      <w:sz w:val="21"/>
                      <w:szCs w:val="21"/>
                      <w:highlight w:val="none"/>
                      <w:lang w:val="en-US" w:eastAsia="zh-CN" w:bidi="ar"/>
                    </w:rPr>
                    <w:t>332</w:t>
                  </w:r>
                  <w:r>
                    <w:rPr>
                      <w:rFonts w:hint="default" w:ascii="Times New Roman" w:hAnsi="Times New Roman" w:eastAsia="宋体" w:cs="Times New Roman"/>
                      <w:color w:val="auto"/>
                      <w:kern w:val="2"/>
                      <w:sz w:val="21"/>
                      <w:szCs w:val="21"/>
                      <w:highlight w:val="none"/>
                      <w:lang w:val="en-US" w:eastAsia="zh-CN" w:bidi="ar"/>
                    </w:rPr>
                    <w:t>个水生生物保护区开展生产性捕捞。</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44CFEBA">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不开展生产性捕捞。</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73F8FE85">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6609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6BE4EDEB">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8</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43EA740F">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80C74FD">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不在永久基本农田、生态保护红线内。</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653E2DD3">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1191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16480FF8">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9</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73804301">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禁止在长江干支流</w:t>
                  </w:r>
                  <w:r>
                    <w:rPr>
                      <w:rFonts w:hint="default" w:ascii="Times New Roman" w:hAnsi="Times New Roman" w:cs="Times New Roman"/>
                      <w:color w:val="auto"/>
                      <w:kern w:val="2"/>
                      <w:sz w:val="21"/>
                      <w:szCs w:val="21"/>
                      <w:highlight w:val="none"/>
                      <w:lang w:val="en-US" w:eastAsia="zh-CN" w:bidi="ar"/>
                    </w:rPr>
                    <w:t>1</w:t>
                  </w:r>
                  <w:r>
                    <w:rPr>
                      <w:rFonts w:hint="default" w:ascii="Times New Roman" w:hAnsi="Times New Roman" w:eastAsia="宋体" w:cs="Times New Roman"/>
                      <w:color w:val="auto"/>
                      <w:kern w:val="2"/>
                      <w:sz w:val="21"/>
                      <w:szCs w:val="21"/>
                      <w:highlight w:val="none"/>
                      <w:lang w:val="en-US" w:eastAsia="zh-CN" w:bidi="ar"/>
                    </w:rPr>
                    <w:t>公里范围内新建、扩建化工园区和化工项目。禁止在长江干流岸线三公里范围内和重要支流岸线一公里范围内新建、改建、扩建尾矿库、冶炼渣库和磷石膏库，以提升安全、生态环境保护水平为目的改扩建除外。</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82905C7">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不属于化工园区、化工项目以及新建、改建、扩建尾矿库、冶炼渣库和磷石膏库</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5BA349FC">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670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0519DE0D">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10</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5C6F218A">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禁止在合规园区外新建、扩建钢铁、石化、化工、焦化、建材、有色等高污染项目。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1A13BFAC">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不属于上述高污染项目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600A2F3C">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3466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683C39E2">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11</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2D2F24DE">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禁止新建、扩建不符合国家石化、现代煤化工等产业布局规划的项目。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4E4C2EC">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不属于石化、现代化工等产业</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0FFEBA1B">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62C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Borders>
                    <w:top w:val="single" w:color="auto" w:sz="4" w:space="0"/>
                    <w:left w:val="single" w:color="auto" w:sz="4" w:space="0"/>
                    <w:bottom w:val="single" w:color="auto" w:sz="4" w:space="0"/>
                    <w:right w:val="single" w:color="auto" w:sz="4" w:space="0"/>
                  </w:tcBorders>
                  <w:noWrap w:val="0"/>
                  <w:vAlign w:val="center"/>
                </w:tcPr>
                <w:p w14:paraId="00D864C2">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12</w:t>
                  </w:r>
                </w:p>
              </w:tc>
              <w:tc>
                <w:tcPr>
                  <w:tcW w:w="4676" w:type="dxa"/>
                  <w:tcBorders>
                    <w:top w:val="single" w:color="auto" w:sz="4" w:space="0"/>
                    <w:left w:val="single" w:color="auto" w:sz="4" w:space="0"/>
                    <w:bottom w:val="single" w:color="auto" w:sz="4" w:space="0"/>
                    <w:right w:val="single" w:color="auto" w:sz="4" w:space="0"/>
                  </w:tcBorders>
                  <w:noWrap w:val="0"/>
                  <w:vAlign w:val="center"/>
                </w:tcPr>
                <w:p w14:paraId="511DC9ED">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禁止新建、扩建法律法规和相关政策明令禁止的落后产能项目。禁止新建、扩建不符合国家产能置换要求的严重过剩产能行业的项目。</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5AADF95">
                  <w:pPr>
                    <w:pStyle w:val="16"/>
                    <w:keepNext/>
                    <w:keepLines/>
                    <w:widowControl w:val="0"/>
                    <w:suppressLineNumbers w:val="0"/>
                    <w:adjustRightInd w:val="0"/>
                    <w:snapToGrid w:val="0"/>
                    <w:spacing w:before="0" w:beforeAutospacing="0" w:after="0" w:afterAutospacing="0" w:line="240" w:lineRule="auto"/>
                    <w:ind w:left="0" w:right="0" w:firstLine="0" w:firstLineChars="0"/>
                    <w:jc w:val="both"/>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项目不属于落后产能、严重过剩产能以及高耗高排放项目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7FDD8199">
                  <w:pPr>
                    <w:pStyle w:val="16"/>
                    <w:keepNext/>
                    <w:keepLines/>
                    <w:widowControl w:val="0"/>
                    <w:suppressLineNumbers w:val="0"/>
                    <w:adjustRightInd w:val="0"/>
                    <w:snapToGrid w:val="0"/>
                    <w:spacing w:before="0" w:beforeAutospacing="0" w:after="0" w:afterAutospacing="0" w:line="240" w:lineRule="auto"/>
                    <w:ind w:left="0" w:right="0" w:firstLine="0" w:firstLineChars="0"/>
                    <w:jc w:val="center"/>
                    <w:outlineLvl w:val="2"/>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bl>
          <w:p w14:paraId="654277DF">
            <w:pPr>
              <w:rPr>
                <w:rFonts w:hint="default"/>
                <w:color w:val="auto"/>
                <w:highlight w:val="none"/>
                <w:lang w:val="en-US" w:eastAsia="zh-CN"/>
              </w:rPr>
            </w:pPr>
            <w:r>
              <w:rPr>
                <w:rFonts w:hint="default" w:ascii="Times New Roman" w:hAnsi="Times New Roman" w:cs="Times New Roman"/>
                <w:color w:val="auto"/>
                <w:sz w:val="24"/>
                <w:szCs w:val="22"/>
                <w:highlight w:val="none"/>
              </w:rPr>
              <w:t>由上表可知，</w:t>
            </w:r>
            <w:r>
              <w:rPr>
                <w:rFonts w:hint="eastAsia" w:cs="Times New Roman"/>
                <w:color w:val="auto"/>
                <w:sz w:val="24"/>
                <w:szCs w:val="22"/>
                <w:highlight w:val="none"/>
                <w:lang w:val="en-US" w:eastAsia="zh-CN"/>
              </w:rPr>
              <w:t>本项目</w:t>
            </w:r>
            <w:r>
              <w:rPr>
                <w:rFonts w:hint="default" w:ascii="Times New Roman" w:hAnsi="Times New Roman" w:cs="Times New Roman"/>
                <w:color w:val="auto"/>
                <w:sz w:val="24"/>
                <w:szCs w:val="22"/>
                <w:highlight w:val="none"/>
                <w:lang w:val="en-US" w:eastAsia="zh-CN"/>
              </w:rPr>
              <w:t>符合</w:t>
            </w:r>
            <w:r>
              <w:rPr>
                <w:rFonts w:hint="default" w:ascii="Times New Roman" w:hAnsi="Times New Roman" w:cs="Times New Roman"/>
                <w:color w:val="auto"/>
                <w:sz w:val="24"/>
                <w:szCs w:val="22"/>
                <w:highlight w:val="none"/>
              </w:rPr>
              <w:t>《长江经济带发展负面清单指南（试行，2022年版）》（长江办〔2022〕7号）的相关要求。</w:t>
            </w:r>
          </w:p>
          <w:p w14:paraId="647AB1FC">
            <w:pPr>
              <w:pStyle w:val="49"/>
              <w:numPr>
                <w:ilvl w:val="0"/>
                <w:numId w:val="0"/>
              </w:numPr>
              <w:tabs>
                <w:tab w:val="clear" w:pos="425"/>
              </w:tabs>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SA"/>
              </w:rPr>
              <w:t>1.</w:t>
            </w:r>
            <w:r>
              <w:rPr>
                <w:rFonts w:hint="eastAsia" w:cs="Times New Roman"/>
                <w:b/>
                <w:bCs/>
                <w:color w:val="auto"/>
                <w:kern w:val="0"/>
                <w:sz w:val="24"/>
                <w:szCs w:val="24"/>
                <w:highlight w:val="none"/>
                <w:lang w:val="en-US" w:eastAsia="zh-CN" w:bidi="ar-SA"/>
              </w:rPr>
              <w:t>10</w:t>
            </w:r>
            <w:r>
              <w:rPr>
                <w:rFonts w:hint="default" w:ascii="Times New Roman" w:hAnsi="Times New Roman" w:cs="Times New Roman"/>
                <w:b/>
                <w:bCs/>
                <w:color w:val="auto"/>
                <w:sz w:val="24"/>
                <w:szCs w:val="24"/>
                <w:highlight w:val="none"/>
              </w:rPr>
              <w:t>与《重庆市生态环境保护“十四五”规划（2021-2025年）》符合性分析</w:t>
            </w:r>
          </w:p>
          <w:p w14:paraId="0A4501A5">
            <w:pPr>
              <w:pStyle w:val="43"/>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项目与《重庆市生态环境保护“十四五”规划（2021-2025年）》符合性见下表。</w:t>
            </w:r>
          </w:p>
          <w:p w14:paraId="7443D5CD">
            <w:pPr>
              <w:pStyle w:val="47"/>
              <w:keepNext w:val="0"/>
              <w:keepLines w:val="0"/>
              <w:pageBreakBefore w:val="0"/>
              <w:widowControl w:val="0"/>
              <w:kinsoku/>
              <w:wordWrap/>
              <w:overflowPunct/>
              <w:topLinePunct w:val="0"/>
              <w:autoSpaceDE/>
              <w:autoSpaceDN/>
              <w:bidi w:val="0"/>
              <w:adjustRightInd/>
              <w:snapToGrid w:val="0"/>
              <w:spacing w:before="0" w:beforeLines="0" w:line="360" w:lineRule="auto"/>
              <w:ind w:firstLine="442"/>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与《重庆市生态环境保护“十四五”规划》符合性分析</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997"/>
              <w:gridCol w:w="2388"/>
              <w:gridCol w:w="649"/>
            </w:tblGrid>
            <w:tr w14:paraId="28F9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277905A7">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序号</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2E4C693F">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《重庆市生态环境保护</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十四五</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规划（</w:t>
                  </w:r>
                  <w:r>
                    <w:rPr>
                      <w:rFonts w:hint="default" w:ascii="Times New Roman" w:hAnsi="Times New Roman" w:cs="Times New Roman"/>
                      <w:color w:val="auto"/>
                      <w:kern w:val="2"/>
                      <w:sz w:val="21"/>
                      <w:szCs w:val="21"/>
                      <w:highlight w:val="none"/>
                      <w:lang w:val="en-US" w:eastAsia="zh-CN" w:bidi="ar"/>
                    </w:rPr>
                    <w:t>2021-2025</w:t>
                  </w:r>
                  <w:r>
                    <w:rPr>
                      <w:rFonts w:hint="default" w:ascii="Times New Roman" w:hAnsi="Times New Roman" w:eastAsia="宋体" w:cs="Times New Roman"/>
                      <w:color w:val="auto"/>
                      <w:kern w:val="2"/>
                      <w:sz w:val="21"/>
                      <w:szCs w:val="21"/>
                      <w:highlight w:val="none"/>
                      <w:lang w:val="en-US" w:eastAsia="zh-CN" w:bidi="ar"/>
                    </w:rPr>
                    <w:t>年）》相关要求</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30FB832">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项目情况</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4998A077">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符合性</w:t>
                  </w:r>
                </w:p>
              </w:tc>
            </w:tr>
            <w:tr w14:paraId="46FB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0F8F3069">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248D1FE8">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6A3C07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位于重庆市</w:t>
                  </w:r>
                  <w:r>
                    <w:rPr>
                      <w:rFonts w:hint="default" w:ascii="Times New Roman" w:hAnsi="Times New Roman" w:eastAsia="宋体" w:cs="Times New Roman"/>
                      <w:color w:val="auto"/>
                      <w:sz w:val="21"/>
                      <w:szCs w:val="21"/>
                      <w:highlight w:val="none"/>
                      <w:lang w:val="en-US" w:eastAsia="zh-CN"/>
                    </w:rPr>
                    <w:t>铜罐驿镇砖瓦村167</w:t>
                  </w:r>
                  <w:r>
                    <w:rPr>
                      <w:rFonts w:hint="default" w:ascii="Times New Roman" w:hAnsi="Times New Roman" w:eastAsia="宋体" w:cs="Times New Roman"/>
                      <w:color w:val="auto"/>
                      <w:sz w:val="24"/>
                      <w:szCs w:val="24"/>
                      <w:highlight w:val="none"/>
                      <w:lang w:val="en-US" w:eastAsia="zh-CN"/>
                    </w:rPr>
                    <w:t>号</w:t>
                  </w:r>
                  <w:r>
                    <w:rPr>
                      <w:rFonts w:hint="default" w:ascii="Times New Roman" w:hAnsi="Times New Roman" w:eastAsia="宋体" w:cs="Times New Roman"/>
                      <w:color w:val="auto"/>
                      <w:kern w:val="2"/>
                      <w:sz w:val="21"/>
                      <w:szCs w:val="21"/>
                      <w:highlight w:val="none"/>
                      <w:lang w:val="en-US" w:eastAsia="zh-CN" w:bidi="ar"/>
                    </w:rPr>
                    <w:t>，不在生态保护红线、自然保护地内</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4E9F79FC">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3B97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0713076C">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007DF86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w:t>
                  </w:r>
                </w:p>
                <w:p w14:paraId="444EC3C8">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砖瓦、陶瓷、建材加工等行业废气无组织排放监管。严格落实</w:t>
                  </w:r>
                  <w:r>
                    <w:rPr>
                      <w:rFonts w:hint="default" w:ascii="Times New Roman" w:hAnsi="Times New Roman" w:cs="Times New Roman"/>
                      <w:color w:val="auto"/>
                      <w:kern w:val="2"/>
                      <w:sz w:val="21"/>
                      <w:szCs w:val="21"/>
                      <w:highlight w:val="none"/>
                      <w:lang w:val="en-US" w:eastAsia="zh-CN" w:bidi="ar"/>
                    </w:rPr>
                    <w:t>VOCs</w:t>
                  </w:r>
                  <w:r>
                    <w:rPr>
                      <w:rFonts w:hint="default" w:ascii="Times New Roman" w:hAnsi="Times New Roman" w:eastAsia="宋体" w:cs="Times New Roman"/>
                      <w:color w:val="auto"/>
                      <w:kern w:val="2"/>
                      <w:sz w:val="21"/>
                      <w:szCs w:val="21"/>
                      <w:highlight w:val="none"/>
                      <w:lang w:val="en-US" w:eastAsia="zh-CN" w:bidi="ar"/>
                    </w:rPr>
                    <w:t>（挥发性有机物）含量限值标准，大力推进低（无）</w:t>
                  </w:r>
                  <w:r>
                    <w:rPr>
                      <w:rFonts w:hint="default" w:ascii="Times New Roman" w:hAnsi="Times New Roman" w:cs="Times New Roman"/>
                      <w:color w:val="auto"/>
                      <w:kern w:val="2"/>
                      <w:sz w:val="21"/>
                      <w:szCs w:val="21"/>
                      <w:highlight w:val="none"/>
                      <w:lang w:val="en-US" w:eastAsia="zh-CN" w:bidi="ar"/>
                    </w:rPr>
                    <w:t>VOCs</w:t>
                  </w:r>
                  <w:r>
                    <w:rPr>
                      <w:rFonts w:hint="default" w:ascii="Times New Roman" w:hAnsi="Times New Roman" w:eastAsia="宋体" w:cs="Times New Roman"/>
                      <w:color w:val="auto"/>
                      <w:kern w:val="2"/>
                      <w:sz w:val="21"/>
                      <w:szCs w:val="21"/>
                      <w:highlight w:val="none"/>
                      <w:lang w:val="en-US" w:eastAsia="zh-CN" w:bidi="ar"/>
                    </w:rPr>
                    <w:t>原辅材料替代，将生产和使用高</w:t>
                  </w:r>
                  <w:r>
                    <w:rPr>
                      <w:rFonts w:hint="default" w:ascii="Times New Roman" w:hAnsi="Times New Roman" w:cs="Times New Roman"/>
                      <w:color w:val="auto"/>
                      <w:kern w:val="2"/>
                      <w:sz w:val="21"/>
                      <w:szCs w:val="21"/>
                      <w:highlight w:val="none"/>
                      <w:lang w:val="en-US" w:eastAsia="zh-CN" w:bidi="ar"/>
                    </w:rPr>
                    <w:t>VOCs</w:t>
                  </w:r>
                  <w:r>
                    <w:rPr>
                      <w:rFonts w:hint="default" w:ascii="Times New Roman" w:hAnsi="Times New Roman" w:eastAsia="宋体" w:cs="Times New Roman"/>
                      <w:color w:val="auto"/>
                      <w:kern w:val="2"/>
                      <w:sz w:val="21"/>
                      <w:szCs w:val="21"/>
                      <w:highlight w:val="none"/>
                      <w:lang w:val="en-US" w:eastAsia="zh-CN" w:bidi="ar"/>
                    </w:rPr>
                    <w:t>含量产品的企业列入强制性清洁生产审核名单。以工业涂装、包装印刷、家具制造、电子、石化、化工、油品储运销等行业为重点，强化</w:t>
                  </w:r>
                  <w:r>
                    <w:rPr>
                      <w:rFonts w:hint="default" w:ascii="Times New Roman" w:hAnsi="Times New Roman" w:cs="Times New Roman"/>
                      <w:color w:val="auto"/>
                      <w:kern w:val="2"/>
                      <w:sz w:val="21"/>
                      <w:szCs w:val="21"/>
                      <w:highlight w:val="none"/>
                      <w:lang w:val="en-US" w:eastAsia="zh-CN" w:bidi="ar"/>
                    </w:rPr>
                    <w:t>VOCs</w:t>
                  </w:r>
                  <w:r>
                    <w:rPr>
                      <w:rFonts w:hint="default" w:ascii="Times New Roman" w:hAnsi="Times New Roman" w:eastAsia="宋体" w:cs="Times New Roman"/>
                      <w:color w:val="auto"/>
                      <w:kern w:val="2"/>
                      <w:sz w:val="21"/>
                      <w:szCs w:val="21"/>
                      <w:highlight w:val="none"/>
                      <w:lang w:val="en-US" w:eastAsia="zh-CN" w:bidi="ar"/>
                    </w:rPr>
                    <w:t>无组织排放管控。</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33F1D75">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属于</w:t>
                  </w:r>
                  <w:r>
                    <w:rPr>
                      <w:rFonts w:hint="default" w:ascii="Times New Roman" w:hAnsi="Times New Roman" w:cs="Times New Roman"/>
                      <w:color w:val="auto"/>
                      <w:kern w:val="2"/>
                      <w:sz w:val="21"/>
                      <w:szCs w:val="21"/>
                      <w:highlight w:val="none"/>
                      <w:lang w:val="en-US" w:eastAsia="zh-CN" w:bidi="ar"/>
                    </w:rPr>
                    <w:t>食用</w:t>
                  </w:r>
                  <w:r>
                    <w:rPr>
                      <w:rFonts w:hint="default" w:ascii="Times New Roman" w:hAnsi="Times New Roman" w:eastAsia="宋体" w:cs="Times New Roman"/>
                      <w:color w:val="auto"/>
                      <w:kern w:val="2"/>
                      <w:sz w:val="21"/>
                      <w:szCs w:val="21"/>
                      <w:highlight w:val="none"/>
                      <w:lang w:val="en-US" w:eastAsia="zh-CN" w:bidi="ar"/>
                    </w:rPr>
                    <w:t>植物油加工项目，原料毛油在精炼加工过程中产生的有机废气</w:t>
                  </w:r>
                  <w:r>
                    <w:rPr>
                      <w:rFonts w:hint="default" w:ascii="Times New Roman" w:hAnsi="Times New Roman" w:cs="Times New Roman"/>
                      <w:color w:val="auto"/>
                      <w:kern w:val="2"/>
                      <w:sz w:val="21"/>
                      <w:szCs w:val="21"/>
                      <w:highlight w:val="none"/>
                      <w:lang w:val="en-US" w:eastAsia="zh-CN" w:bidi="ar"/>
                    </w:rPr>
                    <w:t>经</w:t>
                  </w:r>
                  <w:r>
                    <w:rPr>
                      <w:rFonts w:hint="default" w:ascii="Times New Roman" w:hAnsi="Times New Roman" w:eastAsia="宋体" w:cs="Times New Roman"/>
                      <w:color w:val="auto"/>
                      <w:kern w:val="2"/>
                      <w:sz w:val="21"/>
                      <w:szCs w:val="21"/>
                      <w:highlight w:val="none"/>
                      <w:lang w:val="en-US" w:eastAsia="zh-CN" w:bidi="ar"/>
                    </w:rPr>
                    <w:t>“</w:t>
                  </w:r>
                  <w:r>
                    <w:rPr>
                      <w:rFonts w:hint="eastAsia" w:ascii="Times New Roman" w:hAnsi="Times New Roman" w:cs="Times New Roman"/>
                      <w:bCs/>
                      <w:color w:val="auto"/>
                      <w:kern w:val="2"/>
                      <w:sz w:val="21"/>
                      <w:szCs w:val="21"/>
                      <w:highlight w:val="none"/>
                      <w:lang w:val="en-US" w:eastAsia="zh-CN"/>
                    </w:rPr>
                    <w:t>冰冻冷凝+二级碱喷淋+次氯酸钠喷淋+活性炭吸附</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bCs/>
                      <w:color w:val="auto"/>
                      <w:kern w:val="2"/>
                      <w:sz w:val="21"/>
                      <w:szCs w:val="21"/>
                      <w:highlight w:val="none"/>
                      <w:lang w:val="en-US" w:eastAsia="zh-CN"/>
                    </w:rPr>
                    <w:t>处理工艺</w:t>
                  </w:r>
                  <w:r>
                    <w:rPr>
                      <w:rFonts w:hint="default" w:ascii="Times New Roman" w:hAnsi="Times New Roman" w:eastAsia="宋体" w:cs="Times New Roman"/>
                      <w:color w:val="auto"/>
                      <w:kern w:val="2"/>
                      <w:sz w:val="21"/>
                      <w:szCs w:val="21"/>
                      <w:highlight w:val="none"/>
                      <w:lang w:val="en-US" w:eastAsia="zh-CN" w:bidi="ar"/>
                    </w:rPr>
                    <w:t>处理后</w:t>
                  </w:r>
                  <w:r>
                    <w:rPr>
                      <w:rFonts w:hint="default" w:ascii="Times New Roman" w:hAnsi="Times New Roman" w:eastAsia="宋体" w:cs="Times New Roman"/>
                      <w:bCs/>
                      <w:color w:val="auto"/>
                      <w:kern w:val="2"/>
                      <w:sz w:val="21"/>
                      <w:szCs w:val="21"/>
                      <w:highlight w:val="none"/>
                      <w:lang w:val="en-US" w:eastAsia="zh-CN"/>
                    </w:rPr>
                    <w:t>通过1根</w:t>
                  </w:r>
                  <w:r>
                    <w:rPr>
                      <w:rFonts w:hint="default" w:ascii="Times New Roman" w:hAnsi="Times New Roman" w:cs="Times New Roman"/>
                      <w:bCs/>
                      <w:color w:val="auto"/>
                      <w:kern w:val="2"/>
                      <w:sz w:val="21"/>
                      <w:szCs w:val="21"/>
                      <w:highlight w:val="none"/>
                      <w:lang w:val="en-US" w:eastAsia="zh-CN"/>
                    </w:rPr>
                    <w:t>25</w:t>
                  </w:r>
                  <w:r>
                    <w:rPr>
                      <w:rFonts w:hint="default" w:ascii="Times New Roman" w:hAnsi="Times New Roman" w:eastAsia="宋体" w:cs="Times New Roman"/>
                      <w:bCs/>
                      <w:color w:val="auto"/>
                      <w:kern w:val="2"/>
                      <w:sz w:val="21"/>
                      <w:szCs w:val="21"/>
                      <w:highlight w:val="none"/>
                      <w:lang w:val="en-US" w:eastAsia="zh-CN"/>
                    </w:rPr>
                    <w:t>m高排气筒达标排放</w:t>
                  </w:r>
                </w:p>
                <w:p w14:paraId="1E3AAC60">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p>
              </w:tc>
              <w:tc>
                <w:tcPr>
                  <w:tcW w:w="663" w:type="dxa"/>
                  <w:tcBorders>
                    <w:top w:val="single" w:color="auto" w:sz="4" w:space="0"/>
                    <w:left w:val="single" w:color="auto" w:sz="4" w:space="0"/>
                    <w:bottom w:val="single" w:color="auto" w:sz="4" w:space="0"/>
                    <w:right w:val="single" w:color="auto" w:sz="4" w:space="0"/>
                  </w:tcBorders>
                  <w:noWrap w:val="0"/>
                  <w:vAlign w:val="center"/>
                </w:tcPr>
                <w:p w14:paraId="3B5BF7C8">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48C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5C45CBC2">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3</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74530D1A">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强化工业企业噪声监管。关停、搬迁、治理城市建成区内的噪声污染严重企业，基本消除城区工业噪声扰民污染源。加强工业园区噪声污染防治，禁止在</w:t>
                  </w:r>
                  <w:r>
                    <w:rPr>
                      <w:rFonts w:hint="default" w:ascii="Times New Roman" w:hAnsi="Times New Roman" w:cs="Times New Roman"/>
                      <w:color w:val="auto"/>
                      <w:kern w:val="2"/>
                      <w:sz w:val="21"/>
                      <w:szCs w:val="21"/>
                      <w:highlight w:val="none"/>
                      <w:lang w:val="en-US" w:eastAsia="zh-CN" w:bidi="ar"/>
                    </w:rPr>
                    <w:t>1</w:t>
                  </w:r>
                  <w:r>
                    <w:rPr>
                      <w:rFonts w:hint="default" w:ascii="Times New Roman" w:hAnsi="Times New Roman" w:eastAsia="宋体" w:cs="Times New Roman"/>
                      <w:color w:val="auto"/>
                      <w:kern w:val="2"/>
                      <w:sz w:val="21"/>
                      <w:szCs w:val="21"/>
                      <w:highlight w:val="none"/>
                      <w:lang w:val="en-US" w:eastAsia="zh-CN" w:bidi="ar"/>
                    </w:rPr>
                    <w:t>类声环境功能区、严格限制在</w:t>
                  </w:r>
                  <w:r>
                    <w:rPr>
                      <w:rFonts w:hint="default" w:ascii="Times New Roman" w:hAnsi="Times New Roman" w:cs="Times New Roman"/>
                      <w:color w:val="auto"/>
                      <w:kern w:val="2"/>
                      <w:sz w:val="21"/>
                      <w:szCs w:val="21"/>
                      <w:highlight w:val="none"/>
                      <w:lang w:val="en-US" w:eastAsia="zh-CN" w:bidi="ar"/>
                    </w:rPr>
                    <w:t>2</w:t>
                  </w:r>
                  <w:r>
                    <w:rPr>
                      <w:rFonts w:hint="default" w:ascii="Times New Roman" w:hAnsi="Times New Roman" w:eastAsia="宋体" w:cs="Times New Roman"/>
                      <w:color w:val="auto"/>
                      <w:kern w:val="2"/>
                      <w:sz w:val="21"/>
                      <w:szCs w:val="21"/>
                      <w:highlight w:val="none"/>
                      <w:lang w:val="en-US" w:eastAsia="zh-CN" w:bidi="ar"/>
                    </w:rPr>
                    <w:t>类声环境功能区审批产生噪声污染的工业项目环评。严肃查处工业企业噪声排放超标扰民行为。</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FC8566B">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位于</w:t>
                  </w:r>
                  <w:r>
                    <w:rPr>
                      <w:rFonts w:hint="default" w:ascii="Times New Roman" w:hAnsi="Times New Roman" w:cs="Times New Roman"/>
                      <w:color w:val="auto"/>
                      <w:sz w:val="21"/>
                      <w:szCs w:val="21"/>
                      <w:highlight w:val="none"/>
                      <w:lang w:bidi="ar"/>
                    </w:rPr>
                    <w:t>西部（重庆）科学城九龙新城园区铜罐驿组团</w:t>
                  </w:r>
                  <w:r>
                    <w:rPr>
                      <w:rFonts w:hint="default" w:ascii="Times New Roman" w:hAnsi="Times New Roman" w:eastAsia="宋体" w:cs="Times New Roman"/>
                      <w:color w:val="auto"/>
                      <w:kern w:val="2"/>
                      <w:sz w:val="21"/>
                      <w:szCs w:val="21"/>
                      <w:highlight w:val="none"/>
                      <w:lang w:val="en-US" w:eastAsia="zh-CN" w:bidi="ar"/>
                    </w:rPr>
                    <w:t>，位于</w:t>
                  </w:r>
                  <w:r>
                    <w:rPr>
                      <w:rFonts w:hint="default" w:ascii="Times New Roman" w:hAnsi="Times New Roman"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类声环境功能区，项目</w:t>
                  </w:r>
                  <w:r>
                    <w:rPr>
                      <w:rFonts w:hint="default" w:ascii="Times New Roman" w:hAnsi="Times New Roman" w:cs="Times New Roman"/>
                      <w:color w:val="auto"/>
                      <w:kern w:val="2"/>
                      <w:sz w:val="21"/>
                      <w:szCs w:val="21"/>
                      <w:highlight w:val="none"/>
                      <w:lang w:val="en-US" w:eastAsia="zh-CN" w:bidi="ar"/>
                    </w:rPr>
                    <w:t>厂界外50m</w:t>
                  </w:r>
                  <w:r>
                    <w:rPr>
                      <w:rFonts w:hint="default" w:ascii="Times New Roman" w:hAnsi="Times New Roman" w:eastAsia="宋体" w:cs="Times New Roman"/>
                      <w:color w:val="auto"/>
                      <w:kern w:val="2"/>
                      <w:sz w:val="21"/>
                      <w:szCs w:val="21"/>
                      <w:highlight w:val="none"/>
                      <w:lang w:val="en-US" w:eastAsia="zh-CN" w:bidi="ar"/>
                    </w:rPr>
                    <w:t>范围内存在少量散居住户，根据噪声预测结果，厂区周边声环境保护目标噪声达标。</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546E5FED">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847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70B85E6A">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4</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4B02451E">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加强环境风险评估。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3B6C6A2">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实施后严格落实企业突发环境事件风险评估制度。</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5FFEE04A">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7284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1B19D237">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5</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412248CE">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鼓励资源化综合利用危险废物。持续开展打击危险废物环境违法犯罪专项行动，严肃查处违规堆存、随意倾倒、非法填埋、非法转移、非法买卖危险废物等违法行为。加强危险废物处置场、危险废物经营单位和自行利用处置设施的环境监管，确保规范运行。探索建立危险废物</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一物一码</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管理体系，加快危险废物信息化管理系统建设，实现从产生到处置全过程信息追踪。</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2F87635">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现有工程</w:t>
                  </w:r>
                  <w:r>
                    <w:rPr>
                      <w:rFonts w:hint="default" w:ascii="Times New Roman" w:hAnsi="Times New Roman" w:eastAsia="宋体" w:cs="Times New Roman"/>
                      <w:color w:val="auto"/>
                      <w:kern w:val="2"/>
                      <w:sz w:val="21"/>
                      <w:szCs w:val="21"/>
                      <w:highlight w:val="none"/>
                      <w:lang w:val="en-US" w:eastAsia="zh-CN" w:bidi="ar"/>
                    </w:rPr>
                    <w:t>危险废物贮存点严格落实《危险废物贮存污染控制标准》（</w:t>
                  </w:r>
                  <w:r>
                    <w:rPr>
                      <w:rFonts w:hint="default" w:ascii="Times New Roman" w:hAnsi="Times New Roman" w:cs="Times New Roman"/>
                      <w:color w:val="auto"/>
                      <w:kern w:val="2"/>
                      <w:sz w:val="21"/>
                      <w:szCs w:val="21"/>
                      <w:highlight w:val="none"/>
                      <w:lang w:val="en-US" w:eastAsia="zh-CN" w:bidi="ar"/>
                    </w:rPr>
                    <w:t>GB18597-2023</w:t>
                  </w:r>
                  <w:r>
                    <w:rPr>
                      <w:rFonts w:hint="default" w:ascii="Times New Roman" w:hAnsi="Times New Roman" w:eastAsia="宋体" w:cs="Times New Roman"/>
                      <w:color w:val="auto"/>
                      <w:kern w:val="2"/>
                      <w:sz w:val="21"/>
                      <w:szCs w:val="21"/>
                      <w:highlight w:val="none"/>
                      <w:lang w:val="en-US" w:eastAsia="zh-CN" w:bidi="ar"/>
                    </w:rPr>
                    <w:t>），危险废物的转移按照《危险废物转移管理办法》进行，定期由有资质的废物处理单位处置。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072697C3">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261E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02231737">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6</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3D976145">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禁止在长江干支流岸线</w:t>
                  </w:r>
                  <w:r>
                    <w:rPr>
                      <w:rFonts w:hint="default" w:ascii="Times New Roman" w:hAnsi="Times New Roman" w:cs="Times New Roman"/>
                      <w:color w:val="auto"/>
                      <w:kern w:val="2"/>
                      <w:sz w:val="21"/>
                      <w:szCs w:val="21"/>
                      <w:highlight w:val="none"/>
                      <w:lang w:val="en-US" w:eastAsia="zh-CN" w:bidi="ar"/>
                    </w:rPr>
                    <w:t>1</w:t>
                  </w:r>
                  <w:r>
                    <w:rPr>
                      <w:rFonts w:hint="default" w:ascii="Times New Roman" w:hAnsi="Times New Roman" w:eastAsia="宋体" w:cs="Times New Roman"/>
                      <w:color w:val="auto"/>
                      <w:kern w:val="2"/>
                      <w:sz w:val="21"/>
                      <w:szCs w:val="21"/>
                      <w:highlight w:val="none"/>
                      <w:lang w:val="en-US" w:eastAsia="zh-CN" w:bidi="ar"/>
                    </w:rPr>
                    <w:t>公里范围内新建、扩建化工园区和化工项目。鼓励现有工业项目、化工项目分别搬入工业集聚区、化工产业集聚区。</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9D93A9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不属于化工园区和化工项目。</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00F4FE5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r w14:paraId="58EA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38CFCE26">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7</w:t>
                  </w:r>
                </w:p>
              </w:tc>
              <w:tc>
                <w:tcPr>
                  <w:tcW w:w="5224" w:type="dxa"/>
                  <w:tcBorders>
                    <w:top w:val="single" w:color="auto" w:sz="4" w:space="0"/>
                    <w:left w:val="single" w:color="auto" w:sz="4" w:space="0"/>
                    <w:bottom w:val="single" w:color="auto" w:sz="4" w:space="0"/>
                    <w:right w:val="single" w:color="auto" w:sz="4" w:space="0"/>
                  </w:tcBorders>
                  <w:noWrap w:val="0"/>
                  <w:vAlign w:val="center"/>
                </w:tcPr>
                <w:p w14:paraId="1909362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持续推进重金属环境风险防控。挖掘减排潜力，推进实施一批重金属减排项目。严格执行建设项目重金属排放</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等量替换</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或</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减量替换</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制度，无排放指标替换来源的项目不予审批。全面深化涉铅、镉、铬等重金属排放行业污染排查整治，对纳入整治清单的企业实施限期整改。继续对全市有色金属矿采选业、有色金属冶炼业、铅蓄电池制造业、皮革及其制品业、化学原料及化学制品制造业、电镀行业等重点行业执行重点重金属污染物特别排放限值，督促企业达标排放。</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E878CD3">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本项目</w:t>
                  </w:r>
                  <w:r>
                    <w:rPr>
                      <w:rFonts w:hint="default" w:ascii="Times New Roman" w:hAnsi="Times New Roman" w:eastAsia="宋体" w:cs="Times New Roman"/>
                      <w:color w:val="auto"/>
                      <w:kern w:val="2"/>
                      <w:sz w:val="21"/>
                      <w:szCs w:val="21"/>
                      <w:highlight w:val="none"/>
                      <w:lang w:val="en-US" w:eastAsia="zh-CN" w:bidi="ar"/>
                    </w:rPr>
                    <w:t>不涉及重金属</w:t>
                  </w:r>
                </w:p>
                <w:p w14:paraId="28EADC05">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排放。</w:t>
                  </w:r>
                </w:p>
              </w:tc>
              <w:tc>
                <w:tcPr>
                  <w:tcW w:w="663" w:type="dxa"/>
                  <w:tcBorders>
                    <w:top w:val="single" w:color="auto" w:sz="4" w:space="0"/>
                    <w:left w:val="single" w:color="auto" w:sz="4" w:space="0"/>
                    <w:bottom w:val="single" w:color="auto" w:sz="4" w:space="0"/>
                    <w:right w:val="single" w:color="auto" w:sz="4" w:space="0"/>
                  </w:tcBorders>
                  <w:noWrap w:val="0"/>
                  <w:vAlign w:val="center"/>
                </w:tcPr>
                <w:p w14:paraId="5AB4FE38">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符合</w:t>
                  </w:r>
                </w:p>
              </w:tc>
            </w:tr>
          </w:tbl>
          <w:p w14:paraId="1E46AF40">
            <w:pPr>
              <w:pStyle w:val="43"/>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由上表可知，</w:t>
            </w: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符合《重庆市生态环境保护“十四五”规划（2021-2025年）》的相关要求。</w:t>
            </w:r>
          </w:p>
          <w:p w14:paraId="2DDEA337">
            <w:pPr>
              <w:keepNext w:val="0"/>
              <w:keepLines w:val="0"/>
              <w:pageBreakBefore w:val="0"/>
              <w:kinsoku/>
              <w:wordWrap/>
              <w:overflowPunct w:val="0"/>
              <w:topLinePunct/>
              <w:autoSpaceDE/>
              <w:autoSpaceDN/>
              <w:bidi w:val="0"/>
              <w:adjustRightInd/>
              <w:snapToGrid/>
              <w:spacing w:line="460" w:lineRule="exact"/>
              <w:jc w:val="both"/>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1.1</w:t>
            </w:r>
            <w:r>
              <w:rPr>
                <w:rFonts w:hint="eastAsia" w:cs="Times New Roman"/>
                <w:b/>
                <w:bCs/>
                <w:color w:val="auto"/>
                <w:kern w:val="0"/>
                <w:sz w:val="24"/>
                <w:szCs w:val="24"/>
                <w:highlight w:val="none"/>
                <w:lang w:val="en-US" w:eastAsia="zh-CN" w:bidi="ar-SA"/>
              </w:rPr>
              <w:t>1</w:t>
            </w:r>
            <w:r>
              <w:rPr>
                <w:rFonts w:hint="default" w:ascii="Times New Roman" w:hAnsi="Times New Roman" w:eastAsia="宋体" w:cs="Times New Roman"/>
                <w:b/>
                <w:bCs/>
                <w:color w:val="auto"/>
                <w:kern w:val="0"/>
                <w:sz w:val="24"/>
                <w:szCs w:val="24"/>
                <w:highlight w:val="none"/>
                <w:lang w:val="en-US" w:eastAsia="zh-CN" w:bidi="ar-SA"/>
              </w:rPr>
              <w:t>与《食品安全国家标准食品生产通用卫生规范》（GB14881-2013）符合性分析</w:t>
            </w:r>
          </w:p>
          <w:p w14:paraId="44ECC711">
            <w:pPr>
              <w:keepNext w:val="0"/>
              <w:keepLines w:val="0"/>
              <w:pageBreakBefore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本项目</w:t>
            </w:r>
            <w:r>
              <w:rPr>
                <w:rFonts w:hint="default" w:ascii="Times New Roman" w:hAnsi="Times New Roman" w:eastAsia="宋体" w:cs="Times New Roman"/>
                <w:b w:val="0"/>
                <w:bCs w:val="0"/>
                <w:color w:val="auto"/>
                <w:kern w:val="0"/>
                <w:sz w:val="24"/>
                <w:szCs w:val="24"/>
                <w:highlight w:val="none"/>
                <w:lang w:val="en-US" w:eastAsia="zh-CN" w:bidi="ar-SA"/>
              </w:rPr>
              <w:t>与《食品安全国家标准食品生产通用卫生规范》（GB14881-2013）符合性分析见下表。</w:t>
            </w:r>
          </w:p>
          <w:p w14:paraId="38F60160">
            <w:pPr>
              <w:keepNext w:val="0"/>
              <w:keepLines w:val="0"/>
              <w:pageBreakBefore w:val="0"/>
              <w:kinsoku/>
              <w:wordWrap/>
              <w:overflowPunct w:val="0"/>
              <w:topLinePunct/>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2"/>
                <w:szCs w:val="22"/>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表1-9</w:t>
            </w:r>
            <w:r>
              <w:rPr>
                <w:rFonts w:hint="default" w:ascii="Times New Roman" w:hAnsi="Times New Roman" w:eastAsia="宋体" w:cs="Times New Roman"/>
                <w:b/>
                <w:bCs/>
                <w:color w:val="auto"/>
                <w:spacing w:val="-6"/>
                <w:kern w:val="0"/>
                <w:sz w:val="24"/>
                <w:szCs w:val="24"/>
                <w:highlight w:val="none"/>
                <w:lang w:val="en-US" w:eastAsia="zh-CN" w:bidi="ar-SA"/>
              </w:rPr>
              <w:t>与《食品安全国家标准食品生产</w:t>
            </w:r>
            <w:r>
              <w:rPr>
                <w:rFonts w:hint="default" w:ascii="Times New Roman" w:hAnsi="Times New Roman" w:eastAsia="宋体" w:cs="Times New Roman"/>
                <w:b/>
                <w:bCs/>
                <w:color w:val="auto"/>
                <w:spacing w:val="-6"/>
                <w:kern w:val="0"/>
                <w:sz w:val="22"/>
                <w:szCs w:val="22"/>
                <w:highlight w:val="none"/>
                <w:lang w:val="en-US" w:eastAsia="zh-CN" w:bidi="ar-SA"/>
              </w:rPr>
              <w:t>通用卫生规范》（GB14881-2013）符合性分析</w:t>
            </w:r>
          </w:p>
          <w:tbl>
            <w:tblPr>
              <w:tblStyle w:val="1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3361"/>
              <w:gridCol w:w="2759"/>
              <w:gridCol w:w="1154"/>
            </w:tblGrid>
            <w:tr w14:paraId="0990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3" w:type="dxa"/>
                  <w:gridSpan w:val="2"/>
                  <w:noWrap w:val="0"/>
                  <w:vAlign w:val="center"/>
                </w:tcPr>
                <w:p w14:paraId="10DC3D0E">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《规范》相关要求</w:t>
                  </w:r>
                </w:p>
              </w:tc>
              <w:tc>
                <w:tcPr>
                  <w:tcW w:w="2759" w:type="dxa"/>
                  <w:noWrap w:val="0"/>
                  <w:vAlign w:val="center"/>
                </w:tcPr>
                <w:p w14:paraId="266CFEB8">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情况</w:t>
                  </w:r>
                </w:p>
              </w:tc>
              <w:tc>
                <w:tcPr>
                  <w:tcW w:w="1154" w:type="dxa"/>
                  <w:noWrap w:val="0"/>
                  <w:vAlign w:val="center"/>
                </w:tcPr>
                <w:p w14:paraId="779D5E7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符合性</w:t>
                  </w:r>
                </w:p>
              </w:tc>
            </w:tr>
            <w:tr w14:paraId="288F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noWrap w:val="0"/>
                  <w:vAlign w:val="center"/>
                </w:tcPr>
                <w:p w14:paraId="3F83798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选址</w:t>
                  </w:r>
                </w:p>
              </w:tc>
              <w:tc>
                <w:tcPr>
                  <w:tcW w:w="3361" w:type="dxa"/>
                  <w:noWrap w:val="0"/>
                  <w:vAlign w:val="center"/>
                </w:tcPr>
                <w:p w14:paraId="63ABAF81">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厂区不应选择对食品有显著污染的区域；不应选择有害废弃物以及粉尘、有害气体、放射性物质和其他扩散性污染源不能有效清除的地址；不宜选择易发生洪涝灾害的地区，难以避开时应设计必要的防范措施；厂区周围不宜有虫害大量滋生的潜在场所，难以避开时应设计必要的防范措施</w:t>
                  </w:r>
                </w:p>
              </w:tc>
              <w:tc>
                <w:tcPr>
                  <w:tcW w:w="2759" w:type="dxa"/>
                  <w:noWrap w:val="0"/>
                  <w:vAlign w:val="center"/>
                </w:tcPr>
                <w:p w14:paraId="0291419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位于</w:t>
                  </w:r>
                  <w:r>
                    <w:rPr>
                      <w:rFonts w:hint="default" w:ascii="Times New Roman" w:hAnsi="Times New Roman" w:cs="Times New Roman"/>
                      <w:color w:val="auto"/>
                      <w:sz w:val="21"/>
                      <w:szCs w:val="21"/>
                      <w:highlight w:val="none"/>
                      <w:lang w:bidi="ar"/>
                    </w:rPr>
                    <w:t>西部（重庆）科学城九龙新城园区铜罐驿组团</w:t>
                  </w:r>
                  <w:r>
                    <w:rPr>
                      <w:rFonts w:hint="default" w:ascii="Times New Roman" w:hAnsi="Times New Roman" w:eastAsia="宋体" w:cs="Times New Roman"/>
                      <w:b w:val="0"/>
                      <w:bCs w:val="0"/>
                      <w:color w:val="auto"/>
                      <w:kern w:val="0"/>
                      <w:sz w:val="21"/>
                      <w:szCs w:val="21"/>
                      <w:highlight w:val="none"/>
                      <w:vertAlign w:val="baseline"/>
                      <w:lang w:val="en-US" w:eastAsia="zh-CN" w:bidi="ar-SA"/>
                    </w:rPr>
                    <w:t>，以农副食品加工业为主，不属于对食品有显著污染的区域，不属于有害废弃物以及粉尘、有害气体、放射性物质和其他扩散性污染源不能有效清除的地区，不属于易发生洪涝灾害的地区，厂区周围无虫害大量滋生的潜在区域。</w:t>
                  </w:r>
                </w:p>
              </w:tc>
              <w:tc>
                <w:tcPr>
                  <w:tcW w:w="1154" w:type="dxa"/>
                  <w:noWrap w:val="0"/>
                  <w:vAlign w:val="center"/>
                </w:tcPr>
                <w:p w14:paraId="354BC1EB">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符合</w:t>
                  </w:r>
                </w:p>
              </w:tc>
            </w:tr>
            <w:tr w14:paraId="2C50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noWrap w:val="0"/>
                  <w:vAlign w:val="center"/>
                </w:tcPr>
                <w:p w14:paraId="3E13544B">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厂区环境</w:t>
                  </w:r>
                </w:p>
              </w:tc>
              <w:tc>
                <w:tcPr>
                  <w:tcW w:w="3361" w:type="dxa"/>
                  <w:noWrap w:val="0"/>
                  <w:vAlign w:val="center"/>
                </w:tcPr>
                <w:p w14:paraId="43C47D7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应考虑环境给食品生产带来的潜在污染风险，并采取适当的措施将其降至最低水平；合理布局，各功能区域划分明显，并有适当的分离或分隔措施，防止交叉污染；厂区内的道路应铺设混凝土、沥青或者其他硬质材料；空地应采取必要措施，如铺设水泥、地砖或铺设草坪等方式，保持环境清洁，防止正常天气下扬尘和积水等现象的发生；厂区绿化应与生产车间保持适当距离，植被应定期维护，以防止虫害的滋生；宿舍、食堂、职工娱乐设施等生活区应与生产区保持适当距离或分隔</w:t>
                  </w:r>
                </w:p>
              </w:tc>
              <w:tc>
                <w:tcPr>
                  <w:tcW w:w="2759" w:type="dxa"/>
                  <w:noWrap w:val="0"/>
                  <w:vAlign w:val="center"/>
                </w:tcPr>
                <w:p w14:paraId="1D5E8BCE">
                  <w:pPr>
                    <w:keepNext w:val="0"/>
                    <w:keepLines w:val="0"/>
                    <w:pageBreakBefore w:val="0"/>
                    <w:widowControl w:val="0"/>
                    <w:kinsoku/>
                    <w:wordWrap/>
                    <w:overflowPunct w:val="0"/>
                    <w:topLinePunct/>
                    <w:autoSpaceDE/>
                    <w:autoSpaceDN/>
                    <w:bidi w:val="0"/>
                    <w:adjustRightInd/>
                    <w:snapToGrid/>
                    <w:spacing w:line="240" w:lineRule="auto"/>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位于</w:t>
                  </w:r>
                  <w:r>
                    <w:rPr>
                      <w:rFonts w:hint="default" w:ascii="Times New Roman" w:hAnsi="Times New Roman" w:cs="Times New Roman"/>
                      <w:color w:val="auto"/>
                      <w:sz w:val="21"/>
                      <w:szCs w:val="21"/>
                      <w:highlight w:val="none"/>
                      <w:lang w:bidi="ar"/>
                    </w:rPr>
                    <w:t>西部（重庆）科学城九龙新城园区铜罐驿组团</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b w:val="0"/>
                      <w:bCs w:val="0"/>
                      <w:color w:val="auto"/>
                      <w:kern w:val="0"/>
                      <w:sz w:val="21"/>
                      <w:szCs w:val="21"/>
                      <w:highlight w:val="none"/>
                      <w:vertAlign w:val="baseline"/>
                      <w:lang w:val="en-US" w:eastAsia="zh-CN" w:bidi="ar-SA"/>
                    </w:rPr>
                    <w:t>周边入驻企业排放污染水平较低，厂界之间区划明显，相互不制约；厂房内设置精炼车间、储罐区、原辅料堆放区等设施，各功能区划分明显，有适当的分隔措施；厂房内部地面全部铺设混凝土水泥，厂界外铺设有草坪，道路全部硬化，排水通道设置合理；厂区设倒班楼和食堂，均远离生产区。</w:t>
                  </w:r>
                </w:p>
              </w:tc>
              <w:tc>
                <w:tcPr>
                  <w:tcW w:w="1154" w:type="dxa"/>
                  <w:noWrap w:val="0"/>
                  <w:vAlign w:val="center"/>
                </w:tcPr>
                <w:p w14:paraId="36190AE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符合</w:t>
                  </w:r>
                </w:p>
              </w:tc>
            </w:tr>
            <w:tr w14:paraId="3F4E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noWrap w:val="0"/>
                  <w:vAlign w:val="center"/>
                </w:tcPr>
                <w:p w14:paraId="3AED452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食品原料、食品添加剂和食品相关产品</w:t>
                  </w:r>
                </w:p>
              </w:tc>
              <w:tc>
                <w:tcPr>
                  <w:tcW w:w="3361" w:type="dxa"/>
                  <w:noWrap w:val="0"/>
                  <w:vAlign w:val="center"/>
                </w:tcPr>
                <w:p w14:paraId="3DC2F935">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建立食品原料、食品添加剂和食品相关产品的采购、验收、运输和贮存管理制度，确保所使用的食品原料、食品添加剂和食品相关产品符合国家有关要求，不得将任何危害人体健康和生命安全的物质添加到食品中</w:t>
                  </w:r>
                </w:p>
              </w:tc>
              <w:tc>
                <w:tcPr>
                  <w:tcW w:w="2759" w:type="dxa"/>
                  <w:noWrap w:val="0"/>
                  <w:vAlign w:val="center"/>
                </w:tcPr>
                <w:p w14:paraId="5301A0A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选用具有许可证和产品合格证的食品原料、相关产品，经验收合格后使用，并由专人管理</w:t>
                  </w:r>
                </w:p>
              </w:tc>
              <w:tc>
                <w:tcPr>
                  <w:tcW w:w="1154" w:type="dxa"/>
                  <w:noWrap w:val="0"/>
                  <w:vAlign w:val="center"/>
                </w:tcPr>
                <w:p w14:paraId="7D97936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符合</w:t>
                  </w:r>
                </w:p>
              </w:tc>
            </w:tr>
            <w:tr w14:paraId="2BBC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noWrap w:val="0"/>
                  <w:vAlign w:val="center"/>
                </w:tcPr>
                <w:p w14:paraId="473F80E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清洁和消毒</w:t>
                  </w:r>
                </w:p>
              </w:tc>
              <w:tc>
                <w:tcPr>
                  <w:tcW w:w="3361" w:type="dxa"/>
                  <w:noWrap w:val="0"/>
                  <w:vAlign w:val="center"/>
                </w:tcPr>
                <w:p w14:paraId="7ED15051">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应根据原料、产品和工艺的特点，针对生产设备和环境制定有效的清洁消毒制度，降低微生物污染的风险，清洁消毒制度应包括以下内容：清洁消毒的区域、设备或器具名称；清洁消毒跟踪的职责；使用的洗涤、消毒剂；清洁消毒方法和频率；清洁消毒效果的验证及不符合的处理；清洁消毒工作及监控记录。确保实施清洁消毒制度，如实记录，及时验证消毒效果，发现问题及时纠正</w:t>
                  </w:r>
                </w:p>
              </w:tc>
              <w:tc>
                <w:tcPr>
                  <w:tcW w:w="2759" w:type="dxa"/>
                  <w:noWrap w:val="0"/>
                  <w:vAlign w:val="center"/>
                </w:tcPr>
                <w:p w14:paraId="713C9FE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为</w:t>
                  </w:r>
                  <w:r>
                    <w:rPr>
                      <w:rFonts w:hint="default" w:ascii="Times New Roman" w:hAnsi="Times New Roman" w:cs="Times New Roman"/>
                      <w:b w:val="0"/>
                      <w:bCs w:val="0"/>
                      <w:color w:val="auto"/>
                      <w:kern w:val="0"/>
                      <w:sz w:val="21"/>
                      <w:szCs w:val="21"/>
                      <w:highlight w:val="none"/>
                      <w:vertAlign w:val="baseline"/>
                      <w:lang w:val="en-US" w:eastAsia="zh-CN" w:bidi="ar-SA"/>
                    </w:rPr>
                    <w:t>食用</w:t>
                  </w:r>
                  <w:r>
                    <w:rPr>
                      <w:rFonts w:hint="default" w:ascii="Times New Roman" w:hAnsi="Times New Roman" w:eastAsia="宋体" w:cs="Times New Roman"/>
                      <w:b w:val="0"/>
                      <w:bCs w:val="0"/>
                      <w:color w:val="auto"/>
                      <w:kern w:val="0"/>
                      <w:sz w:val="21"/>
                      <w:szCs w:val="21"/>
                      <w:highlight w:val="none"/>
                      <w:vertAlign w:val="baseline"/>
                      <w:lang w:val="en-US" w:eastAsia="zh-CN" w:bidi="ar-SA"/>
                    </w:rPr>
                    <w:t>植物油加工，外购毛油作为生产原料，通过过滤、加热、酸化、</w:t>
                  </w:r>
                  <w:r>
                    <w:rPr>
                      <w:rFonts w:hint="default" w:ascii="Times New Roman" w:hAnsi="Times New Roman" w:cs="Times New Roman"/>
                      <w:b w:val="0"/>
                      <w:bCs w:val="0"/>
                      <w:color w:val="auto"/>
                      <w:kern w:val="0"/>
                      <w:sz w:val="21"/>
                      <w:szCs w:val="21"/>
                      <w:highlight w:val="none"/>
                      <w:vertAlign w:val="baseline"/>
                      <w:lang w:val="en-US" w:eastAsia="zh-CN" w:bidi="ar-SA"/>
                    </w:rPr>
                    <w:t>中和</w:t>
                  </w:r>
                  <w:r>
                    <w:rPr>
                      <w:rFonts w:hint="default" w:ascii="Times New Roman" w:hAnsi="Times New Roman" w:eastAsia="宋体" w:cs="Times New Roman"/>
                      <w:b w:val="0"/>
                      <w:bCs w:val="0"/>
                      <w:color w:val="auto"/>
                      <w:kern w:val="0"/>
                      <w:sz w:val="21"/>
                      <w:szCs w:val="21"/>
                      <w:highlight w:val="none"/>
                      <w:vertAlign w:val="baseline"/>
                      <w:lang w:val="en-US" w:eastAsia="zh-CN" w:bidi="ar-SA"/>
                    </w:rPr>
                    <w:t>、水洗、脱色、脱臭、脱蜡以及冷却后得到产品，针对生产环境制定有效的清洁制度。</w:t>
                  </w:r>
                </w:p>
              </w:tc>
              <w:tc>
                <w:tcPr>
                  <w:tcW w:w="1154" w:type="dxa"/>
                  <w:noWrap w:val="0"/>
                  <w:vAlign w:val="center"/>
                </w:tcPr>
                <w:p w14:paraId="0A429D01">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符合</w:t>
                  </w:r>
                </w:p>
              </w:tc>
            </w:tr>
          </w:tbl>
          <w:p w14:paraId="46F1007A">
            <w:pPr>
              <w:pStyle w:val="43"/>
              <w:ind w:left="0" w:leftChars="0"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由上表可知，</w:t>
            </w:r>
            <w:r>
              <w:rPr>
                <w:rFonts w:hint="eastAsia" w:cs="Times New Roman"/>
                <w:color w:val="auto"/>
                <w:sz w:val="24"/>
                <w:szCs w:val="22"/>
                <w:highlight w:val="none"/>
                <w:lang w:val="en-US" w:eastAsia="zh-CN"/>
              </w:rPr>
              <w:t>本项目</w:t>
            </w:r>
            <w:r>
              <w:rPr>
                <w:rFonts w:hint="default" w:ascii="Times New Roman" w:hAnsi="Times New Roman" w:cs="Times New Roman"/>
                <w:color w:val="auto"/>
                <w:sz w:val="24"/>
                <w:szCs w:val="22"/>
                <w:highlight w:val="none"/>
              </w:rPr>
              <w:t>符</w:t>
            </w:r>
            <w:r>
              <w:rPr>
                <w:rFonts w:hint="default" w:ascii="Times New Roman" w:hAnsi="Times New Roman" w:cs="Times New Roman"/>
                <w:b w:val="0"/>
                <w:bCs/>
                <w:color w:val="auto"/>
                <w:sz w:val="24"/>
                <w:szCs w:val="22"/>
                <w:highlight w:val="none"/>
              </w:rPr>
              <w:t>合</w:t>
            </w:r>
            <w:r>
              <w:rPr>
                <w:rFonts w:hint="default" w:ascii="Times New Roman" w:hAnsi="Times New Roman" w:eastAsia="宋体" w:cs="Times New Roman"/>
                <w:b w:val="0"/>
                <w:bCs/>
                <w:color w:val="auto"/>
                <w:kern w:val="0"/>
                <w:sz w:val="24"/>
                <w:szCs w:val="24"/>
                <w:highlight w:val="none"/>
                <w:lang w:val="en-US" w:eastAsia="zh-CN" w:bidi="ar-SA"/>
              </w:rPr>
              <w:t>《食品安全国家标准食品生产通用卫生规范》（GB14881-2013）</w:t>
            </w:r>
            <w:r>
              <w:rPr>
                <w:rFonts w:hint="default" w:ascii="Times New Roman" w:hAnsi="Times New Roman" w:cs="Times New Roman"/>
                <w:b w:val="0"/>
                <w:bCs/>
                <w:color w:val="auto"/>
                <w:sz w:val="24"/>
                <w:szCs w:val="22"/>
                <w:highlight w:val="none"/>
              </w:rPr>
              <w:t>的相关要求。</w:t>
            </w:r>
          </w:p>
          <w:p w14:paraId="5F2E5DCA">
            <w:pPr>
              <w:keepNext w:val="0"/>
              <w:keepLines w:val="0"/>
              <w:pageBreakBefore w:val="0"/>
              <w:kinsoku/>
              <w:wordWrap/>
              <w:overflowPunct w:val="0"/>
              <w:topLinePunct/>
              <w:autoSpaceDE/>
              <w:autoSpaceDN/>
              <w:bidi w:val="0"/>
              <w:adjustRightInd/>
              <w:snapToGrid/>
              <w:spacing w:line="460" w:lineRule="exact"/>
              <w:jc w:val="both"/>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1.1</w:t>
            </w:r>
            <w:r>
              <w:rPr>
                <w:rFonts w:hint="eastAsia" w:cs="Times New Roman"/>
                <w:b/>
                <w:bCs/>
                <w:color w:val="auto"/>
                <w:kern w:val="0"/>
                <w:sz w:val="24"/>
                <w:szCs w:val="24"/>
                <w:highlight w:val="none"/>
                <w:lang w:val="en-US" w:eastAsia="zh-CN" w:bidi="ar-SA"/>
              </w:rPr>
              <w:t>2</w:t>
            </w:r>
            <w:r>
              <w:rPr>
                <w:rFonts w:hint="default" w:ascii="Times New Roman" w:hAnsi="Times New Roman" w:eastAsia="宋体" w:cs="Times New Roman"/>
                <w:b/>
                <w:bCs/>
                <w:color w:val="auto"/>
                <w:kern w:val="0"/>
                <w:sz w:val="24"/>
                <w:szCs w:val="24"/>
                <w:highlight w:val="none"/>
                <w:lang w:val="en-US" w:eastAsia="zh-CN" w:bidi="ar-SA"/>
              </w:rPr>
              <w:t>与生态环境分区管控符合性分析</w:t>
            </w:r>
          </w:p>
          <w:p w14:paraId="06D8351E">
            <w:pPr>
              <w:pStyle w:val="43"/>
              <w:rPr>
                <w:rFonts w:hint="default" w:ascii="Times New Roman" w:hAnsi="Times New Roman" w:cs="Times New Roman"/>
                <w:color w:val="auto"/>
                <w:sz w:val="24"/>
                <w:szCs w:val="22"/>
                <w:highlight w:val="none"/>
              </w:rPr>
            </w:pPr>
            <w:r>
              <w:rPr>
                <w:rFonts w:hint="eastAsia" w:cs="Times New Roman"/>
                <w:color w:val="auto"/>
                <w:sz w:val="24"/>
                <w:szCs w:val="22"/>
                <w:highlight w:val="none"/>
                <w:lang w:val="en-US" w:eastAsia="zh-CN"/>
              </w:rPr>
              <w:t>本项目</w:t>
            </w:r>
            <w:r>
              <w:rPr>
                <w:rFonts w:hint="default" w:ascii="Times New Roman" w:hAnsi="Times New Roman" w:cs="Times New Roman"/>
                <w:color w:val="auto"/>
                <w:sz w:val="24"/>
                <w:szCs w:val="22"/>
                <w:highlight w:val="none"/>
                <w:lang w:val="en-US" w:eastAsia="zh-CN"/>
              </w:rPr>
              <w:t>位于西部（重庆）科学城九龙新城园区铜罐驿组团，</w:t>
            </w:r>
            <w:r>
              <w:rPr>
                <w:rFonts w:hint="eastAsia" w:cs="Times New Roman"/>
                <w:color w:val="auto"/>
                <w:sz w:val="24"/>
                <w:szCs w:val="22"/>
                <w:highlight w:val="none"/>
                <w:lang w:val="en-US" w:eastAsia="zh-CN"/>
              </w:rPr>
              <w:t>根据</w:t>
            </w:r>
            <w:r>
              <w:rPr>
                <w:rFonts w:hint="eastAsia" w:ascii="Times New Roman" w:hAnsi="Times New Roman" w:eastAsia="宋体" w:cs="Times New Roman"/>
                <w:b w:val="0"/>
                <w:bCs/>
                <w:color w:val="auto"/>
                <w:sz w:val="24"/>
                <w:szCs w:val="24"/>
                <w:highlight w:val="none"/>
                <w:lang w:val="en-US" w:eastAsia="zh-CN"/>
              </w:rPr>
              <w:t>《重庆市生态环境局关于印发&lt;重庆市“三线一单”生态环境分区管控调整方案（2023年）&gt;的通知》（渝环规〔2024〕2号）、《重庆市</w:t>
            </w:r>
            <w:r>
              <w:rPr>
                <w:rFonts w:hint="eastAsia" w:eastAsia="宋体" w:cs="Times New Roman"/>
                <w:b w:val="0"/>
                <w:bCs/>
                <w:color w:val="auto"/>
                <w:sz w:val="24"/>
                <w:szCs w:val="24"/>
                <w:highlight w:val="none"/>
                <w:lang w:val="en-US" w:eastAsia="zh-CN"/>
              </w:rPr>
              <w:t>九龙坡区</w:t>
            </w:r>
            <w:r>
              <w:rPr>
                <w:rFonts w:hint="eastAsia" w:ascii="Times New Roman" w:hAnsi="Times New Roman" w:eastAsia="宋体" w:cs="Times New Roman"/>
                <w:b w:val="0"/>
                <w:bCs/>
                <w:color w:val="auto"/>
                <w:sz w:val="24"/>
                <w:szCs w:val="24"/>
                <w:highlight w:val="none"/>
                <w:lang w:val="en-US" w:eastAsia="zh-CN"/>
              </w:rPr>
              <w:t>人民政府关于印发&lt;重庆市</w:t>
            </w:r>
            <w:r>
              <w:rPr>
                <w:rFonts w:hint="eastAsia" w:eastAsia="宋体" w:cs="Times New Roman"/>
                <w:b w:val="0"/>
                <w:bCs/>
                <w:color w:val="auto"/>
                <w:sz w:val="24"/>
                <w:szCs w:val="24"/>
                <w:highlight w:val="none"/>
                <w:lang w:val="en-US" w:eastAsia="zh-CN"/>
              </w:rPr>
              <w:t>九龙坡区</w:t>
            </w:r>
            <w:r>
              <w:rPr>
                <w:rFonts w:hint="eastAsia" w:ascii="Times New Roman" w:hAnsi="Times New Roman" w:eastAsia="宋体" w:cs="Times New Roman"/>
                <w:b w:val="0"/>
                <w:bCs/>
                <w:color w:val="auto"/>
                <w:sz w:val="24"/>
                <w:szCs w:val="24"/>
                <w:highlight w:val="none"/>
                <w:lang w:val="en-US" w:eastAsia="zh-CN"/>
              </w:rPr>
              <w:t>“三线一单”生态环境分区管控调整方案（2023年）&gt;的通知》(</w:t>
            </w:r>
            <w:r>
              <w:rPr>
                <w:rFonts w:hint="eastAsia" w:eastAsia="宋体" w:cs="Times New Roman"/>
                <w:b w:val="0"/>
                <w:bCs/>
                <w:color w:val="auto"/>
                <w:sz w:val="24"/>
                <w:szCs w:val="24"/>
                <w:highlight w:val="none"/>
                <w:lang w:val="en-US" w:eastAsia="zh-CN"/>
              </w:rPr>
              <w:t>九龙坡</w:t>
            </w:r>
            <w:r>
              <w:rPr>
                <w:rFonts w:hint="eastAsia" w:ascii="Times New Roman" w:hAnsi="Times New Roman" w:eastAsia="宋体" w:cs="Times New Roman"/>
                <w:b w:val="0"/>
                <w:bCs/>
                <w:color w:val="auto"/>
                <w:sz w:val="24"/>
                <w:szCs w:val="24"/>
                <w:highlight w:val="none"/>
                <w:lang w:val="en-US" w:eastAsia="zh-CN"/>
              </w:rPr>
              <w:t>府</w:t>
            </w:r>
            <w:r>
              <w:rPr>
                <w:rFonts w:hint="eastAsia" w:eastAsia="宋体" w:cs="Times New Roman"/>
                <w:b w:val="0"/>
                <w:bCs/>
                <w:color w:val="auto"/>
                <w:sz w:val="24"/>
                <w:szCs w:val="24"/>
                <w:highlight w:val="none"/>
                <w:lang w:val="en-US" w:eastAsia="zh-CN"/>
              </w:rPr>
              <w:t>办</w:t>
            </w:r>
            <w:r>
              <w:rPr>
                <w:rFonts w:hint="eastAsia" w:ascii="Times New Roman" w:hAnsi="Times New Roman" w:eastAsia="宋体" w:cs="Times New Roman"/>
                <w:b w:val="0"/>
                <w:bCs/>
                <w:color w:val="auto"/>
                <w:sz w:val="24"/>
                <w:szCs w:val="24"/>
                <w:highlight w:val="none"/>
                <w:lang w:val="en-US" w:eastAsia="zh-CN"/>
              </w:rPr>
              <w:t>发〔2024〕</w:t>
            </w:r>
            <w:r>
              <w:rPr>
                <w:rFonts w:hint="eastAsia" w:eastAsia="宋体" w:cs="Times New Roman"/>
                <w:b w:val="0"/>
                <w:bCs/>
                <w:color w:val="auto"/>
                <w:sz w:val="24"/>
                <w:szCs w:val="24"/>
                <w:highlight w:val="none"/>
                <w:lang w:val="en-US" w:eastAsia="zh-CN"/>
              </w:rPr>
              <w:t>51</w:t>
            </w:r>
            <w:r>
              <w:rPr>
                <w:rFonts w:hint="eastAsia" w:ascii="Times New Roman" w:hAnsi="Times New Roman" w:eastAsia="宋体" w:cs="Times New Roman"/>
                <w:b w:val="0"/>
                <w:bCs/>
                <w:color w:val="auto"/>
                <w:sz w:val="24"/>
                <w:szCs w:val="24"/>
                <w:highlight w:val="none"/>
                <w:lang w:val="en-US" w:eastAsia="zh-CN"/>
              </w:rPr>
              <w:t>号)</w:t>
            </w:r>
            <w:r>
              <w:rPr>
                <w:rFonts w:hint="eastAsia" w:eastAsia="宋体" w:cs="Times New Roman"/>
                <w:b w:val="0"/>
                <w:bCs/>
                <w:color w:val="auto"/>
                <w:sz w:val="24"/>
                <w:szCs w:val="24"/>
                <w:highlight w:val="none"/>
                <w:lang w:val="en-US" w:eastAsia="zh-CN"/>
              </w:rPr>
              <w:t>，并</w:t>
            </w:r>
            <w:r>
              <w:rPr>
                <w:rFonts w:hint="default" w:ascii="Times New Roman" w:hAnsi="Times New Roman" w:cs="Times New Roman"/>
                <w:color w:val="auto"/>
                <w:sz w:val="24"/>
                <w:szCs w:val="22"/>
                <w:highlight w:val="none"/>
              </w:rPr>
              <w:t>通过</w:t>
            </w:r>
            <w:r>
              <w:rPr>
                <w:rFonts w:hint="eastAsia" w:cs="Times New Roman"/>
                <w:color w:val="auto"/>
                <w:sz w:val="24"/>
                <w:szCs w:val="22"/>
                <w:highlight w:val="none"/>
                <w:lang w:val="en-US" w:eastAsia="zh-CN"/>
              </w:rPr>
              <w:t>与九龙坡区生态环境管控单元图叠图及</w:t>
            </w:r>
            <w:r>
              <w:rPr>
                <w:rFonts w:hint="default" w:ascii="Times New Roman" w:hAnsi="Times New Roman" w:cs="Times New Roman"/>
                <w:color w:val="auto"/>
                <w:sz w:val="24"/>
                <w:szCs w:val="22"/>
                <w:highlight w:val="none"/>
              </w:rPr>
              <w:t>重庆市</w:t>
            </w:r>
            <w:r>
              <w:rPr>
                <w:rFonts w:hint="default" w:ascii="Times New Roman" w:hAnsi="Times New Roman" w:cs="Times New Roman"/>
                <w:color w:val="auto"/>
                <w:sz w:val="24"/>
                <w:szCs w:val="22"/>
                <w:highlight w:val="none"/>
                <w:lang w:val="en-US" w:eastAsia="zh-CN"/>
              </w:rPr>
              <w:t>生态环境分区管控</w:t>
            </w:r>
            <w:r>
              <w:rPr>
                <w:rFonts w:hint="default" w:ascii="Times New Roman" w:hAnsi="Times New Roman" w:cs="Times New Roman"/>
                <w:color w:val="auto"/>
                <w:sz w:val="24"/>
                <w:szCs w:val="22"/>
                <w:highlight w:val="none"/>
              </w:rPr>
              <w:t>智检服务平台查询可知，</w:t>
            </w:r>
            <w:r>
              <w:rPr>
                <w:rFonts w:hint="eastAsia" w:ascii="Times New Roman" w:hAnsi="Times New Roman" w:cs="Times New Roman"/>
                <w:color w:val="auto"/>
                <w:sz w:val="24"/>
                <w:szCs w:val="22"/>
                <w:highlight w:val="none"/>
                <w:lang w:eastAsia="zh-CN"/>
              </w:rPr>
              <w:t>本项目</w:t>
            </w:r>
            <w:r>
              <w:rPr>
                <w:rFonts w:hint="eastAsia" w:cs="Times New Roman"/>
                <w:color w:val="auto"/>
                <w:sz w:val="24"/>
                <w:szCs w:val="22"/>
                <w:highlight w:val="none"/>
                <w:lang w:val="en-US" w:eastAsia="zh-CN"/>
              </w:rPr>
              <w:t>改建精炼车间</w:t>
            </w:r>
            <w:r>
              <w:rPr>
                <w:rFonts w:hint="eastAsia" w:ascii="Times New Roman" w:hAnsi="Times New Roman" w:cs="Times New Roman"/>
                <w:color w:val="auto"/>
                <w:sz w:val="24"/>
                <w:szCs w:val="22"/>
                <w:highlight w:val="none"/>
                <w:lang w:val="en-US" w:eastAsia="zh-CN"/>
              </w:rPr>
              <w:t>工程涉及</w:t>
            </w:r>
            <w:r>
              <w:rPr>
                <w:rFonts w:hint="default" w:ascii="Times New Roman" w:hAnsi="Times New Roman" w:cs="Times New Roman"/>
                <w:color w:val="auto"/>
                <w:sz w:val="24"/>
                <w:szCs w:val="22"/>
                <w:highlight w:val="none"/>
              </w:rPr>
              <w:t>九龙坡区工业城镇重点管控单元-九龙西城片区，编码：ZH50010720002（“</w:t>
            </w:r>
            <w:r>
              <w:rPr>
                <w:rFonts w:hint="default" w:ascii="Times New Roman" w:hAnsi="Times New Roman" w:cs="Times New Roman"/>
                <w:color w:val="auto"/>
                <w:sz w:val="24"/>
                <w:szCs w:val="22"/>
                <w:highlight w:val="none"/>
                <w:lang w:val="en-US" w:eastAsia="zh-CN"/>
              </w:rPr>
              <w:t>生态环境分区管控</w:t>
            </w:r>
            <w:r>
              <w:rPr>
                <w:rFonts w:hint="default" w:ascii="Times New Roman" w:hAnsi="Times New Roman" w:cs="Times New Roman"/>
                <w:color w:val="auto"/>
                <w:sz w:val="24"/>
                <w:szCs w:val="22"/>
                <w:highlight w:val="none"/>
              </w:rPr>
              <w:t>分析报告”见附件</w:t>
            </w:r>
            <w:r>
              <w:rPr>
                <w:rFonts w:hint="eastAsia" w:ascii="Times New Roman" w:hAnsi="Times New Roman" w:cs="Times New Roman"/>
                <w:color w:val="auto"/>
                <w:sz w:val="24"/>
                <w:szCs w:val="22"/>
                <w:highlight w:val="none"/>
                <w:lang w:val="en-US" w:eastAsia="zh-CN"/>
              </w:rPr>
              <w:t>5</w:t>
            </w:r>
            <w:r>
              <w:rPr>
                <w:rFonts w:hint="default" w:ascii="Times New Roman" w:hAnsi="Times New Roman" w:cs="Times New Roman"/>
                <w:color w:val="auto"/>
                <w:sz w:val="24"/>
                <w:szCs w:val="22"/>
                <w:highlight w:val="none"/>
              </w:rPr>
              <w:t>）</w:t>
            </w:r>
            <w:r>
              <w:rPr>
                <w:rFonts w:hint="eastAsia" w:ascii="Times New Roman" w:hAnsi="Times New Roman" w:cs="Times New Roman"/>
                <w:color w:val="auto"/>
                <w:sz w:val="24"/>
                <w:szCs w:val="22"/>
                <w:highlight w:val="none"/>
                <w:lang w:eastAsia="zh-CN"/>
              </w:rPr>
              <w:t>，</w:t>
            </w:r>
            <w:r>
              <w:rPr>
                <w:rFonts w:hint="eastAsia" w:cs="Times New Roman"/>
                <w:color w:val="auto"/>
                <w:sz w:val="24"/>
                <w:szCs w:val="22"/>
                <w:highlight w:val="none"/>
                <w:lang w:val="en-US" w:eastAsia="zh-CN"/>
              </w:rPr>
              <w:t>现有</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eastAsia" w:cs="Times New Roman"/>
                <w:color w:val="auto"/>
                <w:sz w:val="24"/>
                <w:szCs w:val="22"/>
                <w:highlight w:val="none"/>
                <w:lang w:val="en-US" w:eastAsia="zh-CN"/>
              </w:rPr>
              <w:t>厂区除涉及</w:t>
            </w:r>
            <w:r>
              <w:rPr>
                <w:rFonts w:hint="default" w:ascii="Times New Roman" w:hAnsi="Times New Roman" w:cs="Times New Roman"/>
                <w:color w:val="auto"/>
                <w:sz w:val="24"/>
                <w:szCs w:val="22"/>
                <w:highlight w:val="none"/>
              </w:rPr>
              <w:t>九龙坡区工业城镇重点管控单元-九龙西城片区</w:t>
            </w:r>
            <w:r>
              <w:rPr>
                <w:rFonts w:hint="eastAsia" w:cs="Times New Roman"/>
                <w:color w:val="auto"/>
                <w:sz w:val="24"/>
                <w:szCs w:val="22"/>
                <w:highlight w:val="none"/>
                <w:lang w:val="en-US" w:eastAsia="zh-CN"/>
              </w:rPr>
              <w:t>外，还</w:t>
            </w:r>
            <w:r>
              <w:rPr>
                <w:rFonts w:hint="eastAsia" w:ascii="Times New Roman" w:hAnsi="Times New Roman" w:cs="Times New Roman"/>
                <w:color w:val="auto"/>
                <w:sz w:val="24"/>
                <w:szCs w:val="22"/>
                <w:highlight w:val="none"/>
                <w:lang w:val="en-US" w:eastAsia="zh-CN"/>
              </w:rPr>
              <w:t>涉及优先保护单元-长江上游珍稀特有鱼类国家级自然保护区（</w:t>
            </w:r>
            <w:r>
              <w:rPr>
                <w:rFonts w:hint="eastAsia" w:ascii="Times New Roman" w:hAnsi="Times New Roman" w:cs="Times New Roman"/>
                <w:color w:val="auto"/>
                <w:sz w:val="24"/>
                <w:szCs w:val="24"/>
                <w:highlight w:val="none"/>
                <w:lang w:val="en-US" w:eastAsia="zh-CN"/>
              </w:rPr>
              <w:t>编码：</w:t>
            </w:r>
            <w:r>
              <w:rPr>
                <w:rFonts w:hint="eastAsia" w:ascii="Times New Roman" w:hAnsi="Times New Roman" w:eastAsia="宋体" w:cs="Times New Roman"/>
                <w:color w:val="auto"/>
                <w:kern w:val="2"/>
                <w:sz w:val="24"/>
                <w:szCs w:val="24"/>
                <w:highlight w:val="none"/>
                <w:lang w:val="en-US" w:eastAsia="zh-CN" w:bidi="ar-SA"/>
              </w:rPr>
              <w:t>ZH50010710003</w:t>
            </w:r>
            <w:r>
              <w:rPr>
                <w:rFonts w:hint="eastAsia" w:ascii="Times New Roman" w:hAnsi="Times New Roman" w:cs="Times New Roman"/>
                <w:color w:val="auto"/>
                <w:sz w:val="24"/>
                <w:szCs w:val="22"/>
                <w:highlight w:val="none"/>
                <w:lang w:val="en-US" w:eastAsia="zh-CN"/>
              </w:rPr>
              <w:t>）</w:t>
            </w:r>
            <w:r>
              <w:rPr>
                <w:rFonts w:hint="default" w:ascii="Times New Roman" w:hAnsi="Times New Roman" w:cs="Times New Roman"/>
                <w:color w:val="auto"/>
                <w:sz w:val="24"/>
                <w:szCs w:val="22"/>
                <w:highlight w:val="none"/>
              </w:rPr>
              <w:t>。</w:t>
            </w:r>
            <w:r>
              <w:rPr>
                <w:rFonts w:hint="eastAsia" w:cs="Times New Roman"/>
                <w:color w:val="auto"/>
                <w:sz w:val="24"/>
                <w:szCs w:val="22"/>
                <w:highlight w:val="none"/>
                <w:lang w:val="en-US" w:eastAsia="zh-CN"/>
              </w:rPr>
              <w:t>项目与九龙坡区生态环境管控单元位置关系见表1-10和图1-1.</w:t>
            </w:r>
          </w:p>
          <w:p w14:paraId="3DFA311B">
            <w:pPr>
              <w:jc w:val="center"/>
              <w:rPr>
                <w:rFonts w:hint="default" w:eastAsia="宋体"/>
                <w:color w:val="auto"/>
                <w:sz w:val="24"/>
                <w:highlight w:val="none"/>
                <w:lang w:val="en-US" w:eastAsia="zh-CN"/>
              </w:rPr>
            </w:pPr>
            <w:r>
              <w:rPr>
                <w:rFonts w:hint="eastAsia"/>
                <w:b/>
                <w:bCs/>
                <w:color w:val="auto"/>
                <w:sz w:val="24"/>
                <w:highlight w:val="none"/>
              </w:rPr>
              <w:t>表</w:t>
            </w:r>
            <w:r>
              <w:rPr>
                <w:rFonts w:hint="eastAsia"/>
                <w:b/>
                <w:bCs/>
                <w:color w:val="auto"/>
                <w:sz w:val="24"/>
                <w:highlight w:val="none"/>
                <w:lang w:eastAsia="zh-CN"/>
              </w:rPr>
              <w:t>1</w:t>
            </w:r>
            <w:r>
              <w:rPr>
                <w:rFonts w:hint="eastAsia"/>
                <w:b/>
                <w:bCs/>
                <w:color w:val="auto"/>
                <w:sz w:val="24"/>
                <w:highlight w:val="none"/>
                <w:lang w:val="en-US" w:eastAsia="zh-CN"/>
              </w:rPr>
              <w:t xml:space="preserve">-10  </w:t>
            </w:r>
            <w:r>
              <w:rPr>
                <w:rFonts w:hint="eastAsia" w:cs="Times New Roman"/>
                <w:b/>
                <w:bCs/>
                <w:color w:val="auto"/>
                <w:sz w:val="24"/>
                <w:szCs w:val="22"/>
                <w:highlight w:val="none"/>
                <w:lang w:val="en-US" w:eastAsia="zh-CN"/>
              </w:rPr>
              <w:t>项目与九龙坡区生态环境管控单元位置</w:t>
            </w:r>
            <w:r>
              <w:rPr>
                <w:rFonts w:hint="eastAsia"/>
                <w:b/>
                <w:bCs/>
                <w:color w:val="auto"/>
                <w:sz w:val="24"/>
                <w:highlight w:val="none"/>
                <w:lang w:val="en-US" w:eastAsia="zh-CN"/>
              </w:rPr>
              <w:t>统计表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67"/>
              <w:gridCol w:w="1467"/>
              <w:gridCol w:w="2066"/>
              <w:gridCol w:w="2458"/>
            </w:tblGrid>
            <w:tr w14:paraId="3102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tblHeader/>
                <w:jc w:val="center"/>
              </w:trPr>
              <w:tc>
                <w:tcPr>
                  <w:tcW w:w="1458" w:type="pct"/>
                  <w:vMerge w:val="restart"/>
                  <w:shd w:val="clear" w:color="auto" w:fill="auto"/>
                  <w:vAlign w:val="center"/>
                </w:tcPr>
                <w:p w14:paraId="4AF89DE8">
                  <w:pPr>
                    <w:pStyle w:val="66"/>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类别</w:t>
                  </w:r>
                </w:p>
              </w:tc>
              <w:tc>
                <w:tcPr>
                  <w:tcW w:w="3541" w:type="pct"/>
                  <w:gridSpan w:val="3"/>
                  <w:shd w:val="clear" w:color="auto" w:fill="auto"/>
                  <w:vAlign w:val="center"/>
                </w:tcPr>
                <w:p w14:paraId="1C23B40F">
                  <w:pPr>
                    <w:pStyle w:val="6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涉及</w:t>
                  </w:r>
                  <w:r>
                    <w:rPr>
                      <w:rFonts w:hint="eastAsia" w:cs="Times New Roman"/>
                      <w:color w:val="auto"/>
                      <w:sz w:val="21"/>
                      <w:szCs w:val="21"/>
                      <w:highlight w:val="none"/>
                      <w:lang w:val="en-US" w:eastAsia="zh-CN"/>
                    </w:rPr>
                    <w:t>生态</w:t>
                  </w:r>
                  <w:r>
                    <w:rPr>
                      <w:rFonts w:hint="default" w:ascii="Times New Roman" w:hAnsi="Times New Roman" w:cs="Times New Roman"/>
                      <w:color w:val="auto"/>
                      <w:sz w:val="21"/>
                      <w:szCs w:val="21"/>
                      <w:highlight w:val="none"/>
                    </w:rPr>
                    <w:t>环境管控单元</w:t>
                  </w:r>
                </w:p>
              </w:tc>
            </w:tr>
            <w:tr w14:paraId="27DB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458" w:type="pct"/>
                  <w:vMerge w:val="continue"/>
                  <w:shd w:val="clear" w:color="auto" w:fill="auto"/>
                  <w:vAlign w:val="center"/>
                </w:tcPr>
                <w:p w14:paraId="05C4041D">
                  <w:pPr>
                    <w:pStyle w:val="66"/>
                    <w:spacing w:line="240" w:lineRule="auto"/>
                    <w:jc w:val="center"/>
                    <w:rPr>
                      <w:rFonts w:hint="default" w:ascii="Times New Roman" w:hAnsi="Times New Roman" w:cs="Times New Roman" w:eastAsiaTheme="minorEastAsia"/>
                      <w:color w:val="auto"/>
                      <w:sz w:val="22"/>
                      <w:szCs w:val="22"/>
                      <w:highlight w:val="none"/>
                      <w:lang w:val="en-US" w:eastAsia="zh-CN"/>
                    </w:rPr>
                  </w:pPr>
                </w:p>
              </w:tc>
              <w:tc>
                <w:tcPr>
                  <w:tcW w:w="867" w:type="pct"/>
                  <w:shd w:val="clear" w:color="auto" w:fill="auto"/>
                  <w:vAlign w:val="center"/>
                </w:tcPr>
                <w:p w14:paraId="5DA7253A">
                  <w:pPr>
                    <w:pStyle w:val="6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2"/>
                      <w:szCs w:val="22"/>
                      <w:highlight w:val="none"/>
                      <w:lang w:val="en-US" w:eastAsia="zh-CN"/>
                    </w:rPr>
                    <w:t>分类</w:t>
                  </w:r>
                </w:p>
              </w:tc>
              <w:tc>
                <w:tcPr>
                  <w:tcW w:w="1221" w:type="pct"/>
                  <w:shd w:val="clear" w:color="auto" w:fill="auto"/>
                  <w:vAlign w:val="center"/>
                </w:tcPr>
                <w:p w14:paraId="3575AD78">
                  <w:pPr>
                    <w:pStyle w:val="6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编码</w:t>
                  </w:r>
                </w:p>
              </w:tc>
              <w:tc>
                <w:tcPr>
                  <w:tcW w:w="1452" w:type="pct"/>
                  <w:shd w:val="clear" w:color="auto" w:fill="auto"/>
                  <w:vAlign w:val="center"/>
                </w:tcPr>
                <w:p w14:paraId="7E0F0632">
                  <w:pPr>
                    <w:pStyle w:val="6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r>
            <w:tr w14:paraId="53A9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8" w:type="pct"/>
                  <w:shd w:val="clear" w:color="auto" w:fill="auto"/>
                  <w:vAlign w:val="center"/>
                </w:tcPr>
                <w:p w14:paraId="393A909D">
                  <w:pPr>
                    <w:pStyle w:val="67"/>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改建项目</w:t>
                  </w:r>
                </w:p>
              </w:tc>
              <w:tc>
                <w:tcPr>
                  <w:tcW w:w="867" w:type="pct"/>
                  <w:shd w:val="clear" w:color="auto" w:fill="auto"/>
                  <w:vAlign w:val="center"/>
                </w:tcPr>
                <w:p w14:paraId="5F1054D9">
                  <w:pPr>
                    <w:pStyle w:val="67"/>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重点管控单元</w:t>
                  </w:r>
                </w:p>
              </w:tc>
              <w:tc>
                <w:tcPr>
                  <w:tcW w:w="1221" w:type="pct"/>
                  <w:shd w:val="clear" w:color="auto" w:fill="auto"/>
                  <w:vAlign w:val="center"/>
                </w:tcPr>
                <w:p w14:paraId="77ED1751">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4"/>
                      <w:highlight w:val="none"/>
                    </w:rPr>
                    <w:t>ZH50010720002</w:t>
                  </w:r>
                </w:p>
              </w:tc>
              <w:tc>
                <w:tcPr>
                  <w:tcW w:w="1452" w:type="pct"/>
                  <w:shd w:val="clear" w:color="auto" w:fill="auto"/>
                  <w:vAlign w:val="center"/>
                </w:tcPr>
                <w:p w14:paraId="70E174FE">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4"/>
                      <w:highlight w:val="none"/>
                    </w:rPr>
                    <w:t>九龙坡区工业城镇重点管控单元</w:t>
                  </w:r>
                  <w:r>
                    <w:rPr>
                      <w:rFonts w:hint="default" w:ascii="Times New Roman" w:hAnsi="Times New Roman" w:cs="Times New Roman"/>
                      <w:color w:val="auto"/>
                      <w:sz w:val="21"/>
                      <w:szCs w:val="24"/>
                      <w:highlight w:val="none"/>
                    </w:rPr>
                    <w:t>-</w:t>
                  </w:r>
                  <w:r>
                    <w:rPr>
                      <w:rFonts w:hint="default" w:ascii="Times New Roman" w:hAnsi="Times New Roman" w:eastAsia="宋体" w:cs="Times New Roman"/>
                      <w:color w:val="auto"/>
                      <w:sz w:val="21"/>
                      <w:szCs w:val="24"/>
                      <w:highlight w:val="none"/>
                    </w:rPr>
                    <w:t>九龙西城片区</w:t>
                  </w:r>
                </w:p>
              </w:tc>
            </w:tr>
            <w:tr w14:paraId="4091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58" w:type="pct"/>
                  <w:shd w:val="clear" w:color="auto" w:fill="auto"/>
                  <w:vAlign w:val="center"/>
                </w:tcPr>
                <w:p w14:paraId="4430EED3">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红蜻蜓厂区</w:t>
                  </w:r>
                </w:p>
              </w:tc>
              <w:tc>
                <w:tcPr>
                  <w:tcW w:w="867" w:type="pct"/>
                  <w:shd w:val="clear" w:color="auto" w:fill="auto"/>
                  <w:vAlign w:val="center"/>
                </w:tcPr>
                <w:p w14:paraId="5A710381">
                  <w:pPr>
                    <w:keepNext w:val="0"/>
                    <w:keepLines w:val="0"/>
                    <w:widowControl/>
                    <w:suppressLineNumbers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优先保护单元</w:t>
                  </w:r>
                </w:p>
              </w:tc>
              <w:tc>
                <w:tcPr>
                  <w:tcW w:w="1221" w:type="pct"/>
                  <w:shd w:val="clear" w:color="auto" w:fill="auto"/>
                  <w:vAlign w:val="center"/>
                </w:tcPr>
                <w:p w14:paraId="53AC9510">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ZH50010710003</w:t>
                  </w:r>
                </w:p>
              </w:tc>
              <w:tc>
                <w:tcPr>
                  <w:tcW w:w="1452" w:type="pct"/>
                  <w:shd w:val="clear" w:color="auto" w:fill="auto"/>
                  <w:vAlign w:val="center"/>
                </w:tcPr>
                <w:p w14:paraId="49F9853E">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长江上游珍稀特有鱼类国家级自然保护区</w:t>
                  </w:r>
                </w:p>
              </w:tc>
            </w:tr>
          </w:tbl>
          <w:p w14:paraId="49BDD061">
            <w:pPr>
              <w:pStyle w:val="43"/>
              <w:rPr>
                <w:rFonts w:hint="default" w:ascii="Times New Roman" w:hAnsi="Times New Roman" w:cs="Times New Roman"/>
                <w:color w:val="auto"/>
                <w:sz w:val="24"/>
                <w:szCs w:val="22"/>
                <w:highlight w:val="none"/>
              </w:rPr>
            </w:pPr>
          </w:p>
          <w:p w14:paraId="695D407C">
            <w:pPr>
              <w:keepNext w:val="0"/>
              <w:keepLines w:val="0"/>
              <w:pageBreakBefore w:val="0"/>
              <w:widowControl/>
              <w:suppressLineNumbers w:val="0"/>
              <w:kinsoku/>
              <w:wordWrap/>
              <w:overflowPunct w:val="0"/>
              <w:topLinePunct/>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1720215</wp:posOffset>
                      </wp:positionH>
                      <wp:positionV relativeFrom="paragraph">
                        <wp:posOffset>2164715</wp:posOffset>
                      </wp:positionV>
                      <wp:extent cx="1245235" cy="304800"/>
                      <wp:effectExtent l="5080" t="4445" r="807085" b="90805"/>
                      <wp:wrapNone/>
                      <wp:docPr id="15" name="圆角矩形标注 15"/>
                      <wp:cNvGraphicFramePr/>
                      <a:graphic xmlns:a="http://schemas.openxmlformats.org/drawingml/2006/main">
                        <a:graphicData uri="http://schemas.microsoft.com/office/word/2010/wordprocessingShape">
                          <wps:wsp>
                            <wps:cNvSpPr/>
                            <wps:spPr>
                              <a:xfrm>
                                <a:off x="0" y="0"/>
                                <a:ext cx="1245235" cy="304800"/>
                              </a:xfrm>
                              <a:prstGeom prst="wedgeRoundRectCallout">
                                <a:avLst>
                                  <a:gd name="adj1" fmla="val 110530"/>
                                  <a:gd name="adj2" fmla="val 73541"/>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54D04E26">
                                  <w:pPr>
                                    <w:rPr>
                                      <w:rFonts w:hint="default" w:eastAsia="宋体"/>
                                      <w:lang w:val="en-US" w:eastAsia="zh-CN"/>
                                    </w:rPr>
                                  </w:pPr>
                                  <w:r>
                                    <w:rPr>
                                      <w:rFonts w:hint="eastAsia"/>
                                      <w:lang w:val="en-US" w:eastAsia="zh-CN"/>
                                    </w:rPr>
                                    <w:t>现有红蜻蜓厂区</w:t>
                                  </w:r>
                                </w:p>
                              </w:txbxContent>
                            </wps:txbx>
                            <wps:bodyPr upright="1"/>
                          </wps:wsp>
                        </a:graphicData>
                      </a:graphic>
                    </wp:anchor>
                  </w:drawing>
                </mc:Choice>
                <mc:Fallback>
                  <w:pict>
                    <v:shape id="_x0000_s1026" o:spid="_x0000_s1026" o:spt="62" type="#_x0000_t62" style="position:absolute;left:0pt;margin-left:135.45pt;margin-top:170.45pt;height:24pt;width:98.05pt;z-index:251662336;mso-width-relative:page;mso-height-relative:page;" fillcolor="#FFFFFF" filled="t" stroked="t" coordsize="21600,21600" o:gfxdata="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e/PXZAAAACwEA&#10;AA8AAAAAAAAAAQAgAAAAIgAAAGRycy9kb3ducmV2LnhtbFBLAQIUABQAAAAIAIdO4kBL0HQ5UgIA&#10;AL4EAAAOAAAAAAAAAAEAIAAAACgBAABkcnMvZTJvRG9jLnhtbFBLBQYAAAAABgAGAFkBAADsBQAA&#10;AAA=&#10;" adj="34674,26685,14400">
                      <v:fill on="t" focussize="0,0"/>
                      <v:stroke color="#000000" joinstyle="miter"/>
                      <v:imagedata o:title=""/>
                      <o:lock v:ext="edit" aspectratio="f"/>
                      <v:textbox>
                        <w:txbxContent>
                          <w:p w14:paraId="54D04E26">
                            <w:pPr>
                              <w:rPr>
                                <w:rFonts w:hint="default" w:eastAsia="宋体"/>
                                <w:lang w:val="en-US" w:eastAsia="zh-CN"/>
                              </w:rPr>
                            </w:pPr>
                            <w:r>
                              <w:rPr>
                                <w:rFonts w:hint="eastAsia"/>
                                <w:lang w:val="en-US" w:eastAsia="zh-CN"/>
                              </w:rPr>
                              <w:t>现有红蜻蜓厂区</w:t>
                            </w:r>
                          </w:p>
                        </w:txbxContent>
                      </v:textbox>
                    </v:shape>
                  </w:pict>
                </mc:Fallback>
              </mc:AlternateContent>
            </w:r>
            <w:r>
              <w:rPr>
                <w:rFonts w:hint="default" w:ascii="Times New Roman" w:hAnsi="Times New Roman" w:cs="Times New Roman"/>
                <w:color w:val="auto"/>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2180590</wp:posOffset>
                      </wp:positionH>
                      <wp:positionV relativeFrom="paragraph">
                        <wp:posOffset>1631315</wp:posOffset>
                      </wp:positionV>
                      <wp:extent cx="1055370" cy="304800"/>
                      <wp:effectExtent l="5080" t="4445" r="558800" b="586105"/>
                      <wp:wrapNone/>
                      <wp:docPr id="4" name="圆角矩形标注 4"/>
                      <wp:cNvGraphicFramePr/>
                      <a:graphic xmlns:a="http://schemas.openxmlformats.org/drawingml/2006/main">
                        <a:graphicData uri="http://schemas.microsoft.com/office/word/2010/wordprocessingShape">
                          <wps:wsp>
                            <wps:cNvSpPr/>
                            <wps:spPr>
                              <a:xfrm>
                                <a:off x="0" y="0"/>
                                <a:ext cx="1055370" cy="304800"/>
                              </a:xfrm>
                              <a:prstGeom prst="wedgeRoundRectCallout">
                                <a:avLst>
                                  <a:gd name="adj1" fmla="val 98796"/>
                                  <a:gd name="adj2" fmla="val 233333"/>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23E20ECC">
                                  <w:pPr>
                                    <w:rPr>
                                      <w:rFonts w:hint="default" w:eastAsia="宋体"/>
                                      <w:lang w:val="en-US" w:eastAsia="zh-CN"/>
                                    </w:rPr>
                                  </w:pPr>
                                  <w:r>
                                    <w:rPr>
                                      <w:rFonts w:hint="eastAsia"/>
                                      <w:lang w:val="en-US" w:eastAsia="zh-CN"/>
                                    </w:rPr>
                                    <w:t>改建项目位置</w:t>
                                  </w:r>
                                </w:p>
                              </w:txbxContent>
                            </wps:txbx>
                            <wps:bodyPr upright="1"/>
                          </wps:wsp>
                        </a:graphicData>
                      </a:graphic>
                    </wp:anchor>
                  </w:drawing>
                </mc:Choice>
                <mc:Fallback>
                  <w:pict>
                    <v:shape id="_x0000_s1026" o:spid="_x0000_s1026" o:spt="62" type="#_x0000_t62" style="position:absolute;left:0pt;margin-left:171.7pt;margin-top:128.45pt;height:24pt;width:83.1pt;z-index:251661312;mso-width-relative:page;mso-height-relative:page;" fillcolor="#FFFFFF" filled="t" stroked="t" coordsize="21600,21600" o:gfxdata="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fMM6h2AAAAAsBAAAPAAAA&#10;AAAAAAEAIAAAACIAAABkcnMvZG93bnJldi54bWxQSwECFAAUAAAACACHTuJAOVqNJ04CAAC8BAAA&#10;DgAAAAAAAAABACAAAAAnAQAAZHJzL2Uyb0RvYy54bWxQSwUGAAAAAAYABgBZAQAA5wUAAAAA&#10;" adj="32140,61200,14400">
                      <v:fill on="t" focussize="0,0"/>
                      <v:stroke color="#000000" joinstyle="miter"/>
                      <v:imagedata o:title=""/>
                      <o:lock v:ext="edit" aspectratio="f"/>
                      <v:textbox>
                        <w:txbxContent>
                          <w:p w14:paraId="23E20ECC">
                            <w:pPr>
                              <w:rPr>
                                <w:rFonts w:hint="default" w:eastAsia="宋体"/>
                                <w:lang w:val="en-US" w:eastAsia="zh-CN"/>
                              </w:rPr>
                            </w:pPr>
                            <w:r>
                              <w:rPr>
                                <w:rFonts w:hint="eastAsia"/>
                                <w:lang w:val="en-US" w:eastAsia="zh-CN"/>
                              </w:rPr>
                              <w:t>改建项目位置</w:t>
                            </w:r>
                          </w:p>
                        </w:txbxContent>
                      </v:textbox>
                    </v:shape>
                  </w:pict>
                </mc:Fallback>
              </mc:AlternateContent>
            </w:r>
            <w:r>
              <w:rPr>
                <w:color w:val="auto"/>
                <w:highlight w:val="none"/>
              </w:rPr>
              <w:drawing>
                <wp:inline distT="0" distB="0" distL="114300" distR="114300">
                  <wp:extent cx="5469255" cy="3738880"/>
                  <wp:effectExtent l="0" t="0" r="17145" b="1397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6"/>
                          <a:stretch>
                            <a:fillRect/>
                          </a:stretch>
                        </pic:blipFill>
                        <pic:spPr>
                          <a:xfrm>
                            <a:off x="0" y="0"/>
                            <a:ext cx="5469255" cy="3738880"/>
                          </a:xfrm>
                          <a:prstGeom prst="rect">
                            <a:avLst/>
                          </a:prstGeom>
                          <a:noFill/>
                          <a:ln>
                            <a:noFill/>
                          </a:ln>
                        </pic:spPr>
                      </pic:pic>
                    </a:graphicData>
                  </a:graphic>
                </wp:inline>
              </w:drawing>
            </w:r>
          </w:p>
          <w:p w14:paraId="7237C1FC">
            <w:pPr>
              <w:pStyle w:val="13"/>
              <w:pageBreakBefore w:val="0"/>
              <w:kinsoku/>
              <w:wordWrap/>
              <w:overflowPunct w:val="0"/>
              <w:topLinePunct/>
              <w:bidi w:val="0"/>
              <w:spacing w:beforeLines="0" w:after="0" w:afterLines="0" w:line="360" w:lineRule="auto"/>
              <w:ind w:left="0" w:leftChars="0" w:firstLine="0" w:firstLineChars="0"/>
              <w:jc w:val="center"/>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图1-1</w:t>
            </w:r>
            <w:r>
              <w:rPr>
                <w:rFonts w:hint="eastAsia" w:cs="Times New Roman"/>
                <w:b/>
                <w:bCs/>
                <w:color w:val="auto"/>
                <w:kern w:val="0"/>
                <w:sz w:val="24"/>
                <w:szCs w:val="24"/>
                <w:highlight w:val="none"/>
                <w:lang w:val="en-US" w:eastAsia="zh-CN"/>
              </w:rPr>
              <w:t xml:space="preserve">  改建项目及现有项目厂区与</w:t>
            </w:r>
            <w:r>
              <w:rPr>
                <w:rFonts w:hint="default" w:ascii="Times New Roman" w:hAnsi="Times New Roman" w:eastAsia="宋体" w:cs="Times New Roman"/>
                <w:b/>
                <w:bCs/>
                <w:color w:val="auto"/>
                <w:kern w:val="0"/>
                <w:sz w:val="24"/>
                <w:szCs w:val="24"/>
                <w:highlight w:val="none"/>
                <w:lang w:val="en-US" w:eastAsia="zh-CN"/>
              </w:rPr>
              <w:t>环境管控单元分布图</w:t>
            </w:r>
          </w:p>
          <w:p w14:paraId="20DB13A9">
            <w:pPr>
              <w:pStyle w:val="43"/>
              <w:spacing w:beforeLines="0" w:afterLines="0" w:line="360" w:lineRule="auto"/>
              <w:jc w:val="left"/>
              <w:rPr>
                <w:rFonts w:hint="default"/>
                <w:color w:val="auto"/>
                <w:sz w:val="24"/>
                <w:szCs w:val="22"/>
                <w:highlight w:val="none"/>
              </w:rPr>
            </w:pPr>
            <w:r>
              <w:rPr>
                <w:rFonts w:hint="eastAsia"/>
                <w:color w:val="auto"/>
                <w:sz w:val="24"/>
                <w:szCs w:val="22"/>
                <w:highlight w:val="none"/>
              </w:rPr>
              <w:t>根据重庆市生态环境局关于印发《规划环评“三线一单”符合性分析技术要点（试行）》《建设项目环评“三线一单”符合性分析技术要点（试行）》的通知（渝环函〔2022〕397号），项目与生态环境分区管控要求的符合性分析见下表1</w:t>
            </w:r>
            <w:r>
              <w:rPr>
                <w:rFonts w:hint="default"/>
                <w:color w:val="auto"/>
                <w:sz w:val="24"/>
                <w:szCs w:val="22"/>
                <w:highlight w:val="none"/>
              </w:rPr>
              <w:t>-1</w:t>
            </w:r>
            <w:r>
              <w:rPr>
                <w:rFonts w:hint="eastAsia"/>
                <w:color w:val="auto"/>
                <w:sz w:val="24"/>
                <w:szCs w:val="22"/>
                <w:highlight w:val="none"/>
                <w:lang w:val="en-US" w:eastAsia="zh-CN"/>
              </w:rPr>
              <w:t>1</w:t>
            </w:r>
            <w:r>
              <w:rPr>
                <w:rFonts w:hint="eastAsia"/>
                <w:color w:val="auto"/>
                <w:sz w:val="24"/>
                <w:szCs w:val="22"/>
                <w:highlight w:val="none"/>
              </w:rPr>
              <w:t>。</w:t>
            </w:r>
          </w:p>
          <w:p w14:paraId="165DCDE3">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r>
              <w:rPr>
                <w:rFonts w:hint="eastAsia"/>
                <w:color w:val="auto"/>
                <w:kern w:val="0"/>
                <w:sz w:val="24"/>
                <w:szCs w:val="24"/>
                <w:highlight w:val="none"/>
                <w:lang w:bidi="ar"/>
              </w:rPr>
              <w:t>根据表1-1</w:t>
            </w:r>
            <w:r>
              <w:rPr>
                <w:rFonts w:hint="eastAsia"/>
                <w:color w:val="auto"/>
                <w:kern w:val="0"/>
                <w:sz w:val="24"/>
                <w:szCs w:val="24"/>
                <w:highlight w:val="none"/>
                <w:lang w:val="en-US" w:eastAsia="zh-CN" w:bidi="ar"/>
              </w:rPr>
              <w:t>1</w:t>
            </w:r>
            <w:r>
              <w:rPr>
                <w:rFonts w:hint="eastAsia"/>
                <w:color w:val="auto"/>
                <w:kern w:val="0"/>
                <w:sz w:val="24"/>
                <w:szCs w:val="24"/>
                <w:highlight w:val="none"/>
                <w:lang w:bidi="ar"/>
              </w:rPr>
              <w:t>分析结果，本</w:t>
            </w:r>
            <w:r>
              <w:rPr>
                <w:rFonts w:hint="eastAsia" w:ascii="Times New Roman" w:hAnsi="Times New Roman" w:eastAsia="宋体" w:cs="Times New Roman"/>
                <w:color w:val="auto"/>
                <w:kern w:val="0"/>
                <w:sz w:val="24"/>
                <w:szCs w:val="24"/>
                <w:highlight w:val="none"/>
                <w:lang w:val="en-US" w:eastAsia="zh-CN" w:bidi="ar"/>
              </w:rPr>
              <w:t>次改建</w:t>
            </w:r>
            <w:r>
              <w:rPr>
                <w:rFonts w:hint="eastAsia"/>
                <w:color w:val="auto"/>
                <w:kern w:val="0"/>
                <w:sz w:val="24"/>
                <w:szCs w:val="24"/>
                <w:highlight w:val="none"/>
                <w:lang w:bidi="ar"/>
              </w:rPr>
              <w:t>项目在现有</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eastAsia"/>
                <w:color w:val="auto"/>
                <w:kern w:val="0"/>
                <w:sz w:val="24"/>
                <w:szCs w:val="24"/>
                <w:highlight w:val="none"/>
                <w:lang w:val="en-US" w:eastAsia="zh-CN" w:bidi="ar"/>
              </w:rPr>
              <w:t>厂区</w:t>
            </w:r>
            <w:r>
              <w:rPr>
                <w:rFonts w:hint="eastAsia"/>
                <w:color w:val="auto"/>
                <w:kern w:val="0"/>
                <w:sz w:val="24"/>
                <w:szCs w:val="24"/>
                <w:highlight w:val="none"/>
                <w:lang w:bidi="ar"/>
              </w:rPr>
              <w:t>用地范围内建设，不新增用地</w:t>
            </w:r>
            <w:r>
              <w:rPr>
                <w:rFonts w:hint="eastAsia"/>
                <w:color w:val="auto"/>
                <w:kern w:val="0"/>
                <w:sz w:val="24"/>
                <w:szCs w:val="24"/>
                <w:highlight w:val="none"/>
                <w:lang w:eastAsia="zh-CN" w:bidi="ar"/>
              </w:rPr>
              <w:t>、</w:t>
            </w:r>
            <w:r>
              <w:rPr>
                <w:rFonts w:hint="eastAsia" w:cs="Times New Roman"/>
                <w:color w:val="auto"/>
                <w:kern w:val="0"/>
                <w:sz w:val="24"/>
                <w:szCs w:val="24"/>
                <w:highlight w:val="none"/>
                <w:lang w:val="en-US" w:eastAsia="zh-CN" w:bidi="ar"/>
              </w:rPr>
              <w:t>不改变用地用途，本项目</w:t>
            </w:r>
            <w:r>
              <w:rPr>
                <w:rFonts w:hint="eastAsia" w:ascii="Times New Roman" w:hAnsi="Times New Roman" w:cs="Times New Roman"/>
                <w:color w:val="auto"/>
                <w:kern w:val="0"/>
                <w:sz w:val="24"/>
                <w:szCs w:val="24"/>
                <w:highlight w:val="none"/>
                <w:lang w:bidi="ar"/>
              </w:rPr>
              <w:t>通过优化废气治理措施和采取废水回用的方式</w:t>
            </w:r>
            <w:r>
              <w:rPr>
                <w:rFonts w:hint="eastAsia" w:cs="Times New Roman"/>
                <w:color w:val="auto"/>
                <w:kern w:val="0"/>
                <w:sz w:val="24"/>
                <w:szCs w:val="24"/>
                <w:highlight w:val="none"/>
                <w:lang w:val="en-US" w:eastAsia="zh-CN" w:bidi="ar"/>
              </w:rPr>
              <w:t>减少污染物排放</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故本次改建项目未扩大用地范围、未新增污染物排放</w:t>
            </w:r>
            <w:r>
              <w:rPr>
                <w:rFonts w:hint="eastAsia" w:ascii="Times New Roman" w:hAnsi="Times New Roman" w:eastAsia="宋体" w:cs="Times New Roman"/>
                <w:color w:val="auto"/>
                <w:kern w:val="0"/>
                <w:sz w:val="24"/>
                <w:szCs w:val="24"/>
                <w:highlight w:val="none"/>
                <w:lang w:val="en-US" w:eastAsia="zh-CN" w:bidi="ar"/>
              </w:rPr>
              <w:t>，符合</w:t>
            </w:r>
            <w:r>
              <w:rPr>
                <w:rFonts w:hint="eastAsia" w:ascii="Times New Roman" w:hAnsi="Times New Roman" w:eastAsia="宋体" w:cs="Times New Roman"/>
                <w:color w:val="auto"/>
                <w:kern w:val="0"/>
                <w:sz w:val="24"/>
                <w:szCs w:val="24"/>
                <w:highlight w:val="none"/>
                <w:lang w:bidi="ar"/>
              </w:rPr>
              <w:t>九龙坡区工业城镇重点管控单元</w:t>
            </w:r>
            <w:r>
              <w:rPr>
                <w:rFonts w:hint="eastAsia" w:ascii="Times New Roman" w:hAnsi="Times New Roman" w:cs="Times New Roman"/>
                <w:color w:val="auto"/>
                <w:kern w:val="0"/>
                <w:sz w:val="24"/>
                <w:szCs w:val="24"/>
                <w:highlight w:val="none"/>
                <w:lang w:bidi="ar"/>
              </w:rPr>
              <w:t>-</w:t>
            </w:r>
            <w:r>
              <w:rPr>
                <w:rFonts w:hint="eastAsia" w:ascii="Times New Roman" w:hAnsi="Times New Roman" w:eastAsia="宋体" w:cs="Times New Roman"/>
                <w:color w:val="auto"/>
                <w:kern w:val="0"/>
                <w:sz w:val="24"/>
                <w:szCs w:val="24"/>
                <w:highlight w:val="none"/>
                <w:lang w:bidi="ar"/>
              </w:rPr>
              <w:t>九龙西城片区</w:t>
            </w:r>
            <w:r>
              <w:rPr>
                <w:rFonts w:hint="eastAsia" w:ascii="Times New Roman" w:hAnsi="Times New Roman" w:eastAsia="宋体" w:cs="Times New Roman"/>
                <w:color w:val="auto"/>
                <w:kern w:val="0"/>
                <w:sz w:val="24"/>
                <w:szCs w:val="24"/>
                <w:highlight w:val="none"/>
                <w:lang w:val="en-US" w:eastAsia="zh-CN" w:bidi="ar"/>
              </w:rPr>
              <w:t>生态环境管控要求</w:t>
            </w:r>
            <w:r>
              <w:rPr>
                <w:rFonts w:hint="eastAsia"/>
                <w:color w:val="auto"/>
                <w:kern w:val="0"/>
                <w:sz w:val="24"/>
                <w:szCs w:val="24"/>
                <w:highlight w:val="none"/>
                <w:lang w:bidi="ar"/>
              </w:rPr>
              <w:t>；</w:t>
            </w:r>
            <w:r>
              <w:rPr>
                <w:rFonts w:hint="eastAsia" w:cs="Times New Roman"/>
                <w:color w:val="auto"/>
                <w:kern w:val="0"/>
                <w:sz w:val="24"/>
                <w:szCs w:val="24"/>
                <w:highlight w:val="none"/>
                <w:lang w:val="en-US" w:eastAsia="zh-CN" w:bidi="ar"/>
              </w:rPr>
              <w:t>针对现有</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eastAsia" w:cs="Times New Roman"/>
                <w:color w:val="auto"/>
                <w:kern w:val="0"/>
                <w:sz w:val="24"/>
                <w:szCs w:val="24"/>
                <w:highlight w:val="none"/>
                <w:lang w:val="en-US" w:eastAsia="zh-CN" w:bidi="ar"/>
              </w:rPr>
              <w:t>厂区涉及的优先保护单元提出了</w:t>
            </w:r>
            <w:r>
              <w:rPr>
                <w:rFonts w:hint="eastAsia" w:ascii="Times New Roman" w:cs="Times New Roman"/>
                <w:color w:val="auto"/>
                <w:spacing w:val="0"/>
                <w:kern w:val="0"/>
                <w:position w:val="0"/>
                <w:sz w:val="24"/>
                <w:szCs w:val="24"/>
                <w:highlight w:val="none"/>
                <w:lang w:val="en-US" w:eastAsia="zh-CN" w:bidi="ar"/>
              </w:rPr>
              <w:t>退让方案，</w:t>
            </w:r>
            <w:r>
              <w:rPr>
                <w:rFonts w:hint="eastAsia" w:ascii="Times New Roman" w:hAnsi="Times New Roman" w:cs="Times New Roman"/>
                <w:color w:val="auto"/>
                <w:spacing w:val="0"/>
                <w:kern w:val="0"/>
                <w:position w:val="0"/>
                <w:sz w:val="24"/>
                <w:szCs w:val="24"/>
                <w:highlight w:val="none"/>
                <w:lang w:val="en-US" w:eastAsia="zh-CN" w:bidi="ar"/>
              </w:rPr>
              <w:t>将与优先保护单元重叠区域内的</w:t>
            </w:r>
            <w:r>
              <w:rPr>
                <w:rFonts w:hint="eastAsia" w:cs="Times New Roman"/>
                <w:color w:val="auto"/>
                <w:spacing w:val="0"/>
                <w:kern w:val="0"/>
                <w:position w:val="0"/>
                <w:sz w:val="24"/>
                <w:szCs w:val="24"/>
                <w:highlight w:val="none"/>
                <w:lang w:val="en-US" w:eastAsia="zh-CN" w:bidi="ar"/>
              </w:rPr>
              <w:t>2个</w:t>
            </w:r>
            <w:r>
              <w:rPr>
                <w:rFonts w:hint="eastAsia" w:ascii="Times New Roman" w:hAnsi="Times New Roman" w:cs="Times New Roman"/>
                <w:color w:val="auto"/>
                <w:spacing w:val="0"/>
                <w:kern w:val="0"/>
                <w:position w:val="0"/>
                <w:sz w:val="24"/>
                <w:szCs w:val="24"/>
                <w:highlight w:val="none"/>
                <w:lang w:val="en-US" w:eastAsia="zh-CN" w:bidi="ar"/>
              </w:rPr>
              <w:t>储罐（</w:t>
            </w:r>
            <w:r>
              <w:rPr>
                <w:rFonts w:hint="eastAsia" w:ascii="Times New Roman" w:cs="Times New Roman"/>
                <w:color w:val="auto"/>
                <w:spacing w:val="0"/>
                <w:kern w:val="0"/>
                <w:position w:val="0"/>
                <w:sz w:val="24"/>
                <w:szCs w:val="24"/>
                <w:highlight w:val="none"/>
                <w:lang w:val="en-US" w:eastAsia="zh-CN" w:bidi="ar"/>
              </w:rPr>
              <w:t>0Y04#、0Y05#</w:t>
            </w:r>
            <w:r>
              <w:rPr>
                <w:rFonts w:hint="eastAsia" w:ascii="Times New Roman" w:hAnsi="Times New Roman" w:cs="Times New Roman"/>
                <w:color w:val="auto"/>
                <w:spacing w:val="0"/>
                <w:kern w:val="0"/>
                <w:position w:val="0"/>
                <w:sz w:val="24"/>
                <w:szCs w:val="24"/>
                <w:highlight w:val="none"/>
                <w:lang w:val="en-US" w:eastAsia="zh-CN" w:bidi="ar"/>
              </w:rPr>
              <w:t>）转为空置储罐，并封堵其与输油管线，重叠区域设置围挡禁止任何人进入，满足</w:t>
            </w:r>
            <w:r>
              <w:rPr>
                <w:rFonts w:hint="eastAsia" w:ascii="Times New Roman" w:hAnsi="Times New Roman" w:eastAsia="宋体" w:cs="Times New Roman"/>
                <w:color w:val="auto"/>
                <w:kern w:val="0"/>
                <w:sz w:val="24"/>
                <w:szCs w:val="24"/>
                <w:highlight w:val="none"/>
                <w:lang w:bidi="ar"/>
              </w:rPr>
              <w:t>《中华人民共和国自然保护区条例》</w:t>
            </w:r>
            <w:r>
              <w:rPr>
                <w:rFonts w:hint="eastAsia" w:ascii="Times New Roman" w:hAnsi="Times New Roman" w:eastAsia="宋体" w:cs="Times New Roman"/>
                <w:color w:val="auto"/>
                <w:kern w:val="0"/>
                <w:sz w:val="24"/>
                <w:szCs w:val="24"/>
                <w:highlight w:val="none"/>
                <w:lang w:val="en-US" w:eastAsia="zh-CN" w:bidi="ar"/>
              </w:rPr>
              <w:t>等要求</w:t>
            </w:r>
            <w:r>
              <w:rPr>
                <w:rFonts w:hint="eastAsia"/>
                <w:color w:val="auto"/>
                <w:kern w:val="0"/>
                <w:sz w:val="24"/>
                <w:szCs w:val="24"/>
                <w:highlight w:val="none"/>
                <w:lang w:bidi="ar"/>
              </w:rPr>
              <w:t>。</w:t>
            </w:r>
            <w:r>
              <w:rPr>
                <w:rFonts w:hint="eastAsia"/>
                <w:color w:val="auto"/>
                <w:kern w:val="0"/>
                <w:sz w:val="24"/>
                <w:szCs w:val="24"/>
                <w:highlight w:val="none"/>
                <w:lang w:val="en-US" w:eastAsia="zh-CN" w:bidi="ar"/>
              </w:rPr>
              <w:t>因此，本次改建项目符合</w:t>
            </w:r>
            <w:r>
              <w:rPr>
                <w:rFonts w:hint="eastAsia"/>
                <w:color w:val="auto"/>
                <w:kern w:val="0"/>
                <w:sz w:val="24"/>
                <w:szCs w:val="24"/>
                <w:highlight w:val="none"/>
                <w:lang w:bidi="ar"/>
              </w:rPr>
              <w:t>生态环境分区</w:t>
            </w:r>
            <w:r>
              <w:rPr>
                <w:rFonts w:hint="eastAsia"/>
                <w:color w:val="auto"/>
                <w:kern w:val="0"/>
                <w:sz w:val="24"/>
                <w:szCs w:val="24"/>
                <w:highlight w:val="none"/>
                <w:lang w:val="en-US" w:eastAsia="zh-CN" w:bidi="ar"/>
              </w:rPr>
              <w:t>管控要求。</w:t>
            </w:r>
          </w:p>
          <w:p w14:paraId="76FD803F">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663F633F">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449C9ED7">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09395176">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663DCE13">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22BA041F">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710DC515">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5F8E1488">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1A01904D">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536F5321">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6C50AA88">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40A41EA4">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68C6DD50">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59A43412">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6528B241">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4D0C57AE">
            <w:pPr>
              <w:pStyle w:val="13"/>
              <w:pageBreakBefore w:val="0"/>
              <w:kinsoku/>
              <w:wordWrap/>
              <w:overflowPunct w:val="0"/>
              <w:topLinePunct/>
              <w:bidi w:val="0"/>
              <w:spacing w:beforeLines="0" w:after="0" w:afterLines="0" w:line="360" w:lineRule="auto"/>
              <w:ind w:left="0" w:leftChars="0" w:firstLine="480" w:firstLineChars="200"/>
              <w:rPr>
                <w:rFonts w:hint="eastAsia"/>
                <w:color w:val="auto"/>
                <w:kern w:val="0"/>
                <w:sz w:val="24"/>
                <w:szCs w:val="24"/>
                <w:highlight w:val="none"/>
                <w:lang w:val="en-US" w:eastAsia="zh-CN" w:bidi="ar"/>
              </w:rPr>
            </w:pPr>
          </w:p>
          <w:p w14:paraId="223E0AA1">
            <w:pPr>
              <w:pStyle w:val="13"/>
              <w:pageBreakBefore w:val="0"/>
              <w:kinsoku/>
              <w:wordWrap/>
              <w:overflowPunct w:val="0"/>
              <w:topLinePunct/>
              <w:bidi w:val="0"/>
              <w:spacing w:beforeLines="0" w:after="0" w:afterLines="0" w:line="360" w:lineRule="auto"/>
              <w:ind w:left="0" w:leftChars="0" w:firstLine="480" w:firstLineChars="200"/>
              <w:rPr>
                <w:rFonts w:hint="default"/>
                <w:color w:val="auto"/>
                <w:kern w:val="0"/>
                <w:sz w:val="24"/>
                <w:szCs w:val="24"/>
                <w:highlight w:val="none"/>
                <w:lang w:val="en-US" w:eastAsia="zh-CN" w:bidi="ar"/>
              </w:rPr>
            </w:pPr>
          </w:p>
        </w:tc>
      </w:tr>
    </w:tbl>
    <w:p w14:paraId="23BF8A3C">
      <w:pPr>
        <w:pageBreakBefore w:val="0"/>
        <w:kinsoku/>
        <w:wordWrap/>
        <w:overflowPunct w:val="0"/>
        <w:topLinePunct/>
        <w:bidi w:val="0"/>
        <w:spacing w:line="360" w:lineRule="auto"/>
        <w:outlineLvl w:val="9"/>
        <w:rPr>
          <w:rFonts w:hint="default" w:ascii="Times New Roman" w:hAnsi="Times New Roman" w:eastAsia="宋体" w:cs="Times New Roman"/>
          <w:color w:val="auto"/>
          <w:sz w:val="30"/>
          <w:highlight w:val="none"/>
        </w:rPr>
        <w:sectPr>
          <w:pgSz w:w="11907" w:h="16840"/>
          <w:pgMar w:top="1701" w:right="1531" w:bottom="2126" w:left="1531" w:header="851" w:footer="1814" w:gutter="0"/>
          <w:pgBorders>
            <w:top w:val="none" w:sz="0" w:space="0"/>
            <w:left w:val="none" w:sz="0" w:space="0"/>
            <w:bottom w:val="none" w:sz="0" w:space="0"/>
            <w:right w:val="none" w:sz="0" w:space="0"/>
          </w:pgBorders>
          <w:pgNumType w:fmt="decimal"/>
          <w:cols w:space="0" w:num="1"/>
          <w:rtlGutter w:val="0"/>
          <w:docGrid w:linePitch="312" w:charSpace="0"/>
        </w:sectPr>
      </w:pPr>
    </w:p>
    <w:p w14:paraId="634B2760">
      <w:pPr>
        <w:rPr>
          <w:rFonts w:hint="default" w:ascii="Times New Roman" w:hAnsi="Times New Roman" w:cs="Times New Roman"/>
          <w:color w:val="auto"/>
          <w:highlight w:val="none"/>
        </w:rPr>
      </w:pP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8"/>
      </w:tblGrid>
      <w:tr w14:paraId="770C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2" w:hRule="atLeast"/>
        </w:trPr>
        <w:tc>
          <w:tcPr>
            <w:tcW w:w="5000" w:type="pct"/>
            <w:noWrap w:val="0"/>
            <w:vAlign w:val="top"/>
          </w:tcPr>
          <w:p w14:paraId="35501823">
            <w:pPr>
              <w:keepNext w:val="0"/>
              <w:keepLines w:val="0"/>
              <w:pageBreakBefore w:val="0"/>
              <w:widowControl w:val="0"/>
              <w:kinsoku/>
              <w:wordWrap/>
              <w:overflowPunct w:val="0"/>
              <w:topLinePunct/>
              <w:autoSpaceDE/>
              <w:autoSpaceDN/>
              <w:bidi w:val="0"/>
              <w:adjustRightInd/>
              <w:snapToGrid/>
              <w:spacing w:line="460" w:lineRule="exact"/>
              <w:jc w:val="center"/>
              <w:textAlignment w:val="auto"/>
              <w:outlineLvl w:val="0"/>
              <w:rPr>
                <w:rFonts w:hint="default" w:ascii="Times New Roman" w:hAnsi="Times New Roman" w:eastAsia="宋体" w:cs="Times New Roman"/>
                <w:b/>
                <w:bCs/>
                <w:color w:val="auto"/>
                <w:sz w:val="24"/>
                <w:szCs w:val="21"/>
                <w:highlight w:val="none"/>
                <w:vertAlign w:val="baseline"/>
                <w:lang w:val="en-US" w:eastAsia="zh-CN"/>
              </w:rPr>
            </w:pPr>
            <w:bookmarkStart w:id="3" w:name="_Toc15330"/>
            <w:r>
              <w:rPr>
                <w:rFonts w:hint="default" w:ascii="Times New Roman" w:hAnsi="Times New Roman" w:eastAsia="宋体" w:cs="Times New Roman"/>
                <w:b/>
                <w:bCs/>
                <w:color w:val="auto"/>
                <w:sz w:val="24"/>
                <w:szCs w:val="21"/>
                <w:highlight w:val="none"/>
                <w:vertAlign w:val="baseline"/>
                <w:lang w:val="en-US" w:eastAsia="zh-CN"/>
              </w:rPr>
              <w:t>表1-1</w:t>
            </w:r>
            <w:r>
              <w:rPr>
                <w:rFonts w:hint="eastAsia" w:cs="Times New Roman"/>
                <w:b/>
                <w:bCs/>
                <w:color w:val="auto"/>
                <w:sz w:val="24"/>
                <w:szCs w:val="21"/>
                <w:highlight w:val="none"/>
                <w:vertAlign w:val="baseline"/>
                <w:lang w:val="en-US" w:eastAsia="zh-CN"/>
              </w:rPr>
              <w:t>1  本项目</w:t>
            </w:r>
            <w:r>
              <w:rPr>
                <w:rFonts w:hint="default" w:ascii="Times New Roman" w:hAnsi="Times New Roman" w:eastAsia="宋体" w:cs="Times New Roman"/>
                <w:b/>
                <w:bCs/>
                <w:color w:val="auto"/>
                <w:sz w:val="24"/>
                <w:szCs w:val="21"/>
                <w:highlight w:val="none"/>
                <w:vertAlign w:val="baseline"/>
                <w:lang w:val="en-US" w:eastAsia="zh-CN"/>
              </w:rPr>
              <w:t>与重庆市、九龙坡区生态环境分区管控要求符合性分析</w:t>
            </w:r>
            <w:bookmarkEnd w:id="3"/>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326"/>
              <w:gridCol w:w="6466"/>
              <w:gridCol w:w="2654"/>
              <w:gridCol w:w="1261"/>
            </w:tblGrid>
            <w:tr w14:paraId="1543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0B2522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环境管控单元编码</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51471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环境管控单元名称</w:t>
                  </w:r>
                </w:p>
              </w:tc>
              <w:tc>
                <w:tcPr>
                  <w:tcW w:w="391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E828B5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环境管控单元类型</w:t>
                  </w:r>
                </w:p>
              </w:tc>
            </w:tr>
            <w:tr w14:paraId="422D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667D256">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ZH50010720002</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385F74">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九龙坡区工业城镇重点管控单元</w:t>
                  </w:r>
                  <w:r>
                    <w:rPr>
                      <w:rFonts w:hint="default" w:ascii="Times New Roman" w:hAnsi="Times New Roman" w:cs="Times New Roman"/>
                      <w:color w:val="auto"/>
                      <w:sz w:val="21"/>
                      <w:szCs w:val="24"/>
                      <w:highlight w:val="none"/>
                    </w:rPr>
                    <w:t>-</w:t>
                  </w:r>
                  <w:r>
                    <w:rPr>
                      <w:rFonts w:hint="default" w:ascii="Times New Roman" w:hAnsi="Times New Roman" w:eastAsia="宋体" w:cs="Times New Roman"/>
                      <w:color w:val="auto"/>
                      <w:sz w:val="21"/>
                      <w:szCs w:val="24"/>
                      <w:highlight w:val="none"/>
                    </w:rPr>
                    <w:t>九龙西城片区</w:t>
                  </w:r>
                </w:p>
              </w:tc>
              <w:tc>
                <w:tcPr>
                  <w:tcW w:w="391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80D8F9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重点管控单元</w:t>
                  </w:r>
                </w:p>
              </w:tc>
            </w:tr>
            <w:tr w14:paraId="5E83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2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95D7C31">
                  <w:pPr>
                    <w:keepNext w:val="0"/>
                    <w:keepLines w:val="0"/>
                    <w:widowControl/>
                    <w:suppressLineNumbers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ZH50010710003</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B8787F">
                  <w:pPr>
                    <w:keepNext w:val="0"/>
                    <w:keepLines w:val="0"/>
                    <w:widowControl/>
                    <w:suppressLineNumbers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长江上游珍稀特有鱼类国家级自然保护区</w:t>
                  </w:r>
                </w:p>
              </w:tc>
              <w:tc>
                <w:tcPr>
                  <w:tcW w:w="391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3D980CF">
                  <w:pPr>
                    <w:keepNext w:val="0"/>
                    <w:keepLines w:val="0"/>
                    <w:widowControl/>
                    <w:suppressLineNumbers w:val="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优先保护单元</w:t>
                  </w:r>
                </w:p>
              </w:tc>
            </w:tr>
            <w:tr w14:paraId="7673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E9F47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管控要求层级</w:t>
                  </w: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0CC20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管控类型</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9DF82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管控要求</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55EF9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项目情况</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3778B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符合性分析</w:t>
                  </w:r>
                </w:p>
              </w:tc>
            </w:tr>
            <w:tr w14:paraId="74AD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4FB464">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优先保护单元市级总体管控要求-自然保护区</w:t>
                  </w: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5B6BD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空间布局约束</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FE8B5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严格执行《中华人民共和国自然保护区条例》等法律法规及规范性文件要求。</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1DBA4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0"/>
                      <w:position w:val="0"/>
                      <w:sz w:val="21"/>
                      <w:szCs w:val="21"/>
                      <w:highlight w:val="none"/>
                      <w:lang w:val="en-US" w:eastAsia="zh-CN" w:bidi="ar"/>
                    </w:rPr>
                    <w:t>本项目改建精炼车间位于现有</w:t>
                  </w:r>
                  <w:r>
                    <w:rPr>
                      <w:rFonts w:hint="default" w:ascii="Times New Roman" w:hAnsi="Times New Roman" w:eastAsia="宋体" w:cs="Times New Roman"/>
                      <w:bCs w:val="0"/>
                      <w:color w:val="auto"/>
                      <w:kern w:val="0"/>
                      <w:sz w:val="21"/>
                      <w:szCs w:val="21"/>
                      <w:highlight w:val="none"/>
                      <w:lang w:val="en-US" w:eastAsia="zh-CN" w:bidi="ar"/>
                    </w:rPr>
                    <w:t>红蜻蜓（重庆）植物油脂有限公司</w:t>
                  </w:r>
                  <w:r>
                    <w:rPr>
                      <w:rFonts w:hint="default" w:ascii="Times New Roman" w:hAnsi="Times New Roman" w:cs="Times New Roman"/>
                      <w:color w:val="auto"/>
                      <w:spacing w:val="0"/>
                      <w:position w:val="0"/>
                      <w:sz w:val="21"/>
                      <w:szCs w:val="21"/>
                      <w:highlight w:val="none"/>
                      <w:lang w:val="en-US" w:eastAsia="zh-CN" w:bidi="ar"/>
                    </w:rPr>
                    <w:t>厂区内，占地与</w:t>
                  </w:r>
                  <w:r>
                    <w:rPr>
                      <w:rFonts w:hint="eastAsia" w:cs="Times New Roman"/>
                      <w:color w:val="auto"/>
                      <w:spacing w:val="0"/>
                      <w:position w:val="0"/>
                      <w:sz w:val="21"/>
                      <w:szCs w:val="21"/>
                      <w:highlight w:val="none"/>
                      <w:lang w:val="en-US" w:eastAsia="zh-CN" w:bidi="ar"/>
                    </w:rPr>
                    <w:t>东南侧</w:t>
                  </w:r>
                  <w:r>
                    <w:rPr>
                      <w:rFonts w:hint="default" w:ascii="Times New Roman" w:hAnsi="Times New Roman" w:cs="Times New Roman"/>
                      <w:color w:val="auto"/>
                      <w:spacing w:val="0"/>
                      <w:position w:val="0"/>
                      <w:sz w:val="21"/>
                      <w:szCs w:val="21"/>
                      <w:highlight w:val="none"/>
                      <w:lang w:val="en-US" w:eastAsia="zh-CN" w:bidi="ar"/>
                    </w:rPr>
                    <w:t>优先保护单元无重叠，</w:t>
                  </w:r>
                  <w:r>
                    <w:rPr>
                      <w:rFonts w:hint="eastAsia" w:cs="Times New Roman"/>
                      <w:color w:val="auto"/>
                      <w:spacing w:val="0"/>
                      <w:position w:val="0"/>
                      <w:sz w:val="21"/>
                      <w:szCs w:val="21"/>
                      <w:highlight w:val="none"/>
                      <w:lang w:val="en-US" w:eastAsia="zh-CN" w:bidi="ar"/>
                    </w:rPr>
                    <w:t>之间</w:t>
                  </w:r>
                  <w:r>
                    <w:rPr>
                      <w:rFonts w:hint="default" w:ascii="Times New Roman" w:hAnsi="Times New Roman" w:cs="Times New Roman"/>
                      <w:color w:val="auto"/>
                      <w:spacing w:val="0"/>
                      <w:position w:val="0"/>
                      <w:sz w:val="21"/>
                      <w:szCs w:val="21"/>
                      <w:highlight w:val="none"/>
                      <w:lang w:val="en-US" w:eastAsia="zh-CN" w:bidi="ar"/>
                    </w:rPr>
                    <w:t>距离约180m；现有厂区存在与优先保护单元-长江上游珍稀特有鱼类国家级自然保护区重叠区域，重叠区域面积0.003hm</w:t>
                  </w:r>
                  <w:r>
                    <w:rPr>
                      <w:rFonts w:hint="default" w:ascii="Times New Roman" w:hAnsi="Times New Roman" w:cs="Times New Roman"/>
                      <w:color w:val="auto"/>
                      <w:spacing w:val="0"/>
                      <w:position w:val="0"/>
                      <w:sz w:val="21"/>
                      <w:szCs w:val="21"/>
                      <w:highlight w:val="none"/>
                      <w:vertAlign w:val="superscript"/>
                      <w:lang w:val="en-US" w:eastAsia="zh-CN" w:bidi="ar"/>
                    </w:rPr>
                    <w:t>2</w:t>
                  </w:r>
                  <w:r>
                    <w:rPr>
                      <w:rFonts w:hint="default" w:ascii="Times New Roman" w:hAnsi="Times New Roman" w:cs="Times New Roman"/>
                      <w:color w:val="auto"/>
                      <w:spacing w:val="0"/>
                      <w:position w:val="0"/>
                      <w:sz w:val="21"/>
                      <w:szCs w:val="21"/>
                      <w:highlight w:val="none"/>
                      <w:lang w:val="en-US" w:eastAsia="zh-CN" w:bidi="ar"/>
                    </w:rPr>
                    <w:t>，其建设内容为2个油储罐（</w:t>
                  </w:r>
                  <w:r>
                    <w:rPr>
                      <w:rFonts w:hint="default" w:ascii="Times New Roman" w:cs="Times New Roman"/>
                      <w:color w:val="auto"/>
                      <w:spacing w:val="0"/>
                      <w:position w:val="0"/>
                      <w:sz w:val="21"/>
                      <w:szCs w:val="21"/>
                      <w:highlight w:val="none"/>
                      <w:lang w:val="en-US" w:eastAsia="zh-CN" w:bidi="ar"/>
                    </w:rPr>
                    <w:t>0Y04#、0Y05#</w:t>
                  </w:r>
                  <w:r>
                    <w:rPr>
                      <w:rFonts w:hint="default" w:ascii="Times New Roman" w:hAnsi="Times New Roman" w:cs="Times New Roman"/>
                      <w:color w:val="auto"/>
                      <w:spacing w:val="0"/>
                      <w:position w:val="0"/>
                      <w:sz w:val="21"/>
                      <w:szCs w:val="21"/>
                      <w:highlight w:val="none"/>
                      <w:lang w:val="en-US" w:eastAsia="zh-CN" w:bidi="ar"/>
                    </w:rPr>
                    <w:t>）；本评价提出退让方案，将与优先保护单元重叠区域内的</w:t>
                  </w:r>
                  <w:r>
                    <w:rPr>
                      <w:rFonts w:hint="eastAsia" w:cs="Times New Roman"/>
                      <w:color w:val="auto"/>
                      <w:spacing w:val="0"/>
                      <w:position w:val="0"/>
                      <w:sz w:val="21"/>
                      <w:szCs w:val="21"/>
                      <w:highlight w:val="none"/>
                      <w:lang w:val="en-US" w:eastAsia="zh-CN" w:bidi="ar"/>
                    </w:rPr>
                    <w:t>2个</w:t>
                  </w:r>
                  <w:r>
                    <w:rPr>
                      <w:rFonts w:hint="default" w:ascii="Times New Roman" w:hAnsi="Times New Roman" w:cs="Times New Roman"/>
                      <w:color w:val="auto"/>
                      <w:spacing w:val="0"/>
                      <w:position w:val="0"/>
                      <w:sz w:val="21"/>
                      <w:szCs w:val="21"/>
                      <w:highlight w:val="none"/>
                      <w:lang w:val="en-US" w:eastAsia="zh-CN" w:bidi="ar"/>
                    </w:rPr>
                    <w:t>储罐（</w:t>
                  </w:r>
                  <w:r>
                    <w:rPr>
                      <w:rFonts w:hint="default" w:ascii="Times New Roman" w:cs="Times New Roman"/>
                      <w:color w:val="auto"/>
                      <w:spacing w:val="0"/>
                      <w:position w:val="0"/>
                      <w:sz w:val="21"/>
                      <w:szCs w:val="21"/>
                      <w:highlight w:val="none"/>
                      <w:lang w:val="en-US" w:eastAsia="zh-CN" w:bidi="ar"/>
                    </w:rPr>
                    <w:t>0Y04#、0Y05#</w:t>
                  </w:r>
                  <w:r>
                    <w:rPr>
                      <w:rFonts w:hint="default" w:ascii="Times New Roman" w:hAnsi="Times New Roman" w:cs="Times New Roman"/>
                      <w:color w:val="auto"/>
                      <w:spacing w:val="0"/>
                      <w:position w:val="0"/>
                      <w:sz w:val="21"/>
                      <w:szCs w:val="21"/>
                      <w:highlight w:val="none"/>
                      <w:lang w:val="en-US" w:eastAsia="zh-CN" w:bidi="ar"/>
                    </w:rPr>
                    <w:t>）转为空置储罐，并封堵其与输油管线，</w:t>
                  </w:r>
                  <w:r>
                    <w:rPr>
                      <w:rFonts w:hint="eastAsia" w:ascii="Times New Roman" w:hAnsi="Times New Roman" w:cs="Times New Roman"/>
                      <w:color w:val="auto"/>
                      <w:spacing w:val="0"/>
                      <w:position w:val="0"/>
                      <w:sz w:val="21"/>
                      <w:szCs w:val="21"/>
                      <w:highlight w:val="none"/>
                      <w:lang w:val="en-US" w:eastAsia="zh-CN" w:bidi="ar"/>
                    </w:rPr>
                    <w:t>重叠区域设置围挡禁止任何人进入，满足</w:t>
                  </w:r>
                  <w:r>
                    <w:rPr>
                      <w:rFonts w:hint="default" w:ascii="Times New Roman" w:hAnsi="Times New Roman" w:eastAsia="宋体" w:cs="Times New Roman"/>
                      <w:color w:val="auto"/>
                      <w:sz w:val="21"/>
                      <w:szCs w:val="24"/>
                      <w:highlight w:val="none"/>
                    </w:rPr>
                    <w:t>《中华人民共和国自然保护区条例》</w:t>
                  </w:r>
                  <w:r>
                    <w:rPr>
                      <w:rFonts w:hint="eastAsia" w:ascii="Times New Roman" w:hAnsi="Times New Roman" w:eastAsia="宋体" w:cs="Times New Roman"/>
                      <w:color w:val="auto"/>
                      <w:sz w:val="21"/>
                      <w:szCs w:val="24"/>
                      <w:highlight w:val="none"/>
                      <w:lang w:val="en-US" w:eastAsia="zh-CN"/>
                    </w:rPr>
                    <w:t>等要求</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1BA1C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符合</w:t>
                  </w:r>
                </w:p>
              </w:tc>
            </w:tr>
            <w:tr w14:paraId="68B3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889429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重点管控单元市级</w:t>
                  </w:r>
                  <w:r>
                    <w:rPr>
                      <w:rFonts w:hint="default" w:ascii="Times New Roman" w:hAnsi="Times New Roman" w:eastAsia="宋体" w:cs="Times New Roman"/>
                      <w:color w:val="auto"/>
                      <w:sz w:val="21"/>
                      <w:szCs w:val="24"/>
                      <w:highlight w:val="none"/>
                    </w:rPr>
                    <w:t>总体管控要求</w:t>
                  </w: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E9AFF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空间布局约束</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top"/>
                </w:tcPr>
                <w:p w14:paraId="048414B0">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第一条深入贯彻习近平生态文明思想，筑牢长江上游重要生态屏障，推动优势区域重点发展、生态功能区重点保护、城乡融合发展，优化重点区域、流域、产业的空间布局。</w:t>
                  </w:r>
                </w:p>
                <w:p w14:paraId="0005C63B">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二条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78B3A5D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三条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3AAED34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四条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1F0216D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第五条新建、扩建有色金属冶炼、电镀、铅蓄电池等企业应布设在依法合规设立并经过规划环评的产业园区。</w:t>
                  </w:r>
                </w:p>
                <w:p w14:paraId="11DB36C1">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第六条涉及环境防护距离的工业企业或项目应通过选址或调整布局原则上将环境防护距离控制在园区边界或用地红线内，提前合理规划项目地块布置、预防环境风险。</w:t>
                  </w:r>
                </w:p>
                <w:p w14:paraId="02C09D9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第七条有效规范空间开发秩序，合理控制空间开发强度，切实将各类开发活动限制在资源环境承载能力之内，为构建高效协调可持续的国土空间开发格局奠定坚实基础。</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9F6CFB">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为</w:t>
                  </w:r>
                  <w:r>
                    <w:rPr>
                      <w:rFonts w:hint="default" w:ascii="Times New Roman" w:hAnsi="Times New Roman" w:cs="Times New Roman"/>
                      <w:color w:val="auto"/>
                      <w:sz w:val="21"/>
                      <w:szCs w:val="24"/>
                      <w:highlight w:val="none"/>
                      <w:lang w:val="en-US" w:eastAsia="zh-CN"/>
                    </w:rPr>
                    <w:t>食用</w:t>
                  </w:r>
                  <w:r>
                    <w:rPr>
                      <w:rFonts w:hint="default" w:ascii="Times New Roman" w:hAnsi="Times New Roman" w:eastAsia="宋体" w:cs="Times New Roman"/>
                      <w:color w:val="auto"/>
                      <w:sz w:val="21"/>
                      <w:szCs w:val="24"/>
                      <w:highlight w:val="none"/>
                      <w:lang w:eastAsia="zh-CN"/>
                    </w:rPr>
                    <w:t>植物油加工</w:t>
                  </w:r>
                  <w:r>
                    <w:rPr>
                      <w:rFonts w:hint="default" w:ascii="Times New Roman" w:hAnsi="Times New Roman" w:eastAsia="宋体" w:cs="Times New Roman"/>
                      <w:color w:val="auto"/>
                      <w:sz w:val="21"/>
                      <w:szCs w:val="24"/>
                      <w:highlight w:val="none"/>
                    </w:rPr>
                    <w:t>，不属于化工项目，不涉及尾矿库、冶炼渣、磷石膏库。项目位于</w:t>
                  </w:r>
                  <w:r>
                    <w:rPr>
                      <w:rFonts w:hint="default" w:ascii="Times New Roman" w:hAnsi="Times New Roman" w:cs="Times New Roman"/>
                      <w:color w:val="auto"/>
                      <w:sz w:val="21"/>
                      <w:szCs w:val="21"/>
                      <w:highlight w:val="none"/>
                      <w:lang w:bidi="ar"/>
                    </w:rPr>
                    <w:t>西部（重庆）科学城九龙新城园区铜罐驿组团</w:t>
                  </w:r>
                  <w:r>
                    <w:rPr>
                      <w:rFonts w:hint="default" w:ascii="Times New Roman" w:hAnsi="Times New Roman" w:eastAsia="宋体" w:cs="Times New Roman"/>
                      <w:color w:val="auto"/>
                      <w:sz w:val="21"/>
                      <w:szCs w:val="24"/>
                      <w:highlight w:val="none"/>
                    </w:rPr>
                    <w:t>，不属于钢铁、石化、化工、焦化、建材、有色、制浆造纸等高污染项目，不属于石化、现代煤化工，不属于“两高”项目。项目位于工业</w:t>
                  </w:r>
                  <w:r>
                    <w:rPr>
                      <w:rFonts w:hint="eastAsia" w:ascii="Times New Roman" w:hAnsi="Times New Roman" w:cs="Times New Roman"/>
                      <w:color w:val="auto"/>
                      <w:sz w:val="21"/>
                      <w:szCs w:val="24"/>
                      <w:highlight w:val="none"/>
                      <w:lang w:val="en-US" w:eastAsia="zh-CN"/>
                    </w:rPr>
                    <w:t>园区</w:t>
                  </w:r>
                  <w:r>
                    <w:rPr>
                      <w:rFonts w:hint="default" w:ascii="Times New Roman" w:hAnsi="Times New Roman" w:eastAsia="宋体" w:cs="Times New Roman"/>
                      <w:color w:val="auto"/>
                      <w:sz w:val="21"/>
                      <w:szCs w:val="24"/>
                      <w:highlight w:val="none"/>
                    </w:rPr>
                    <w:t>。项目不属于有色金属冶炼、电镀、铅蓄电池等企业，不设置环境防护距离。</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40076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0A97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F6997B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5D79FB">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污染物排放管控</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top"/>
                </w:tcPr>
                <w:p w14:paraId="7EAF9474">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八条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6DBA5E5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第九条严格落实国家及我市大气污染防控相关要求，对大气环境质量未达标地区</w:t>
                  </w:r>
                  <w:r>
                    <w:rPr>
                      <w:rFonts w:hint="default" w:ascii="Times New Roman" w:hAnsi="Times New Roman" w:eastAsia="宋体" w:cs="Times New Roman"/>
                      <w:color w:val="auto"/>
                      <w:sz w:val="21"/>
                      <w:szCs w:val="24"/>
                      <w:highlight w:val="none"/>
                      <w:lang w:eastAsia="zh-CN"/>
                    </w:rPr>
                    <w:t>，对</w:t>
                  </w:r>
                  <w:r>
                    <w:rPr>
                      <w:rFonts w:hint="default" w:ascii="Times New Roman" w:hAnsi="Times New Roman" w:eastAsia="宋体" w:cs="Times New Roman"/>
                      <w:color w:val="auto"/>
                      <w:sz w:val="21"/>
                      <w:szCs w:val="24"/>
                      <w:highlight w:val="none"/>
                    </w:rPr>
                    <w:t>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7F1530C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条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689AA3B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一条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42DFDF10">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二条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09C2258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三条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3C55347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四条固体废物污染环境防治坚持减量化、资源化和无害化的原则。产生工业固体废物的单位应当建立健全工业固体废物产生、收集、贮存、运输、利用、处置全过程的污染环境防治责任制度，建立工业固体废物管理台账。</w:t>
                  </w:r>
                </w:p>
                <w:p w14:paraId="28C8EB2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五条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2559D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eastAsia="宋体" w:cs="Times New Roman"/>
                      <w:color w:val="auto"/>
                      <w:sz w:val="21"/>
                      <w:szCs w:val="24"/>
                      <w:highlight w:val="none"/>
                      <w:lang w:eastAsia="zh-CN"/>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不属于石化、煤化工、燃煤发电（含热电）、钢铁、有色金属冶炼、制浆造纸行业，不属于水泥熟料、平板玻璃、电解铝等行业。项目不属于“两高”行业</w:t>
                  </w:r>
                  <w:r>
                    <w:rPr>
                      <w:rFonts w:hint="default" w:ascii="Times New Roman" w:hAnsi="Times New Roman" w:eastAsia="宋体" w:cs="Times New Roman"/>
                      <w:color w:val="auto"/>
                      <w:sz w:val="21"/>
                      <w:szCs w:val="24"/>
                      <w:highlight w:val="none"/>
                      <w:lang w:eastAsia="zh-CN"/>
                    </w:rPr>
                    <w:t>；</w:t>
                  </w:r>
                </w:p>
                <w:p w14:paraId="616D01C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4"/>
                      <w:highlight w:val="none"/>
                    </w:rPr>
                    <w:t>项目所在区域大气环境质量达标，项目为</w:t>
                  </w: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w:t>
                  </w:r>
                  <w:r>
                    <w:rPr>
                      <w:rFonts w:hint="default" w:ascii="Times New Roman" w:hAnsi="Times New Roman" w:eastAsia="宋体" w:cs="Times New Roman"/>
                      <w:color w:val="auto"/>
                      <w:sz w:val="21"/>
                      <w:szCs w:val="24"/>
                      <w:highlight w:val="none"/>
                      <w:lang w:val="en-US" w:eastAsia="zh-CN"/>
                    </w:rPr>
                    <w:t>废气通过优化废气治理设施、废水通过回用后，废气和废水污染物排放量均未新增；</w:t>
                  </w:r>
                </w:p>
                <w:p w14:paraId="4A652AB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eastAsia="新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项目废水经处理后排入</w:t>
                  </w:r>
                  <w:r>
                    <w:rPr>
                      <w:rFonts w:hint="default" w:ascii="Times New Roman" w:hAnsi="Times New Roman" w:eastAsia="宋体" w:cs="Times New Roman"/>
                      <w:color w:val="auto"/>
                      <w:sz w:val="21"/>
                      <w:szCs w:val="21"/>
                      <w:highlight w:val="none"/>
                      <w:lang w:val="en-US" w:eastAsia="zh-CN"/>
                    </w:rPr>
                    <w:t>铜罐驿</w:t>
                  </w:r>
                  <w:r>
                    <w:rPr>
                      <w:rFonts w:hint="default" w:ascii="Times New Roman" w:hAnsi="Times New Roman" w:eastAsia="宋体" w:cs="Times New Roman"/>
                      <w:color w:val="auto"/>
                      <w:sz w:val="21"/>
                      <w:szCs w:val="21"/>
                      <w:highlight w:val="none"/>
                    </w:rPr>
                    <w:t>污水处理厂</w:t>
                  </w:r>
                  <w:r>
                    <w:rPr>
                      <w:rFonts w:hint="default" w:ascii="Times New Roman" w:hAnsi="Times New Roman" w:eastAsia="宋体" w:cs="Times New Roman"/>
                      <w:color w:val="auto"/>
                      <w:sz w:val="21"/>
                      <w:szCs w:val="21"/>
                      <w:highlight w:val="none"/>
                      <w:lang w:val="en-US" w:eastAsia="zh-CN"/>
                    </w:rPr>
                    <w:t>后达</w:t>
                  </w:r>
                  <w:r>
                    <w:rPr>
                      <w:rFonts w:hint="default" w:ascii="Times New Roman" w:hAnsi="Times New Roman" w:eastAsia="新宋体" w:cs="Times New Roman"/>
                      <w:bCs/>
                      <w:color w:val="auto"/>
                      <w:kern w:val="2"/>
                      <w:sz w:val="21"/>
                      <w:szCs w:val="21"/>
                      <w:highlight w:val="none"/>
                      <w:lang w:val="en-US" w:eastAsia="zh-CN" w:bidi="ar-SA"/>
                    </w:rPr>
                    <w:t>《地表水环境质量标准》（GB3838-2002）Ⅳ类标准（其中TN、SS满足《城镇污水处理厂污染物排放标准》（GB18918-2002）一级A标准）后排入金竹沟，最后汇入长江</w:t>
                  </w:r>
                  <w:r>
                    <w:rPr>
                      <w:rFonts w:hint="default" w:ascii="Times New Roman" w:hAnsi="Times New Roman" w:eastAsia="宋体" w:cs="Times New Roman"/>
                      <w:color w:val="auto"/>
                      <w:sz w:val="21"/>
                      <w:szCs w:val="21"/>
                      <w:highlight w:val="none"/>
                      <w:lang w:eastAsia="zh-CN"/>
                    </w:rPr>
                    <w:t>；</w:t>
                  </w:r>
                </w:p>
                <w:p w14:paraId="1B7AD8B1">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eastAsia="宋体" w:cs="Times New Roman"/>
                      <w:color w:val="auto"/>
                      <w:sz w:val="21"/>
                      <w:szCs w:val="24"/>
                      <w:highlight w:val="none"/>
                      <w:lang w:eastAsia="zh-CN"/>
                    </w:rPr>
                  </w:pPr>
                  <w:r>
                    <w:rPr>
                      <w:rFonts w:hint="default" w:ascii="Times New Roman" w:hAnsi="Times New Roman" w:eastAsia="宋体" w:cs="Times New Roman"/>
                      <w:color w:val="auto"/>
                      <w:sz w:val="21"/>
                      <w:szCs w:val="24"/>
                      <w:highlight w:val="none"/>
                    </w:rPr>
                    <w:t>项目不涉及重金属污染物排放</w:t>
                  </w:r>
                  <w:r>
                    <w:rPr>
                      <w:rFonts w:hint="default" w:ascii="Times New Roman" w:hAnsi="Times New Roman" w:eastAsia="宋体" w:cs="Times New Roman"/>
                      <w:color w:val="auto"/>
                      <w:sz w:val="21"/>
                      <w:szCs w:val="24"/>
                      <w:highlight w:val="none"/>
                      <w:lang w:eastAsia="zh-CN"/>
                    </w:rPr>
                    <w:t>；</w:t>
                  </w:r>
                </w:p>
                <w:p w14:paraId="043FF0A0">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eastAsia="宋体" w:cs="Times New Roman"/>
                      <w:color w:val="auto"/>
                      <w:sz w:val="21"/>
                      <w:szCs w:val="24"/>
                      <w:highlight w:val="none"/>
                      <w:lang w:eastAsia="zh-CN"/>
                    </w:rPr>
                  </w:pPr>
                  <w:r>
                    <w:rPr>
                      <w:rFonts w:hint="default" w:ascii="Times New Roman" w:hAnsi="Times New Roman" w:eastAsia="宋体" w:cs="Times New Roman"/>
                      <w:color w:val="auto"/>
                      <w:sz w:val="21"/>
                      <w:szCs w:val="24"/>
                      <w:highlight w:val="none"/>
                    </w:rPr>
                    <w:t>项目应建立健全工业固体废物产生、收集、贮存、运输、利用、处置全过程的污染环境防治责任制度，建立工业固体废物管理台账</w:t>
                  </w:r>
                  <w:r>
                    <w:rPr>
                      <w:rFonts w:hint="default" w:ascii="Times New Roman" w:hAnsi="Times New Roman" w:eastAsia="宋体" w:cs="Times New Roman"/>
                      <w:color w:val="auto"/>
                      <w:sz w:val="21"/>
                      <w:szCs w:val="24"/>
                      <w:highlight w:val="none"/>
                      <w:lang w:eastAsia="zh-CN"/>
                    </w:rPr>
                    <w:t>；</w:t>
                  </w:r>
                </w:p>
                <w:p w14:paraId="18A3A190">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项目生活垃圾分类收集后交环卫部门处置。</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381A7C">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1212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6F57C6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F0515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环境风险防控</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top"/>
                </w:tcPr>
                <w:p w14:paraId="189E002F">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六条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7018082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第十七条强化化工园区涉水突发环境事件四级环境风险防范体系建设。持续推进重点化工园区（化工集中区）建设有毒有害气体监测预警体系和水质生物毒性预警体系。</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5EFBC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eastAsia="宋体" w:cs="Times New Roman"/>
                      <w:color w:val="auto"/>
                      <w:sz w:val="21"/>
                      <w:szCs w:val="24"/>
                      <w:highlight w:val="none"/>
                      <w:lang w:eastAsia="zh-CN"/>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采取相应风险防范措施，建成后应编制环境风险评估报告和应急预案，定期进行应急演练</w:t>
                  </w:r>
                  <w:r>
                    <w:rPr>
                      <w:rFonts w:hint="default" w:ascii="Times New Roman" w:hAnsi="Times New Roman" w:eastAsia="宋体" w:cs="Times New Roman"/>
                      <w:color w:val="auto"/>
                      <w:sz w:val="21"/>
                      <w:szCs w:val="24"/>
                      <w:highlight w:val="none"/>
                      <w:lang w:eastAsia="zh-CN"/>
                    </w:rPr>
                    <w:t>；</w:t>
                  </w:r>
                </w:p>
                <w:p w14:paraId="5A638FA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不在化工园区。</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A4354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108D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A360A06">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840B4B">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资源开发利用效率</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471666">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八条实施能源领域碳达峰碳中和行动，科学有序推动能源生产消费方式绿色低碳变革。实施可再生能源替代，减少化石能源消费。加强产业布局和能耗“双控”政策衔接，促进重点用能领域用能结构优化和能效提升。</w:t>
                  </w:r>
                </w:p>
                <w:p w14:paraId="5A8B2ACE">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十九条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39C968E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第二十条新建、扩建“两高”项目应采用先进适用的工艺技术和装备，单位产品物耗、能耗、水耗等达到清洁生产先进水平。</w:t>
                  </w:r>
                </w:p>
                <w:p w14:paraId="520F99DB">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二十一条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12C6DF5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第二十二条加快推进节水配套设施建设，加强再生水、雨水等非常规水多元、梯级和安全利用，逐年提高非常规水利用比例。结合现有污水处理设施提标升级扩能改造，系统规划城镇污水再生利用设施。</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9F13EE">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为</w:t>
                  </w:r>
                  <w:r>
                    <w:rPr>
                      <w:rFonts w:hint="default" w:ascii="Times New Roman" w:hAnsi="Times New Roman" w:cs="Times New Roman"/>
                      <w:color w:val="auto"/>
                      <w:sz w:val="21"/>
                      <w:szCs w:val="24"/>
                      <w:highlight w:val="none"/>
                      <w:lang w:val="en-US" w:eastAsia="zh-CN"/>
                    </w:rPr>
                    <w:t>食用</w:t>
                  </w:r>
                  <w:r>
                    <w:rPr>
                      <w:rFonts w:hint="default" w:ascii="Times New Roman" w:hAnsi="Times New Roman" w:eastAsia="宋体" w:cs="Times New Roman"/>
                      <w:color w:val="auto"/>
                      <w:sz w:val="21"/>
                      <w:szCs w:val="24"/>
                      <w:highlight w:val="none"/>
                      <w:lang w:eastAsia="zh-CN"/>
                    </w:rPr>
                    <w:t>植物油加工</w:t>
                  </w:r>
                  <w:r>
                    <w:rPr>
                      <w:rFonts w:hint="default" w:ascii="Times New Roman" w:hAnsi="Times New Roman" w:eastAsia="宋体" w:cs="Times New Roman"/>
                      <w:color w:val="auto"/>
                      <w:sz w:val="21"/>
                      <w:szCs w:val="24"/>
                      <w:highlight w:val="none"/>
                    </w:rPr>
                    <w:t>，不属于“两高”项目，项目用水量小。</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78867F">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2936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98C8F55">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九龙坡区总体管控要求</w:t>
                  </w: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6DB72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空间布局约束</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1B4CF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执行重点管控单元市级总体管控要求第一条、第二条、第三条、第四条、第五条和第七条；</w:t>
                  </w:r>
                </w:p>
                <w:p w14:paraId="44FDDE1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以完善优势产业链发展</w:t>
                  </w:r>
                  <w:r>
                    <w:rPr>
                      <w:rFonts w:hint="default" w:ascii="Times New Roman" w:hAnsi="Times New Roman" w:eastAsia="宋体" w:cs="Times New Roman"/>
                      <w:color w:val="auto"/>
                      <w:sz w:val="21"/>
                      <w:szCs w:val="24"/>
                      <w:highlight w:val="none"/>
                      <w:lang w:eastAsia="zh-CN"/>
                    </w:rPr>
                    <w:t>为</w:t>
                  </w:r>
                  <w:r>
                    <w:rPr>
                      <w:rFonts w:hint="default" w:ascii="Times New Roman" w:hAnsi="Times New Roman" w:eastAsia="宋体" w:cs="Times New Roman"/>
                      <w:color w:val="auto"/>
                      <w:sz w:val="21"/>
                      <w:szCs w:val="24"/>
                      <w:highlight w:val="none"/>
                    </w:rPr>
                    <w:t>方向，科学合理优化工业用地空间布局，推进产城融合高质量发展。</w:t>
                  </w:r>
                </w:p>
                <w:p w14:paraId="319C6D46">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F05931">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符合重点管控单元市级总体管控要求；项目不紧邻居住用地、中小学用地。</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F64A11">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3E44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682B15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C23CD4">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污染物排放管控</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B73921">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执行重点管控单元市级总体管控要求第八条、第九条、第十一条、第十二条、第十四条、第十五条。</w:t>
                  </w:r>
                </w:p>
                <w:p w14:paraId="61CF822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以工业涂装、汽车维修、油品储运销等行业为重点，推动重点行业持续提升低（无）VOCs含量、低反应活性的原辅材料替代比例，推进重点监管企业</w:t>
                  </w:r>
                  <w:r>
                    <w:rPr>
                      <w:rFonts w:hint="default" w:ascii="Times New Roman" w:hAnsi="Times New Roman" w:cs="Times New Roman"/>
                      <w:color w:val="auto"/>
                      <w:sz w:val="21"/>
                      <w:szCs w:val="24"/>
                      <w:highlight w:val="none"/>
                    </w:rPr>
                    <w:t>VOCs</w:t>
                  </w:r>
                  <w:r>
                    <w:rPr>
                      <w:rFonts w:hint="default" w:ascii="Times New Roman" w:hAnsi="Times New Roman" w:eastAsia="宋体" w:cs="Times New Roman"/>
                      <w:color w:val="auto"/>
                      <w:sz w:val="21"/>
                      <w:szCs w:val="24"/>
                      <w:highlight w:val="none"/>
                    </w:rPr>
                    <w:t>综合整治。加</w:t>
                  </w:r>
                  <w:r>
                    <w:rPr>
                      <w:rFonts w:hint="default" w:ascii="Times New Roman" w:hAnsi="Times New Roman" w:eastAsia="宋体" w:cs="Times New Roman"/>
                      <w:color w:val="auto"/>
                      <w:sz w:val="21"/>
                      <w:szCs w:val="24"/>
                      <w:highlight w:val="none"/>
                      <w:lang w:eastAsia="zh-CN"/>
                    </w:rPr>
                    <w:t>强对</w:t>
                  </w:r>
                  <w:r>
                    <w:rPr>
                      <w:rFonts w:hint="default" w:ascii="Times New Roman" w:hAnsi="Times New Roman" w:eastAsia="宋体" w:cs="Times New Roman"/>
                      <w:color w:val="auto"/>
                      <w:sz w:val="21"/>
                      <w:szCs w:val="24"/>
                      <w:highlight w:val="none"/>
                    </w:rPr>
                    <w:t>投诉较为集中的重点区域废气排放企业监督检查，加强重点排污企业污染治理设施和在线监控建设和运维。</w:t>
                  </w:r>
                </w:p>
                <w:p w14:paraId="508A518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以餐饮油烟为重点，强化生活污染防治。</w:t>
                  </w:r>
                </w:p>
                <w:p w14:paraId="524AB865">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加大居民生活油烟排放治理，推动具备条件的餐饮单位安装餐饮油烟在线监控设施，加强对重点区域无油烟净化设施露天摊位的管理。</w:t>
                  </w:r>
                </w:p>
                <w:p w14:paraId="04FBF54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以交通和扬尘污染治理为关键，提升环境空气质量。</w:t>
                  </w:r>
                </w:p>
                <w:p w14:paraId="0587BDAE">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p w14:paraId="4A139B3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以“三河六溪”污染综合治理为核心，改善次级河流水质。</w:t>
                  </w:r>
                </w:p>
                <w:p w14:paraId="48A6B8D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p w14:paraId="6469730C">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以农业种植和水产养殖为重点，强化面源污染防治。</w:t>
                  </w:r>
                </w:p>
                <w:p w14:paraId="394E4306">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C1A84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符合重点管控单元市级总体管控要求第八条、第九条、第十一条、第十二条、第十四条、第十五条；项目所在区域属于达标区，严格控制污染物排放总量；项目主要原料为</w:t>
                  </w:r>
                  <w:r>
                    <w:rPr>
                      <w:rFonts w:hint="default" w:ascii="Times New Roman" w:hAnsi="Times New Roman" w:eastAsia="宋体" w:cs="Times New Roman"/>
                      <w:color w:val="auto"/>
                      <w:sz w:val="21"/>
                      <w:szCs w:val="24"/>
                      <w:highlight w:val="none"/>
                      <w:lang w:val="en-US" w:eastAsia="zh-CN"/>
                    </w:rPr>
                    <w:t>毛油</w:t>
                  </w:r>
                  <w:r>
                    <w:rPr>
                      <w:rFonts w:hint="default" w:ascii="Times New Roman" w:hAnsi="Times New Roman" w:eastAsia="宋体" w:cs="Times New Roman"/>
                      <w:color w:val="auto"/>
                      <w:sz w:val="21"/>
                      <w:szCs w:val="24"/>
                      <w:highlight w:val="none"/>
                    </w:rPr>
                    <w:t>，</w:t>
                  </w:r>
                  <w:r>
                    <w:rPr>
                      <w:rFonts w:hint="default" w:ascii="Times New Roman" w:hAnsi="Times New Roman" w:eastAsia="宋体" w:cs="Times New Roman"/>
                      <w:color w:val="auto"/>
                      <w:sz w:val="21"/>
                      <w:szCs w:val="24"/>
                      <w:highlight w:val="none"/>
                      <w:lang w:val="en-US" w:eastAsia="zh-CN"/>
                    </w:rPr>
                    <w:t>精炼加工过程中</w:t>
                  </w:r>
                  <w:r>
                    <w:rPr>
                      <w:rFonts w:hint="default" w:ascii="Times New Roman" w:hAnsi="Times New Roman" w:eastAsia="宋体" w:cs="Times New Roman"/>
                      <w:bCs/>
                      <w:color w:val="auto"/>
                      <w:kern w:val="2"/>
                      <w:sz w:val="21"/>
                      <w:szCs w:val="21"/>
                      <w:highlight w:val="none"/>
                      <w:lang w:val="en-US" w:eastAsia="zh-CN"/>
                    </w:rPr>
                    <w:t>脱臭工段产生废气经</w:t>
                  </w:r>
                  <w:r>
                    <w:rPr>
                      <w:rFonts w:hint="default" w:ascii="Times New Roman" w:hAnsi="Times New Roman" w:cs="Times New Roman"/>
                      <w:bCs/>
                      <w:color w:val="auto"/>
                      <w:kern w:val="2"/>
                      <w:sz w:val="21"/>
                      <w:szCs w:val="21"/>
                      <w:highlight w:val="none"/>
                      <w:lang w:val="en-US" w:eastAsia="zh-CN"/>
                    </w:rPr>
                    <w:t>“</w:t>
                  </w:r>
                  <w:r>
                    <w:rPr>
                      <w:rFonts w:hint="eastAsia" w:cs="Times New Roman"/>
                      <w:bCs/>
                      <w:color w:val="auto"/>
                      <w:kern w:val="2"/>
                      <w:sz w:val="21"/>
                      <w:szCs w:val="21"/>
                      <w:highlight w:val="none"/>
                      <w:lang w:val="en-US" w:eastAsia="zh-CN"/>
                    </w:rPr>
                    <w:t>冰冻冷凝+二级碱喷淋+次氯酸钠喷淋+活性炭吸附</w:t>
                  </w:r>
                  <w:r>
                    <w:rPr>
                      <w:rFonts w:hint="default" w:ascii="Times New Roman" w:hAnsi="Times New Roman" w:cs="Times New Roman"/>
                      <w:bCs/>
                      <w:color w:val="auto"/>
                      <w:kern w:val="2"/>
                      <w:sz w:val="21"/>
                      <w:szCs w:val="21"/>
                      <w:highlight w:val="none"/>
                      <w:lang w:val="en-US" w:eastAsia="zh-CN"/>
                    </w:rPr>
                    <w:t>”</w:t>
                  </w:r>
                  <w:r>
                    <w:rPr>
                      <w:rFonts w:hint="default" w:ascii="Times New Roman" w:hAnsi="Times New Roman" w:eastAsia="宋体" w:cs="Times New Roman"/>
                      <w:bCs/>
                      <w:color w:val="auto"/>
                      <w:kern w:val="2"/>
                      <w:sz w:val="21"/>
                      <w:szCs w:val="21"/>
                      <w:highlight w:val="none"/>
                      <w:lang w:val="en-US" w:eastAsia="zh-CN"/>
                    </w:rPr>
                    <w:t>处理工艺，废气经处理后通过1根</w:t>
                  </w:r>
                  <w:r>
                    <w:rPr>
                      <w:rFonts w:hint="default" w:ascii="Times New Roman" w:hAnsi="Times New Roman" w:cs="Times New Roman"/>
                      <w:bCs/>
                      <w:color w:val="auto"/>
                      <w:kern w:val="2"/>
                      <w:sz w:val="21"/>
                      <w:szCs w:val="21"/>
                      <w:highlight w:val="none"/>
                      <w:lang w:val="en-US" w:eastAsia="zh-CN"/>
                    </w:rPr>
                    <w:t>25</w:t>
                  </w:r>
                  <w:r>
                    <w:rPr>
                      <w:rFonts w:hint="default" w:ascii="Times New Roman" w:hAnsi="Times New Roman" w:eastAsia="宋体" w:cs="Times New Roman"/>
                      <w:bCs/>
                      <w:color w:val="auto"/>
                      <w:kern w:val="2"/>
                      <w:sz w:val="21"/>
                      <w:szCs w:val="21"/>
                      <w:highlight w:val="none"/>
                      <w:lang w:val="en-US" w:eastAsia="zh-CN"/>
                    </w:rPr>
                    <w:t>m高排气筒达标排放；</w:t>
                  </w:r>
                  <w:r>
                    <w:rPr>
                      <w:rFonts w:hint="eastAsia" w:cs="Times New Roman"/>
                      <w:bCs/>
                      <w:color w:val="auto"/>
                      <w:kern w:val="2"/>
                      <w:sz w:val="21"/>
                      <w:szCs w:val="21"/>
                      <w:highlight w:val="none"/>
                      <w:lang w:val="en-US" w:eastAsia="zh-CN"/>
                    </w:rPr>
                    <w:t>本项目</w:t>
                  </w:r>
                  <w:r>
                    <w:rPr>
                      <w:rFonts w:hint="default" w:ascii="Times New Roman" w:hAnsi="Times New Roman" w:eastAsia="宋体" w:cs="Times New Roman"/>
                      <w:color w:val="auto"/>
                      <w:sz w:val="21"/>
                      <w:szCs w:val="24"/>
                      <w:highlight w:val="none"/>
                      <w:lang w:val="en-US" w:eastAsia="zh-CN"/>
                    </w:rPr>
                    <w:t>未新增员工，现有项目食堂油烟达标排放</w:t>
                  </w:r>
                  <w:r>
                    <w:rPr>
                      <w:rFonts w:hint="default" w:ascii="Times New Roman" w:hAnsi="Times New Roman" w:eastAsia="宋体" w:cs="Times New Roman"/>
                      <w:color w:val="auto"/>
                      <w:sz w:val="21"/>
                      <w:szCs w:val="24"/>
                      <w:highlight w:val="none"/>
                    </w:rPr>
                    <w:t>；项目</w:t>
                  </w:r>
                  <w:r>
                    <w:rPr>
                      <w:rFonts w:hint="default" w:ascii="Times New Roman" w:hAnsi="Times New Roman" w:cs="Times New Roman"/>
                      <w:color w:val="auto"/>
                      <w:sz w:val="21"/>
                      <w:szCs w:val="24"/>
                      <w:highlight w:val="none"/>
                      <w:lang w:val="en-US" w:eastAsia="zh-CN"/>
                    </w:rPr>
                    <w:t>在现有用地范围内进行厂房建设</w:t>
                  </w:r>
                  <w:r>
                    <w:rPr>
                      <w:rFonts w:hint="default" w:ascii="Times New Roman" w:hAnsi="Times New Roman" w:eastAsia="宋体" w:cs="Times New Roman"/>
                      <w:color w:val="auto"/>
                      <w:sz w:val="21"/>
                      <w:szCs w:val="24"/>
                      <w:highlight w:val="none"/>
                    </w:rPr>
                    <w:t>，施工期主要为设备安装，产生的扬尘量少；项目不涉及农业种植和水产养殖。</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8924F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4A48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FFAC4BC">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AE1A0E">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环境风险防控</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1C5061">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执行重点管控单元市级总体管控要求第十六条。</w:t>
                  </w:r>
                </w:p>
                <w:p w14:paraId="2BA0009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以保障饮用水源安全为目标，完善区域环境风险措施。</w:t>
                  </w:r>
                </w:p>
                <w:p w14:paraId="22D1C13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加强长江沿江</w:t>
                  </w:r>
                  <w:r>
                    <w:rPr>
                      <w:rFonts w:hint="default" w:ascii="Times New Roman" w:hAnsi="Times New Roman" w:cs="Times New Roman"/>
                      <w:color w:val="auto"/>
                      <w:sz w:val="21"/>
                      <w:szCs w:val="24"/>
                      <w:highlight w:val="none"/>
                    </w:rPr>
                    <w:t>1</w:t>
                  </w:r>
                  <w:r>
                    <w:rPr>
                      <w:rFonts w:hint="default" w:ascii="Times New Roman" w:hAnsi="Times New Roman" w:eastAsia="宋体" w:cs="Times New Roman"/>
                      <w:color w:val="auto"/>
                      <w:sz w:val="21"/>
                      <w:szCs w:val="24"/>
                      <w:highlight w:val="none"/>
                    </w:rPr>
                    <w:t>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p w14:paraId="1B74D49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以保障“一住两公”重点建设用地安全为目标，持续推进污染土壤治理，守牢土地安全利用底线。</w:t>
                  </w:r>
                </w:p>
                <w:p w14:paraId="7F464F5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根据土壤污染状况合理确定土地用途，推进工业企业腾退地块土壤污染状况调查评估及治理修复。未依法完成土壤污染状况调查和风险评估的地块，不得开工建设与风险管控和修复无关的项目。</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415AC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符合重点管控单元市级总体管控要求第十六条；项目不涉及土壤污染状况调查和风险评估。</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D200A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1EF5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E8668E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F636FE">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资源利用效率</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A8B36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执行重点管控单元市级总体管控要求第十八条、第十九条、第二十条、第二十一条。</w:t>
                  </w:r>
                </w:p>
                <w:p w14:paraId="78E803D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以促进产业绿色低碳循环发展为导向，推动减污降碳协同共治。</w:t>
                  </w:r>
                </w:p>
                <w:p w14:paraId="37533E5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结合九龙新城园区西部片区（原西彭工业园区）近零碳园区建设，深化有色金属冶炼及压延加工业、化学原料及化学制品制造业和汽车制造业等行业减污降碳。</w:t>
                  </w:r>
                </w:p>
                <w:p w14:paraId="5E9A631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提升工业、城镇生活、农业节水能力，推进再生水循环利用，提高水资源利用效率。</w:t>
                  </w:r>
                </w:p>
                <w:p w14:paraId="336729D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加强工业节水改造，限制高耗水行业发展，加强重点监控用水单位监管。加强城镇节水，开展公共建筑节水改造、城镇供水管网漏损治理工程。加强农业节水，推进九龙西城西彭镇</w:t>
                  </w:r>
                  <w:r>
                    <w:rPr>
                      <w:rFonts w:hint="default" w:ascii="Times New Roman" w:hAnsi="Times New Roman" w:cs="Times New Roman"/>
                      <w:color w:val="auto"/>
                      <w:sz w:val="21"/>
                      <w:szCs w:val="24"/>
                      <w:highlight w:val="none"/>
                    </w:rPr>
                    <w:t>5000</w:t>
                  </w:r>
                  <w:r>
                    <w:rPr>
                      <w:rFonts w:hint="default" w:ascii="Times New Roman" w:hAnsi="Times New Roman" w:eastAsia="宋体" w:cs="Times New Roman"/>
                      <w:color w:val="auto"/>
                      <w:sz w:val="21"/>
                      <w:szCs w:val="24"/>
                      <w:highlight w:val="none"/>
                    </w:rPr>
                    <w:t>亩农业节水设施建设。深入挖掘非常规水资源开发利用潜力，推进再生水、雨水等非常规水资源的开发利用。</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000B56">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项目符合重点管控单元市级总体管控要求第十八条、第十九条、第二十条、第二十一条；项目用水量少。</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E2655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3E16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8734342">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sz w:val="21"/>
                      <w:szCs w:val="24"/>
                      <w:highlight w:val="none"/>
                    </w:rPr>
                    <w:t>单元管控要求</w:t>
                  </w:r>
                  <w:r>
                    <w:rPr>
                      <w:rFonts w:hint="eastAsia" w:cs="Times New Roman"/>
                      <w:color w:val="auto"/>
                      <w:sz w:val="21"/>
                      <w:szCs w:val="24"/>
                      <w:highlight w:val="none"/>
                      <w:lang w:val="en-US" w:eastAsia="zh-CN"/>
                    </w:rPr>
                    <w:t>-</w:t>
                  </w:r>
                  <w:r>
                    <w:rPr>
                      <w:rFonts w:hint="eastAsia" w:ascii="宋体" w:hAnsi="宋体" w:eastAsia="宋体" w:cs="宋体"/>
                      <w:color w:val="auto"/>
                      <w:kern w:val="0"/>
                      <w:sz w:val="21"/>
                      <w:szCs w:val="21"/>
                      <w:highlight w:val="none"/>
                      <w:lang w:val="en-US" w:eastAsia="zh-CN" w:bidi="ar"/>
                    </w:rPr>
                    <w:t>九龙坡区工业城镇重点管控单元-九龙西城片区（ZH50010</w:t>
                  </w:r>
                </w:p>
                <w:p w14:paraId="72D18E9B">
                  <w:pPr>
                    <w:keepNext w:val="0"/>
                    <w:keepLines w:val="0"/>
                    <w:pageBreakBefore w:val="0"/>
                    <w:widowControl/>
                    <w:kinsoku/>
                    <w:wordWrap/>
                    <w:overflowPunct/>
                    <w:topLinePunct w:val="0"/>
                    <w:autoSpaceDE/>
                    <w:autoSpaceDN/>
                    <w:bidi w:val="0"/>
                    <w:adjustRightInd w:val="0"/>
                    <w:snapToGrid w:val="0"/>
                    <w:spacing w:beforeLines="0" w:afterLines="0"/>
                    <w:ind w:left="0"/>
                    <w:jc w:val="left"/>
                    <w:textAlignment w:val="auto"/>
                    <w:rPr>
                      <w:rFonts w:hint="eastAsia" w:ascii="Times New Roman" w:hAnsi="Times New Roman" w:eastAsia="宋体" w:cs="Times New Roman"/>
                      <w:color w:val="auto"/>
                      <w:sz w:val="21"/>
                      <w:szCs w:val="24"/>
                      <w:highlight w:val="none"/>
                      <w:lang w:val="en-US" w:eastAsia="zh-CN"/>
                    </w:rPr>
                  </w:pPr>
                  <w:r>
                    <w:rPr>
                      <w:rFonts w:hint="eastAsia" w:ascii="宋体" w:hAnsi="宋体" w:eastAsia="宋体" w:cs="宋体"/>
                      <w:color w:val="auto"/>
                      <w:kern w:val="0"/>
                      <w:sz w:val="21"/>
                      <w:szCs w:val="21"/>
                      <w:highlight w:val="none"/>
                      <w:lang w:val="en-US" w:eastAsia="zh-CN" w:bidi="ar"/>
                    </w:rPr>
                    <w:t>720002）</w:t>
                  </w: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BEDD39">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空间布局约束</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7E8B24">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1.</w:t>
                  </w:r>
                  <w:r>
                    <w:rPr>
                      <w:rFonts w:hint="default" w:ascii="Times New Roman" w:hAnsi="Times New Roman" w:eastAsia="宋体" w:cs="Times New Roman"/>
                      <w:color w:val="auto"/>
                      <w:sz w:val="21"/>
                      <w:szCs w:val="24"/>
                      <w:highlight w:val="none"/>
                    </w:rPr>
                    <w:t>紧邻现状及规划居住用地、中小学用地等的工业用地后续引入项目时应考虑以污染较轻的项目为主，禁止新建涉及喷漆、酸洗、熔炼等异味较大的生产工艺项目。2.推动九龙西城新能源、装备制造、新材料等产业往下游延伸；西彭工业园区禁止新建、扩建木质家具制造、报废汽车拆解、平板玻璃制造工业项目。3.重庆奇爽实业（集团）有限公司、红蜻蜓（重庆）植物油脂有限公司、重庆小可食品有限公司、重庆豆奇食品有限公司不再扩大用地规模、不新增污染物排放。</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7F4A6E">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eastAsia" w:eastAsia="宋体" w:cs="Times New Roman"/>
                      <w:color w:val="auto"/>
                      <w:sz w:val="21"/>
                      <w:szCs w:val="24"/>
                      <w:highlight w:val="none"/>
                      <w:lang w:eastAsia="zh-CN"/>
                    </w:rPr>
                  </w:pPr>
                  <w:r>
                    <w:rPr>
                      <w:rFonts w:hint="default" w:ascii="Times New Roman" w:hAnsi="Times New Roman" w:eastAsia="宋体" w:cs="Times New Roman"/>
                      <w:color w:val="auto"/>
                      <w:sz w:val="21"/>
                      <w:szCs w:val="24"/>
                      <w:highlight w:val="none"/>
                    </w:rPr>
                    <w:t>项目不紧邻居住用地、中小学用地</w:t>
                  </w:r>
                  <w:r>
                    <w:rPr>
                      <w:rFonts w:hint="eastAsia" w:eastAsia="宋体" w:cs="Times New Roman"/>
                      <w:color w:val="auto"/>
                      <w:sz w:val="21"/>
                      <w:szCs w:val="24"/>
                      <w:highlight w:val="none"/>
                      <w:lang w:eastAsia="zh-CN"/>
                    </w:rPr>
                    <w:t>，</w:t>
                  </w:r>
                  <w:r>
                    <w:rPr>
                      <w:rFonts w:hint="eastAsia" w:eastAsia="宋体" w:cs="Times New Roman"/>
                      <w:color w:val="auto"/>
                      <w:sz w:val="21"/>
                      <w:szCs w:val="24"/>
                      <w:highlight w:val="none"/>
                      <w:lang w:val="en-US" w:eastAsia="zh-CN"/>
                    </w:rPr>
                    <w:t>不涉及前述</w:t>
                  </w:r>
                  <w:r>
                    <w:rPr>
                      <w:rFonts w:hint="default" w:ascii="Times New Roman" w:hAnsi="Times New Roman" w:eastAsia="宋体" w:cs="Times New Roman"/>
                      <w:color w:val="auto"/>
                      <w:sz w:val="21"/>
                      <w:szCs w:val="24"/>
                      <w:highlight w:val="none"/>
                    </w:rPr>
                    <w:t>喷漆、酸洗、熔炼等异味较大的生产工艺项目</w:t>
                  </w:r>
                  <w:r>
                    <w:rPr>
                      <w:rFonts w:hint="eastAsia" w:eastAsia="宋体" w:cs="Times New Roman"/>
                      <w:color w:val="auto"/>
                      <w:sz w:val="21"/>
                      <w:szCs w:val="24"/>
                      <w:highlight w:val="none"/>
                      <w:lang w:eastAsia="zh-CN"/>
                    </w:rPr>
                    <w:t>；</w:t>
                  </w:r>
                </w:p>
                <w:p w14:paraId="510E6446">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eastAsia" w:eastAsia="宋体" w:cs="Times New Roman"/>
                      <w:color w:val="auto"/>
                      <w:sz w:val="21"/>
                      <w:szCs w:val="24"/>
                      <w:highlight w:val="none"/>
                      <w:lang w:val="en-US" w:eastAsia="zh-CN"/>
                    </w:rPr>
                  </w:pPr>
                  <w:r>
                    <w:rPr>
                      <w:rFonts w:hint="eastAsia" w:eastAsia="宋体" w:cs="Times New Roman"/>
                      <w:color w:val="auto"/>
                      <w:sz w:val="21"/>
                      <w:szCs w:val="24"/>
                      <w:highlight w:val="none"/>
                      <w:lang w:val="en-US" w:eastAsia="zh-CN"/>
                    </w:rPr>
                    <w:t>不在九龙西城、西彭工业园区范围内；</w:t>
                  </w:r>
                </w:p>
                <w:p w14:paraId="1136BE1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lang w:val="en-US"/>
                    </w:rPr>
                  </w:pPr>
                  <w:r>
                    <w:rPr>
                      <w:rFonts w:hint="eastAsia" w:cs="Times New Roman"/>
                      <w:color w:val="auto"/>
                      <w:sz w:val="21"/>
                      <w:szCs w:val="24"/>
                      <w:highlight w:val="none"/>
                      <w:lang w:eastAsia="zh-CN"/>
                    </w:rPr>
                    <w:t>本项目</w:t>
                  </w:r>
                  <w:r>
                    <w:rPr>
                      <w:rFonts w:hint="default" w:ascii="Times New Roman" w:hAnsi="Times New Roman" w:cs="Times New Roman"/>
                      <w:color w:val="auto"/>
                      <w:sz w:val="21"/>
                      <w:szCs w:val="24"/>
                      <w:highlight w:val="none"/>
                    </w:rPr>
                    <w:t>建设单位为红蜻蜓（重庆）植物油脂有限公司，在现有项目用地范围内</w:t>
                  </w:r>
                  <w:r>
                    <w:rPr>
                      <w:rFonts w:hint="eastAsia" w:cs="Times New Roman"/>
                      <w:color w:val="auto"/>
                      <w:sz w:val="21"/>
                      <w:szCs w:val="24"/>
                      <w:highlight w:val="none"/>
                      <w:lang w:val="en-US" w:eastAsia="zh-CN"/>
                    </w:rPr>
                    <w:t>改建</w:t>
                  </w:r>
                  <w:r>
                    <w:rPr>
                      <w:rFonts w:hint="default" w:ascii="Times New Roman" w:hAnsi="Times New Roman" w:cs="Times New Roman"/>
                      <w:color w:val="auto"/>
                      <w:sz w:val="21"/>
                      <w:szCs w:val="24"/>
                      <w:highlight w:val="none"/>
                    </w:rPr>
                    <w:t>，不新增用地</w:t>
                  </w:r>
                  <w:r>
                    <w:rPr>
                      <w:rFonts w:hint="eastAsia" w:cs="Times New Roman"/>
                      <w:color w:val="auto"/>
                      <w:sz w:val="21"/>
                      <w:szCs w:val="24"/>
                      <w:highlight w:val="none"/>
                      <w:lang w:eastAsia="zh-CN"/>
                    </w:rPr>
                    <w:t>、</w:t>
                  </w:r>
                  <w:r>
                    <w:rPr>
                      <w:rFonts w:hint="eastAsia" w:cs="Times New Roman"/>
                      <w:color w:val="auto"/>
                      <w:sz w:val="21"/>
                      <w:szCs w:val="24"/>
                      <w:highlight w:val="none"/>
                      <w:lang w:val="en-US" w:eastAsia="zh-CN"/>
                    </w:rPr>
                    <w:t>不改变用地用途，本项目</w:t>
                  </w:r>
                  <w:r>
                    <w:rPr>
                      <w:rFonts w:hint="default" w:ascii="Times New Roman" w:hAnsi="Times New Roman" w:cs="Times New Roman"/>
                      <w:color w:val="auto"/>
                      <w:sz w:val="21"/>
                      <w:szCs w:val="24"/>
                      <w:highlight w:val="none"/>
                    </w:rPr>
                    <w:t>通过优化废气治理措施和采取废水回用的方式</w:t>
                  </w:r>
                  <w:r>
                    <w:rPr>
                      <w:rFonts w:hint="eastAsia" w:cs="Times New Roman"/>
                      <w:color w:val="auto"/>
                      <w:sz w:val="21"/>
                      <w:szCs w:val="24"/>
                      <w:highlight w:val="none"/>
                      <w:lang w:val="en-US" w:eastAsia="zh-CN"/>
                    </w:rPr>
                    <w:t>减少污染物排放</w:t>
                  </w:r>
                  <w:r>
                    <w:rPr>
                      <w:rFonts w:hint="eastAsia" w:cs="Times New Roman"/>
                      <w:color w:val="auto"/>
                      <w:sz w:val="21"/>
                      <w:szCs w:val="24"/>
                      <w:highlight w:val="none"/>
                      <w:lang w:eastAsia="zh-CN"/>
                    </w:rPr>
                    <w:t>，</w:t>
                  </w:r>
                  <w:r>
                    <w:rPr>
                      <w:rFonts w:hint="eastAsia" w:cs="Times New Roman"/>
                      <w:color w:val="auto"/>
                      <w:sz w:val="21"/>
                      <w:szCs w:val="24"/>
                      <w:highlight w:val="none"/>
                      <w:lang w:val="en-US" w:eastAsia="zh-CN"/>
                    </w:rPr>
                    <w:t>故本次改建项目未扩大用地范围、未新增污染物排放，符合左列项目</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874B35">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3C00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8D9CCB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091003">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污染物排放管控</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F5C9FC">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1.</w:t>
                  </w:r>
                  <w:r>
                    <w:rPr>
                      <w:rFonts w:hint="default" w:ascii="Times New Roman" w:hAnsi="Times New Roman" w:eastAsia="宋体" w:cs="Times New Roman"/>
                      <w:color w:val="auto"/>
                      <w:sz w:val="21"/>
                      <w:szCs w:val="24"/>
                      <w:highlight w:val="none"/>
                    </w:rPr>
                    <w:t>推动重点行业持续提升低（无）VOCs含量、低反应活性的原辅材料替代比例，推进重点监管企业VOCs综合整治，加强重点排污企业污染治理设施和在线监控建设和运维。2.推进西彭工业园区污水处理厂提标扩建工程。新改建铜罐驿沿江片区、西彭镇和陶家镇等区域污水管网，改造管网错混接点；推进铜罐驿污水处理厂配套管网建设工作。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4.加强施工扬尘监管，逐步推进建筑面积2万平方米以上的工地安装在线监控系统。</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9B2F1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使用的原辅材料</w:t>
                  </w:r>
                  <w:r>
                    <w:rPr>
                      <w:rFonts w:hint="default" w:ascii="Times New Roman" w:hAnsi="Times New Roman" w:eastAsia="宋体" w:cs="Times New Roman"/>
                      <w:color w:val="auto"/>
                      <w:sz w:val="21"/>
                      <w:szCs w:val="24"/>
                      <w:highlight w:val="none"/>
                      <w:lang w:val="en-US" w:eastAsia="zh-CN"/>
                    </w:rPr>
                    <w:t>为毛油</w:t>
                  </w:r>
                  <w:r>
                    <w:rPr>
                      <w:rFonts w:hint="default" w:ascii="Times New Roman" w:hAnsi="Times New Roman" w:eastAsia="宋体" w:cs="Times New Roman"/>
                      <w:color w:val="auto"/>
                      <w:sz w:val="21"/>
                      <w:szCs w:val="24"/>
                      <w:highlight w:val="none"/>
                    </w:rPr>
                    <w:t>，</w:t>
                  </w:r>
                  <w:r>
                    <w:rPr>
                      <w:rFonts w:hint="default" w:ascii="Times New Roman" w:hAnsi="Times New Roman" w:eastAsia="宋体" w:cs="Times New Roman"/>
                      <w:color w:val="auto"/>
                      <w:sz w:val="21"/>
                      <w:szCs w:val="24"/>
                      <w:highlight w:val="none"/>
                      <w:lang w:val="en-US" w:eastAsia="zh-CN"/>
                    </w:rPr>
                    <w:t>挥发性废气主要为精炼加工废气，产生量较少</w:t>
                  </w:r>
                  <w:r>
                    <w:rPr>
                      <w:rFonts w:hint="default" w:ascii="Times New Roman" w:hAnsi="Times New Roman" w:eastAsia="宋体" w:cs="Times New Roman"/>
                      <w:color w:val="auto"/>
                      <w:sz w:val="21"/>
                      <w:szCs w:val="24"/>
                      <w:highlight w:val="none"/>
                    </w:rPr>
                    <w:t>；项目所在区域污水管网已建好，项目污废水经预处理达标后排入</w:t>
                  </w:r>
                  <w:r>
                    <w:rPr>
                      <w:rFonts w:hint="default" w:ascii="Times New Roman" w:hAnsi="Times New Roman" w:eastAsia="宋体" w:cs="Times New Roman"/>
                      <w:color w:val="auto"/>
                      <w:sz w:val="21"/>
                      <w:szCs w:val="24"/>
                      <w:highlight w:val="none"/>
                      <w:lang w:val="en-US" w:eastAsia="zh-CN"/>
                    </w:rPr>
                    <w:t>铜罐驿</w:t>
                  </w:r>
                  <w:r>
                    <w:rPr>
                      <w:rFonts w:hint="default" w:ascii="Times New Roman" w:hAnsi="Times New Roman" w:eastAsia="宋体" w:cs="Times New Roman"/>
                      <w:color w:val="auto"/>
                      <w:sz w:val="21"/>
                      <w:szCs w:val="24"/>
                      <w:highlight w:val="none"/>
                    </w:rPr>
                    <w:t>污水处理厂处理；</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20B66A">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7D60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F5795C">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D3457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环境风险防控</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93A9BB">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1.</w:t>
                  </w:r>
                  <w:r>
                    <w:rPr>
                      <w:rFonts w:hint="default" w:ascii="Times New Roman" w:hAnsi="Times New Roman" w:eastAsia="宋体" w:cs="Times New Roman"/>
                      <w:color w:val="auto"/>
                      <w:sz w:val="21"/>
                      <w:szCs w:val="24"/>
                      <w:highlight w:val="none"/>
                    </w:rPr>
                    <w:t>西彭组团和铜罐驿组团沿江1km范围内规划仓储用地禁止新引入从事危险化学品储存、运输的仓储物流项目。2.禁止新建、扩建化工项目。3.推进铜罐驿组团金竹沟闸坝的修建。4.西彭工业园区应与下游饮用水水源取水口运营单位建立水源地突发环境事件应急联动机制。5.禁止新建、扩建排放废水含有五类重金属（铬、镉、汞、砷、铅）、剧毒物质和持久性有机污染物的工业项目。</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54647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eastAsia="宋体" w:cs="Times New Roman"/>
                      <w:color w:val="auto"/>
                      <w:sz w:val="21"/>
                      <w:szCs w:val="24"/>
                      <w:highlight w:val="none"/>
                      <w:lang w:eastAsia="zh-CN"/>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位于</w:t>
                  </w:r>
                  <w:r>
                    <w:rPr>
                      <w:rFonts w:hint="default" w:ascii="Times New Roman" w:hAnsi="Times New Roman" w:eastAsia="宋体" w:cs="Times New Roman"/>
                      <w:color w:val="auto"/>
                      <w:sz w:val="21"/>
                      <w:szCs w:val="24"/>
                      <w:highlight w:val="none"/>
                      <w:lang w:val="en-US" w:eastAsia="zh-CN"/>
                    </w:rPr>
                    <w:t>铜罐驿</w:t>
                  </w:r>
                  <w:r>
                    <w:rPr>
                      <w:rFonts w:hint="default" w:ascii="Times New Roman" w:hAnsi="Times New Roman" w:eastAsia="宋体" w:cs="Times New Roman"/>
                      <w:color w:val="auto"/>
                      <w:sz w:val="21"/>
                      <w:szCs w:val="24"/>
                      <w:highlight w:val="none"/>
                    </w:rPr>
                    <w:t>组团，</w:t>
                  </w:r>
                  <w:r>
                    <w:rPr>
                      <w:rFonts w:hint="eastAsia" w:cs="Times New Roman"/>
                      <w:color w:val="auto"/>
                      <w:sz w:val="21"/>
                      <w:szCs w:val="24"/>
                      <w:highlight w:val="none"/>
                      <w:lang w:val="en-US" w:eastAsia="zh-CN"/>
                    </w:rPr>
                    <w:t>用地已取得</w:t>
                  </w:r>
                  <w:r>
                    <w:rPr>
                      <w:rFonts w:hint="default" w:ascii="Times New Roman" w:hAnsi="Times New Roman" w:cs="Times New Roman"/>
                      <w:color w:val="auto"/>
                      <w:sz w:val="21"/>
                      <w:szCs w:val="24"/>
                      <w:highlight w:val="none"/>
                    </w:rPr>
                    <w:t>建设用地规划许可证</w:t>
                  </w:r>
                  <w:r>
                    <w:rPr>
                      <w:rFonts w:hint="eastAsia" w:cs="Times New Roman"/>
                      <w:color w:val="auto"/>
                      <w:sz w:val="21"/>
                      <w:szCs w:val="24"/>
                      <w:highlight w:val="none"/>
                      <w:lang w:eastAsia="zh-CN"/>
                    </w:rPr>
                    <w:t>，</w:t>
                  </w:r>
                  <w:r>
                    <w:rPr>
                      <w:rFonts w:hint="eastAsia" w:cs="Times New Roman"/>
                      <w:color w:val="auto"/>
                      <w:sz w:val="21"/>
                      <w:szCs w:val="24"/>
                      <w:highlight w:val="none"/>
                      <w:lang w:val="en-US" w:eastAsia="zh-CN"/>
                    </w:rPr>
                    <w:t>用地性质为工业用地，不属于</w:t>
                  </w:r>
                  <w:r>
                    <w:rPr>
                      <w:rFonts w:hint="default" w:ascii="Times New Roman" w:hAnsi="Times New Roman" w:eastAsia="宋体" w:cs="Times New Roman"/>
                      <w:color w:val="auto"/>
                      <w:sz w:val="21"/>
                      <w:szCs w:val="24"/>
                      <w:highlight w:val="none"/>
                    </w:rPr>
                    <w:t>仓储用地</w:t>
                  </w:r>
                  <w:r>
                    <w:rPr>
                      <w:rFonts w:hint="eastAsia" w:cs="Times New Roman"/>
                      <w:color w:val="auto"/>
                      <w:sz w:val="21"/>
                      <w:szCs w:val="24"/>
                      <w:highlight w:val="none"/>
                      <w:lang w:eastAsia="zh-CN"/>
                    </w:rPr>
                    <w:t>；</w:t>
                  </w:r>
                  <w:r>
                    <w:rPr>
                      <w:rFonts w:hint="default" w:ascii="Times New Roman" w:hAnsi="Times New Roman" w:eastAsia="宋体" w:cs="Times New Roman"/>
                      <w:color w:val="auto"/>
                      <w:sz w:val="21"/>
                      <w:szCs w:val="24"/>
                      <w:highlight w:val="none"/>
                    </w:rPr>
                    <w:t>不属于排放废水含有五类重金属（铬、镉、汞、砷、铅）、剧毒物质和持久性有机污染物的工业项目</w:t>
                  </w:r>
                  <w:r>
                    <w:rPr>
                      <w:rFonts w:hint="default" w:ascii="Times New Roman" w:hAnsi="Times New Roman" w:eastAsia="宋体" w:cs="Times New Roman"/>
                      <w:color w:val="auto"/>
                      <w:sz w:val="21"/>
                      <w:szCs w:val="24"/>
                      <w:highlight w:val="none"/>
                      <w:lang w:eastAsia="zh-CN"/>
                    </w:rPr>
                    <w:t>。</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EEC23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10BE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C5C416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AEC12C">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资源开发效率要求</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65520F">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1.</w:t>
                  </w:r>
                  <w:r>
                    <w:rPr>
                      <w:rFonts w:hint="default" w:ascii="Times New Roman" w:hAnsi="Times New Roman" w:eastAsia="宋体" w:cs="Times New Roman"/>
                      <w:color w:val="auto"/>
                      <w:sz w:val="21"/>
                      <w:szCs w:val="24"/>
                      <w:highlight w:val="none"/>
                    </w:rPr>
                    <w:t>禁止新建、扩建燃用煤、重油等高污染燃料的工业项目，重庆和友实业股份有限公司不再新增燃煤总量。2.新建和改、扩建的工业项目清洁生产水平应达到国内先进水平。3.提高有色金属冶炼及压延加工业、化学原料及化学制品制造业和汽车制造业等工业企业的节能水平，降低区域的能耗强度。加强重点行业能效管理，升级工艺技术，提高用能设备能效水平。4.加强工业节水改造，限制高耗水行业发展，加强重点监控用水单位监管。加强城镇节水，开展公共建筑节水改造、城镇供水管网漏损治理工程。</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E8B556">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ascii="Times New Roman" w:hAnsi="Times New Roman" w:cs="Times New Roman"/>
                      <w:color w:val="auto"/>
                      <w:sz w:val="21"/>
                      <w:szCs w:val="24"/>
                      <w:highlight w:val="none"/>
                    </w:rPr>
                  </w:pPr>
                  <w:r>
                    <w:rPr>
                      <w:rFonts w:hint="eastAsia" w:cs="Times New Roman"/>
                      <w:color w:val="auto"/>
                      <w:sz w:val="21"/>
                      <w:szCs w:val="24"/>
                      <w:highlight w:val="none"/>
                      <w:lang w:val="en-US" w:eastAsia="zh-CN"/>
                    </w:rPr>
                    <w:t>本项目</w:t>
                  </w:r>
                  <w:r>
                    <w:rPr>
                      <w:rFonts w:hint="default" w:ascii="Times New Roman" w:hAnsi="Times New Roman" w:eastAsia="宋体" w:cs="Times New Roman"/>
                      <w:color w:val="auto"/>
                      <w:sz w:val="21"/>
                      <w:szCs w:val="24"/>
                      <w:highlight w:val="none"/>
                    </w:rPr>
                    <w:t>使用电能</w:t>
                  </w:r>
                  <w:r>
                    <w:rPr>
                      <w:rFonts w:hint="default" w:ascii="Times New Roman" w:hAnsi="Times New Roman" w:eastAsia="宋体" w:cs="Times New Roman"/>
                      <w:color w:val="auto"/>
                      <w:sz w:val="21"/>
                      <w:szCs w:val="24"/>
                      <w:highlight w:val="none"/>
                      <w:lang w:val="en-US" w:eastAsia="zh-CN"/>
                    </w:rPr>
                    <w:t>和天然气</w:t>
                  </w:r>
                  <w:r>
                    <w:rPr>
                      <w:rFonts w:hint="default" w:ascii="Times New Roman" w:hAnsi="Times New Roman" w:eastAsia="宋体" w:cs="Times New Roman"/>
                      <w:color w:val="auto"/>
                      <w:sz w:val="21"/>
                      <w:szCs w:val="24"/>
                      <w:highlight w:val="none"/>
                    </w:rPr>
                    <w:t>，不使用煤、重油等高污染燃料；项目清洁生产水平达到国内先进水平；项目不属于高耗水行业。</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FE53C5">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r>
                    <w:rPr>
                      <w:rFonts w:hint="default" w:ascii="Times New Roman" w:hAnsi="Times New Roman" w:eastAsia="宋体" w:cs="Times New Roman"/>
                      <w:color w:val="auto"/>
                      <w:sz w:val="21"/>
                      <w:szCs w:val="24"/>
                      <w:highlight w:val="none"/>
                    </w:rPr>
                    <w:t>符合</w:t>
                  </w:r>
                </w:p>
              </w:tc>
            </w:tr>
            <w:tr w14:paraId="446F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restart"/>
                  <w:tcBorders>
                    <w:top w:val="single" w:color="auto" w:sz="4" w:space="0"/>
                    <w:left w:val="single" w:color="auto" w:sz="4" w:space="0"/>
                    <w:right w:val="single" w:color="auto" w:sz="4" w:space="0"/>
                    <w:tl2br w:val="nil"/>
                    <w:tr2bl w:val="nil"/>
                  </w:tcBorders>
                  <w:noWrap w:val="0"/>
                  <w:vAlign w:val="center"/>
                </w:tcPr>
                <w:p w14:paraId="39279767">
                  <w:pPr>
                    <w:keepNext w:val="0"/>
                    <w:keepLines w:val="0"/>
                    <w:widowControl/>
                    <w:suppressLineNumbers w:val="0"/>
                    <w:jc w:val="left"/>
                    <w:rPr>
                      <w:color w:val="auto"/>
                      <w:highlight w:val="none"/>
                    </w:rPr>
                  </w:pPr>
                  <w:r>
                    <w:rPr>
                      <w:rFonts w:hint="default" w:ascii="Times New Roman" w:hAnsi="Times New Roman" w:eastAsia="宋体" w:cs="Times New Roman"/>
                      <w:color w:val="auto"/>
                      <w:sz w:val="21"/>
                      <w:szCs w:val="24"/>
                      <w:highlight w:val="none"/>
                    </w:rPr>
                    <w:t>单元管控要求</w:t>
                  </w:r>
                  <w:r>
                    <w:rPr>
                      <w:rFonts w:hint="eastAsia" w:cs="Times New Roman"/>
                      <w:color w:val="auto"/>
                      <w:sz w:val="21"/>
                      <w:szCs w:val="24"/>
                      <w:highlight w:val="none"/>
                      <w:lang w:val="en-US" w:eastAsia="zh-CN"/>
                    </w:rPr>
                    <w:t>-</w:t>
                  </w:r>
                  <w:r>
                    <w:rPr>
                      <w:rFonts w:hint="eastAsia" w:ascii="宋体" w:hAnsi="宋体" w:eastAsia="宋体" w:cs="宋体"/>
                      <w:color w:val="auto"/>
                      <w:kern w:val="0"/>
                      <w:sz w:val="21"/>
                      <w:szCs w:val="21"/>
                      <w:highlight w:val="none"/>
                      <w:lang w:val="en-US" w:eastAsia="zh-CN" w:bidi="ar"/>
                    </w:rPr>
                    <w:t>长江上游珍稀特有鱼类国家级自然保护区</w:t>
                  </w:r>
                </w:p>
                <w:p w14:paraId="4678C178">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（ZH50010</w:t>
                  </w:r>
                </w:p>
                <w:p w14:paraId="692CC7E5">
                  <w:pPr>
                    <w:keepNext w:val="0"/>
                    <w:keepLines w:val="0"/>
                    <w:widowControl/>
                    <w:suppressLineNumbers w:val="0"/>
                    <w:jc w:val="left"/>
                    <w:rPr>
                      <w:rFonts w:hint="default" w:ascii="Times New Roman" w:hAnsi="Times New Roman" w:cs="Times New Roman"/>
                      <w:color w:val="auto"/>
                      <w:sz w:val="21"/>
                      <w:szCs w:val="24"/>
                      <w:highlight w:val="none"/>
                    </w:rPr>
                  </w:pPr>
                  <w:r>
                    <w:rPr>
                      <w:rFonts w:hint="eastAsia" w:ascii="宋体" w:hAnsi="宋体" w:eastAsia="宋体" w:cs="宋体"/>
                      <w:color w:val="auto"/>
                      <w:kern w:val="0"/>
                      <w:sz w:val="21"/>
                      <w:szCs w:val="21"/>
                      <w:highlight w:val="none"/>
                      <w:lang w:val="en-US" w:eastAsia="zh-CN" w:bidi="ar"/>
                    </w:rPr>
                    <w:t>710003）</w:t>
                  </w: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9507EC">
                  <w:pPr>
                    <w:pStyle w:val="45"/>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空间布局约束</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B37571">
                  <w:pPr>
                    <w:keepNext w:val="0"/>
                    <w:keepLines w:val="0"/>
                    <w:widowControl/>
                    <w:suppressLineNumbers w:val="0"/>
                    <w:jc w:val="left"/>
                    <w:rPr>
                      <w:rFonts w:hint="default" w:ascii="Times New Roman" w:hAnsi="Times New Roman" w:cs="Times New Roman"/>
                      <w:color w:val="auto"/>
                      <w:sz w:val="21"/>
                      <w:szCs w:val="24"/>
                      <w:highlight w:val="none"/>
                    </w:rPr>
                  </w:pPr>
                  <w:r>
                    <w:rPr>
                      <w:rFonts w:hint="eastAsia" w:ascii="宋体" w:hAnsi="宋体" w:eastAsia="宋体" w:cs="宋体"/>
                      <w:color w:val="auto"/>
                      <w:kern w:val="0"/>
                      <w:sz w:val="21"/>
                      <w:szCs w:val="21"/>
                      <w:highlight w:val="none"/>
                      <w:lang w:val="en-US" w:eastAsia="zh-CN" w:bidi="ar"/>
                    </w:rPr>
                    <w:t>1.执行优先保护单元市级总体管控要求。</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64B2B4">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cs="Times New Roman"/>
                      <w:color w:val="auto"/>
                      <w:sz w:val="21"/>
                      <w:szCs w:val="24"/>
                      <w:highlight w:val="none"/>
                      <w:lang w:val="en-US" w:eastAsia="zh-CN"/>
                    </w:rPr>
                  </w:pPr>
                  <w:r>
                    <w:rPr>
                      <w:rFonts w:hint="eastAsia" w:cs="Times New Roman"/>
                      <w:color w:val="auto"/>
                      <w:sz w:val="21"/>
                      <w:szCs w:val="24"/>
                      <w:highlight w:val="none"/>
                      <w:lang w:val="en-US" w:eastAsia="zh-CN"/>
                    </w:rPr>
                    <w:t>根据前述分析，本项目符合</w:t>
                  </w:r>
                  <w:r>
                    <w:rPr>
                      <w:rFonts w:hint="eastAsia" w:ascii="宋体" w:hAnsi="宋体" w:eastAsia="宋体" w:cs="宋体"/>
                      <w:color w:val="auto"/>
                      <w:kern w:val="0"/>
                      <w:sz w:val="21"/>
                      <w:szCs w:val="21"/>
                      <w:highlight w:val="none"/>
                      <w:lang w:val="en-US" w:eastAsia="zh-CN" w:bidi="ar"/>
                    </w:rPr>
                    <w:t>优先保护单元市级总体管控要求</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C83B0C">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符合</w:t>
                  </w:r>
                </w:p>
              </w:tc>
            </w:tr>
            <w:tr w14:paraId="4446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left w:val="single" w:color="auto" w:sz="4" w:space="0"/>
                    <w:right w:val="single" w:color="auto" w:sz="4" w:space="0"/>
                    <w:tl2br w:val="nil"/>
                    <w:tr2bl w:val="nil"/>
                  </w:tcBorders>
                  <w:noWrap w:val="0"/>
                  <w:vAlign w:val="center"/>
                </w:tcPr>
                <w:p w14:paraId="3719C11E">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574B88">
                  <w:pPr>
                    <w:pStyle w:val="45"/>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污染物排放管控</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0B18B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B18CAF">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cs="Times New Roman"/>
                      <w:color w:val="auto"/>
                      <w:sz w:val="21"/>
                      <w:szCs w:val="24"/>
                      <w:highlight w:val="none"/>
                      <w:lang w:val="en-US" w:eastAsia="zh-CN"/>
                    </w:rPr>
                  </w:pPr>
                  <w:r>
                    <w:rPr>
                      <w:rFonts w:hint="eastAsia" w:cs="Times New Roman"/>
                      <w:color w:val="auto"/>
                      <w:sz w:val="21"/>
                      <w:szCs w:val="24"/>
                      <w:highlight w:val="none"/>
                      <w:lang w:val="en-US" w:eastAsia="zh-CN"/>
                    </w:rPr>
                    <w:t>/</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72E11C">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w:t>
                  </w:r>
                </w:p>
              </w:tc>
            </w:tr>
            <w:tr w14:paraId="0300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left w:val="single" w:color="auto" w:sz="4" w:space="0"/>
                    <w:right w:val="single" w:color="auto" w:sz="4" w:space="0"/>
                    <w:tl2br w:val="nil"/>
                    <w:tr2bl w:val="nil"/>
                  </w:tcBorders>
                  <w:noWrap w:val="0"/>
                  <w:vAlign w:val="center"/>
                </w:tcPr>
                <w:p w14:paraId="5FEB7047">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94EA84">
                  <w:pPr>
                    <w:pStyle w:val="45"/>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环境风险防控</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CD64D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6E8048">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cs="Times New Roman"/>
                      <w:color w:val="auto"/>
                      <w:sz w:val="21"/>
                      <w:szCs w:val="24"/>
                      <w:highlight w:val="none"/>
                      <w:lang w:val="en-US" w:eastAsia="zh-CN"/>
                    </w:rPr>
                  </w:pPr>
                  <w:r>
                    <w:rPr>
                      <w:rFonts w:hint="eastAsia" w:cs="Times New Roman"/>
                      <w:color w:val="auto"/>
                      <w:sz w:val="21"/>
                      <w:szCs w:val="24"/>
                      <w:highlight w:val="none"/>
                      <w:lang w:val="en-US" w:eastAsia="zh-CN"/>
                    </w:rPr>
                    <w:t>/</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8895E4">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w:t>
                  </w:r>
                </w:p>
              </w:tc>
            </w:tr>
            <w:tr w14:paraId="0462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5" w:type="dxa"/>
                  <w:vMerge w:val="continue"/>
                  <w:tcBorders>
                    <w:left w:val="single" w:color="auto" w:sz="4" w:space="0"/>
                    <w:bottom w:val="single" w:color="auto" w:sz="4" w:space="0"/>
                    <w:right w:val="single" w:color="auto" w:sz="4" w:space="0"/>
                    <w:tl2br w:val="nil"/>
                    <w:tr2bl w:val="nil"/>
                  </w:tcBorders>
                  <w:noWrap w:val="0"/>
                  <w:vAlign w:val="center"/>
                </w:tcPr>
                <w:p w14:paraId="239DB21D">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default" w:ascii="Times New Roman" w:hAnsi="Times New Roman" w:cs="Times New Roman"/>
                      <w:color w:val="auto"/>
                      <w:sz w:val="21"/>
                      <w:szCs w:val="24"/>
                      <w:highlight w:val="none"/>
                    </w:rPr>
                  </w:pPr>
                </w:p>
              </w:tc>
              <w:tc>
                <w:tcPr>
                  <w:tcW w:w="132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0D2487">
                  <w:pPr>
                    <w:pStyle w:val="45"/>
                    <w:keepNext w:val="0"/>
                    <w:keepLines w:val="0"/>
                    <w:pageBreakBefore w:val="0"/>
                    <w:widowControl w:val="0"/>
                    <w:kinsoku/>
                    <w:wordWrap/>
                    <w:overflowPunct/>
                    <w:topLinePunct w:val="0"/>
                    <w:autoSpaceDE/>
                    <w:autoSpaceDN/>
                    <w:bidi w:val="0"/>
                    <w:adjustRightInd w:val="0"/>
                    <w:snapToGrid w:val="0"/>
                    <w:spacing w:beforeLines="0" w:afterLines="0"/>
                    <w:ind w:left="0" w:leftChars="0" w:firstLine="0" w:firstLineChars="0"/>
                    <w:jc w:val="center"/>
                    <w:textAlignment w:val="auto"/>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资源开发效率要求</w:t>
                  </w:r>
                </w:p>
              </w:tc>
              <w:tc>
                <w:tcPr>
                  <w:tcW w:w="64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E50A02">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w:t>
                  </w:r>
                </w:p>
              </w:tc>
              <w:tc>
                <w:tcPr>
                  <w:tcW w:w="265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4CDC8E">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both"/>
                    <w:textAlignment w:val="auto"/>
                    <w:rPr>
                      <w:rFonts w:hint="default" w:cs="Times New Roman"/>
                      <w:color w:val="auto"/>
                      <w:sz w:val="21"/>
                      <w:szCs w:val="24"/>
                      <w:highlight w:val="none"/>
                      <w:lang w:val="en-US" w:eastAsia="zh-CN"/>
                    </w:rPr>
                  </w:pPr>
                  <w:r>
                    <w:rPr>
                      <w:rFonts w:hint="eastAsia" w:cs="Times New Roman"/>
                      <w:color w:val="auto"/>
                      <w:sz w:val="21"/>
                      <w:szCs w:val="24"/>
                      <w:highlight w:val="none"/>
                      <w:lang w:val="en-US" w:eastAsia="zh-CN"/>
                    </w:rPr>
                    <w:t>/</w:t>
                  </w:r>
                </w:p>
              </w:tc>
              <w:tc>
                <w:tcPr>
                  <w:tcW w:w="12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5EBAA0">
                  <w:pPr>
                    <w:pStyle w:val="45"/>
                    <w:keepNext w:val="0"/>
                    <w:keepLines w:val="0"/>
                    <w:pageBreakBefore w:val="0"/>
                    <w:widowControl w:val="0"/>
                    <w:kinsoku/>
                    <w:wordWrap/>
                    <w:overflowPunct/>
                    <w:topLinePunct w:val="0"/>
                    <w:autoSpaceDE/>
                    <w:autoSpaceDN/>
                    <w:bidi w:val="0"/>
                    <w:adjustRightInd w:val="0"/>
                    <w:snapToGrid w:val="0"/>
                    <w:spacing w:beforeLines="0" w:afterLines="0"/>
                    <w:ind w:left="0"/>
                    <w:jc w:val="center"/>
                    <w:textAlignment w:val="auto"/>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w:t>
                  </w:r>
                </w:p>
              </w:tc>
            </w:tr>
          </w:tbl>
          <w:p w14:paraId="02C42946">
            <w:pPr>
              <w:keepNext w:val="0"/>
              <w:keepLines w:val="0"/>
              <w:pageBreakBefore w:val="0"/>
              <w:widowControl w:val="0"/>
              <w:kinsoku/>
              <w:wordWrap/>
              <w:overflowPunct w:val="0"/>
              <w:topLinePunct/>
              <w:autoSpaceDE/>
              <w:autoSpaceDN/>
              <w:bidi w:val="0"/>
              <w:adjustRightInd/>
              <w:snapToGrid/>
              <w:spacing w:line="460" w:lineRule="exact"/>
              <w:ind w:firstLine="600" w:firstLineChars="200"/>
              <w:textAlignment w:val="auto"/>
              <w:rPr>
                <w:rFonts w:hint="default" w:ascii="Times New Roman" w:hAnsi="Times New Roman" w:eastAsia="宋体" w:cs="Times New Roman"/>
                <w:color w:val="auto"/>
                <w:sz w:val="30"/>
                <w:highlight w:val="none"/>
                <w:vertAlign w:val="baseline"/>
              </w:rPr>
            </w:pPr>
          </w:p>
        </w:tc>
      </w:tr>
    </w:tbl>
    <w:p w14:paraId="094A25A1">
      <w:pPr>
        <w:rPr>
          <w:rFonts w:hint="default" w:ascii="Times New Roman" w:hAnsi="Times New Roman" w:cs="Times New Roman"/>
          <w:color w:val="auto"/>
          <w:highlight w:val="none"/>
        </w:rPr>
        <w:sectPr>
          <w:pgSz w:w="16840" w:h="11907" w:orient="landscape"/>
          <w:pgMar w:top="1531" w:right="1701" w:bottom="1531" w:left="2127" w:header="851" w:footer="1814" w:gutter="0"/>
          <w:pgBorders>
            <w:top w:val="none" w:sz="0" w:space="0"/>
            <w:left w:val="none" w:sz="0" w:space="0"/>
            <w:bottom w:val="none" w:sz="0" w:space="0"/>
            <w:right w:val="none" w:sz="0" w:space="0"/>
          </w:pgBorders>
          <w:pgNumType w:fmt="decimal"/>
          <w:cols w:space="720" w:num="1"/>
          <w:docGrid w:linePitch="312" w:charSpace="0"/>
        </w:sectPr>
      </w:pPr>
    </w:p>
    <w:bookmarkEnd w:id="1"/>
    <w:p w14:paraId="5CA3E114">
      <w:pPr>
        <w:pStyle w:val="16"/>
        <w:pageBreakBefore w:val="0"/>
        <w:kinsoku/>
        <w:wordWrap/>
        <w:overflowPunct w:val="0"/>
        <w:topLinePunct/>
        <w:bidi w:val="0"/>
        <w:spacing w:before="120" w:beforeLines="50" w:beforeAutospacing="0" w:after="120" w:afterLines="50" w:afterAutospacing="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二、建设项目工程分析</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4"/>
      </w:tblGrid>
      <w:tr w14:paraId="755F7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02" w:hRule="atLeast"/>
          <w:jc w:val="center"/>
        </w:trPr>
        <w:tc>
          <w:tcPr>
            <w:tcW w:w="252" w:type="pct"/>
            <w:noWrap w:val="0"/>
            <w:vAlign w:val="center"/>
          </w:tcPr>
          <w:p w14:paraId="7C4435DB">
            <w:pPr>
              <w:pStyle w:val="16"/>
              <w:pageBreakBefore w:val="0"/>
              <w:kinsoku/>
              <w:wordWrap/>
              <w:overflowPunct w:val="0"/>
              <w:topLinePunct/>
              <w:bidi w:val="0"/>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建设内容</w:t>
            </w:r>
          </w:p>
        </w:tc>
        <w:tc>
          <w:tcPr>
            <w:tcW w:w="4747" w:type="pct"/>
            <w:vMerge w:val="restart"/>
            <w:noWrap w:val="0"/>
            <w:vAlign w:val="center"/>
          </w:tcPr>
          <w:p w14:paraId="61BB76AD">
            <w:pPr>
              <w:keepNext w:val="0"/>
              <w:keepLines w:val="0"/>
              <w:pageBreakBefore w:val="0"/>
              <w:kinsoku/>
              <w:wordWrap/>
              <w:overflowPunct w:val="0"/>
              <w:topLinePunct/>
              <w:autoSpaceDE/>
              <w:autoSpaceDN/>
              <w:bidi w:val="0"/>
              <w:adjustRightInd/>
              <w:snapToGrid/>
              <w:spacing w:line="460" w:lineRule="exact"/>
              <w:jc w:val="both"/>
              <w:textAlignment w:val="auto"/>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2.1.项目由来</w:t>
            </w:r>
          </w:p>
          <w:p w14:paraId="7DBD9611">
            <w:pPr>
              <w:pStyle w:val="24"/>
              <w:keepNext w:val="0"/>
              <w:keepLines w:val="0"/>
              <w:pageBreakBefore w:val="0"/>
              <w:widowControl w:val="0"/>
              <w:kinsoku/>
              <w:wordWrap/>
              <w:overflowPunct w:val="0"/>
              <w:topLinePunct/>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2"/>
                <w:kern w:val="2"/>
                <w:sz w:val="24"/>
                <w:szCs w:val="24"/>
                <w:highlight w:val="none"/>
                <w:u w:val="none" w:color="auto"/>
                <w:lang w:val="en-US" w:eastAsia="zh-CN" w:bidi="ar-SA"/>
              </w:rPr>
            </w:pP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default" w:ascii="Times New Roman" w:hAnsi="Times New Roman" w:cs="Times New Roman"/>
                <w:bCs w:val="0"/>
                <w:color w:val="auto"/>
                <w:kern w:val="0"/>
                <w:sz w:val="24"/>
                <w:szCs w:val="24"/>
                <w:highlight w:val="none"/>
                <w:lang w:val="en-US" w:eastAsia="zh-CN" w:bidi="ar"/>
              </w:rPr>
              <w:t>前身为凯欣粮油有限公司，</w:t>
            </w:r>
            <w:r>
              <w:rPr>
                <w:rFonts w:hint="default" w:ascii="Times New Roman" w:hAnsi="Times New Roman" w:eastAsia="宋体" w:cs="Times New Roman"/>
                <w:color w:val="auto"/>
                <w:sz w:val="24"/>
                <w:szCs w:val="24"/>
                <w:highlight w:val="none"/>
                <w:lang w:val="en-US" w:eastAsia="zh-CN"/>
              </w:rPr>
              <w:t>属重庆粮食集团旗下国有企业</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bCs w:val="0"/>
                <w:color w:val="auto"/>
                <w:kern w:val="0"/>
                <w:sz w:val="24"/>
                <w:szCs w:val="24"/>
                <w:highlight w:val="none"/>
                <w:lang w:val="en-US" w:eastAsia="zh-CN" w:bidi="ar"/>
              </w:rPr>
              <w:t>于2007年2月选址于九龙坡区铜罐驿镇</w:t>
            </w:r>
            <w:r>
              <w:rPr>
                <w:rFonts w:hint="default" w:ascii="Times New Roman" w:hAnsi="Times New Roman" w:eastAsia="宋体" w:cs="Times New Roman"/>
                <w:color w:val="auto"/>
                <w:sz w:val="24"/>
                <w:szCs w:val="24"/>
                <w:highlight w:val="none"/>
                <w:lang w:val="en-US" w:eastAsia="zh-CN"/>
              </w:rPr>
              <w:t>砖瓦村167号</w:t>
            </w:r>
            <w:r>
              <w:rPr>
                <w:rFonts w:hint="default" w:ascii="Times New Roman" w:hAnsi="Times New Roman" w:cs="Times New Roman"/>
                <w:bCs w:val="0"/>
                <w:color w:val="auto"/>
                <w:kern w:val="0"/>
                <w:sz w:val="24"/>
                <w:szCs w:val="24"/>
                <w:highlight w:val="none"/>
                <w:lang w:val="en-US" w:eastAsia="zh-CN" w:bidi="ar"/>
              </w:rPr>
              <w:t>建厂，占地面积</w:t>
            </w:r>
            <w:r>
              <w:rPr>
                <w:rFonts w:hint="eastAsia" w:ascii="Times New Roman" w:hAnsi="Times New Roman" w:cs="Times New Roman"/>
                <w:color w:val="auto"/>
                <w:sz w:val="24"/>
                <w:szCs w:val="24"/>
                <w:highlight w:val="none"/>
                <w:lang w:val="en-US" w:eastAsia="zh-CN"/>
              </w:rPr>
              <w:t>97521.6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，建筑面积约29847m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主要从事食品油的精炼和灌装</w:t>
            </w:r>
            <w:r>
              <w:rPr>
                <w:rFonts w:hint="eastAsia" w:ascii="Times New Roman" w:hAnsi="Times New Roman" w:cs="Times New Roman"/>
                <w:color w:val="auto"/>
                <w:sz w:val="24"/>
                <w:szCs w:val="24"/>
                <w:highlight w:val="none"/>
                <w:lang w:val="en-US" w:eastAsia="zh-CN"/>
              </w:rPr>
              <w:t>，另配套开展代储油服务</w:t>
            </w:r>
            <w:r>
              <w:rPr>
                <w:rFonts w:hint="default" w:ascii="Times New Roman" w:hAnsi="Times New Roman" w:cs="Times New Roman"/>
                <w:color w:val="auto"/>
                <w:sz w:val="24"/>
                <w:szCs w:val="24"/>
                <w:highlight w:val="none"/>
                <w:lang w:val="en-US" w:eastAsia="zh-CN"/>
              </w:rPr>
              <w:t>，现已建成精炼油生产规模400t/d，灌装规模1500t/d，储油规模</w:t>
            </w:r>
            <w:r>
              <w:rPr>
                <w:rFonts w:hint="eastAsia" w:ascii="Times New Roman" w:hAnsi="Times New Roman" w:cs="Times New Roman"/>
                <w:color w:val="auto"/>
                <w:sz w:val="24"/>
                <w:szCs w:val="24"/>
                <w:highlight w:val="none"/>
                <w:lang w:val="en-US" w:eastAsia="zh-CN"/>
              </w:rPr>
              <w:t>10.59</w:t>
            </w:r>
            <w:r>
              <w:rPr>
                <w:rFonts w:hint="default" w:ascii="Times New Roman" w:hAnsi="Times New Roman" w:cs="Times New Roman"/>
                <w:color w:val="auto"/>
                <w:sz w:val="24"/>
                <w:szCs w:val="24"/>
                <w:highlight w:val="none"/>
                <w:lang w:val="en-US" w:eastAsia="zh-CN"/>
              </w:rPr>
              <w:t>万t，建设有精炼车间、包装车间、库房、锅炉房等生产厂房若干。</w:t>
            </w:r>
          </w:p>
          <w:p w14:paraId="617B7DC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为提升植物油品质，适应市场需求，红蜻蜓（重庆）植物油脂有限公司按照《重庆市支持食品及农产品加工产业高质量发展十条政策》等文件要求，拟实施</w:t>
            </w:r>
            <w:r>
              <w:rPr>
                <w:rFonts w:hint="default" w:ascii="Times New Roman" w:hAnsi="Times New Roman" w:cs="Times New Roman"/>
                <w:bCs w:val="0"/>
                <w:color w:val="auto"/>
                <w:kern w:val="0"/>
                <w:sz w:val="24"/>
                <w:szCs w:val="24"/>
                <w:highlight w:val="none"/>
                <w:lang w:val="en-US" w:eastAsia="zh-CN" w:bidi="ar"/>
              </w:rPr>
              <w:t>“</w:t>
            </w:r>
            <w:r>
              <w:rPr>
                <w:rFonts w:hint="default" w:ascii="Times New Roman" w:hAnsi="Times New Roman" w:eastAsia="宋体" w:cs="Times New Roman"/>
                <w:bCs w:val="0"/>
                <w:color w:val="auto"/>
                <w:kern w:val="0"/>
                <w:sz w:val="24"/>
                <w:szCs w:val="24"/>
                <w:highlight w:val="none"/>
                <w:lang w:val="en-US" w:eastAsia="zh-CN" w:bidi="ar"/>
              </w:rPr>
              <w:t>改建600t/d油脂精炼车间（含脱蜡工段600t/d）项目加工单元</w:t>
            </w:r>
            <w:r>
              <w:rPr>
                <w:rFonts w:hint="default" w:ascii="Times New Roman" w:hAnsi="Times New Roman" w:cs="Times New Roman"/>
                <w:bCs w:val="0"/>
                <w:color w:val="auto"/>
                <w:kern w:val="0"/>
                <w:sz w:val="24"/>
                <w:szCs w:val="24"/>
                <w:highlight w:val="none"/>
                <w:lang w:val="en-US" w:eastAsia="zh-CN" w:bidi="ar"/>
              </w:rPr>
              <w:t>”</w:t>
            </w:r>
            <w:r>
              <w:rPr>
                <w:rFonts w:hint="default" w:ascii="Times New Roman" w:hAnsi="Times New Roman" w:eastAsia="宋体" w:cs="Times New Roman"/>
                <w:bCs w:val="0"/>
                <w:color w:val="auto"/>
                <w:kern w:val="0"/>
                <w:sz w:val="24"/>
                <w:szCs w:val="24"/>
                <w:highlight w:val="none"/>
                <w:lang w:val="en-US" w:eastAsia="zh-CN" w:bidi="ar"/>
              </w:rPr>
              <w:t>项目，</w:t>
            </w:r>
            <w:r>
              <w:rPr>
                <w:rFonts w:hint="eastAsia" w:cs="Times New Roman"/>
                <w:bCs w:val="0"/>
                <w:color w:val="auto"/>
                <w:kern w:val="0"/>
                <w:sz w:val="24"/>
                <w:szCs w:val="24"/>
                <w:highlight w:val="none"/>
                <w:lang w:val="en-US" w:eastAsia="zh-CN" w:bidi="ar"/>
              </w:rPr>
              <w:t>淘汰现有精炼车间内</w:t>
            </w:r>
            <w:r>
              <w:rPr>
                <w:rFonts w:hint="default" w:ascii="Times New Roman" w:hAnsi="Times New Roman" w:cs="Times New Roman"/>
                <w:bCs w:val="0"/>
                <w:color w:val="auto"/>
                <w:kern w:val="0"/>
                <w:sz w:val="24"/>
                <w:szCs w:val="24"/>
                <w:highlight w:val="none"/>
                <w:lang w:val="en-US" w:eastAsia="zh-CN" w:bidi="ar"/>
              </w:rPr>
              <w:t>生产规模为</w:t>
            </w:r>
            <w:r>
              <w:rPr>
                <w:rFonts w:hint="eastAsia" w:cs="Times New Roman"/>
                <w:bCs w:val="0"/>
                <w:color w:val="auto"/>
                <w:kern w:val="0"/>
                <w:sz w:val="24"/>
                <w:szCs w:val="24"/>
                <w:highlight w:val="none"/>
                <w:lang w:val="en-US" w:eastAsia="zh-CN" w:bidi="ar"/>
              </w:rPr>
              <w:t>400t/d的精炼生产线1条，在</w:t>
            </w:r>
            <w:r>
              <w:rPr>
                <w:rFonts w:hint="default" w:ascii="Times New Roman" w:hAnsi="Times New Roman" w:eastAsia="宋体" w:cs="Times New Roman"/>
                <w:bCs w:val="0"/>
                <w:color w:val="auto"/>
                <w:kern w:val="0"/>
                <w:sz w:val="24"/>
                <w:szCs w:val="24"/>
                <w:highlight w:val="none"/>
                <w:lang w:val="en-US" w:eastAsia="zh-CN" w:bidi="ar"/>
              </w:rPr>
              <w:t>现有2#包装</w:t>
            </w:r>
            <w:r>
              <w:rPr>
                <w:rFonts w:hint="default" w:ascii="Times New Roman" w:hAnsi="Times New Roman" w:cs="Times New Roman"/>
                <w:bCs w:val="0"/>
                <w:color w:val="auto"/>
                <w:kern w:val="0"/>
                <w:sz w:val="24"/>
                <w:szCs w:val="24"/>
                <w:highlight w:val="none"/>
                <w:lang w:val="en-US" w:eastAsia="zh-CN" w:bidi="ar"/>
              </w:rPr>
              <w:t>车间</w:t>
            </w:r>
            <w:r>
              <w:rPr>
                <w:rFonts w:hint="eastAsia" w:cs="Times New Roman"/>
                <w:bCs w:val="0"/>
                <w:color w:val="auto"/>
                <w:kern w:val="0"/>
                <w:sz w:val="24"/>
                <w:szCs w:val="24"/>
                <w:highlight w:val="none"/>
                <w:lang w:val="en-US" w:eastAsia="zh-CN" w:bidi="ar"/>
              </w:rPr>
              <w:t>原址改建精炼车间内新建</w:t>
            </w:r>
            <w:r>
              <w:rPr>
                <w:rFonts w:hint="default" w:ascii="Times New Roman" w:hAnsi="Times New Roman" w:cs="Times New Roman"/>
                <w:bCs w:val="0"/>
                <w:color w:val="auto"/>
                <w:kern w:val="0"/>
                <w:sz w:val="24"/>
                <w:szCs w:val="24"/>
                <w:highlight w:val="none"/>
                <w:lang w:val="en-US" w:eastAsia="zh-CN" w:bidi="ar"/>
              </w:rPr>
              <w:t>生产规模为600t</w:t>
            </w:r>
            <w:r>
              <w:rPr>
                <w:rFonts w:hint="eastAsia" w:cs="Times New Roman"/>
                <w:bCs w:val="0"/>
                <w:color w:val="auto"/>
                <w:kern w:val="0"/>
                <w:sz w:val="24"/>
                <w:szCs w:val="24"/>
                <w:highlight w:val="none"/>
                <w:lang w:val="en-US" w:eastAsia="zh-CN" w:bidi="ar"/>
              </w:rPr>
              <w:t>/d</w:t>
            </w:r>
            <w:r>
              <w:rPr>
                <w:rFonts w:hint="default" w:ascii="Times New Roman" w:hAnsi="Times New Roman" w:cs="Times New Roman"/>
                <w:bCs w:val="0"/>
                <w:color w:val="auto"/>
                <w:kern w:val="0"/>
                <w:sz w:val="24"/>
                <w:szCs w:val="24"/>
                <w:highlight w:val="none"/>
                <w:lang w:val="en-US" w:eastAsia="zh-CN" w:bidi="ar"/>
              </w:rPr>
              <w:t>的精炼生产线1条</w:t>
            </w:r>
            <w:r>
              <w:rPr>
                <w:rFonts w:hint="eastAsia" w:cs="Times New Roman"/>
                <w:bCs w:val="0"/>
                <w:color w:val="auto"/>
                <w:kern w:val="0"/>
                <w:sz w:val="24"/>
                <w:szCs w:val="24"/>
                <w:highlight w:val="none"/>
                <w:lang w:val="en-US" w:eastAsia="zh-CN" w:bidi="ar"/>
              </w:rPr>
              <w:t>；在现有脱酸、中和、水洗、脱色、脱臭等工艺基础上新增脱蜡结晶工序，并对现有水洗工序、脱色进行升级改造，水洗工序废水采用循环回用，脱色工序采用预复脱色工艺</w:t>
            </w:r>
            <w:r>
              <w:rPr>
                <w:rFonts w:hint="default" w:ascii="Times New Roman" w:hAnsi="Times New Roman" w:eastAsia="宋体" w:cs="Times New Roman"/>
                <w:bCs w:val="0"/>
                <w:color w:val="auto"/>
                <w:kern w:val="0"/>
                <w:sz w:val="24"/>
                <w:szCs w:val="24"/>
                <w:highlight w:val="none"/>
                <w:lang w:val="en-US" w:eastAsia="zh-CN" w:bidi="ar"/>
              </w:rPr>
              <w:t>。</w:t>
            </w:r>
          </w:p>
          <w:p w14:paraId="5C7C197A">
            <w:pPr>
              <w:keepNext w:val="0"/>
              <w:keepLines w:val="0"/>
              <w:pageBreakBefore w:val="0"/>
              <w:kinsoku/>
              <w:wordWrap/>
              <w:overflowPunct w:val="0"/>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2"/>
                <w:kern w:val="2"/>
                <w:sz w:val="24"/>
                <w:szCs w:val="24"/>
                <w:highlight w:val="none"/>
                <w:u w:val="none" w:color="auto"/>
                <w:lang w:val="en-US" w:eastAsia="zh-CN" w:bidi="ar-SA"/>
              </w:rPr>
            </w:pPr>
            <w:r>
              <w:rPr>
                <w:rFonts w:hint="default" w:ascii="Times New Roman" w:hAnsi="Times New Roman" w:cs="Times New Roman"/>
                <w:bCs/>
                <w:snapToGrid w:val="0"/>
                <w:color w:val="auto"/>
                <w:kern w:val="0"/>
                <w:sz w:val="24"/>
                <w:highlight w:val="none"/>
              </w:rPr>
              <w:t>根据《中华人民共和国环境保护法</w:t>
            </w:r>
            <w:r>
              <w:rPr>
                <w:rFonts w:hint="default" w:ascii="Times New Roman" w:hAnsi="Times New Roman" w:cs="Times New Roman"/>
                <w:bCs/>
                <w:snapToGrid w:val="0"/>
                <w:color w:val="auto"/>
                <w:kern w:val="0"/>
                <w:sz w:val="24"/>
                <w:highlight w:val="none"/>
                <w:lang w:eastAsia="zh-CN"/>
              </w:rPr>
              <w:t>》《</w:t>
            </w:r>
            <w:r>
              <w:rPr>
                <w:rFonts w:hint="default" w:ascii="Times New Roman" w:hAnsi="Times New Roman" w:cs="Times New Roman"/>
                <w:bCs/>
                <w:snapToGrid w:val="0"/>
                <w:color w:val="auto"/>
                <w:kern w:val="0"/>
                <w:sz w:val="24"/>
                <w:highlight w:val="none"/>
              </w:rPr>
              <w:t>中华人民共和国环境影响评价法</w:t>
            </w:r>
            <w:r>
              <w:rPr>
                <w:rFonts w:hint="default" w:ascii="Times New Roman" w:hAnsi="Times New Roman" w:cs="Times New Roman"/>
                <w:bCs/>
                <w:snapToGrid w:val="0"/>
                <w:color w:val="auto"/>
                <w:kern w:val="0"/>
                <w:sz w:val="24"/>
                <w:highlight w:val="none"/>
                <w:lang w:eastAsia="zh-CN"/>
              </w:rPr>
              <w:t>》《</w:t>
            </w:r>
            <w:r>
              <w:rPr>
                <w:rFonts w:hint="default" w:ascii="Times New Roman" w:hAnsi="Times New Roman" w:cs="Times New Roman"/>
                <w:bCs/>
                <w:snapToGrid w:val="0"/>
                <w:color w:val="auto"/>
                <w:kern w:val="0"/>
                <w:sz w:val="24"/>
                <w:highlight w:val="none"/>
              </w:rPr>
              <w:t>建设项目环境保护管理条例</w:t>
            </w:r>
            <w:r>
              <w:rPr>
                <w:rFonts w:hint="default" w:ascii="Times New Roman" w:hAnsi="Times New Roman" w:cs="Times New Roman"/>
                <w:bCs/>
                <w:snapToGrid w:val="0"/>
                <w:color w:val="auto"/>
                <w:kern w:val="0"/>
                <w:sz w:val="24"/>
                <w:highlight w:val="none"/>
                <w:lang w:eastAsia="zh-CN"/>
              </w:rPr>
              <w:t>》《</w:t>
            </w:r>
            <w:r>
              <w:rPr>
                <w:rFonts w:hint="default" w:ascii="Times New Roman" w:hAnsi="Times New Roman" w:cs="Times New Roman"/>
                <w:bCs/>
                <w:snapToGrid w:val="0"/>
                <w:color w:val="auto"/>
                <w:kern w:val="0"/>
                <w:sz w:val="24"/>
                <w:highlight w:val="none"/>
              </w:rPr>
              <w:t>建设项目环境影响评价分类管理名录》（2021年版）等文件的要求，</w:t>
            </w:r>
            <w:r>
              <w:rPr>
                <w:rFonts w:hint="eastAsia" w:cs="Times New Roman"/>
                <w:bCs/>
                <w:snapToGrid w:val="0"/>
                <w:color w:val="auto"/>
                <w:kern w:val="0"/>
                <w:sz w:val="24"/>
                <w:highlight w:val="none"/>
                <w:lang w:val="en-US" w:eastAsia="zh-CN"/>
              </w:rPr>
              <w:t>本项目</w:t>
            </w:r>
            <w:r>
              <w:rPr>
                <w:rFonts w:hint="default" w:ascii="Times New Roman" w:hAnsi="Times New Roman" w:cs="Times New Roman"/>
                <w:bCs/>
                <w:snapToGrid w:val="0"/>
                <w:color w:val="auto"/>
                <w:kern w:val="0"/>
                <w:sz w:val="24"/>
                <w:highlight w:val="none"/>
                <w:lang w:val="en-US" w:eastAsia="zh-CN"/>
              </w:rPr>
              <w:t>属于</w:t>
            </w:r>
            <w:r>
              <w:rPr>
                <w:rFonts w:hint="default" w:ascii="Times New Roman" w:hAnsi="Times New Roman" w:cs="Times New Roman"/>
                <w:bCs/>
                <w:snapToGrid w:val="0"/>
                <w:color w:val="auto"/>
                <w:kern w:val="0"/>
                <w:sz w:val="24"/>
                <w:highlight w:val="none"/>
                <w:lang w:eastAsia="zh-CN"/>
              </w:rPr>
              <w:t>“</w:t>
            </w:r>
            <w:r>
              <w:rPr>
                <w:rFonts w:hint="default" w:ascii="Times New Roman" w:hAnsi="Times New Roman" w:cs="Times New Roman"/>
                <w:color w:val="auto"/>
                <w:sz w:val="24"/>
                <w:highlight w:val="none"/>
                <w:lang w:val="en-US" w:eastAsia="zh-CN"/>
              </w:rPr>
              <w:t>十、农副食品加工业13-16.植物油加工133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Cs w:val="0"/>
                <w:color w:val="auto"/>
                <w:kern w:val="0"/>
                <w:sz w:val="24"/>
                <w:szCs w:val="24"/>
                <w:highlight w:val="none"/>
                <w:lang w:val="en-US" w:eastAsia="zh-CN" w:bidi="ar"/>
              </w:rPr>
              <w:t>”</w:t>
            </w:r>
            <w:r>
              <w:rPr>
                <w:rFonts w:hint="default" w:ascii="Times New Roman" w:hAnsi="Times New Roman" w:cs="Times New Roman"/>
                <w:color w:val="auto"/>
                <w:sz w:val="24"/>
                <w:szCs w:val="24"/>
                <w:highlight w:val="none"/>
              </w:rPr>
              <w:t>需编制环境影响报告表。</w:t>
            </w:r>
            <w:r>
              <w:rPr>
                <w:rFonts w:hint="default" w:ascii="Times New Roman" w:hAnsi="Times New Roman" w:eastAsia="宋体" w:cs="Times New Roman"/>
                <w:color w:val="auto"/>
                <w:kern w:val="0"/>
                <w:sz w:val="24"/>
                <w:szCs w:val="24"/>
                <w:highlight w:val="none"/>
              </w:rPr>
              <w:t>受</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default" w:ascii="Times New Roman" w:hAnsi="Times New Roman" w:eastAsia="宋体" w:cs="Times New Roman"/>
                <w:color w:val="auto"/>
                <w:kern w:val="0"/>
                <w:sz w:val="24"/>
                <w:szCs w:val="24"/>
                <w:highlight w:val="none"/>
              </w:rPr>
              <w:t>委托，本公司承担</w:t>
            </w:r>
            <w:r>
              <w:rPr>
                <w:rFonts w:hint="eastAsia"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highlight w:val="none"/>
              </w:rPr>
              <w:t>的环境影响评价工作，在接受委托之后，我公司组织专业技术人员经过现场勘查并收集相关资料，编制了</w:t>
            </w:r>
            <w:r>
              <w:rPr>
                <w:rFonts w:hint="eastAsia"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highlight w:val="none"/>
              </w:rPr>
              <w:t>的环境影响报告表。</w:t>
            </w:r>
          </w:p>
          <w:p w14:paraId="1A378C82">
            <w:pPr>
              <w:pStyle w:val="11"/>
              <w:keepNext w:val="0"/>
              <w:keepLines w:val="0"/>
              <w:pageBreakBefore w:val="0"/>
              <w:widowControl w:val="0"/>
              <w:kinsoku/>
              <w:wordWrap/>
              <w:overflowPunct w:val="0"/>
              <w:topLinePunct/>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2.2评价构思</w:t>
            </w:r>
          </w:p>
          <w:p w14:paraId="238D547D">
            <w:pPr>
              <w:pStyle w:val="11"/>
              <w:keepNext w:val="0"/>
              <w:keepLines w:val="0"/>
              <w:pageBreakBefore w:val="0"/>
              <w:widowControl w:val="0"/>
              <w:kinsoku/>
              <w:wordWrap/>
              <w:overflowPunct w:val="0"/>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（1）针对</w:t>
            </w:r>
            <w:r>
              <w:rPr>
                <w:rFonts w:hint="eastAsia" w:cs="Times New Roman"/>
                <w:bCs w:val="0"/>
                <w:color w:val="auto"/>
                <w:kern w:val="0"/>
                <w:sz w:val="24"/>
                <w:szCs w:val="24"/>
                <w:highlight w:val="none"/>
                <w:lang w:val="en-US" w:eastAsia="zh-CN" w:bidi="ar"/>
              </w:rPr>
              <w:t>本项目</w:t>
            </w:r>
            <w:r>
              <w:rPr>
                <w:rFonts w:hint="default" w:ascii="Times New Roman" w:hAnsi="Times New Roman" w:eastAsia="宋体" w:cs="Times New Roman"/>
                <w:bCs w:val="0"/>
                <w:color w:val="auto"/>
                <w:kern w:val="0"/>
                <w:sz w:val="24"/>
                <w:szCs w:val="24"/>
                <w:highlight w:val="none"/>
                <w:lang w:val="en-US" w:eastAsia="zh-CN" w:bidi="ar"/>
              </w:rPr>
              <w:t>排污特点，评价在工程分析的基础上分析</w:t>
            </w:r>
            <w:r>
              <w:rPr>
                <w:rFonts w:hint="eastAsia" w:cs="Times New Roman"/>
                <w:bCs w:val="0"/>
                <w:color w:val="auto"/>
                <w:kern w:val="0"/>
                <w:sz w:val="24"/>
                <w:szCs w:val="24"/>
                <w:highlight w:val="none"/>
                <w:lang w:val="en-US" w:eastAsia="zh-CN" w:bidi="ar"/>
              </w:rPr>
              <w:t>本项目</w:t>
            </w:r>
            <w:r>
              <w:rPr>
                <w:rFonts w:hint="default" w:ascii="Times New Roman" w:hAnsi="Times New Roman" w:eastAsia="宋体" w:cs="Times New Roman"/>
                <w:bCs w:val="0"/>
                <w:color w:val="auto"/>
                <w:kern w:val="0"/>
                <w:sz w:val="24"/>
                <w:szCs w:val="24"/>
                <w:highlight w:val="none"/>
                <w:lang w:val="en-US" w:eastAsia="zh-CN" w:bidi="ar"/>
              </w:rPr>
              <w:t>建成后可能造成的环境影响，论证项目全过程的污染控制水平和环保措施的经济技术可行性，科学、客观地评述项目建设的环境可行性，为项目运行和环境管理提供科学依据。</w:t>
            </w:r>
          </w:p>
          <w:p w14:paraId="026D4E32">
            <w:pPr>
              <w:pStyle w:val="11"/>
              <w:keepNext w:val="0"/>
              <w:keepLines w:val="0"/>
              <w:pageBreakBefore w:val="0"/>
              <w:widowControl w:val="0"/>
              <w:kinsoku/>
              <w:wordWrap/>
              <w:overflowPunct w:val="0"/>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val="0"/>
                <w:color w:val="auto"/>
                <w:kern w:val="0"/>
                <w:sz w:val="24"/>
                <w:szCs w:val="24"/>
                <w:highlight w:val="none"/>
                <w:u w:val="none"/>
                <w:lang w:val="en-US" w:eastAsia="zh-CN" w:bidi="ar"/>
              </w:rPr>
            </w:pPr>
            <w:r>
              <w:rPr>
                <w:rFonts w:hint="default" w:ascii="Times New Roman" w:hAnsi="Times New Roman" w:cs="Times New Roman"/>
                <w:bCs w:val="0"/>
                <w:color w:val="auto"/>
                <w:kern w:val="0"/>
                <w:sz w:val="24"/>
                <w:szCs w:val="24"/>
                <w:highlight w:val="none"/>
                <w:lang w:val="en-US" w:eastAsia="zh-CN" w:bidi="ar"/>
              </w:rPr>
              <w:t>（</w:t>
            </w:r>
            <w:r>
              <w:rPr>
                <w:rFonts w:hint="eastAsia" w:cs="Times New Roman"/>
                <w:bCs w:val="0"/>
                <w:color w:val="auto"/>
                <w:kern w:val="0"/>
                <w:sz w:val="24"/>
                <w:szCs w:val="24"/>
                <w:highlight w:val="none"/>
                <w:lang w:val="en-US" w:eastAsia="zh-CN" w:bidi="ar"/>
              </w:rPr>
              <w:t>2</w:t>
            </w:r>
            <w:r>
              <w:rPr>
                <w:rFonts w:hint="default" w:ascii="Times New Roman" w:hAnsi="Times New Roman" w:cs="Times New Roman"/>
                <w:bCs w:val="0"/>
                <w:color w:val="auto"/>
                <w:kern w:val="0"/>
                <w:sz w:val="24"/>
                <w:szCs w:val="24"/>
                <w:highlight w:val="none"/>
                <w:lang w:val="en-US" w:eastAsia="zh-CN" w:bidi="ar"/>
              </w:rPr>
              <w:t>）</w:t>
            </w:r>
            <w:r>
              <w:rPr>
                <w:rFonts w:hint="eastAsia" w:cs="Times New Roman"/>
                <w:bCs w:val="0"/>
                <w:color w:val="auto"/>
                <w:kern w:val="0"/>
                <w:sz w:val="24"/>
                <w:szCs w:val="24"/>
                <w:highlight w:val="none"/>
                <w:lang w:val="en-US" w:eastAsia="zh-CN" w:bidi="ar"/>
              </w:rPr>
              <w:t>本次改建仅扩大了精炼生产线生产规模，通过减少储油罐区代储油规模</w:t>
            </w:r>
            <w:r>
              <w:rPr>
                <w:rFonts w:hint="eastAsia" w:ascii="Times New Roman" w:hAnsi="Times New Roman" w:eastAsia="宋体" w:cs="Times New Roman"/>
                <w:bCs w:val="0"/>
                <w:color w:val="auto"/>
                <w:kern w:val="0"/>
                <w:sz w:val="24"/>
                <w:szCs w:val="24"/>
                <w:highlight w:val="none"/>
                <w:lang w:val="en-US" w:eastAsia="zh-CN" w:bidi="ar"/>
              </w:rPr>
              <w:t>保证本次改建项目储油需求而</w:t>
            </w:r>
            <w:r>
              <w:rPr>
                <w:rFonts w:hint="eastAsia" w:cs="Times New Roman"/>
                <w:bCs w:val="0"/>
                <w:color w:val="auto"/>
                <w:kern w:val="0"/>
                <w:sz w:val="24"/>
                <w:szCs w:val="24"/>
                <w:highlight w:val="none"/>
                <w:lang w:val="en-US" w:eastAsia="zh-CN" w:bidi="ar"/>
              </w:rPr>
              <w:t>保持总储油规模</w:t>
            </w:r>
            <w:r>
              <w:rPr>
                <w:rFonts w:hint="eastAsia" w:ascii="Times New Roman" w:hAnsi="Times New Roman" w:eastAsia="宋体" w:cs="Times New Roman"/>
                <w:bCs w:val="0"/>
                <w:color w:val="auto"/>
                <w:kern w:val="0"/>
                <w:sz w:val="24"/>
                <w:szCs w:val="24"/>
                <w:highlight w:val="none"/>
                <w:lang w:val="en-US" w:eastAsia="zh-CN" w:bidi="ar"/>
              </w:rPr>
              <w:t>不变</w:t>
            </w:r>
            <w:r>
              <w:rPr>
                <w:rFonts w:hint="eastAsia" w:cs="Times New Roman"/>
                <w:bCs w:val="0"/>
                <w:color w:val="auto"/>
                <w:kern w:val="0"/>
                <w:sz w:val="24"/>
                <w:szCs w:val="24"/>
                <w:highlight w:val="none"/>
                <w:lang w:val="en-US" w:eastAsia="zh-CN" w:bidi="ar"/>
              </w:rPr>
              <w:t>，</w:t>
            </w:r>
            <w:r>
              <w:rPr>
                <w:rFonts w:hint="eastAsia" w:ascii="Times New Roman" w:hAnsi="Times New Roman" w:eastAsia="宋体" w:cs="Times New Roman"/>
                <w:bCs w:val="0"/>
                <w:color w:val="auto"/>
                <w:kern w:val="0"/>
                <w:sz w:val="24"/>
                <w:szCs w:val="24"/>
                <w:highlight w:val="none"/>
                <w:lang w:val="en-US" w:eastAsia="zh-CN" w:bidi="ar"/>
              </w:rPr>
              <w:t>仅</w:t>
            </w:r>
            <w:r>
              <w:rPr>
                <w:rFonts w:hint="eastAsia" w:cs="Times New Roman"/>
                <w:bCs w:val="0"/>
                <w:color w:val="auto"/>
                <w:kern w:val="0"/>
                <w:sz w:val="24"/>
                <w:szCs w:val="24"/>
                <w:highlight w:val="none"/>
                <w:lang w:val="en-US" w:eastAsia="zh-CN" w:bidi="ar"/>
              </w:rPr>
              <w:t>因实施</w:t>
            </w:r>
            <w:r>
              <w:rPr>
                <w:rFonts w:hint="eastAsia" w:ascii="Times New Roman" w:hAnsi="Times New Roman" w:cs="Times New Roman"/>
                <w:color w:val="auto"/>
                <w:spacing w:val="0"/>
                <w:position w:val="0"/>
                <w:sz w:val="24"/>
                <w:szCs w:val="24"/>
                <w:highlight w:val="none"/>
                <w:lang w:val="en-US" w:eastAsia="zh-CN" w:bidi="ar"/>
              </w:rPr>
              <w:t>长江上游珍稀特有鱼类国家级自然保护区重叠退让方案，</w:t>
            </w:r>
            <w:r>
              <w:rPr>
                <w:rFonts w:hint="eastAsia" w:ascii="Times New Roman" w:hAnsi="Times New Roman" w:eastAsia="宋体" w:cs="Times New Roman"/>
                <w:color w:val="auto"/>
                <w:spacing w:val="0"/>
                <w:position w:val="0"/>
                <w:sz w:val="24"/>
                <w:szCs w:val="24"/>
                <w:highlight w:val="none"/>
                <w:lang w:val="en-US" w:eastAsia="zh-CN" w:bidi="ar"/>
              </w:rPr>
              <w:t>储油</w:t>
            </w:r>
            <w:r>
              <w:rPr>
                <w:rFonts w:hint="eastAsia" w:cs="Times New Roman"/>
                <w:color w:val="auto"/>
                <w:spacing w:val="0"/>
                <w:position w:val="0"/>
                <w:sz w:val="24"/>
                <w:szCs w:val="24"/>
                <w:highlight w:val="none"/>
                <w:lang w:val="en-US" w:eastAsia="zh-CN" w:bidi="ar"/>
              </w:rPr>
              <w:t>规模减小</w:t>
            </w:r>
            <w:r>
              <w:rPr>
                <w:rFonts w:hint="eastAsia" w:ascii="Times New Roman" w:hAnsi="Times New Roman" w:eastAsia="宋体" w:cs="Times New Roman"/>
                <w:color w:val="auto"/>
                <w:spacing w:val="0"/>
                <w:position w:val="0"/>
                <w:sz w:val="24"/>
                <w:szCs w:val="24"/>
                <w:highlight w:val="none"/>
                <w:lang w:val="en-US" w:eastAsia="zh-CN" w:bidi="ar"/>
              </w:rPr>
              <w:t>0.15万t，而</w:t>
            </w:r>
            <w:r>
              <w:rPr>
                <w:rFonts w:hint="eastAsia" w:cs="Times New Roman"/>
                <w:bCs w:val="0"/>
                <w:color w:val="auto"/>
                <w:kern w:val="0"/>
                <w:sz w:val="24"/>
                <w:szCs w:val="24"/>
                <w:highlight w:val="none"/>
                <w:lang w:val="en-US" w:eastAsia="zh-CN" w:bidi="ar"/>
              </w:rPr>
              <w:t>现有制瓶、灌装规模均不发生变化，故</w:t>
            </w:r>
            <w:r>
              <w:rPr>
                <w:rFonts w:hint="default" w:ascii="Times New Roman" w:hAnsi="Times New Roman" w:eastAsia="宋体" w:cs="Times New Roman"/>
                <w:bCs w:val="0"/>
                <w:color w:val="auto"/>
                <w:kern w:val="0"/>
                <w:sz w:val="24"/>
                <w:szCs w:val="24"/>
                <w:highlight w:val="none"/>
                <w:lang w:val="en-US" w:eastAsia="zh-CN" w:bidi="ar"/>
              </w:rPr>
              <w:t>本次评价仅对</w:t>
            </w:r>
            <w:r>
              <w:rPr>
                <w:rFonts w:hint="eastAsia" w:ascii="Times New Roman" w:hAnsi="Times New Roman" w:eastAsia="宋体" w:cs="Times New Roman"/>
                <w:bCs w:val="0"/>
                <w:color w:val="auto"/>
                <w:kern w:val="0"/>
                <w:sz w:val="24"/>
                <w:szCs w:val="24"/>
                <w:highlight w:val="none"/>
                <w:lang w:val="en-US" w:eastAsia="zh-CN" w:bidi="ar"/>
              </w:rPr>
              <w:t>本次</w:t>
            </w:r>
            <w:r>
              <w:rPr>
                <w:rFonts w:hint="eastAsia" w:cs="Times New Roman"/>
                <w:bCs w:val="0"/>
                <w:color w:val="auto"/>
                <w:kern w:val="0"/>
                <w:sz w:val="24"/>
                <w:szCs w:val="24"/>
                <w:highlight w:val="none"/>
                <w:lang w:val="en-US" w:eastAsia="zh-CN" w:bidi="ar"/>
              </w:rPr>
              <w:t>改建部分</w:t>
            </w:r>
            <w:r>
              <w:rPr>
                <w:rFonts w:hint="default" w:ascii="Times New Roman" w:hAnsi="Times New Roman" w:eastAsia="宋体" w:cs="Times New Roman"/>
                <w:bCs w:val="0"/>
                <w:color w:val="auto"/>
                <w:kern w:val="0"/>
                <w:sz w:val="24"/>
                <w:szCs w:val="24"/>
                <w:highlight w:val="none"/>
                <w:lang w:val="en-US" w:eastAsia="zh-CN" w:bidi="ar"/>
              </w:rPr>
              <w:t>产排污</w:t>
            </w:r>
            <w:r>
              <w:rPr>
                <w:rFonts w:hint="eastAsia" w:cs="Times New Roman"/>
                <w:bCs w:val="0"/>
                <w:color w:val="auto"/>
                <w:kern w:val="0"/>
                <w:sz w:val="24"/>
                <w:szCs w:val="24"/>
                <w:highlight w:val="none"/>
                <w:lang w:val="en-US" w:eastAsia="zh-CN" w:bidi="ar"/>
              </w:rPr>
              <w:t>及其造成的环境影响、环境风险</w:t>
            </w:r>
            <w:r>
              <w:rPr>
                <w:rFonts w:hint="default" w:ascii="Times New Roman" w:hAnsi="Times New Roman" w:eastAsia="宋体" w:cs="Times New Roman"/>
                <w:bCs w:val="0"/>
                <w:color w:val="auto"/>
                <w:kern w:val="0"/>
                <w:sz w:val="24"/>
                <w:szCs w:val="24"/>
                <w:highlight w:val="none"/>
                <w:lang w:val="en-US" w:eastAsia="zh-CN" w:bidi="ar"/>
              </w:rPr>
              <w:t>进行</w:t>
            </w:r>
            <w:r>
              <w:rPr>
                <w:rFonts w:hint="eastAsia" w:cs="Times New Roman"/>
                <w:bCs w:val="0"/>
                <w:color w:val="auto"/>
                <w:kern w:val="0"/>
                <w:sz w:val="24"/>
                <w:szCs w:val="24"/>
                <w:highlight w:val="none"/>
                <w:lang w:val="en-US" w:eastAsia="zh-CN" w:bidi="ar"/>
              </w:rPr>
              <w:t>详细</w:t>
            </w:r>
            <w:r>
              <w:rPr>
                <w:rFonts w:hint="default" w:ascii="Times New Roman" w:hAnsi="Times New Roman" w:eastAsia="宋体" w:cs="Times New Roman"/>
                <w:bCs w:val="0"/>
                <w:color w:val="auto"/>
                <w:kern w:val="0"/>
                <w:sz w:val="24"/>
                <w:szCs w:val="24"/>
                <w:highlight w:val="none"/>
                <w:lang w:val="en-US" w:eastAsia="zh-CN" w:bidi="ar"/>
              </w:rPr>
              <w:t>分析，</w:t>
            </w:r>
            <w:r>
              <w:rPr>
                <w:rFonts w:hint="default" w:ascii="Times New Roman" w:hAnsi="Times New Roman" w:eastAsia="宋体" w:cs="Times New Roman"/>
                <w:bCs w:val="0"/>
                <w:color w:val="auto"/>
                <w:kern w:val="0"/>
                <w:sz w:val="24"/>
                <w:szCs w:val="24"/>
                <w:highlight w:val="none"/>
                <w:u w:val="none"/>
                <w:lang w:val="en-US" w:eastAsia="zh-CN" w:bidi="ar"/>
              </w:rPr>
              <w:t>灌装、</w:t>
            </w:r>
            <w:r>
              <w:rPr>
                <w:rFonts w:hint="default" w:ascii="Times New Roman" w:hAnsi="Times New Roman" w:cs="Times New Roman"/>
                <w:bCs w:val="0"/>
                <w:color w:val="auto"/>
                <w:kern w:val="0"/>
                <w:sz w:val="24"/>
                <w:szCs w:val="24"/>
                <w:highlight w:val="none"/>
                <w:lang w:val="en-US" w:eastAsia="zh-CN" w:bidi="ar"/>
              </w:rPr>
              <w:t>制瓶、</w:t>
            </w:r>
            <w:r>
              <w:rPr>
                <w:rFonts w:hint="default" w:ascii="Times New Roman" w:hAnsi="Times New Roman" w:eastAsia="宋体" w:cs="Times New Roman"/>
                <w:bCs w:val="0"/>
                <w:color w:val="auto"/>
                <w:kern w:val="0"/>
                <w:sz w:val="24"/>
                <w:szCs w:val="24"/>
                <w:highlight w:val="none"/>
                <w:u w:val="none"/>
                <w:lang w:val="en-US" w:eastAsia="zh-CN" w:bidi="ar"/>
              </w:rPr>
              <w:t>储油等产生的污染物</w:t>
            </w:r>
            <w:r>
              <w:rPr>
                <w:rFonts w:hint="eastAsia" w:cs="Times New Roman"/>
                <w:bCs w:val="0"/>
                <w:color w:val="auto"/>
                <w:kern w:val="0"/>
                <w:sz w:val="24"/>
                <w:szCs w:val="24"/>
                <w:highlight w:val="none"/>
                <w:u w:val="none"/>
                <w:lang w:val="en-US" w:eastAsia="zh-CN" w:bidi="ar"/>
              </w:rPr>
              <w:t>排放情况及其带来的环境影响、环境风险进行回顾性</w:t>
            </w:r>
            <w:r>
              <w:rPr>
                <w:rFonts w:hint="default" w:ascii="Times New Roman" w:hAnsi="Times New Roman" w:eastAsia="宋体" w:cs="Times New Roman"/>
                <w:bCs w:val="0"/>
                <w:color w:val="auto"/>
                <w:kern w:val="0"/>
                <w:sz w:val="24"/>
                <w:szCs w:val="24"/>
                <w:highlight w:val="none"/>
                <w:u w:val="none"/>
                <w:lang w:val="en-US" w:eastAsia="zh-CN" w:bidi="ar"/>
              </w:rPr>
              <w:t>分析。</w:t>
            </w:r>
          </w:p>
          <w:p w14:paraId="2BD4798A">
            <w:pPr>
              <w:pStyle w:val="11"/>
              <w:keepNext w:val="0"/>
              <w:keepLines w:val="0"/>
              <w:pageBreakBefore w:val="0"/>
              <w:widowControl w:val="0"/>
              <w:kinsoku/>
              <w:wordWrap/>
              <w:overflowPunct w:val="0"/>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val="0"/>
                <w:color w:val="auto"/>
                <w:kern w:val="0"/>
                <w:sz w:val="24"/>
                <w:szCs w:val="24"/>
                <w:highlight w:val="none"/>
                <w:u w:val="none"/>
                <w:lang w:val="en-US" w:eastAsia="zh-CN" w:bidi="ar"/>
              </w:rPr>
            </w:pPr>
            <w:r>
              <w:rPr>
                <w:rFonts w:hint="default" w:ascii="Times New Roman" w:hAnsi="Times New Roman" w:cs="Times New Roman"/>
                <w:bCs w:val="0"/>
                <w:color w:val="auto"/>
                <w:kern w:val="0"/>
                <w:sz w:val="24"/>
                <w:szCs w:val="24"/>
                <w:highlight w:val="none"/>
                <w:u w:val="none"/>
                <w:lang w:val="en-US" w:eastAsia="zh-CN" w:bidi="ar"/>
              </w:rPr>
              <w:t>（</w:t>
            </w:r>
            <w:r>
              <w:rPr>
                <w:rFonts w:hint="eastAsia" w:cs="Times New Roman"/>
                <w:bCs w:val="0"/>
                <w:color w:val="auto"/>
                <w:kern w:val="0"/>
                <w:sz w:val="24"/>
                <w:szCs w:val="24"/>
                <w:highlight w:val="none"/>
                <w:u w:val="none"/>
                <w:lang w:val="en-US" w:eastAsia="zh-CN" w:bidi="ar"/>
              </w:rPr>
              <w:t>3</w:t>
            </w:r>
            <w:r>
              <w:rPr>
                <w:rFonts w:hint="default" w:ascii="Times New Roman" w:hAnsi="Times New Roman" w:cs="Times New Roman"/>
                <w:bCs w:val="0"/>
                <w:color w:val="auto"/>
                <w:kern w:val="0"/>
                <w:sz w:val="24"/>
                <w:szCs w:val="24"/>
                <w:highlight w:val="none"/>
                <w:u w:val="none"/>
                <w:lang w:val="en-US" w:eastAsia="zh-CN" w:bidi="ar"/>
              </w:rPr>
              <w:t>）</w:t>
            </w:r>
            <w:r>
              <w:rPr>
                <w:rFonts w:hint="eastAsia" w:cs="Times New Roman"/>
                <w:bCs w:val="0"/>
                <w:color w:val="auto"/>
                <w:kern w:val="0"/>
                <w:sz w:val="24"/>
                <w:szCs w:val="24"/>
                <w:highlight w:val="none"/>
                <w:u w:val="none"/>
                <w:lang w:val="en-US" w:eastAsia="zh-CN" w:bidi="ar"/>
              </w:rPr>
              <w:t>改建</w:t>
            </w:r>
            <w:r>
              <w:rPr>
                <w:rFonts w:hint="default" w:ascii="Times New Roman" w:hAnsi="Times New Roman" w:cs="Times New Roman"/>
                <w:bCs w:val="0"/>
                <w:color w:val="auto"/>
                <w:kern w:val="0"/>
                <w:sz w:val="24"/>
                <w:szCs w:val="24"/>
                <w:highlight w:val="none"/>
                <w:u w:val="none"/>
                <w:lang w:val="en-US" w:eastAsia="zh-CN" w:bidi="ar"/>
              </w:rPr>
              <w:t>完成后，现有精炼车间</w:t>
            </w:r>
            <w:r>
              <w:rPr>
                <w:rFonts w:hint="eastAsia" w:cs="Times New Roman"/>
                <w:bCs w:val="0"/>
                <w:color w:val="auto"/>
                <w:kern w:val="0"/>
                <w:sz w:val="24"/>
                <w:szCs w:val="24"/>
                <w:highlight w:val="none"/>
                <w:u w:val="none"/>
                <w:lang w:val="en-US" w:eastAsia="zh-CN" w:bidi="ar"/>
              </w:rPr>
              <w:t>及相关配套设施</w:t>
            </w:r>
            <w:r>
              <w:rPr>
                <w:rFonts w:hint="default" w:ascii="Times New Roman" w:hAnsi="Times New Roman" w:cs="Times New Roman"/>
                <w:bCs w:val="0"/>
                <w:color w:val="auto"/>
                <w:kern w:val="0"/>
                <w:sz w:val="24"/>
                <w:szCs w:val="24"/>
                <w:highlight w:val="none"/>
                <w:u w:val="none"/>
                <w:lang w:val="en-US" w:eastAsia="zh-CN" w:bidi="ar"/>
              </w:rPr>
              <w:t>将停止运行，且</w:t>
            </w:r>
            <w:r>
              <w:rPr>
                <w:rFonts w:hint="eastAsia" w:cs="Times New Roman"/>
                <w:bCs w:val="0"/>
                <w:color w:val="auto"/>
                <w:kern w:val="0"/>
                <w:sz w:val="24"/>
                <w:szCs w:val="24"/>
                <w:highlight w:val="none"/>
                <w:u w:val="none"/>
                <w:lang w:val="en-US" w:eastAsia="zh-CN" w:bidi="ar"/>
              </w:rPr>
              <w:t>本项目</w:t>
            </w:r>
            <w:r>
              <w:rPr>
                <w:rFonts w:hint="eastAsia" w:ascii="Times New Roman" w:hAnsi="Times New Roman" w:cs="Times New Roman"/>
                <w:bCs w:val="0"/>
                <w:color w:val="auto"/>
                <w:kern w:val="0"/>
                <w:sz w:val="24"/>
                <w:szCs w:val="24"/>
                <w:highlight w:val="none"/>
                <w:u w:val="none"/>
                <w:lang w:val="en-US" w:eastAsia="zh-CN" w:bidi="ar"/>
              </w:rPr>
              <w:t>精炼废气</w:t>
            </w:r>
            <w:r>
              <w:rPr>
                <w:rFonts w:hint="default" w:ascii="Times New Roman" w:hAnsi="Times New Roman" w:cs="Times New Roman"/>
                <w:bCs w:val="0"/>
                <w:color w:val="auto"/>
                <w:kern w:val="0"/>
                <w:sz w:val="24"/>
                <w:szCs w:val="24"/>
                <w:highlight w:val="none"/>
                <w:u w:val="none"/>
                <w:lang w:val="en-US" w:eastAsia="zh-CN" w:bidi="ar"/>
              </w:rPr>
              <w:t>由现有“</w:t>
            </w:r>
            <w:r>
              <w:rPr>
                <w:rFonts w:hint="eastAsia" w:cs="Times New Roman"/>
                <w:bCs w:val="0"/>
                <w:color w:val="auto"/>
                <w:kern w:val="0"/>
                <w:sz w:val="24"/>
                <w:szCs w:val="24"/>
                <w:highlight w:val="none"/>
                <w:u w:val="none"/>
                <w:lang w:val="en-US" w:eastAsia="zh-CN" w:bidi="ar"/>
              </w:rPr>
              <w:t>二级碱喷淋+次氯酸钠喷淋</w:t>
            </w:r>
            <w:r>
              <w:rPr>
                <w:rFonts w:hint="default" w:ascii="Times New Roman" w:hAnsi="Times New Roman" w:cs="Times New Roman"/>
                <w:bCs w:val="0"/>
                <w:color w:val="auto"/>
                <w:kern w:val="0"/>
                <w:sz w:val="24"/>
                <w:szCs w:val="24"/>
                <w:highlight w:val="none"/>
                <w:u w:val="none"/>
                <w:lang w:val="en-US" w:eastAsia="zh-CN" w:bidi="ar"/>
              </w:rPr>
              <w:t>”处理工艺</w:t>
            </w:r>
            <w:r>
              <w:rPr>
                <w:rFonts w:hint="eastAsia" w:cs="Times New Roman"/>
                <w:bCs w:val="0"/>
                <w:color w:val="auto"/>
                <w:kern w:val="0"/>
                <w:sz w:val="24"/>
                <w:szCs w:val="24"/>
                <w:highlight w:val="none"/>
                <w:u w:val="none"/>
                <w:lang w:val="en-US" w:eastAsia="zh-CN" w:bidi="ar"/>
              </w:rPr>
              <w:t>升级</w:t>
            </w:r>
            <w:r>
              <w:rPr>
                <w:rFonts w:hint="default" w:ascii="Times New Roman" w:hAnsi="Times New Roman" w:cs="Times New Roman"/>
                <w:bCs w:val="0"/>
                <w:color w:val="auto"/>
                <w:kern w:val="0"/>
                <w:sz w:val="24"/>
                <w:szCs w:val="24"/>
                <w:highlight w:val="none"/>
                <w:u w:val="none"/>
                <w:lang w:val="en-US" w:eastAsia="zh-CN" w:bidi="ar"/>
              </w:rPr>
              <w:t>为“</w:t>
            </w:r>
            <w:r>
              <w:rPr>
                <w:rFonts w:hint="eastAsia" w:cs="Times New Roman"/>
                <w:bCs w:val="0"/>
                <w:color w:val="auto"/>
                <w:kern w:val="0"/>
                <w:sz w:val="24"/>
                <w:szCs w:val="24"/>
                <w:highlight w:val="none"/>
                <w:u w:val="none"/>
                <w:lang w:val="en-US" w:eastAsia="zh-CN" w:bidi="ar"/>
              </w:rPr>
              <w:t>冰冻冷凝+二级碱喷淋+次氯酸钠喷淋+活性炭吸附</w:t>
            </w:r>
            <w:r>
              <w:rPr>
                <w:rFonts w:hint="default" w:ascii="Times New Roman" w:hAnsi="Times New Roman" w:cs="Times New Roman"/>
                <w:bCs w:val="0"/>
                <w:color w:val="auto"/>
                <w:kern w:val="0"/>
                <w:sz w:val="24"/>
                <w:szCs w:val="24"/>
                <w:highlight w:val="none"/>
                <w:u w:val="none"/>
                <w:lang w:val="en-US" w:eastAsia="zh-CN" w:bidi="ar"/>
              </w:rPr>
              <w:t>”处理工艺，故</w:t>
            </w:r>
            <w:r>
              <w:rPr>
                <w:rFonts w:hint="eastAsia" w:cs="Times New Roman"/>
                <w:bCs w:val="0"/>
                <w:color w:val="auto"/>
                <w:kern w:val="0"/>
                <w:sz w:val="24"/>
                <w:szCs w:val="24"/>
                <w:highlight w:val="none"/>
                <w:u w:val="none"/>
                <w:lang w:val="en-US" w:eastAsia="zh-CN" w:bidi="ar"/>
              </w:rPr>
              <w:t>本评价将停止运行的现有精炼车间排源作为削减源，以改建后的精炼车间污染源作为本项目污染源，以此进行</w:t>
            </w:r>
            <w:r>
              <w:rPr>
                <w:rFonts w:hint="default" w:ascii="Times New Roman" w:hAnsi="Times New Roman" w:cs="Times New Roman"/>
                <w:bCs w:val="0"/>
                <w:color w:val="auto"/>
                <w:kern w:val="0"/>
                <w:sz w:val="24"/>
                <w:szCs w:val="24"/>
                <w:highlight w:val="none"/>
                <w:u w:val="none"/>
                <w:lang w:val="en-US" w:eastAsia="zh-CN" w:bidi="ar"/>
              </w:rPr>
              <w:t>“三本账”分析；</w:t>
            </w:r>
            <w:r>
              <w:rPr>
                <w:rFonts w:hint="eastAsia" w:cs="Times New Roman"/>
                <w:bCs w:val="0"/>
                <w:color w:val="auto"/>
                <w:kern w:val="0"/>
                <w:sz w:val="24"/>
                <w:szCs w:val="24"/>
                <w:highlight w:val="none"/>
                <w:u w:val="none"/>
                <w:lang w:val="en-US" w:eastAsia="zh-CN" w:bidi="ar"/>
              </w:rPr>
              <w:t>2#</w:t>
            </w:r>
            <w:r>
              <w:rPr>
                <w:rFonts w:hint="default" w:ascii="Times New Roman" w:hAnsi="Times New Roman" w:cs="Times New Roman"/>
                <w:bCs w:val="0"/>
                <w:color w:val="auto"/>
                <w:kern w:val="0"/>
                <w:sz w:val="24"/>
                <w:szCs w:val="24"/>
                <w:highlight w:val="none"/>
                <w:lang w:val="en-US" w:eastAsia="zh-CN" w:bidi="ar"/>
              </w:rPr>
              <w:t>包装车间内现有包装生产线</w:t>
            </w:r>
            <w:r>
              <w:rPr>
                <w:rFonts w:hint="eastAsia" w:cs="Times New Roman"/>
                <w:bCs w:val="0"/>
                <w:color w:val="auto"/>
                <w:kern w:val="0"/>
                <w:sz w:val="24"/>
                <w:szCs w:val="24"/>
                <w:highlight w:val="none"/>
                <w:lang w:val="en-US" w:eastAsia="zh-CN" w:bidi="ar"/>
              </w:rPr>
              <w:t>及2#</w:t>
            </w:r>
            <w:r>
              <w:rPr>
                <w:rFonts w:hint="default" w:ascii="Times New Roman" w:hAnsi="Times New Roman" w:eastAsia="宋体" w:cs="Times New Roman"/>
                <w:bCs w:val="0"/>
                <w:snapToGrid/>
                <w:color w:val="auto"/>
                <w:kern w:val="0"/>
                <w:sz w:val="24"/>
                <w:szCs w:val="24"/>
                <w:highlight w:val="none"/>
                <w:u w:val="none"/>
                <w:lang w:val="en-US" w:eastAsia="zh-CN" w:bidi="ar"/>
              </w:rPr>
              <w:t>制瓶车间</w:t>
            </w:r>
            <w:r>
              <w:rPr>
                <w:rFonts w:hint="default" w:ascii="Times New Roman" w:hAnsi="Times New Roman" w:cs="Times New Roman"/>
                <w:bCs w:val="0"/>
                <w:color w:val="auto"/>
                <w:kern w:val="0"/>
                <w:sz w:val="24"/>
                <w:szCs w:val="24"/>
                <w:highlight w:val="none"/>
                <w:lang w:val="en-US" w:eastAsia="zh-CN" w:bidi="ar"/>
              </w:rPr>
              <w:t>设施将搬迁至1#包装车间预留位置，因生产规模不发生变化，且属于场内布局调整，本评价</w:t>
            </w:r>
            <w:r>
              <w:rPr>
                <w:rFonts w:hint="eastAsia" w:cs="Times New Roman"/>
                <w:bCs w:val="0"/>
                <w:color w:val="auto"/>
                <w:kern w:val="0"/>
                <w:sz w:val="24"/>
                <w:szCs w:val="24"/>
                <w:highlight w:val="none"/>
                <w:lang w:val="en-US" w:eastAsia="zh-CN" w:bidi="ar"/>
              </w:rPr>
              <w:t>仅进行回顾性分析</w:t>
            </w:r>
            <w:r>
              <w:rPr>
                <w:rFonts w:hint="default" w:ascii="Times New Roman" w:hAnsi="Times New Roman" w:cs="Times New Roman"/>
                <w:bCs w:val="0"/>
                <w:color w:val="auto"/>
                <w:kern w:val="0"/>
                <w:sz w:val="24"/>
                <w:szCs w:val="24"/>
                <w:highlight w:val="none"/>
                <w:u w:val="none"/>
                <w:lang w:val="en-US" w:eastAsia="zh-CN" w:bidi="ar"/>
              </w:rPr>
              <w:t>。</w:t>
            </w:r>
          </w:p>
          <w:p w14:paraId="55FF92B6">
            <w:pPr>
              <w:keepNext w:val="0"/>
              <w:keepLines w:val="0"/>
              <w:pageBreakBefore w:val="0"/>
              <w:widowControl w:val="0"/>
              <w:kinsoku/>
              <w:wordWrap/>
              <w:overflowPunct w:val="0"/>
              <w:topLinePunct/>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val="en-US" w:eastAsia="zh-CN"/>
              </w:rPr>
              <w:t>（</w:t>
            </w:r>
            <w:r>
              <w:rPr>
                <w:rFonts w:hint="eastAsia" w:cs="Times New Roman"/>
                <w:color w:val="auto"/>
                <w:sz w:val="24"/>
                <w:szCs w:val="32"/>
                <w:highlight w:val="none"/>
                <w:lang w:val="en-US" w:eastAsia="zh-CN"/>
              </w:rPr>
              <w:t>4</w:t>
            </w:r>
            <w:r>
              <w:rPr>
                <w:rFonts w:hint="default" w:ascii="Times New Roman" w:hAnsi="Times New Roman" w:cs="Times New Roman"/>
                <w:color w:val="auto"/>
                <w:sz w:val="24"/>
                <w:szCs w:val="32"/>
                <w:highlight w:val="none"/>
                <w:lang w:val="en-US" w:eastAsia="zh-CN"/>
              </w:rPr>
              <w:t>）</w:t>
            </w:r>
            <w:r>
              <w:rPr>
                <w:rFonts w:hint="eastAsia" w:cs="Times New Roman"/>
                <w:color w:val="auto"/>
                <w:sz w:val="24"/>
                <w:szCs w:val="32"/>
                <w:highlight w:val="none"/>
                <w:lang w:val="en-US" w:eastAsia="zh-CN"/>
              </w:rPr>
              <w:t>本次改建将依托</w:t>
            </w: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eastAsia" w:cs="Times New Roman"/>
                <w:color w:val="auto"/>
                <w:sz w:val="24"/>
                <w:szCs w:val="32"/>
                <w:highlight w:val="none"/>
                <w:lang w:val="en-US" w:eastAsia="zh-CN"/>
              </w:rPr>
              <w:t>厂区内现有</w:t>
            </w:r>
            <w:r>
              <w:rPr>
                <w:rFonts w:hint="eastAsia" w:ascii="Times New Roman" w:hAnsi="Times New Roman" w:eastAsia="宋体" w:cs="Times New Roman"/>
                <w:color w:val="auto"/>
                <w:spacing w:val="0"/>
                <w:sz w:val="24"/>
                <w:szCs w:val="32"/>
                <w:highlight w:val="none"/>
              </w:rPr>
              <w:t>储油罐区</w:t>
            </w:r>
            <w:r>
              <w:rPr>
                <w:rFonts w:hint="eastAsia" w:cs="Times New Roman"/>
                <w:color w:val="auto"/>
                <w:sz w:val="24"/>
                <w:szCs w:val="32"/>
                <w:highlight w:val="none"/>
                <w:lang w:val="en-US" w:eastAsia="zh-CN"/>
              </w:rPr>
              <w:t>、灌装、制瓶等生产设施，以及污水处理、水电气等公辅设施，本评价对依托工程进行依托可行性分析。</w:t>
            </w:r>
          </w:p>
          <w:p w14:paraId="5C4ADED7">
            <w:pPr>
              <w:keepNext w:val="0"/>
              <w:keepLines w:val="0"/>
              <w:pageBreakBefore w:val="0"/>
              <w:widowControl w:val="0"/>
              <w:kinsoku/>
              <w:wordWrap/>
              <w:overflowPunct w:val="0"/>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cs="Times New Roman"/>
                <w:color w:val="auto"/>
                <w:sz w:val="24"/>
                <w:szCs w:val="32"/>
                <w:highlight w:val="none"/>
                <w:lang w:val="en-US" w:eastAsia="zh-CN"/>
              </w:rPr>
              <w:t>（</w:t>
            </w:r>
            <w:r>
              <w:rPr>
                <w:rFonts w:hint="eastAsia" w:cs="Times New Roman"/>
                <w:color w:val="auto"/>
                <w:sz w:val="24"/>
                <w:szCs w:val="32"/>
                <w:highlight w:val="none"/>
                <w:lang w:val="en-US" w:eastAsia="zh-CN"/>
              </w:rPr>
              <w:t>5</w:t>
            </w:r>
            <w:r>
              <w:rPr>
                <w:rFonts w:hint="default" w:ascii="Times New Roman" w:hAnsi="Times New Roman" w:cs="Times New Roman"/>
                <w:color w:val="auto"/>
                <w:sz w:val="24"/>
                <w:szCs w:val="32"/>
                <w:highlight w:val="none"/>
                <w:lang w:val="en-US" w:eastAsia="zh-CN"/>
              </w:rPr>
              <w:t>）</w:t>
            </w:r>
            <w:r>
              <w:rPr>
                <w:rFonts w:hint="eastAsia"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highlight w:val="none"/>
              </w:rPr>
              <w:t>利用</w:t>
            </w:r>
            <w:r>
              <w:rPr>
                <w:rFonts w:hint="default" w:ascii="Times New Roman" w:hAnsi="Times New Roman" w:eastAsia="宋体" w:cs="Times New Roman"/>
                <w:color w:val="auto"/>
                <w:kern w:val="0"/>
                <w:sz w:val="24"/>
                <w:szCs w:val="24"/>
                <w:highlight w:val="none"/>
                <w:lang w:val="en-US" w:eastAsia="zh-CN"/>
              </w:rPr>
              <w:t>现有场地进行精炼车间的建设</w:t>
            </w:r>
            <w:r>
              <w:rPr>
                <w:rFonts w:hint="default" w:ascii="Times New Roman" w:hAnsi="Times New Roman" w:eastAsia="宋体" w:cs="Times New Roman"/>
                <w:color w:val="auto"/>
                <w:kern w:val="0"/>
                <w:sz w:val="24"/>
                <w:szCs w:val="24"/>
                <w:highlight w:val="none"/>
              </w:rPr>
              <w:t>，施工活动较简单，施工时间短，对环境影响较小；因此，本次评价在环境影响评价时段上将以运行期为主，施工期仅进行简单的环境影响分析。</w:t>
            </w:r>
          </w:p>
          <w:p w14:paraId="65A8D189">
            <w:pPr>
              <w:pStyle w:val="2"/>
              <w:spacing w:before="0" w:after="0" w:line="360" w:lineRule="auto"/>
              <w:ind w:right="0" w:firstLine="480" w:firstLineChars="200"/>
              <w:rPr>
                <w:rFonts w:hint="default" w:eastAsia="宋体"/>
                <w:color w:val="auto"/>
                <w:sz w:val="24"/>
                <w:szCs w:val="24"/>
                <w:highlight w:val="none"/>
                <w:lang w:eastAsia="zh-CN"/>
              </w:rPr>
            </w:pPr>
            <w:r>
              <w:rPr>
                <w:rFonts w:hint="default"/>
                <w:color w:val="auto"/>
                <w:sz w:val="24"/>
                <w:szCs w:val="24"/>
                <w:highlight w:val="none"/>
                <w:lang w:eastAsia="zh-CN"/>
              </w:rPr>
              <w:t>（</w:t>
            </w:r>
            <w:r>
              <w:rPr>
                <w:rFonts w:hint="default"/>
                <w:color w:val="auto"/>
                <w:sz w:val="24"/>
                <w:szCs w:val="24"/>
                <w:highlight w:val="none"/>
                <w:lang w:val="en-US" w:eastAsia="zh-CN"/>
              </w:rPr>
              <w:t>6</w:t>
            </w:r>
            <w:r>
              <w:rPr>
                <w:rFonts w:hint="default"/>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考虑本次生产工艺升级能够实现降能、减排的目的，为分析其效果，本评价设置清洁生产章节内容</w:t>
            </w:r>
            <w:r>
              <w:rPr>
                <w:rFonts w:hint="eastAsia" w:cs="Times New Roman"/>
                <w:color w:val="auto"/>
                <w:sz w:val="21"/>
                <w:szCs w:val="21"/>
                <w:highlight w:val="none"/>
                <w:lang w:val="en-US" w:eastAsia="zh-CN"/>
              </w:rPr>
              <w:t>。</w:t>
            </w:r>
          </w:p>
          <w:p w14:paraId="3A85BE87">
            <w:pPr>
              <w:keepNext w:val="0"/>
              <w:keepLines w:val="0"/>
              <w:pageBreakBefore w:val="0"/>
              <w:kinsoku/>
              <w:wordWrap/>
              <w:overflowPunct w:val="0"/>
              <w:topLinePunct/>
              <w:autoSpaceDE/>
              <w:autoSpaceDN/>
              <w:bidi w:val="0"/>
              <w:adjustRightInd/>
              <w:snapToGrid/>
              <w:spacing w:line="460" w:lineRule="exact"/>
              <w:jc w:val="both"/>
              <w:textAlignment w:val="auto"/>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2.3.项目概况</w:t>
            </w:r>
          </w:p>
          <w:p w14:paraId="28D05B10">
            <w:pPr>
              <w:pStyle w:val="17"/>
              <w:keepNext w:val="0"/>
              <w:keepLines w:val="0"/>
              <w:pageBreakBefore w:val="0"/>
              <w:widowControl w:val="0"/>
              <w:numPr>
                <w:ilvl w:val="0"/>
                <w:numId w:val="0"/>
              </w:numPr>
              <w:kinsoku/>
              <w:wordWrap/>
              <w:overflowPunct w:val="0"/>
              <w:topLinePunct/>
              <w:autoSpaceDE/>
              <w:autoSpaceDN/>
              <w:bidi w:val="0"/>
              <w:adjustRightInd w:val="0"/>
              <w:snapToGrid w:val="0"/>
              <w:spacing w:after="0" w:line="460" w:lineRule="exact"/>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2.3.1项目基本情况</w:t>
            </w:r>
          </w:p>
          <w:p w14:paraId="3D2B40B8">
            <w:pPr>
              <w:pStyle w:val="17"/>
              <w:keepNext w:val="0"/>
              <w:keepLines w:val="0"/>
              <w:pageBreakBefore w:val="0"/>
              <w:widowControl w:val="0"/>
              <w:numPr>
                <w:ilvl w:val="0"/>
                <w:numId w:val="0"/>
              </w:numPr>
              <w:kinsoku/>
              <w:wordWrap/>
              <w:overflowPunct w:val="0"/>
              <w:topLinePunct/>
              <w:autoSpaceDE/>
              <w:autoSpaceDN/>
              <w:bidi w:val="0"/>
              <w:adjustRightInd w:val="0"/>
              <w:snapToGrid w:val="0"/>
              <w:spacing w:after="0" w:line="460" w:lineRule="exact"/>
              <w:ind w:firstLine="480" w:firstLineChars="200"/>
              <w:jc w:val="left"/>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项目名称：</w:t>
            </w:r>
            <w:r>
              <w:rPr>
                <w:rFonts w:hint="default" w:ascii="Times New Roman" w:hAnsi="Times New Roman" w:eastAsia="宋体" w:cs="Times New Roman"/>
                <w:color w:val="auto"/>
                <w:sz w:val="24"/>
                <w:szCs w:val="24"/>
                <w:highlight w:val="none"/>
                <w:lang w:eastAsia="zh-CN"/>
              </w:rPr>
              <w:t>改建600t/d油脂精炼车间（含脱蜡工段600t/d）项目加工单元</w:t>
            </w:r>
          </w:p>
          <w:p w14:paraId="53549333">
            <w:pPr>
              <w:pStyle w:val="17"/>
              <w:keepNext w:val="0"/>
              <w:keepLines w:val="0"/>
              <w:pageBreakBefore w:val="0"/>
              <w:widowControl w:val="0"/>
              <w:numPr>
                <w:ilvl w:val="0"/>
                <w:numId w:val="0"/>
              </w:numPr>
              <w:kinsoku/>
              <w:wordWrap/>
              <w:overflowPunct w:val="0"/>
              <w:topLinePunct/>
              <w:autoSpaceDE/>
              <w:autoSpaceDN/>
              <w:bidi w:val="0"/>
              <w:adjustRightInd w:val="0"/>
              <w:snapToGrid w:val="0"/>
              <w:spacing w:after="0" w:line="460" w:lineRule="exact"/>
              <w:ind w:firstLine="480" w:firstLineChars="200"/>
              <w:jc w:val="left"/>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建设单位：红蜻蜓（重庆）植物油脂有限公司</w:t>
            </w:r>
          </w:p>
          <w:p w14:paraId="56C0BA5D">
            <w:pPr>
              <w:pStyle w:val="17"/>
              <w:keepNext w:val="0"/>
              <w:keepLines w:val="0"/>
              <w:pageBreakBefore w:val="0"/>
              <w:widowControl w:val="0"/>
              <w:numPr>
                <w:ilvl w:val="0"/>
                <w:numId w:val="0"/>
              </w:numPr>
              <w:kinsoku/>
              <w:wordWrap/>
              <w:overflowPunct w:val="0"/>
              <w:topLinePunct/>
              <w:autoSpaceDE/>
              <w:autoSpaceDN/>
              <w:bidi w:val="0"/>
              <w:adjustRightInd w:val="0"/>
              <w:snapToGrid w:val="0"/>
              <w:spacing w:after="0" w:line="460" w:lineRule="exact"/>
              <w:ind w:firstLine="480" w:firstLineChars="200"/>
              <w:jc w:val="left"/>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建设性质：</w:t>
            </w:r>
            <w:r>
              <w:rPr>
                <w:rFonts w:hint="eastAsia" w:ascii="Times New Roman" w:hAnsi="Times New Roman" w:cs="Times New Roman"/>
                <w:bCs w:val="0"/>
                <w:color w:val="auto"/>
                <w:kern w:val="0"/>
                <w:sz w:val="24"/>
                <w:szCs w:val="24"/>
                <w:highlight w:val="none"/>
                <w:lang w:val="en-US" w:eastAsia="zh-CN" w:bidi="ar"/>
              </w:rPr>
              <w:t>改建</w:t>
            </w:r>
          </w:p>
          <w:p w14:paraId="7C1C2184">
            <w:pPr>
              <w:pStyle w:val="17"/>
              <w:keepNext w:val="0"/>
              <w:keepLines w:val="0"/>
              <w:pageBreakBefore w:val="0"/>
              <w:widowControl w:val="0"/>
              <w:numPr>
                <w:ilvl w:val="0"/>
                <w:numId w:val="0"/>
              </w:numPr>
              <w:kinsoku/>
              <w:wordWrap/>
              <w:overflowPunct w:val="0"/>
              <w:topLinePunct/>
              <w:autoSpaceDE/>
              <w:autoSpaceDN/>
              <w:bidi w:val="0"/>
              <w:adjustRightInd w:val="0"/>
              <w:snapToGrid w:val="0"/>
              <w:spacing w:after="0" w:line="460" w:lineRule="exact"/>
              <w:ind w:right="0"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建设地点：</w:t>
            </w:r>
            <w:r>
              <w:rPr>
                <w:rFonts w:hint="default" w:ascii="Times New Roman" w:hAnsi="Times New Roman" w:eastAsia="宋体" w:cs="Times New Roman"/>
                <w:color w:val="auto"/>
                <w:sz w:val="24"/>
                <w:szCs w:val="24"/>
                <w:highlight w:val="none"/>
                <w:lang w:val="en-US" w:eastAsia="zh-CN"/>
              </w:rPr>
              <w:t>九龙坡区铜罐驿镇砖瓦村167号</w:t>
            </w:r>
            <w:r>
              <w:rPr>
                <w:rFonts w:hint="default" w:ascii="Times New Roman" w:hAnsi="Times New Roman" w:eastAsia="宋体" w:cs="Times New Roman"/>
                <w:bCs w:val="0"/>
                <w:color w:val="auto"/>
                <w:kern w:val="0"/>
                <w:sz w:val="24"/>
                <w:szCs w:val="24"/>
                <w:highlight w:val="none"/>
                <w:lang w:val="en-US" w:eastAsia="zh-CN" w:bidi="ar"/>
              </w:rPr>
              <w:t>现有红蜻蜓（重庆）植物油脂有限公司</w:t>
            </w:r>
            <w:r>
              <w:rPr>
                <w:rFonts w:hint="eastAsia" w:ascii="Times New Roman" w:hAnsi="Times New Roman" w:cs="Times New Roman"/>
                <w:bCs w:val="0"/>
                <w:color w:val="auto"/>
                <w:kern w:val="0"/>
                <w:sz w:val="24"/>
                <w:szCs w:val="24"/>
                <w:highlight w:val="none"/>
                <w:lang w:val="en-US" w:eastAsia="zh-CN" w:bidi="ar"/>
              </w:rPr>
              <w:t>厂区</w:t>
            </w:r>
            <w:r>
              <w:rPr>
                <w:rFonts w:hint="default" w:ascii="Times New Roman" w:hAnsi="Times New Roman" w:eastAsia="宋体" w:cs="Times New Roman"/>
                <w:bCs w:val="0"/>
                <w:color w:val="auto"/>
                <w:kern w:val="0"/>
                <w:sz w:val="24"/>
                <w:szCs w:val="24"/>
                <w:highlight w:val="none"/>
                <w:lang w:val="en-US" w:eastAsia="zh-CN" w:bidi="ar"/>
              </w:rPr>
              <w:t>范围内，具体地理位置见附图1。</w:t>
            </w:r>
          </w:p>
          <w:p w14:paraId="632F9F90">
            <w:pPr>
              <w:pStyle w:val="17"/>
              <w:keepNext w:val="0"/>
              <w:keepLines w:val="0"/>
              <w:pageBreakBefore w:val="0"/>
              <w:widowControl w:val="0"/>
              <w:numPr>
                <w:ilvl w:val="0"/>
                <w:numId w:val="0"/>
              </w:numPr>
              <w:kinsoku/>
              <w:wordWrap/>
              <w:overflowPunct w:val="0"/>
              <w:topLinePunct/>
              <w:autoSpaceDE/>
              <w:autoSpaceDN/>
              <w:bidi w:val="0"/>
              <w:adjustRightInd w:val="0"/>
              <w:snapToGrid w:val="0"/>
              <w:spacing w:after="0" w:line="460" w:lineRule="exact"/>
              <w:ind w:right="0"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项目投资6651.74万元，其中环保投资</w:t>
            </w:r>
            <w:r>
              <w:rPr>
                <w:rFonts w:hint="eastAsia" w:ascii="Times New Roman" w:hAnsi="Times New Roman" w:cs="Times New Roman"/>
                <w:bCs w:val="0"/>
                <w:color w:val="auto"/>
                <w:kern w:val="0"/>
                <w:sz w:val="24"/>
                <w:szCs w:val="24"/>
                <w:highlight w:val="none"/>
                <w:lang w:val="en-US" w:eastAsia="zh-CN" w:bidi="ar"/>
              </w:rPr>
              <w:t>145</w:t>
            </w:r>
            <w:r>
              <w:rPr>
                <w:rFonts w:hint="default" w:ascii="Times New Roman" w:hAnsi="Times New Roman" w:eastAsia="宋体" w:cs="Times New Roman"/>
                <w:bCs w:val="0"/>
                <w:color w:val="auto"/>
                <w:kern w:val="0"/>
                <w:sz w:val="24"/>
                <w:szCs w:val="24"/>
                <w:highlight w:val="none"/>
                <w:lang w:val="en-US" w:eastAsia="zh-CN" w:bidi="ar"/>
              </w:rPr>
              <w:t>万元。</w:t>
            </w:r>
          </w:p>
          <w:p w14:paraId="46813392">
            <w:pPr>
              <w:pStyle w:val="11"/>
              <w:keepNext w:val="0"/>
              <w:keepLines w:val="0"/>
              <w:pageBreakBefore w:val="0"/>
              <w:widowControl w:val="0"/>
              <w:kinsoku/>
              <w:wordWrap/>
              <w:overflowPunct w:val="0"/>
              <w:topLinePunct/>
              <w:autoSpaceDE/>
              <w:autoSpaceDN/>
              <w:bidi w:val="0"/>
              <w:spacing w:line="460" w:lineRule="exact"/>
              <w:ind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项目组成及建设规模：</w:t>
            </w:r>
          </w:p>
          <w:p w14:paraId="2726EF0C">
            <w:pPr>
              <w:pStyle w:val="11"/>
              <w:keepNext w:val="0"/>
              <w:keepLines w:val="0"/>
              <w:pageBreakBefore w:val="0"/>
              <w:widowControl w:val="0"/>
              <w:kinsoku/>
              <w:wordWrap/>
              <w:overflowPunct w:val="0"/>
              <w:topLinePunct/>
              <w:autoSpaceDE/>
              <w:autoSpaceDN/>
              <w:bidi w:val="0"/>
              <w:spacing w:line="460" w:lineRule="exact"/>
              <w:ind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①拆除现有的2#包装</w:t>
            </w:r>
            <w:r>
              <w:rPr>
                <w:rFonts w:hint="default" w:ascii="Times New Roman" w:hAnsi="Times New Roman" w:cs="Times New Roman"/>
                <w:bCs w:val="0"/>
                <w:color w:val="auto"/>
                <w:kern w:val="0"/>
                <w:sz w:val="24"/>
                <w:szCs w:val="24"/>
                <w:highlight w:val="none"/>
                <w:lang w:val="en-US" w:eastAsia="zh-CN" w:bidi="ar"/>
              </w:rPr>
              <w:t>车间，将包装车间内现有</w:t>
            </w:r>
            <w:r>
              <w:rPr>
                <w:rFonts w:hint="eastAsia" w:cs="Times New Roman"/>
                <w:bCs w:val="0"/>
                <w:color w:val="auto"/>
                <w:kern w:val="0"/>
                <w:sz w:val="24"/>
                <w:szCs w:val="24"/>
                <w:highlight w:val="none"/>
                <w:lang w:val="en-US" w:eastAsia="zh-CN" w:bidi="ar"/>
              </w:rPr>
              <w:t>包装生产线及2#</w:t>
            </w:r>
            <w:r>
              <w:rPr>
                <w:rFonts w:hint="default" w:ascii="Times New Roman" w:hAnsi="Times New Roman" w:eastAsia="宋体" w:cs="Times New Roman"/>
                <w:bCs w:val="0"/>
                <w:snapToGrid/>
                <w:color w:val="auto"/>
                <w:kern w:val="0"/>
                <w:sz w:val="24"/>
                <w:szCs w:val="24"/>
                <w:highlight w:val="none"/>
                <w:u w:val="none"/>
                <w:lang w:val="en-US" w:eastAsia="zh-CN" w:bidi="ar"/>
              </w:rPr>
              <w:t>制瓶车间</w:t>
            </w:r>
            <w:r>
              <w:rPr>
                <w:rFonts w:hint="default" w:ascii="Times New Roman" w:hAnsi="Times New Roman" w:cs="Times New Roman"/>
                <w:bCs w:val="0"/>
                <w:color w:val="auto"/>
                <w:kern w:val="0"/>
                <w:sz w:val="24"/>
                <w:szCs w:val="24"/>
                <w:highlight w:val="none"/>
                <w:lang w:val="en-US" w:eastAsia="zh-CN" w:bidi="ar"/>
              </w:rPr>
              <w:t>设施搬迁至1#包装车间预留位置</w:t>
            </w:r>
            <w:r>
              <w:rPr>
                <w:rFonts w:hint="default" w:ascii="Times New Roman" w:hAnsi="Times New Roman" w:eastAsia="宋体" w:cs="Times New Roman"/>
                <w:bCs w:val="0"/>
                <w:color w:val="auto"/>
                <w:kern w:val="0"/>
                <w:sz w:val="24"/>
                <w:szCs w:val="24"/>
                <w:highlight w:val="none"/>
                <w:lang w:val="en-US" w:eastAsia="zh-CN" w:bidi="ar"/>
              </w:rPr>
              <w:t>；</w:t>
            </w:r>
          </w:p>
          <w:p w14:paraId="335E0D76">
            <w:pPr>
              <w:pStyle w:val="11"/>
              <w:keepNext w:val="0"/>
              <w:keepLines w:val="0"/>
              <w:pageBreakBefore w:val="0"/>
              <w:widowControl w:val="0"/>
              <w:kinsoku/>
              <w:wordWrap/>
              <w:overflowPunct w:val="0"/>
              <w:topLinePunct/>
              <w:autoSpaceDE/>
              <w:autoSpaceDN/>
              <w:bidi w:val="0"/>
              <w:spacing w:line="460" w:lineRule="exact"/>
              <w:ind w:firstLine="480" w:firstLineChars="200"/>
              <w:jc w:val="both"/>
              <w:textAlignment w:val="auto"/>
              <w:rPr>
                <w:rFonts w:hint="default"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②</w:t>
            </w:r>
            <w:r>
              <w:rPr>
                <w:rFonts w:hint="eastAsia" w:cs="Times New Roman"/>
                <w:bCs w:val="0"/>
                <w:color w:val="auto"/>
                <w:kern w:val="0"/>
                <w:sz w:val="24"/>
                <w:szCs w:val="24"/>
                <w:highlight w:val="none"/>
                <w:lang w:val="en-US" w:eastAsia="zh-CN" w:bidi="ar"/>
              </w:rPr>
              <w:t>淘汰现有精炼车间内</w:t>
            </w:r>
            <w:r>
              <w:rPr>
                <w:rFonts w:hint="default" w:ascii="Times New Roman" w:hAnsi="Times New Roman" w:cs="Times New Roman"/>
                <w:bCs w:val="0"/>
                <w:color w:val="auto"/>
                <w:kern w:val="0"/>
                <w:sz w:val="24"/>
                <w:szCs w:val="24"/>
                <w:highlight w:val="none"/>
                <w:lang w:val="en-US" w:eastAsia="zh-CN" w:bidi="ar"/>
              </w:rPr>
              <w:t>生产规模为</w:t>
            </w:r>
            <w:r>
              <w:rPr>
                <w:rFonts w:hint="eastAsia" w:cs="Times New Roman"/>
                <w:bCs w:val="0"/>
                <w:color w:val="auto"/>
                <w:kern w:val="0"/>
                <w:sz w:val="24"/>
                <w:szCs w:val="24"/>
                <w:highlight w:val="none"/>
                <w:lang w:val="en-US" w:eastAsia="zh-CN" w:bidi="ar"/>
              </w:rPr>
              <w:t>400t/d精炼生产线1条，在</w:t>
            </w:r>
            <w:r>
              <w:rPr>
                <w:rFonts w:hint="default" w:ascii="Times New Roman" w:hAnsi="Times New Roman" w:eastAsia="宋体" w:cs="Times New Roman"/>
                <w:bCs w:val="0"/>
                <w:color w:val="auto"/>
                <w:kern w:val="0"/>
                <w:sz w:val="24"/>
                <w:szCs w:val="24"/>
                <w:highlight w:val="none"/>
                <w:lang w:val="en-US" w:eastAsia="zh-CN" w:bidi="ar"/>
              </w:rPr>
              <w:t>现有2#包装</w:t>
            </w:r>
            <w:r>
              <w:rPr>
                <w:rFonts w:hint="default" w:ascii="Times New Roman" w:hAnsi="Times New Roman" w:cs="Times New Roman"/>
                <w:bCs w:val="0"/>
                <w:color w:val="auto"/>
                <w:kern w:val="0"/>
                <w:sz w:val="24"/>
                <w:szCs w:val="24"/>
                <w:highlight w:val="none"/>
                <w:lang w:val="en-US" w:eastAsia="zh-CN" w:bidi="ar"/>
              </w:rPr>
              <w:t>车间</w:t>
            </w:r>
            <w:r>
              <w:rPr>
                <w:rFonts w:hint="eastAsia" w:cs="Times New Roman"/>
                <w:bCs w:val="0"/>
                <w:color w:val="auto"/>
                <w:kern w:val="0"/>
                <w:sz w:val="24"/>
                <w:szCs w:val="24"/>
                <w:highlight w:val="none"/>
                <w:lang w:val="en-US" w:eastAsia="zh-CN" w:bidi="ar"/>
              </w:rPr>
              <w:t>原址改建精炼车间内新建</w:t>
            </w:r>
            <w:r>
              <w:rPr>
                <w:rFonts w:hint="default" w:ascii="Times New Roman" w:hAnsi="Times New Roman" w:cs="Times New Roman"/>
                <w:bCs w:val="0"/>
                <w:color w:val="auto"/>
                <w:kern w:val="0"/>
                <w:sz w:val="24"/>
                <w:szCs w:val="24"/>
                <w:highlight w:val="none"/>
                <w:lang w:val="en-US" w:eastAsia="zh-CN" w:bidi="ar"/>
              </w:rPr>
              <w:t>生产规模为600t</w:t>
            </w:r>
            <w:r>
              <w:rPr>
                <w:rFonts w:hint="eastAsia" w:cs="Times New Roman"/>
                <w:bCs w:val="0"/>
                <w:color w:val="auto"/>
                <w:kern w:val="0"/>
                <w:sz w:val="24"/>
                <w:szCs w:val="24"/>
                <w:highlight w:val="none"/>
                <w:lang w:val="en-US" w:eastAsia="zh-CN" w:bidi="ar"/>
              </w:rPr>
              <w:t>/d</w:t>
            </w:r>
            <w:r>
              <w:rPr>
                <w:rFonts w:hint="default" w:ascii="Times New Roman" w:hAnsi="Times New Roman" w:cs="Times New Roman"/>
                <w:bCs w:val="0"/>
                <w:color w:val="auto"/>
                <w:kern w:val="0"/>
                <w:sz w:val="24"/>
                <w:szCs w:val="24"/>
                <w:highlight w:val="none"/>
                <w:lang w:val="en-US" w:eastAsia="zh-CN" w:bidi="ar"/>
              </w:rPr>
              <w:t>的精炼生产线1条</w:t>
            </w:r>
            <w:r>
              <w:rPr>
                <w:rFonts w:hint="eastAsia" w:cs="Times New Roman"/>
                <w:bCs w:val="0"/>
                <w:color w:val="auto"/>
                <w:kern w:val="0"/>
                <w:sz w:val="24"/>
                <w:szCs w:val="24"/>
                <w:highlight w:val="none"/>
                <w:lang w:val="en-US" w:eastAsia="zh-CN" w:bidi="ar"/>
              </w:rPr>
              <w:t>；在现有脱酸、中和、水洗、脱色、脱臭等工艺基础上新增脱蜡结晶工序，并对现有水洗工序和脱色工序进行升级改造，水洗工序采用循环回用，脱色采用预复脱色工艺。</w:t>
            </w:r>
          </w:p>
          <w:p w14:paraId="793582FA">
            <w:pPr>
              <w:pStyle w:val="11"/>
              <w:keepNext w:val="0"/>
              <w:keepLines w:val="0"/>
              <w:pageBreakBefore w:val="0"/>
              <w:widowControl w:val="0"/>
              <w:kinsoku/>
              <w:wordWrap/>
              <w:overflowPunct w:val="0"/>
              <w:topLinePunct/>
              <w:autoSpaceDE/>
              <w:autoSpaceDN/>
              <w:bidi w:val="0"/>
              <w:spacing w:line="460" w:lineRule="exact"/>
              <w:ind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③</w:t>
            </w:r>
            <w:r>
              <w:rPr>
                <w:rFonts w:hint="eastAsia" w:cs="Times New Roman"/>
                <w:bCs w:val="0"/>
                <w:color w:val="auto"/>
                <w:kern w:val="0"/>
                <w:sz w:val="24"/>
                <w:szCs w:val="24"/>
                <w:highlight w:val="none"/>
                <w:lang w:val="en-US" w:eastAsia="zh-CN" w:bidi="ar"/>
              </w:rPr>
              <w:t>淘汰现有锅炉2台（3t/h高压1台，4t/h蒸汽1台），在改建精炼车间新建锅炉3台（3t/h高压1台，2t/h蒸汽1台、1t/h蒸汽1台），</w:t>
            </w:r>
            <w:r>
              <w:rPr>
                <w:rFonts w:hint="default" w:ascii="Times New Roman" w:hAnsi="Times New Roman" w:eastAsia="宋体" w:cs="Times New Roman"/>
                <w:bCs w:val="0"/>
                <w:color w:val="auto"/>
                <w:kern w:val="0"/>
                <w:sz w:val="24"/>
                <w:szCs w:val="24"/>
                <w:highlight w:val="none"/>
                <w:lang w:val="en-US" w:eastAsia="zh-CN" w:bidi="ar"/>
              </w:rPr>
              <w:t>配套建设供气、供水等辅助工程及环保工程</w:t>
            </w:r>
            <w:r>
              <w:rPr>
                <w:rFonts w:hint="eastAsia" w:ascii="Times New Roman" w:hAnsi="Times New Roman" w:eastAsia="宋体" w:cs="Times New Roman"/>
                <w:bCs w:val="0"/>
                <w:color w:val="auto"/>
                <w:kern w:val="0"/>
                <w:sz w:val="24"/>
                <w:szCs w:val="24"/>
                <w:highlight w:val="none"/>
                <w:lang w:val="en-US" w:eastAsia="zh-CN" w:bidi="ar"/>
              </w:rPr>
              <w:t>，</w:t>
            </w:r>
            <w:r>
              <w:rPr>
                <w:rFonts w:hint="eastAsia" w:cs="Times New Roman"/>
                <w:bCs w:val="0"/>
                <w:color w:val="auto"/>
                <w:kern w:val="0"/>
                <w:sz w:val="24"/>
                <w:szCs w:val="24"/>
                <w:highlight w:val="none"/>
                <w:lang w:val="en-US" w:eastAsia="zh-CN" w:bidi="ar"/>
              </w:rPr>
              <w:t>其他灌装、制瓶及储油规模不变。</w:t>
            </w:r>
          </w:p>
          <w:p w14:paraId="49277066">
            <w:pPr>
              <w:keepNext w:val="0"/>
              <w:keepLines w:val="0"/>
              <w:pageBreakBefore w:val="0"/>
              <w:widowControl w:val="0"/>
              <w:kinsoku/>
              <w:wordWrap/>
              <w:overflowPunct w:val="0"/>
              <w:topLinePunct/>
              <w:autoSpaceDE/>
              <w:autoSpaceDN/>
              <w:bidi w:val="0"/>
              <w:adjustRightInd/>
              <w:snapToGrid/>
              <w:spacing w:line="460" w:lineRule="exact"/>
              <w:ind w:right="0" w:firstLine="482" w:firstLineChars="200"/>
              <w:jc w:val="both"/>
              <w:textAlignment w:val="auto"/>
              <w:outlineLvl w:val="1"/>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bidi="ar"/>
              </w:rPr>
              <w:t>2.3.2</w:t>
            </w:r>
            <w:r>
              <w:rPr>
                <w:rFonts w:hint="default" w:ascii="Times New Roman" w:hAnsi="Times New Roman" w:eastAsia="宋体" w:cs="Times New Roman"/>
                <w:b/>
                <w:bCs/>
                <w:color w:val="auto"/>
                <w:sz w:val="24"/>
                <w:szCs w:val="24"/>
                <w:highlight w:val="none"/>
                <w:lang w:val="en-US" w:eastAsia="zh-CN"/>
              </w:rPr>
              <w:t>项目组成</w:t>
            </w:r>
          </w:p>
          <w:p w14:paraId="019B461C">
            <w:pPr>
              <w:pStyle w:val="17"/>
              <w:keepNext w:val="0"/>
              <w:keepLines w:val="0"/>
              <w:pageBreakBefore w:val="0"/>
              <w:widowControl w:val="0"/>
              <w:numPr>
                <w:ilvl w:val="0"/>
                <w:numId w:val="0"/>
              </w:numPr>
              <w:kinsoku/>
              <w:wordWrap/>
              <w:overflowPunct w:val="0"/>
              <w:topLinePunct/>
              <w:autoSpaceDE/>
              <w:autoSpaceDN/>
              <w:bidi w:val="0"/>
              <w:adjustRightInd w:val="0"/>
              <w:snapToGrid w:val="0"/>
              <w:spacing w:after="0" w:line="460" w:lineRule="exact"/>
              <w:ind w:right="0"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eastAsia" w:ascii="Times New Roman" w:hAnsi="Times New Roman" w:cs="Times New Roman"/>
                <w:bCs w:val="0"/>
                <w:color w:val="auto"/>
                <w:kern w:val="0"/>
                <w:sz w:val="24"/>
                <w:szCs w:val="24"/>
                <w:highlight w:val="none"/>
                <w:lang w:val="en-US" w:eastAsia="zh-CN" w:bidi="ar"/>
              </w:rPr>
              <w:t>本项目精炼车间与灌装、制瓶、储油等工序相对独立，精炼改建过程中不会对灌装、制瓶、储油等工序造成影响。本项目</w:t>
            </w:r>
            <w:r>
              <w:rPr>
                <w:rFonts w:hint="default" w:ascii="Times New Roman" w:hAnsi="Times New Roman" w:eastAsia="宋体" w:cs="Times New Roman"/>
                <w:bCs w:val="0"/>
                <w:color w:val="auto"/>
                <w:kern w:val="0"/>
                <w:sz w:val="24"/>
                <w:szCs w:val="24"/>
                <w:highlight w:val="none"/>
                <w:lang w:val="en-US" w:eastAsia="zh-CN" w:bidi="ar"/>
              </w:rPr>
              <w:t>项目组成及主要工程内容见表2.3-1。</w:t>
            </w:r>
          </w:p>
          <w:p w14:paraId="76D6C8BC">
            <w:pPr>
              <w:keepNext w:val="0"/>
              <w:keepLines w:val="0"/>
              <w:pageBreakBefore w:val="0"/>
              <w:widowControl w:val="0"/>
              <w:kinsoku/>
              <w:wordWrap/>
              <w:overflowPunct w:val="0"/>
              <w:topLinePunct/>
              <w:autoSpaceDE/>
              <w:autoSpaceDN/>
              <w:bidi w:val="0"/>
              <w:spacing w:line="460" w:lineRule="exact"/>
              <w:jc w:val="center"/>
              <w:textAlignment w:val="auto"/>
              <w:rPr>
                <w:rFonts w:hint="default" w:ascii="Times New Roman" w:hAnsi="Times New Roman" w:eastAsia="宋体" w:cs="Times New Roman"/>
                <w:b/>
                <w:color w:val="auto"/>
                <w:sz w:val="22"/>
                <w:szCs w:val="22"/>
                <w:highlight w:val="none"/>
              </w:rPr>
            </w:pPr>
            <w:r>
              <w:rPr>
                <w:rFonts w:hint="default" w:ascii="Times New Roman" w:hAnsi="Times New Roman" w:eastAsia="宋体" w:cs="Times New Roman"/>
                <w:b/>
                <w:color w:val="auto"/>
                <w:sz w:val="22"/>
                <w:szCs w:val="22"/>
                <w:highlight w:val="none"/>
              </w:rPr>
              <w:t>表</w:t>
            </w:r>
            <w:r>
              <w:rPr>
                <w:rFonts w:hint="default" w:ascii="Times New Roman" w:hAnsi="Times New Roman" w:eastAsia="宋体" w:cs="Times New Roman"/>
                <w:b/>
                <w:color w:val="auto"/>
                <w:sz w:val="22"/>
                <w:szCs w:val="22"/>
                <w:highlight w:val="none"/>
                <w:lang w:val="en-US" w:eastAsia="zh-CN"/>
              </w:rPr>
              <w:t>2.3-1</w:t>
            </w:r>
            <w:r>
              <w:rPr>
                <w:rFonts w:hint="eastAsia" w:cs="Times New Roman"/>
                <w:b/>
                <w:color w:val="auto"/>
                <w:sz w:val="22"/>
                <w:szCs w:val="22"/>
                <w:highlight w:val="none"/>
                <w:lang w:val="en-US" w:eastAsia="zh-CN"/>
              </w:rPr>
              <w:t>本项目</w:t>
            </w:r>
            <w:r>
              <w:rPr>
                <w:rFonts w:hint="default" w:ascii="Times New Roman" w:hAnsi="Times New Roman" w:eastAsia="宋体" w:cs="Times New Roman"/>
                <w:b/>
                <w:color w:val="auto"/>
                <w:sz w:val="22"/>
                <w:szCs w:val="22"/>
                <w:highlight w:val="none"/>
              </w:rPr>
              <w:t>建设内容一览表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491"/>
              <w:gridCol w:w="766"/>
              <w:gridCol w:w="975"/>
              <w:gridCol w:w="4617"/>
              <w:gridCol w:w="724"/>
            </w:tblGrid>
            <w:tr w14:paraId="0363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pct"/>
                  <w:gridSpan w:val="3"/>
                  <w:noWrap w:val="0"/>
                  <w:tcMar>
                    <w:left w:w="28" w:type="dxa"/>
                    <w:right w:w="28" w:type="dxa"/>
                  </w:tcMar>
                  <w:vAlign w:val="center"/>
                </w:tcPr>
                <w:p w14:paraId="6DD8D4DE">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cs="Times New Roman"/>
                      <w:bCs/>
                      <w:color w:val="auto"/>
                      <w:spacing w:val="8"/>
                      <w:kern w:val="0"/>
                      <w:sz w:val="21"/>
                      <w:szCs w:val="21"/>
                      <w:highlight w:val="none"/>
                    </w:rPr>
                    <w:t>项目组成</w:t>
                  </w:r>
                </w:p>
              </w:tc>
              <w:tc>
                <w:tcPr>
                  <w:tcW w:w="3338" w:type="pct"/>
                  <w:gridSpan w:val="2"/>
                  <w:noWrap w:val="0"/>
                  <w:tcMar>
                    <w:left w:w="28" w:type="dxa"/>
                    <w:right w:w="28" w:type="dxa"/>
                  </w:tcMar>
                  <w:vAlign w:val="center"/>
                </w:tcPr>
                <w:p w14:paraId="4B2F7CA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rPr>
                  </w:pPr>
                  <w:r>
                    <w:rPr>
                      <w:rFonts w:hint="eastAsia" w:cs="Times New Roman"/>
                      <w:bCs/>
                      <w:color w:val="auto"/>
                      <w:spacing w:val="8"/>
                      <w:kern w:val="0"/>
                      <w:sz w:val="21"/>
                      <w:szCs w:val="21"/>
                      <w:highlight w:val="none"/>
                      <w:lang w:val="en-US" w:eastAsia="zh-CN"/>
                    </w:rPr>
                    <w:t>项目建设内容</w:t>
                  </w:r>
                </w:p>
              </w:tc>
              <w:tc>
                <w:tcPr>
                  <w:tcW w:w="432" w:type="pct"/>
                  <w:noWrap w:val="0"/>
                  <w:tcMar>
                    <w:left w:w="28" w:type="dxa"/>
                    <w:right w:w="28" w:type="dxa"/>
                  </w:tcMar>
                  <w:vAlign w:val="center"/>
                </w:tcPr>
                <w:p w14:paraId="3D2AB870">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rPr>
                  </w:pPr>
                  <w:r>
                    <w:rPr>
                      <w:rFonts w:hint="eastAsia" w:cs="Times New Roman"/>
                      <w:bCs/>
                      <w:color w:val="auto"/>
                      <w:spacing w:val="8"/>
                      <w:kern w:val="0"/>
                      <w:sz w:val="21"/>
                      <w:szCs w:val="21"/>
                      <w:highlight w:val="none"/>
                      <w:lang w:val="en-US" w:eastAsia="zh-CN"/>
                    </w:rPr>
                    <w:t>备注</w:t>
                  </w:r>
                </w:p>
              </w:tc>
            </w:tr>
            <w:tr w14:paraId="62B5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noWrap w:val="0"/>
                  <w:tcMar>
                    <w:left w:w="28" w:type="dxa"/>
                    <w:right w:w="28" w:type="dxa"/>
                  </w:tcMar>
                  <w:vAlign w:val="center"/>
                </w:tcPr>
                <w:p w14:paraId="0FD660D6">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主体</w:t>
                  </w:r>
                </w:p>
                <w:p w14:paraId="5762EEDA">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工程</w:t>
                  </w:r>
                </w:p>
              </w:tc>
              <w:tc>
                <w:tcPr>
                  <w:tcW w:w="750" w:type="pct"/>
                  <w:gridSpan w:val="2"/>
                  <w:noWrap w:val="0"/>
                  <w:tcMar>
                    <w:left w:w="28" w:type="dxa"/>
                    <w:right w:w="28" w:type="dxa"/>
                  </w:tcMar>
                  <w:vAlign w:val="center"/>
                </w:tcPr>
                <w:p w14:paraId="0127172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精炼车间</w:t>
                  </w:r>
                </w:p>
              </w:tc>
              <w:tc>
                <w:tcPr>
                  <w:tcW w:w="3338" w:type="pct"/>
                  <w:gridSpan w:val="2"/>
                  <w:noWrap w:val="0"/>
                  <w:tcMar>
                    <w:left w:w="28" w:type="dxa"/>
                    <w:right w:w="28" w:type="dxa"/>
                  </w:tcMar>
                  <w:vAlign w:val="center"/>
                </w:tcPr>
                <w:p w14:paraId="409C1B49">
                  <w:pPr>
                    <w:pStyle w:val="11"/>
                    <w:keepNext w:val="0"/>
                    <w:keepLines w:val="0"/>
                    <w:pageBreakBefore w:val="0"/>
                    <w:widowControl w:val="0"/>
                    <w:kinsoku/>
                    <w:wordWrap/>
                    <w:overflowPunct w:val="0"/>
                    <w:topLinePunct/>
                    <w:autoSpaceDE/>
                    <w:autoSpaceDN/>
                    <w:bidi w:val="0"/>
                    <w:adjustRightInd/>
                    <w:snapToGrid/>
                    <w:spacing w:line="240" w:lineRule="auto"/>
                    <w:ind w:firstLine="0" w:firstLineChars="0"/>
                    <w:jc w:val="both"/>
                    <w:textAlignment w:val="auto"/>
                    <w:rPr>
                      <w:rFonts w:hint="default" w:ascii="Times New Roman" w:hAnsi="Times New Roman"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在现有2#包装车间</w:t>
                  </w:r>
                  <w:r>
                    <w:rPr>
                      <w:rFonts w:hint="eastAsia" w:cs="Times New Roman"/>
                      <w:color w:val="auto"/>
                      <w:spacing w:val="8"/>
                      <w:sz w:val="21"/>
                      <w:szCs w:val="21"/>
                      <w:highlight w:val="none"/>
                      <w:lang w:val="en-US" w:eastAsia="zh-CN"/>
                    </w:rPr>
                    <w:t>原址改建精炼车间1座</w:t>
                  </w:r>
                  <w:r>
                    <w:rPr>
                      <w:rFonts w:hint="default" w:ascii="Times New Roman" w:hAnsi="Times New Roman" w:cs="Times New Roman"/>
                      <w:color w:val="auto"/>
                      <w:spacing w:val="8"/>
                      <w:sz w:val="21"/>
                      <w:szCs w:val="21"/>
                      <w:highlight w:val="none"/>
                      <w:lang w:val="en-US" w:eastAsia="zh-CN"/>
                    </w:rPr>
                    <w:t>，建筑面积5259.28m</w:t>
                  </w:r>
                  <w:r>
                    <w:rPr>
                      <w:rFonts w:hint="default" w:ascii="Times New Roman" w:hAnsi="Times New Roman" w:cs="Times New Roman"/>
                      <w:color w:val="auto"/>
                      <w:spacing w:val="8"/>
                      <w:sz w:val="21"/>
                      <w:szCs w:val="21"/>
                      <w:highlight w:val="none"/>
                      <w:vertAlign w:val="superscript"/>
                      <w:lang w:val="en-US" w:eastAsia="zh-CN"/>
                    </w:rPr>
                    <w:t>2</w:t>
                  </w:r>
                  <w:r>
                    <w:rPr>
                      <w:rFonts w:hint="default" w:ascii="Times New Roman" w:hAnsi="Times New Roman" w:cs="Times New Roman"/>
                      <w:color w:val="auto"/>
                      <w:spacing w:val="8"/>
                      <w:sz w:val="21"/>
                      <w:szCs w:val="21"/>
                      <w:highlight w:val="none"/>
                      <w:lang w:val="en-US" w:eastAsia="zh-CN"/>
                    </w:rPr>
                    <w:t>，4F，高度为23.5m；</w:t>
                  </w:r>
                </w:p>
                <w:p w14:paraId="74CA5D77">
                  <w:pPr>
                    <w:pStyle w:val="11"/>
                    <w:keepNext w:val="0"/>
                    <w:keepLines w:val="0"/>
                    <w:pageBreakBefore w:val="0"/>
                    <w:widowControl w:val="0"/>
                    <w:kinsoku/>
                    <w:wordWrap/>
                    <w:overflowPunct w:val="0"/>
                    <w:topLinePunct/>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pacing w:val="8"/>
                      <w:sz w:val="21"/>
                      <w:szCs w:val="21"/>
                      <w:highlight w:val="none"/>
                      <w:lang w:val="en-US" w:eastAsia="zh-CN"/>
                    </w:rPr>
                  </w:pPr>
                  <w:r>
                    <w:rPr>
                      <w:rFonts w:hint="eastAsia" w:cs="Times New Roman"/>
                      <w:bCs w:val="0"/>
                      <w:color w:val="auto"/>
                      <w:kern w:val="0"/>
                      <w:sz w:val="21"/>
                      <w:szCs w:val="21"/>
                      <w:highlight w:val="none"/>
                      <w:lang w:val="en-US" w:eastAsia="zh-CN" w:bidi="ar"/>
                    </w:rPr>
                    <w:t>新建</w:t>
                  </w:r>
                  <w:r>
                    <w:rPr>
                      <w:rFonts w:hint="default" w:ascii="Times New Roman" w:hAnsi="Times New Roman" w:cs="Times New Roman"/>
                      <w:bCs w:val="0"/>
                      <w:color w:val="auto"/>
                      <w:kern w:val="0"/>
                      <w:sz w:val="21"/>
                      <w:szCs w:val="21"/>
                      <w:highlight w:val="none"/>
                      <w:lang w:val="en-US" w:eastAsia="zh-CN" w:bidi="ar"/>
                    </w:rPr>
                    <w:t>精炼生产线1条</w:t>
                  </w:r>
                  <w:r>
                    <w:rPr>
                      <w:rFonts w:hint="eastAsia" w:cs="Times New Roman"/>
                      <w:bCs w:val="0"/>
                      <w:color w:val="auto"/>
                      <w:kern w:val="0"/>
                      <w:sz w:val="21"/>
                      <w:szCs w:val="21"/>
                      <w:highlight w:val="none"/>
                      <w:lang w:val="en-US" w:eastAsia="zh-CN" w:bidi="ar"/>
                    </w:rPr>
                    <w:t>；在现有脱酸、中和、水洗、脱色、脱臭等工艺基础上新增脱蜡结晶工序，并对现有水洗和脱色工序进行升级改造，水洗工序排水采用循环回用方式，回用率为50%，脱色采用预复脱色工艺。设计日产精炼食用油600t/d</w:t>
                  </w:r>
                </w:p>
              </w:tc>
              <w:tc>
                <w:tcPr>
                  <w:tcW w:w="432" w:type="pct"/>
                  <w:noWrap w:val="0"/>
                  <w:tcMar>
                    <w:left w:w="28" w:type="dxa"/>
                    <w:right w:w="28" w:type="dxa"/>
                  </w:tcMar>
                  <w:vAlign w:val="center"/>
                </w:tcPr>
                <w:p w14:paraId="7899938F">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改建</w:t>
                  </w:r>
                </w:p>
              </w:tc>
            </w:tr>
            <w:tr w14:paraId="5BEC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9835A96">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rPr>
                  </w:pPr>
                </w:p>
              </w:tc>
              <w:tc>
                <w:tcPr>
                  <w:tcW w:w="750" w:type="pct"/>
                  <w:gridSpan w:val="2"/>
                  <w:noWrap w:val="0"/>
                  <w:tcMar>
                    <w:left w:w="28" w:type="dxa"/>
                    <w:right w:w="28" w:type="dxa"/>
                  </w:tcMar>
                  <w:vAlign w:val="center"/>
                </w:tcPr>
                <w:p w14:paraId="266FD7B2">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包装车间</w:t>
                  </w:r>
                </w:p>
              </w:tc>
              <w:tc>
                <w:tcPr>
                  <w:tcW w:w="3338" w:type="pct"/>
                  <w:gridSpan w:val="2"/>
                  <w:noWrap w:val="0"/>
                  <w:tcMar>
                    <w:left w:w="28" w:type="dxa"/>
                    <w:right w:w="28" w:type="dxa"/>
                  </w:tcMar>
                  <w:vAlign w:val="center"/>
                </w:tcPr>
                <w:p w14:paraId="5C9033D1">
                  <w:pPr>
                    <w:pStyle w:val="11"/>
                    <w:keepNext w:val="0"/>
                    <w:keepLines w:val="0"/>
                    <w:pageBreakBefore w:val="0"/>
                    <w:widowControl w:val="0"/>
                    <w:kinsoku/>
                    <w:wordWrap/>
                    <w:overflowPunct w:val="0"/>
                    <w:topLinePunct/>
                    <w:autoSpaceDE/>
                    <w:autoSpaceDN/>
                    <w:bidi w:val="0"/>
                    <w:adjustRightInd/>
                    <w:snapToGrid/>
                    <w:spacing w:line="240" w:lineRule="auto"/>
                    <w:ind w:firstLine="0" w:firstLineChars="0"/>
                    <w:jc w:val="both"/>
                    <w:textAlignment w:val="auto"/>
                    <w:rPr>
                      <w:rFonts w:hint="default" w:ascii="Times New Roman" w:hAnsi="Times New Roman" w:eastAsia="宋体" w:cs="Times New Roman"/>
                      <w:bCs w:val="0"/>
                      <w:color w:val="auto"/>
                      <w:spacing w:val="8"/>
                      <w:kern w:val="2"/>
                      <w:sz w:val="21"/>
                      <w:szCs w:val="21"/>
                      <w:highlight w:val="none"/>
                      <w:lang w:val="en-US" w:eastAsia="zh-CN" w:bidi="ar"/>
                    </w:rPr>
                  </w:pPr>
                  <w:r>
                    <w:rPr>
                      <w:rFonts w:hint="eastAsia" w:cs="Times New Roman"/>
                      <w:bCs w:val="0"/>
                      <w:color w:val="auto"/>
                      <w:spacing w:val="8"/>
                      <w:kern w:val="2"/>
                      <w:sz w:val="21"/>
                      <w:szCs w:val="21"/>
                      <w:highlight w:val="none"/>
                      <w:lang w:val="en-US" w:eastAsia="zh-CN" w:bidi="ar"/>
                    </w:rPr>
                    <w:t>1座，现有2#包装车间内包装生产线搬迁至现有1#包装车间预留位置；</w:t>
                  </w:r>
                  <w:r>
                    <w:rPr>
                      <w:rFonts w:hint="default" w:ascii="Times New Roman" w:hAnsi="Times New Roman" w:eastAsia="宋体" w:cs="Times New Roman"/>
                      <w:color w:val="auto"/>
                      <w:sz w:val="21"/>
                      <w:szCs w:val="21"/>
                      <w:highlight w:val="none"/>
                      <w:vertAlign w:val="baseline"/>
                      <w:lang w:val="en-US" w:eastAsia="zh-CN"/>
                    </w:rPr>
                    <w:t>车间内</w:t>
                  </w:r>
                  <w:r>
                    <w:rPr>
                      <w:rFonts w:hint="default" w:ascii="Times New Roman" w:hAnsi="Times New Roman" w:eastAsia="宋体" w:cs="Times New Roman"/>
                      <w:color w:val="auto"/>
                      <w:spacing w:val="4"/>
                      <w:position w:val="1"/>
                      <w:sz w:val="21"/>
                      <w:szCs w:val="21"/>
                      <w:highlight w:val="none"/>
                      <w:lang w:val="en-US" w:eastAsia="zh-CN"/>
                    </w:rPr>
                    <w:t>设置自动罐装机、全自动液体包装机、喷码机、封箱机等设备，并设置21</w:t>
                  </w:r>
                  <w:r>
                    <w:rPr>
                      <w:rFonts w:hint="default" w:ascii="Times New Roman" w:hAnsi="Times New Roman" w:eastAsia="宋体" w:cs="Times New Roman"/>
                      <w:color w:val="auto"/>
                      <w:spacing w:val="4"/>
                      <w:position w:val="1"/>
                      <w:sz w:val="21"/>
                      <w:szCs w:val="21"/>
                      <w:highlight w:val="none"/>
                    </w:rPr>
                    <w:t>个成品油周转罐，2个100t、</w:t>
                  </w:r>
                  <w:r>
                    <w:rPr>
                      <w:rFonts w:hint="default" w:ascii="Times New Roman" w:hAnsi="Times New Roman" w:eastAsia="宋体" w:cs="Times New Roman"/>
                      <w:color w:val="auto"/>
                      <w:spacing w:val="4"/>
                      <w:position w:val="1"/>
                      <w:sz w:val="21"/>
                      <w:szCs w:val="21"/>
                      <w:highlight w:val="none"/>
                      <w:lang w:val="en-US" w:eastAsia="zh-CN"/>
                    </w:rPr>
                    <w:t>9</w:t>
                  </w:r>
                  <w:r>
                    <w:rPr>
                      <w:rFonts w:hint="default" w:ascii="Times New Roman" w:hAnsi="Times New Roman" w:eastAsia="宋体" w:cs="Times New Roman"/>
                      <w:color w:val="auto"/>
                      <w:spacing w:val="4"/>
                      <w:position w:val="1"/>
                      <w:sz w:val="21"/>
                      <w:szCs w:val="21"/>
                      <w:highlight w:val="none"/>
                    </w:rPr>
                    <w:t>个60t、6个50t、</w:t>
                  </w:r>
                  <w:r>
                    <w:rPr>
                      <w:rFonts w:hint="default" w:ascii="Times New Roman" w:hAnsi="Times New Roman" w:eastAsia="宋体" w:cs="Times New Roman"/>
                      <w:color w:val="auto"/>
                      <w:spacing w:val="3"/>
                      <w:position w:val="1"/>
                      <w:sz w:val="21"/>
                      <w:szCs w:val="21"/>
                      <w:highlight w:val="none"/>
                    </w:rPr>
                    <w:t>4</w:t>
                  </w:r>
                  <w:r>
                    <w:rPr>
                      <w:rFonts w:hint="default" w:ascii="Times New Roman" w:hAnsi="Times New Roman" w:eastAsia="宋体" w:cs="Times New Roman"/>
                      <w:color w:val="auto"/>
                      <w:spacing w:val="6"/>
                      <w:position w:val="1"/>
                      <w:sz w:val="21"/>
                      <w:szCs w:val="21"/>
                      <w:highlight w:val="none"/>
                    </w:rPr>
                    <w:t>个</w:t>
                  </w:r>
                  <w:r>
                    <w:rPr>
                      <w:rFonts w:hint="default" w:ascii="Times New Roman" w:hAnsi="Times New Roman" w:eastAsia="宋体" w:cs="Times New Roman"/>
                      <w:color w:val="auto"/>
                      <w:spacing w:val="3"/>
                      <w:position w:val="1"/>
                      <w:sz w:val="21"/>
                      <w:szCs w:val="21"/>
                      <w:highlight w:val="none"/>
                    </w:rPr>
                    <w:t>40t</w:t>
                  </w:r>
                  <w:r>
                    <w:rPr>
                      <w:rFonts w:hint="default" w:ascii="Times New Roman" w:hAnsi="Times New Roman" w:eastAsia="宋体" w:cs="Times New Roman"/>
                      <w:color w:val="auto"/>
                      <w:spacing w:val="5"/>
                      <w:position w:val="1"/>
                      <w:sz w:val="21"/>
                      <w:szCs w:val="21"/>
                      <w:highlight w:val="none"/>
                    </w:rPr>
                    <w:t>。</w:t>
                  </w:r>
                  <w:r>
                    <w:rPr>
                      <w:rFonts w:hint="default" w:ascii="Times New Roman" w:hAnsi="Times New Roman" w:eastAsia="宋体" w:cs="Times New Roman"/>
                      <w:color w:val="auto"/>
                      <w:spacing w:val="5"/>
                      <w:position w:val="1"/>
                      <w:sz w:val="21"/>
                      <w:szCs w:val="21"/>
                      <w:highlight w:val="none"/>
                      <w:lang w:val="en-US" w:eastAsia="zh-CN"/>
                    </w:rPr>
                    <w:t>灌装规模</w:t>
                  </w:r>
                  <w:r>
                    <w:rPr>
                      <w:rFonts w:hint="eastAsia" w:cs="Times New Roman"/>
                      <w:color w:val="auto"/>
                      <w:spacing w:val="5"/>
                      <w:position w:val="1"/>
                      <w:sz w:val="21"/>
                      <w:szCs w:val="21"/>
                      <w:highlight w:val="none"/>
                      <w:lang w:val="en-US" w:eastAsia="zh-CN"/>
                    </w:rPr>
                    <w:t>为</w:t>
                  </w:r>
                  <w:r>
                    <w:rPr>
                      <w:rFonts w:hint="default" w:ascii="Times New Roman" w:hAnsi="Times New Roman" w:eastAsia="宋体" w:cs="Times New Roman"/>
                      <w:color w:val="auto"/>
                      <w:spacing w:val="4"/>
                      <w:position w:val="1"/>
                      <w:sz w:val="21"/>
                      <w:szCs w:val="21"/>
                      <w:highlight w:val="none"/>
                      <w:lang w:val="en-US" w:eastAsia="zh-CN"/>
                    </w:rPr>
                    <w:t>1</w:t>
                  </w:r>
                  <w:r>
                    <w:rPr>
                      <w:rFonts w:hint="eastAsia" w:cs="Times New Roman"/>
                      <w:color w:val="auto"/>
                      <w:spacing w:val="4"/>
                      <w:position w:val="1"/>
                      <w:sz w:val="21"/>
                      <w:szCs w:val="21"/>
                      <w:highlight w:val="none"/>
                      <w:lang w:val="en-US" w:eastAsia="zh-CN"/>
                    </w:rPr>
                    <w:t>5</w:t>
                  </w:r>
                  <w:r>
                    <w:rPr>
                      <w:rFonts w:hint="default" w:ascii="Times New Roman" w:hAnsi="Times New Roman" w:eastAsia="宋体" w:cs="Times New Roman"/>
                      <w:color w:val="auto"/>
                      <w:spacing w:val="4"/>
                      <w:position w:val="1"/>
                      <w:sz w:val="21"/>
                      <w:szCs w:val="21"/>
                      <w:highlight w:val="none"/>
                      <w:lang w:val="en-US" w:eastAsia="zh-CN"/>
                    </w:rPr>
                    <w:t>00t/d</w:t>
                  </w:r>
                  <w:r>
                    <w:rPr>
                      <w:rFonts w:hint="eastAsia" w:cs="Times New Roman"/>
                      <w:color w:val="auto"/>
                      <w:spacing w:val="4"/>
                      <w:position w:val="1"/>
                      <w:sz w:val="21"/>
                      <w:szCs w:val="21"/>
                      <w:highlight w:val="none"/>
                      <w:lang w:val="en-US" w:eastAsia="zh-CN"/>
                    </w:rPr>
                    <w:t>，其中，精炼成品油灌装能力为600t/d，外购散装成品油灌装能力为900t/d</w:t>
                  </w:r>
                </w:p>
              </w:tc>
              <w:tc>
                <w:tcPr>
                  <w:tcW w:w="432" w:type="pct"/>
                  <w:noWrap w:val="0"/>
                  <w:tcMar>
                    <w:left w:w="28" w:type="dxa"/>
                    <w:right w:w="28" w:type="dxa"/>
                  </w:tcMar>
                  <w:vAlign w:val="center"/>
                </w:tcPr>
                <w:p w14:paraId="50E354B1">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4389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35E7E71">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rPr>
                  </w:pPr>
                </w:p>
              </w:tc>
              <w:tc>
                <w:tcPr>
                  <w:tcW w:w="750" w:type="pct"/>
                  <w:gridSpan w:val="2"/>
                  <w:noWrap w:val="0"/>
                  <w:tcMar>
                    <w:left w:w="28" w:type="dxa"/>
                    <w:right w:w="28" w:type="dxa"/>
                  </w:tcMar>
                  <w:vAlign w:val="center"/>
                </w:tcPr>
                <w:p w14:paraId="53573A93">
                  <w:pPr>
                    <w:keepNext w:val="0"/>
                    <w:keepLines w:val="0"/>
                    <w:pageBreakBefore w:val="0"/>
                    <w:widowControl/>
                    <w:kinsoku/>
                    <w:wordWrap/>
                    <w:overflowPunct w:val="0"/>
                    <w:topLinePunct/>
                    <w:autoSpaceDE/>
                    <w:autoSpaceDN/>
                    <w:bidi w:val="0"/>
                    <w:adjustRightInd w:val="0"/>
                    <w:snapToGrid w:val="0"/>
                    <w:spacing w:line="240" w:lineRule="auto"/>
                    <w:jc w:val="center"/>
                    <w:rPr>
                      <w:rFonts w:hint="eastAsia" w:cs="Times New Roman"/>
                      <w:bCs/>
                      <w:color w:val="auto"/>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制瓶车间</w:t>
                  </w:r>
                </w:p>
              </w:tc>
              <w:tc>
                <w:tcPr>
                  <w:tcW w:w="3338" w:type="pct"/>
                  <w:gridSpan w:val="2"/>
                  <w:noWrap w:val="0"/>
                  <w:tcMar>
                    <w:left w:w="28" w:type="dxa"/>
                    <w:right w:w="28" w:type="dxa"/>
                  </w:tcMar>
                  <w:vAlign w:val="center"/>
                </w:tcPr>
                <w:p w14:paraId="689939CB">
                  <w:pPr>
                    <w:pStyle w:val="24"/>
                    <w:keepNext w:val="0"/>
                    <w:keepLines w:val="0"/>
                    <w:pageBreakBefore w:val="0"/>
                    <w:widowControl w:val="0"/>
                    <w:kinsoku/>
                    <w:wordWrap/>
                    <w:overflowPunct/>
                    <w:topLinePunct w:val="0"/>
                    <w:autoSpaceDE/>
                    <w:autoSpaceDN/>
                    <w:bidi w:val="0"/>
                    <w:adjustRightInd/>
                    <w:snapToGrid w:val="0"/>
                    <w:spacing w:line="240" w:lineRule="auto"/>
                    <w:ind w:left="0"/>
                    <w:jc w:val="both"/>
                    <w:textAlignment w:val="auto"/>
                    <w:rPr>
                      <w:rFonts w:hint="eastAsia" w:cs="Times New Roman"/>
                      <w:bCs w:val="0"/>
                      <w:color w:val="auto"/>
                      <w:spacing w:val="8"/>
                      <w:kern w:val="2"/>
                      <w:sz w:val="21"/>
                      <w:szCs w:val="21"/>
                      <w:highlight w:val="none"/>
                      <w:lang w:val="en-US" w:eastAsia="zh-CN" w:bidi="ar"/>
                    </w:rPr>
                  </w:pP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间，</w:t>
                  </w:r>
                  <w:r>
                    <w:rPr>
                      <w:rFonts w:hint="eastAsia" w:ascii="Times New Roman" w:hAnsi="Times New Roman" w:cs="Times New Roman"/>
                      <w:color w:val="auto"/>
                      <w:sz w:val="21"/>
                      <w:szCs w:val="21"/>
                      <w:highlight w:val="none"/>
                      <w:vertAlign w:val="baseline"/>
                      <w:lang w:val="en-US" w:eastAsia="zh-CN"/>
                    </w:rPr>
                    <w:t>现有2#制瓶车间由现有</w:t>
                  </w:r>
                  <w:r>
                    <w:rPr>
                      <w:rFonts w:hint="default" w:ascii="Times New Roman" w:hAnsi="Times New Roman" w:eastAsia="宋体" w:cs="Times New Roman"/>
                      <w:color w:val="auto"/>
                      <w:sz w:val="21"/>
                      <w:szCs w:val="21"/>
                      <w:highlight w:val="none"/>
                      <w:vertAlign w:val="baseline"/>
                      <w:lang w:val="en-US" w:eastAsia="zh-CN"/>
                    </w:rPr>
                    <w:t>2#包装车间2F</w:t>
                  </w:r>
                  <w:r>
                    <w:rPr>
                      <w:rFonts w:hint="eastAsia" w:ascii="Times New Roman" w:hAnsi="Times New Roman" w:cs="Times New Roman"/>
                      <w:color w:val="auto"/>
                      <w:sz w:val="21"/>
                      <w:szCs w:val="21"/>
                      <w:highlight w:val="none"/>
                      <w:vertAlign w:val="baseline"/>
                      <w:lang w:val="en-US" w:eastAsia="zh-CN"/>
                    </w:rPr>
                    <w:t>搬迁至1#包装车间预留位置；</w:t>
                  </w:r>
                  <w:r>
                    <w:rPr>
                      <w:rFonts w:hint="default" w:ascii="Times New Roman" w:hAnsi="Times New Roman" w:eastAsia="宋体" w:cs="Times New Roman"/>
                      <w:color w:val="auto"/>
                      <w:sz w:val="21"/>
                      <w:szCs w:val="21"/>
                      <w:highlight w:val="none"/>
                      <w:vertAlign w:val="baseline"/>
                      <w:lang w:val="en-US" w:eastAsia="zh-CN"/>
                    </w:rPr>
                    <w:t>1#制瓶车间位于1#包装车间2F北侧，建筑面积600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vertAlign w:val="baseline"/>
                      <w:lang w:eastAsia="zh-CN"/>
                    </w:rPr>
                    <w:t>，</w:t>
                  </w:r>
                  <w:r>
                    <w:rPr>
                      <w:rFonts w:hint="eastAsia" w:ascii="Times New Roman" w:hAnsi="Times New Roman" w:cs="Times New Roman"/>
                      <w:color w:val="auto"/>
                      <w:sz w:val="21"/>
                      <w:szCs w:val="21"/>
                      <w:highlight w:val="none"/>
                      <w:vertAlign w:val="baseline"/>
                      <w:lang w:val="en-US" w:eastAsia="zh-CN"/>
                    </w:rPr>
                    <w:t>位置不变</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车间内设置吹瓶机、刷标机等设备，设计生产PET油瓶</w:t>
                  </w:r>
                  <w:r>
                    <w:rPr>
                      <w:rFonts w:hint="default" w:ascii="Times New Roman" w:hAnsi="Times New Roman" w:eastAsia="宋体" w:cs="Times New Roman"/>
                      <w:b w:val="0"/>
                      <w:bCs/>
                      <w:color w:val="auto"/>
                      <w:kern w:val="0"/>
                      <w:sz w:val="21"/>
                      <w:szCs w:val="21"/>
                      <w:highlight w:val="none"/>
                      <w:vertAlign w:val="baseline"/>
                      <w:lang w:val="en-US" w:eastAsia="zh-CN" w:bidi="ar-SA"/>
                    </w:rPr>
                    <w:t>1765万个/a</w:t>
                  </w:r>
                </w:p>
              </w:tc>
              <w:tc>
                <w:tcPr>
                  <w:tcW w:w="432" w:type="pct"/>
                  <w:noWrap w:val="0"/>
                  <w:tcMar>
                    <w:left w:w="28" w:type="dxa"/>
                    <w:right w:w="28" w:type="dxa"/>
                  </w:tcMar>
                  <w:vAlign w:val="center"/>
                </w:tcPr>
                <w:p w14:paraId="0B1F3EBC">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3DC7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noWrap w:val="0"/>
                  <w:tcMar>
                    <w:left w:w="28" w:type="dxa"/>
                    <w:right w:w="28" w:type="dxa"/>
                  </w:tcMar>
                  <w:vAlign w:val="center"/>
                </w:tcPr>
                <w:p w14:paraId="0AAE421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辅助</w:t>
                  </w:r>
                </w:p>
                <w:p w14:paraId="2D437E8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工程</w:t>
                  </w:r>
                </w:p>
              </w:tc>
              <w:tc>
                <w:tcPr>
                  <w:tcW w:w="750" w:type="pct"/>
                  <w:gridSpan w:val="2"/>
                  <w:shd w:val="clear" w:color="auto" w:fill="auto"/>
                  <w:noWrap w:val="0"/>
                  <w:tcMar>
                    <w:left w:w="28" w:type="dxa"/>
                    <w:right w:w="28" w:type="dxa"/>
                  </w:tcMar>
                  <w:vAlign w:val="top"/>
                </w:tcPr>
                <w:p w14:paraId="0EEA2A2D">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收发油及泵站</w:t>
                  </w:r>
                </w:p>
              </w:tc>
              <w:tc>
                <w:tcPr>
                  <w:tcW w:w="3338" w:type="pct"/>
                  <w:gridSpan w:val="2"/>
                  <w:shd w:val="clear" w:color="auto" w:fill="auto"/>
                  <w:noWrap w:val="0"/>
                  <w:tcMar>
                    <w:left w:w="28" w:type="dxa"/>
                    <w:right w:w="28" w:type="dxa"/>
                  </w:tcMar>
                  <w:vAlign w:val="center"/>
                </w:tcPr>
                <w:p w14:paraId="7B3F8304">
                  <w:pPr>
                    <w:pStyle w:val="24"/>
                    <w:keepNext w:val="0"/>
                    <w:keepLines w:val="0"/>
                    <w:pageBreakBefore w:val="0"/>
                    <w:kinsoku/>
                    <w:wordWrap/>
                    <w:autoSpaceDE/>
                    <w:autoSpaceDN/>
                    <w:bidi w:val="0"/>
                    <w:snapToGrid w:val="0"/>
                    <w:spacing w:line="240" w:lineRule="auto"/>
                    <w:jc w:val="both"/>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color w:val="auto"/>
                      <w:spacing w:val="4"/>
                      <w:position w:val="1"/>
                      <w:sz w:val="21"/>
                      <w:szCs w:val="21"/>
                      <w:highlight w:val="none"/>
                      <w:lang w:val="en-US" w:eastAsia="zh-CN"/>
                    </w:rPr>
                    <w:t>位于1#库房南侧，</w:t>
                  </w:r>
                  <w:r>
                    <w:rPr>
                      <w:rFonts w:hint="default" w:ascii="Times New Roman" w:hAnsi="Times New Roman" w:eastAsia="宋体" w:cs="Times New Roman"/>
                      <w:color w:val="auto"/>
                      <w:spacing w:val="4"/>
                      <w:position w:val="1"/>
                      <w:sz w:val="21"/>
                      <w:szCs w:val="21"/>
                      <w:highlight w:val="none"/>
                    </w:rPr>
                    <w:t>建筑面积509m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6"/>
                      <w:position w:val="1"/>
                      <w:sz w:val="21"/>
                      <w:szCs w:val="21"/>
                      <w:highlight w:val="none"/>
                      <w:lang w:val="en-US" w:eastAsia="zh-CN"/>
                    </w:rPr>
                    <w:t>，用于成品油装车</w:t>
                  </w:r>
                </w:p>
              </w:tc>
              <w:tc>
                <w:tcPr>
                  <w:tcW w:w="432" w:type="pct"/>
                  <w:noWrap w:val="0"/>
                  <w:tcMar>
                    <w:left w:w="28" w:type="dxa"/>
                    <w:right w:w="28" w:type="dxa"/>
                  </w:tcMar>
                  <w:vAlign w:val="center"/>
                </w:tcPr>
                <w:p w14:paraId="24864B9B">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2EDF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0D0EC744">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lang w:val="en-US" w:eastAsia="zh-CN"/>
                    </w:rPr>
                  </w:pPr>
                </w:p>
              </w:tc>
              <w:tc>
                <w:tcPr>
                  <w:tcW w:w="750" w:type="pct"/>
                  <w:gridSpan w:val="2"/>
                  <w:shd w:val="clear" w:color="auto" w:fill="auto"/>
                  <w:noWrap w:val="0"/>
                  <w:tcMar>
                    <w:left w:w="28" w:type="dxa"/>
                    <w:right w:w="28" w:type="dxa"/>
                  </w:tcMar>
                  <w:vAlign w:val="center"/>
                </w:tcPr>
                <w:p w14:paraId="1395998F">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倒班楼</w:t>
                  </w:r>
                </w:p>
              </w:tc>
              <w:tc>
                <w:tcPr>
                  <w:tcW w:w="3338" w:type="pct"/>
                  <w:gridSpan w:val="2"/>
                  <w:shd w:val="clear" w:color="auto" w:fill="auto"/>
                  <w:noWrap w:val="0"/>
                  <w:tcMar>
                    <w:left w:w="28" w:type="dxa"/>
                    <w:right w:w="28" w:type="dxa"/>
                  </w:tcMar>
                  <w:vAlign w:val="center"/>
                </w:tcPr>
                <w:p w14:paraId="44FDAB25">
                  <w:pPr>
                    <w:pStyle w:val="24"/>
                    <w:keepNext w:val="0"/>
                    <w:keepLines w:val="0"/>
                    <w:pageBreakBefore w:val="0"/>
                    <w:kinsoku/>
                    <w:wordWrap/>
                    <w:autoSpaceDE/>
                    <w:autoSpaceDN/>
                    <w:bidi w:val="0"/>
                    <w:snapToGrid w:val="0"/>
                    <w:spacing w:line="240" w:lineRule="auto"/>
                    <w:ind w:left="0" w:leftChars="0"/>
                    <w:jc w:val="both"/>
                    <w:textAlignment w:val="auto"/>
                    <w:rPr>
                      <w:rFonts w:hint="default" w:ascii="Times New Roman" w:hAnsi="Times New Roman" w:eastAsia="宋体" w:cs="Times New Roman"/>
                      <w:color w:val="auto"/>
                      <w:spacing w:val="6"/>
                      <w:position w:val="1"/>
                      <w:sz w:val="21"/>
                      <w:szCs w:val="21"/>
                      <w:highlight w:val="none"/>
                      <w:vertAlign w:val="baseline"/>
                      <w:lang w:val="en-US" w:eastAsia="zh-CN"/>
                    </w:rPr>
                  </w:pPr>
                  <w:r>
                    <w:rPr>
                      <w:rFonts w:hint="default" w:ascii="Times New Roman" w:hAnsi="Times New Roman" w:eastAsia="宋体" w:cs="Times New Roman"/>
                      <w:color w:val="auto"/>
                      <w:spacing w:val="4"/>
                      <w:position w:val="1"/>
                      <w:sz w:val="21"/>
                      <w:szCs w:val="21"/>
                      <w:highlight w:val="none"/>
                      <w:lang w:val="en-US" w:eastAsia="zh-CN"/>
                    </w:rPr>
                    <w:t>位于厂区西侧，</w:t>
                  </w:r>
                  <w:r>
                    <w:rPr>
                      <w:rFonts w:hint="default" w:ascii="Times New Roman" w:hAnsi="Times New Roman" w:eastAsia="宋体" w:cs="Times New Roman"/>
                      <w:color w:val="auto"/>
                      <w:spacing w:val="4"/>
                      <w:position w:val="1"/>
                      <w:sz w:val="21"/>
                      <w:szCs w:val="21"/>
                      <w:highlight w:val="none"/>
                    </w:rPr>
                    <w:t>建筑面积</w:t>
                  </w:r>
                  <w:r>
                    <w:rPr>
                      <w:rFonts w:hint="default" w:ascii="Times New Roman" w:hAnsi="Times New Roman" w:eastAsia="宋体" w:cs="Times New Roman"/>
                      <w:color w:val="auto"/>
                      <w:spacing w:val="4"/>
                      <w:position w:val="1"/>
                      <w:sz w:val="21"/>
                      <w:szCs w:val="21"/>
                      <w:highlight w:val="none"/>
                      <w:lang w:val="en-US" w:eastAsia="zh-CN"/>
                    </w:rPr>
                    <w:t>1162</w:t>
                  </w:r>
                  <w:r>
                    <w:rPr>
                      <w:rFonts w:hint="default" w:ascii="Times New Roman" w:hAnsi="Times New Roman" w:eastAsia="宋体" w:cs="Times New Roman"/>
                      <w:color w:val="auto"/>
                      <w:spacing w:val="4"/>
                      <w:position w:val="1"/>
                      <w:sz w:val="21"/>
                      <w:szCs w:val="21"/>
                      <w:highlight w:val="none"/>
                    </w:rPr>
                    <w:t>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6"/>
                      <w:position w:val="1"/>
                      <w:sz w:val="21"/>
                      <w:szCs w:val="21"/>
                      <w:highlight w:val="none"/>
                      <w:vertAlign w:val="baseline"/>
                      <w:lang w:val="en-US" w:eastAsia="zh-CN"/>
                    </w:rPr>
                    <w:t>；</w:t>
                  </w:r>
                </w:p>
                <w:p w14:paraId="63F62399">
                  <w:pPr>
                    <w:pStyle w:val="24"/>
                    <w:keepNext w:val="0"/>
                    <w:keepLines w:val="0"/>
                    <w:pageBreakBefore w:val="0"/>
                    <w:kinsoku/>
                    <w:wordWrap/>
                    <w:autoSpaceDE/>
                    <w:autoSpaceDN/>
                    <w:bidi w:val="0"/>
                    <w:snapToGrid w:val="0"/>
                    <w:spacing w:line="240" w:lineRule="auto"/>
                    <w:ind w:left="0" w:left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6"/>
                      <w:position w:val="1"/>
                      <w:sz w:val="21"/>
                      <w:szCs w:val="21"/>
                      <w:highlight w:val="none"/>
                      <w:vertAlign w:val="baseline"/>
                      <w:lang w:val="en-US" w:eastAsia="zh-CN"/>
                    </w:rPr>
                    <w:t>内设化验室1个，用于成品油检验检测，化验试剂包括氢氧化钾、氢氧化钠、甲醇、乙醇等。</w:t>
                  </w:r>
                </w:p>
              </w:tc>
              <w:tc>
                <w:tcPr>
                  <w:tcW w:w="432" w:type="pct"/>
                  <w:noWrap w:val="0"/>
                  <w:tcMar>
                    <w:left w:w="28" w:type="dxa"/>
                    <w:right w:w="28" w:type="dxa"/>
                  </w:tcMar>
                  <w:vAlign w:val="center"/>
                </w:tcPr>
                <w:p w14:paraId="2AC33690">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1FCD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4E5501CC">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lang w:val="en-US" w:eastAsia="zh-CN"/>
                    </w:rPr>
                  </w:pPr>
                </w:p>
              </w:tc>
              <w:tc>
                <w:tcPr>
                  <w:tcW w:w="750" w:type="pct"/>
                  <w:gridSpan w:val="2"/>
                  <w:shd w:val="clear" w:color="auto" w:fill="auto"/>
                  <w:noWrap w:val="0"/>
                  <w:tcMar>
                    <w:left w:w="28" w:type="dxa"/>
                    <w:right w:w="28" w:type="dxa"/>
                  </w:tcMar>
                  <w:vAlign w:val="center"/>
                </w:tcPr>
                <w:p w14:paraId="15FE42DE">
                  <w:pPr>
                    <w:keepNext w:val="0"/>
                    <w:keepLines w:val="0"/>
                    <w:pageBreakBefore w:val="0"/>
                    <w:kinsoku/>
                    <w:wordWrap/>
                    <w:overflowPunct w:val="0"/>
                    <w:topLinePunct/>
                    <w:autoSpaceDE/>
                    <w:autoSpaceDN/>
                    <w:bidi w:val="0"/>
                    <w:adjustRightInd w:val="0"/>
                    <w:snapToGrid w:val="0"/>
                    <w:spacing w:line="240" w:lineRule="auto"/>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7"/>
                      <w:sz w:val="21"/>
                      <w:szCs w:val="21"/>
                      <w:highlight w:val="none"/>
                    </w:rPr>
                    <w:t>机修车间</w:t>
                  </w:r>
                </w:p>
              </w:tc>
              <w:tc>
                <w:tcPr>
                  <w:tcW w:w="3338" w:type="pct"/>
                  <w:gridSpan w:val="2"/>
                  <w:shd w:val="clear" w:color="auto" w:fill="auto"/>
                  <w:noWrap w:val="0"/>
                  <w:tcMar>
                    <w:left w:w="28" w:type="dxa"/>
                    <w:right w:w="28" w:type="dxa"/>
                  </w:tcMar>
                  <w:vAlign w:val="center"/>
                </w:tcPr>
                <w:p w14:paraId="11EA831C">
                  <w:pPr>
                    <w:pStyle w:val="24"/>
                    <w:keepNext w:val="0"/>
                    <w:keepLines w:val="0"/>
                    <w:pageBreakBefore w:val="0"/>
                    <w:kinsoku/>
                    <w:wordWrap/>
                    <w:autoSpaceDE/>
                    <w:autoSpaceDN/>
                    <w:bidi w:val="0"/>
                    <w:snapToGrid w:val="0"/>
                    <w:spacing w:line="240" w:lineRule="auto"/>
                    <w:ind w:left="0" w:leftChars="0"/>
                    <w:jc w:val="both"/>
                    <w:textAlignment w:val="auto"/>
                    <w:rPr>
                      <w:rFonts w:hint="default" w:ascii="Times New Roman" w:hAnsi="Times New Roman" w:eastAsia="宋体" w:cs="Times New Roman"/>
                      <w:color w:val="auto"/>
                      <w:spacing w:val="6"/>
                      <w:position w:val="1"/>
                      <w:sz w:val="21"/>
                      <w:szCs w:val="21"/>
                      <w:highlight w:val="none"/>
                      <w:vertAlign w:val="baseline"/>
                      <w:lang w:val="en-US" w:eastAsia="zh-CN"/>
                    </w:rPr>
                  </w:pPr>
                  <w:r>
                    <w:rPr>
                      <w:rFonts w:hint="default" w:ascii="Times New Roman" w:hAnsi="Times New Roman" w:eastAsia="宋体" w:cs="Times New Roman"/>
                      <w:color w:val="auto"/>
                      <w:spacing w:val="4"/>
                      <w:position w:val="1"/>
                      <w:sz w:val="21"/>
                      <w:szCs w:val="21"/>
                      <w:highlight w:val="none"/>
                      <w:lang w:val="en-US" w:eastAsia="zh-CN"/>
                    </w:rPr>
                    <w:t>位于厂区北侧，</w:t>
                  </w:r>
                  <w:r>
                    <w:rPr>
                      <w:rFonts w:hint="default" w:ascii="Times New Roman" w:hAnsi="Times New Roman" w:eastAsia="宋体" w:cs="Times New Roman"/>
                      <w:color w:val="auto"/>
                      <w:spacing w:val="4"/>
                      <w:position w:val="1"/>
                      <w:sz w:val="21"/>
                      <w:szCs w:val="21"/>
                      <w:highlight w:val="none"/>
                    </w:rPr>
                    <w:t>建筑面积307m</w:t>
                  </w:r>
                  <w:r>
                    <w:rPr>
                      <w:rFonts w:hint="default" w:ascii="Times New Roman" w:hAnsi="Times New Roman" w:eastAsia="宋体" w:cs="Times New Roman"/>
                      <w:color w:val="auto"/>
                      <w:spacing w:val="6"/>
                      <w:position w:val="1"/>
                      <w:sz w:val="21"/>
                      <w:szCs w:val="21"/>
                      <w:highlight w:val="none"/>
                      <w:vertAlign w:val="superscript"/>
                      <w:lang w:val="en-US" w:eastAsia="zh-CN"/>
                    </w:rPr>
                    <w:t>2</w:t>
                  </w:r>
                </w:p>
              </w:tc>
              <w:tc>
                <w:tcPr>
                  <w:tcW w:w="432" w:type="pct"/>
                  <w:noWrap w:val="0"/>
                  <w:tcMar>
                    <w:left w:w="28" w:type="dxa"/>
                    <w:right w:w="28" w:type="dxa"/>
                  </w:tcMar>
                  <w:vAlign w:val="center"/>
                </w:tcPr>
                <w:p w14:paraId="41EF4D23">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4DCE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8A3E11C">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lang w:val="en-US" w:eastAsia="zh-CN"/>
                    </w:rPr>
                  </w:pPr>
                </w:p>
              </w:tc>
              <w:tc>
                <w:tcPr>
                  <w:tcW w:w="750" w:type="pct"/>
                  <w:gridSpan w:val="2"/>
                  <w:shd w:val="clear" w:color="auto" w:fill="auto"/>
                  <w:noWrap w:val="0"/>
                  <w:tcMar>
                    <w:left w:w="28" w:type="dxa"/>
                    <w:right w:w="28" w:type="dxa"/>
                  </w:tcMar>
                  <w:vAlign w:val="top"/>
                </w:tcPr>
                <w:p w14:paraId="57AD16CD">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5"/>
                      <w:sz w:val="21"/>
                      <w:szCs w:val="21"/>
                      <w:highlight w:val="none"/>
                    </w:rPr>
                    <w:t>办公楼</w:t>
                  </w:r>
                </w:p>
              </w:tc>
              <w:tc>
                <w:tcPr>
                  <w:tcW w:w="3338" w:type="pct"/>
                  <w:gridSpan w:val="2"/>
                  <w:shd w:val="clear" w:color="auto" w:fill="auto"/>
                  <w:noWrap w:val="0"/>
                  <w:tcMar>
                    <w:left w:w="28" w:type="dxa"/>
                    <w:right w:w="28" w:type="dxa"/>
                  </w:tcMar>
                  <w:vAlign w:val="center"/>
                </w:tcPr>
                <w:p w14:paraId="4002BCCC">
                  <w:pPr>
                    <w:pStyle w:val="24"/>
                    <w:keepNext w:val="0"/>
                    <w:keepLines w:val="0"/>
                    <w:pageBreakBefore w:val="0"/>
                    <w:kinsoku/>
                    <w:wordWrap/>
                    <w:autoSpaceDE/>
                    <w:autoSpaceDN/>
                    <w:bidi w:val="0"/>
                    <w:snapToGrid w:val="0"/>
                    <w:spacing w:line="240" w:lineRule="auto"/>
                    <w:ind w:left="0" w:leftChars="0"/>
                    <w:jc w:val="both"/>
                    <w:textAlignment w:val="auto"/>
                    <w:rPr>
                      <w:rFonts w:hint="default" w:ascii="Times New Roman" w:hAnsi="Times New Roman" w:eastAsia="宋体" w:cs="Times New Roman"/>
                      <w:color w:val="auto"/>
                      <w:spacing w:val="4"/>
                      <w:position w:val="1"/>
                      <w:sz w:val="21"/>
                      <w:szCs w:val="21"/>
                      <w:highlight w:val="none"/>
                      <w:lang w:val="en-US" w:eastAsia="zh-CN"/>
                    </w:rPr>
                  </w:pPr>
                  <w:r>
                    <w:rPr>
                      <w:rFonts w:hint="default" w:ascii="Times New Roman" w:hAnsi="Times New Roman" w:eastAsia="宋体" w:cs="Times New Roman"/>
                      <w:color w:val="auto"/>
                      <w:spacing w:val="4"/>
                      <w:position w:val="1"/>
                      <w:sz w:val="21"/>
                      <w:szCs w:val="21"/>
                      <w:highlight w:val="none"/>
                      <w:lang w:val="en-US" w:eastAsia="zh-CN"/>
                    </w:rPr>
                    <w:t>位于厂区西南侧，</w:t>
                  </w:r>
                  <w:r>
                    <w:rPr>
                      <w:rFonts w:hint="default" w:ascii="Times New Roman" w:hAnsi="Times New Roman" w:eastAsia="宋体" w:cs="Times New Roman"/>
                      <w:color w:val="auto"/>
                      <w:spacing w:val="4"/>
                      <w:position w:val="1"/>
                      <w:sz w:val="21"/>
                      <w:szCs w:val="21"/>
                      <w:highlight w:val="none"/>
                    </w:rPr>
                    <w:t>建筑面积232</w:t>
                  </w:r>
                  <w:r>
                    <w:rPr>
                      <w:rFonts w:hint="default" w:ascii="Times New Roman" w:hAnsi="Times New Roman" w:eastAsia="宋体" w:cs="Times New Roman"/>
                      <w:color w:val="auto"/>
                      <w:spacing w:val="4"/>
                      <w:position w:val="1"/>
                      <w:sz w:val="21"/>
                      <w:szCs w:val="21"/>
                      <w:highlight w:val="none"/>
                      <w:lang w:val="en-US" w:eastAsia="zh-CN"/>
                    </w:rPr>
                    <w:t>9</w:t>
                  </w:r>
                  <w:r>
                    <w:rPr>
                      <w:rFonts w:hint="default" w:ascii="Times New Roman" w:hAnsi="Times New Roman" w:eastAsia="宋体" w:cs="Times New Roman"/>
                      <w:color w:val="auto"/>
                      <w:spacing w:val="4"/>
                      <w:position w:val="1"/>
                      <w:sz w:val="21"/>
                      <w:szCs w:val="21"/>
                      <w:highlight w:val="none"/>
                    </w:rPr>
                    <w:t>m</w:t>
                  </w:r>
                  <w:r>
                    <w:rPr>
                      <w:rFonts w:hint="default" w:ascii="Times New Roman" w:hAnsi="Times New Roman" w:eastAsia="宋体" w:cs="Times New Roman"/>
                      <w:color w:val="auto"/>
                      <w:spacing w:val="6"/>
                      <w:position w:val="1"/>
                      <w:sz w:val="21"/>
                      <w:szCs w:val="21"/>
                      <w:highlight w:val="none"/>
                      <w:vertAlign w:val="superscript"/>
                      <w:lang w:val="en-US" w:eastAsia="zh-CN"/>
                    </w:rPr>
                    <w:t>2</w:t>
                  </w:r>
                </w:p>
              </w:tc>
              <w:tc>
                <w:tcPr>
                  <w:tcW w:w="432" w:type="pct"/>
                  <w:noWrap w:val="0"/>
                  <w:tcMar>
                    <w:left w:w="28" w:type="dxa"/>
                    <w:right w:w="28" w:type="dxa"/>
                  </w:tcMar>
                  <w:vAlign w:val="center"/>
                </w:tcPr>
                <w:p w14:paraId="0FF80263">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61C8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7F784CB3">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lang w:val="en-US" w:eastAsia="zh-CN"/>
                    </w:rPr>
                  </w:pPr>
                </w:p>
              </w:tc>
              <w:tc>
                <w:tcPr>
                  <w:tcW w:w="750" w:type="pct"/>
                  <w:gridSpan w:val="2"/>
                  <w:shd w:val="clear" w:color="auto" w:fill="auto"/>
                  <w:noWrap w:val="0"/>
                  <w:tcMar>
                    <w:left w:w="28" w:type="dxa"/>
                    <w:right w:w="28" w:type="dxa"/>
                  </w:tcMar>
                  <w:vAlign w:val="top"/>
                </w:tcPr>
                <w:p w14:paraId="2C17CDE5">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4"/>
                      <w:sz w:val="21"/>
                      <w:szCs w:val="21"/>
                      <w:highlight w:val="none"/>
                    </w:rPr>
                    <w:t>食堂</w:t>
                  </w:r>
                </w:p>
              </w:tc>
              <w:tc>
                <w:tcPr>
                  <w:tcW w:w="3338" w:type="pct"/>
                  <w:gridSpan w:val="2"/>
                  <w:shd w:val="clear" w:color="auto" w:fill="auto"/>
                  <w:noWrap w:val="0"/>
                  <w:tcMar>
                    <w:left w:w="28" w:type="dxa"/>
                    <w:right w:w="28" w:type="dxa"/>
                  </w:tcMar>
                  <w:vAlign w:val="center"/>
                </w:tcPr>
                <w:p w14:paraId="6E2779B6">
                  <w:pPr>
                    <w:pStyle w:val="24"/>
                    <w:keepNext w:val="0"/>
                    <w:keepLines w:val="0"/>
                    <w:pageBreakBefore w:val="0"/>
                    <w:kinsoku/>
                    <w:wordWrap/>
                    <w:autoSpaceDE/>
                    <w:autoSpaceDN/>
                    <w:bidi w:val="0"/>
                    <w:snapToGrid w:val="0"/>
                    <w:spacing w:line="240" w:lineRule="auto"/>
                    <w:ind w:left="0" w:leftChars="0"/>
                    <w:jc w:val="both"/>
                    <w:textAlignment w:val="auto"/>
                    <w:rPr>
                      <w:rFonts w:hint="default" w:ascii="Times New Roman" w:hAnsi="Times New Roman" w:eastAsia="宋体" w:cs="Times New Roman"/>
                      <w:color w:val="auto"/>
                      <w:spacing w:val="4"/>
                      <w:position w:val="1"/>
                      <w:sz w:val="21"/>
                      <w:szCs w:val="21"/>
                      <w:highlight w:val="none"/>
                      <w:lang w:val="en-US" w:eastAsia="zh-CN"/>
                    </w:rPr>
                  </w:pPr>
                  <w:r>
                    <w:rPr>
                      <w:rFonts w:hint="default" w:ascii="Times New Roman" w:hAnsi="Times New Roman" w:eastAsia="宋体" w:cs="Times New Roman"/>
                      <w:color w:val="auto"/>
                      <w:spacing w:val="4"/>
                      <w:position w:val="1"/>
                      <w:sz w:val="21"/>
                      <w:szCs w:val="21"/>
                      <w:highlight w:val="none"/>
                      <w:lang w:val="en-US" w:eastAsia="zh-CN"/>
                    </w:rPr>
                    <w:t>位于厂区西南侧，</w:t>
                  </w:r>
                  <w:r>
                    <w:rPr>
                      <w:rFonts w:hint="default" w:ascii="Times New Roman" w:hAnsi="Times New Roman" w:eastAsia="宋体" w:cs="Times New Roman"/>
                      <w:color w:val="auto"/>
                      <w:spacing w:val="4"/>
                      <w:position w:val="1"/>
                      <w:sz w:val="21"/>
                      <w:szCs w:val="21"/>
                      <w:highlight w:val="none"/>
                    </w:rPr>
                    <w:t>建筑面积43</w:t>
                  </w:r>
                  <w:r>
                    <w:rPr>
                      <w:rFonts w:hint="default" w:ascii="Times New Roman" w:hAnsi="Times New Roman" w:eastAsia="宋体" w:cs="Times New Roman"/>
                      <w:color w:val="auto"/>
                      <w:spacing w:val="4"/>
                      <w:position w:val="1"/>
                      <w:sz w:val="21"/>
                      <w:szCs w:val="21"/>
                      <w:highlight w:val="none"/>
                      <w:lang w:val="en-US" w:eastAsia="zh-CN"/>
                    </w:rPr>
                    <w:t>4</w:t>
                  </w:r>
                  <w:r>
                    <w:rPr>
                      <w:rFonts w:hint="default" w:ascii="Times New Roman" w:hAnsi="Times New Roman" w:eastAsia="宋体" w:cs="Times New Roman"/>
                      <w:color w:val="auto"/>
                      <w:spacing w:val="4"/>
                      <w:position w:val="1"/>
                      <w:sz w:val="21"/>
                      <w:szCs w:val="21"/>
                      <w:highlight w:val="none"/>
                    </w:rPr>
                    <w:t>m</w:t>
                  </w:r>
                  <w:r>
                    <w:rPr>
                      <w:rFonts w:hint="default" w:ascii="Times New Roman" w:hAnsi="Times New Roman" w:eastAsia="宋体" w:cs="Times New Roman"/>
                      <w:color w:val="auto"/>
                      <w:spacing w:val="6"/>
                      <w:position w:val="1"/>
                      <w:sz w:val="21"/>
                      <w:szCs w:val="21"/>
                      <w:highlight w:val="none"/>
                      <w:vertAlign w:val="superscript"/>
                      <w:lang w:val="en-US" w:eastAsia="zh-CN"/>
                    </w:rPr>
                    <w:t>2</w:t>
                  </w:r>
                </w:p>
              </w:tc>
              <w:tc>
                <w:tcPr>
                  <w:tcW w:w="432" w:type="pct"/>
                  <w:noWrap w:val="0"/>
                  <w:tcMar>
                    <w:left w:w="28" w:type="dxa"/>
                    <w:right w:w="28" w:type="dxa"/>
                  </w:tcMar>
                  <w:vAlign w:val="center"/>
                </w:tcPr>
                <w:p w14:paraId="4B3FFBF6">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5AC4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7C829C9C">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pacing w:val="8"/>
                      <w:sz w:val="21"/>
                      <w:szCs w:val="21"/>
                      <w:highlight w:val="none"/>
                      <w:lang w:val="en-US" w:eastAsia="zh-CN"/>
                    </w:rPr>
                  </w:pPr>
                </w:p>
              </w:tc>
              <w:tc>
                <w:tcPr>
                  <w:tcW w:w="750" w:type="pct"/>
                  <w:gridSpan w:val="2"/>
                  <w:shd w:val="clear" w:color="auto" w:fill="auto"/>
                  <w:noWrap w:val="0"/>
                  <w:tcMar>
                    <w:left w:w="28" w:type="dxa"/>
                    <w:right w:w="28" w:type="dxa"/>
                  </w:tcMar>
                  <w:vAlign w:val="center"/>
                </w:tcPr>
                <w:p w14:paraId="6AF3756C">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控制室</w:t>
                  </w:r>
                </w:p>
              </w:tc>
              <w:tc>
                <w:tcPr>
                  <w:tcW w:w="3338" w:type="pct"/>
                  <w:gridSpan w:val="2"/>
                  <w:shd w:val="clear" w:color="auto" w:fill="auto"/>
                  <w:noWrap w:val="0"/>
                  <w:tcMar>
                    <w:left w:w="28" w:type="dxa"/>
                    <w:right w:w="28" w:type="dxa"/>
                  </w:tcMar>
                  <w:vAlign w:val="center"/>
                </w:tcPr>
                <w:p w14:paraId="4A793B40">
                  <w:pPr>
                    <w:pStyle w:val="11"/>
                    <w:pageBreakBefore w:val="0"/>
                    <w:kinsoku/>
                    <w:wordWrap/>
                    <w:overflowPunct w:val="0"/>
                    <w:topLinePunct/>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位于</w:t>
                  </w:r>
                  <w:r>
                    <w:rPr>
                      <w:rFonts w:hint="eastAsia" w:cs="Times New Roman"/>
                      <w:color w:val="auto"/>
                      <w:sz w:val="21"/>
                      <w:szCs w:val="21"/>
                      <w:highlight w:val="none"/>
                      <w:lang w:val="en-US" w:eastAsia="zh-CN"/>
                    </w:rPr>
                    <w:t>改建精炼车间</w:t>
                  </w:r>
                  <w:r>
                    <w:rPr>
                      <w:rFonts w:hint="default" w:ascii="Times New Roman" w:hAnsi="Times New Roman" w:cs="Times New Roman"/>
                      <w:color w:val="auto"/>
                      <w:sz w:val="21"/>
                      <w:szCs w:val="21"/>
                      <w:highlight w:val="none"/>
                      <w:lang w:val="en-US" w:eastAsia="zh-CN"/>
                    </w:rPr>
                    <w:t>2F中部，面积50m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，用于精炼车间生产工艺集中控制</w:t>
                  </w:r>
                </w:p>
              </w:tc>
              <w:tc>
                <w:tcPr>
                  <w:tcW w:w="432" w:type="pct"/>
                  <w:shd w:val="clear" w:color="auto" w:fill="auto"/>
                  <w:noWrap w:val="0"/>
                  <w:tcMar>
                    <w:left w:w="28" w:type="dxa"/>
                    <w:right w:w="28" w:type="dxa"/>
                  </w:tcMar>
                  <w:vAlign w:val="center"/>
                </w:tcPr>
                <w:p w14:paraId="064B0B4B">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新建</w:t>
                  </w:r>
                </w:p>
              </w:tc>
            </w:tr>
            <w:tr w14:paraId="4C86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noWrap w:val="0"/>
                  <w:tcMar>
                    <w:left w:w="28" w:type="dxa"/>
                    <w:right w:w="28" w:type="dxa"/>
                  </w:tcMar>
                  <w:vAlign w:val="center"/>
                </w:tcPr>
                <w:p w14:paraId="622688C2">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lang w:val="en-US" w:eastAsia="zh-CN"/>
                    </w:rPr>
                  </w:pPr>
                  <w:r>
                    <w:rPr>
                      <w:rFonts w:hint="default" w:ascii="Times New Roman" w:hAnsi="Times New Roman" w:cs="Times New Roman"/>
                      <w:bCs/>
                      <w:color w:val="auto"/>
                      <w:spacing w:val="8"/>
                      <w:kern w:val="0"/>
                      <w:sz w:val="21"/>
                      <w:szCs w:val="21"/>
                      <w:highlight w:val="none"/>
                      <w:lang w:val="en-US" w:eastAsia="zh-CN"/>
                    </w:rPr>
                    <w:t>储运</w:t>
                  </w:r>
                </w:p>
                <w:p w14:paraId="62786AF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rPr>
                  </w:pPr>
                  <w:r>
                    <w:rPr>
                      <w:rFonts w:hint="default" w:ascii="Times New Roman" w:hAnsi="Times New Roman" w:cs="Times New Roman"/>
                      <w:bCs/>
                      <w:color w:val="auto"/>
                      <w:spacing w:val="8"/>
                      <w:kern w:val="0"/>
                      <w:sz w:val="21"/>
                      <w:szCs w:val="21"/>
                      <w:highlight w:val="none"/>
                      <w:lang w:val="en-US" w:eastAsia="zh-CN"/>
                    </w:rPr>
                    <w:t>工程</w:t>
                  </w:r>
                </w:p>
              </w:tc>
              <w:tc>
                <w:tcPr>
                  <w:tcW w:w="750" w:type="pct"/>
                  <w:gridSpan w:val="2"/>
                  <w:noWrap w:val="0"/>
                  <w:tcMar>
                    <w:left w:w="28" w:type="dxa"/>
                    <w:right w:w="28" w:type="dxa"/>
                  </w:tcMar>
                  <w:vAlign w:val="top"/>
                </w:tcPr>
                <w:p w14:paraId="03CA7C84">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bCs/>
                      <w:color w:val="auto"/>
                      <w:spacing w:val="8"/>
                      <w:kern w:val="0"/>
                      <w:sz w:val="21"/>
                      <w:szCs w:val="21"/>
                      <w:highlight w:val="none"/>
                      <w:lang w:val="en-US" w:eastAsia="zh-CN"/>
                    </w:rPr>
                  </w:pP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rPr>
                    <w:t>库房</w:t>
                  </w:r>
                </w:p>
              </w:tc>
              <w:tc>
                <w:tcPr>
                  <w:tcW w:w="3338" w:type="pct"/>
                  <w:gridSpan w:val="2"/>
                  <w:shd w:val="clear" w:color="auto" w:fill="auto"/>
                  <w:noWrap w:val="0"/>
                  <w:tcMar>
                    <w:left w:w="28" w:type="dxa"/>
                    <w:right w:w="28" w:type="dxa"/>
                  </w:tcMar>
                  <w:vAlign w:val="center"/>
                </w:tcPr>
                <w:p w14:paraId="682514AF">
                  <w:pPr>
                    <w:pStyle w:val="24"/>
                    <w:keepNext w:val="0"/>
                    <w:keepLines w:val="0"/>
                    <w:pageBreakBefore w:val="0"/>
                    <w:kinsoku/>
                    <w:wordWrap/>
                    <w:autoSpaceDE/>
                    <w:autoSpaceDN/>
                    <w:bidi w:val="0"/>
                    <w:snapToGrid w:val="0"/>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position w:val="1"/>
                      <w:sz w:val="21"/>
                      <w:szCs w:val="21"/>
                      <w:highlight w:val="none"/>
                      <w:lang w:val="en-US" w:eastAsia="zh-CN"/>
                    </w:rPr>
                    <w:t>位于厂区东侧，</w:t>
                  </w:r>
                  <w:r>
                    <w:rPr>
                      <w:rFonts w:hint="default" w:ascii="Times New Roman" w:hAnsi="Times New Roman" w:eastAsia="宋体" w:cs="Times New Roman"/>
                      <w:color w:val="auto"/>
                      <w:spacing w:val="4"/>
                      <w:position w:val="1"/>
                      <w:sz w:val="21"/>
                      <w:szCs w:val="21"/>
                      <w:highlight w:val="none"/>
                    </w:rPr>
                    <w:t>建筑面积5066m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6"/>
                      <w:position w:val="1"/>
                      <w:sz w:val="21"/>
                      <w:szCs w:val="21"/>
                      <w:highlight w:val="none"/>
                      <w:vertAlign w:val="baseline"/>
                      <w:lang w:val="en-US" w:eastAsia="zh-CN"/>
                    </w:rPr>
                    <w:t>，用于产品包装油的储存</w:t>
                  </w:r>
                </w:p>
              </w:tc>
              <w:tc>
                <w:tcPr>
                  <w:tcW w:w="432" w:type="pct"/>
                  <w:noWrap w:val="0"/>
                  <w:tcMar>
                    <w:left w:w="28" w:type="dxa"/>
                    <w:right w:w="28" w:type="dxa"/>
                  </w:tcMar>
                  <w:vAlign w:val="center"/>
                </w:tcPr>
                <w:p w14:paraId="1DD037F3">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7B6E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1D349D2B">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lang w:val="en-US" w:eastAsia="zh-CN"/>
                    </w:rPr>
                  </w:pPr>
                </w:p>
              </w:tc>
              <w:tc>
                <w:tcPr>
                  <w:tcW w:w="750" w:type="pct"/>
                  <w:gridSpan w:val="2"/>
                  <w:noWrap w:val="0"/>
                  <w:tcMar>
                    <w:left w:w="28" w:type="dxa"/>
                    <w:right w:w="28" w:type="dxa"/>
                  </w:tcMar>
                  <w:vAlign w:val="top"/>
                </w:tcPr>
                <w:p w14:paraId="1370A25A">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bCs/>
                      <w:color w:val="auto"/>
                      <w:spacing w:val="8"/>
                      <w:kern w:val="0"/>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rPr>
                    <w:t>库房</w:t>
                  </w:r>
                </w:p>
              </w:tc>
              <w:tc>
                <w:tcPr>
                  <w:tcW w:w="3338" w:type="pct"/>
                  <w:gridSpan w:val="2"/>
                  <w:shd w:val="clear" w:color="auto" w:fill="auto"/>
                  <w:noWrap w:val="0"/>
                  <w:tcMar>
                    <w:left w:w="28" w:type="dxa"/>
                    <w:right w:w="28" w:type="dxa"/>
                  </w:tcMar>
                  <w:vAlign w:val="center"/>
                </w:tcPr>
                <w:p w14:paraId="0D72108F">
                  <w:pPr>
                    <w:pStyle w:val="24"/>
                    <w:keepNext w:val="0"/>
                    <w:keepLines w:val="0"/>
                    <w:pageBreakBefore w:val="0"/>
                    <w:kinsoku/>
                    <w:wordWrap/>
                    <w:autoSpaceDE/>
                    <w:autoSpaceDN/>
                    <w:bidi w:val="0"/>
                    <w:snapToGrid w:val="0"/>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position w:val="1"/>
                      <w:sz w:val="21"/>
                      <w:szCs w:val="21"/>
                      <w:highlight w:val="none"/>
                      <w:lang w:val="en-US" w:eastAsia="zh-CN"/>
                    </w:rPr>
                    <w:t>位于厂区中部，</w:t>
                  </w:r>
                  <w:r>
                    <w:rPr>
                      <w:rFonts w:hint="default" w:ascii="Times New Roman" w:hAnsi="Times New Roman" w:eastAsia="宋体" w:cs="Times New Roman"/>
                      <w:color w:val="auto"/>
                      <w:spacing w:val="4"/>
                      <w:position w:val="1"/>
                      <w:sz w:val="21"/>
                      <w:szCs w:val="21"/>
                      <w:highlight w:val="none"/>
                    </w:rPr>
                    <w:t>建筑面积3026m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6"/>
                      <w:position w:val="1"/>
                      <w:sz w:val="21"/>
                      <w:szCs w:val="21"/>
                      <w:highlight w:val="none"/>
                      <w:vertAlign w:val="baseline"/>
                      <w:lang w:val="en-US" w:eastAsia="zh-CN"/>
                    </w:rPr>
                    <w:t>，用于成品包装油及包装材料储存</w:t>
                  </w:r>
                </w:p>
              </w:tc>
              <w:tc>
                <w:tcPr>
                  <w:tcW w:w="432" w:type="pct"/>
                  <w:noWrap w:val="0"/>
                  <w:tcMar>
                    <w:left w:w="28" w:type="dxa"/>
                    <w:right w:w="28" w:type="dxa"/>
                  </w:tcMar>
                  <w:vAlign w:val="center"/>
                </w:tcPr>
                <w:p w14:paraId="2A803CD0">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2B26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32A96554">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lang w:val="en-US" w:eastAsia="zh-CN"/>
                    </w:rPr>
                  </w:pPr>
                </w:p>
              </w:tc>
              <w:tc>
                <w:tcPr>
                  <w:tcW w:w="750" w:type="pct"/>
                  <w:gridSpan w:val="2"/>
                  <w:shd w:val="clear" w:color="auto" w:fill="auto"/>
                  <w:noWrap w:val="0"/>
                  <w:tcMar>
                    <w:left w:w="28" w:type="dxa"/>
                    <w:right w:w="28" w:type="dxa"/>
                  </w:tcMar>
                  <w:vAlign w:val="center"/>
                </w:tcPr>
                <w:p w14:paraId="267557E3">
                  <w:pPr>
                    <w:pStyle w:val="24"/>
                    <w:keepNext w:val="0"/>
                    <w:keepLines w:val="0"/>
                    <w:pageBreakBefore w:val="0"/>
                    <w:widowControl w:val="0"/>
                    <w:kinsoku/>
                    <w:wordWrap/>
                    <w:autoSpaceDE/>
                    <w:autoSpaceDN/>
                    <w:bidi w:val="0"/>
                    <w:snapToGrid w:val="0"/>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储油罐区</w:t>
                  </w:r>
                </w:p>
              </w:tc>
              <w:tc>
                <w:tcPr>
                  <w:tcW w:w="3338" w:type="pct"/>
                  <w:gridSpan w:val="2"/>
                  <w:shd w:val="clear" w:color="auto" w:fill="auto"/>
                  <w:noWrap w:val="0"/>
                  <w:tcMar>
                    <w:left w:w="28" w:type="dxa"/>
                    <w:right w:w="28" w:type="dxa"/>
                  </w:tcMar>
                  <w:vAlign w:val="top"/>
                </w:tcPr>
                <w:p w14:paraId="35E47FE3">
                  <w:pPr>
                    <w:pStyle w:val="24"/>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eastAsia" w:ascii="Times New Roman" w:hAnsi="Times New Roman" w:cs="Times New Roman"/>
                      <w:color w:val="auto"/>
                      <w:spacing w:val="-2"/>
                      <w:sz w:val="21"/>
                      <w:szCs w:val="21"/>
                      <w:highlight w:val="none"/>
                      <w:lang w:eastAsia="zh-CN"/>
                    </w:rPr>
                  </w:pPr>
                  <w:r>
                    <w:rPr>
                      <w:rFonts w:hint="eastAsia" w:ascii="Times New Roman" w:hAnsi="Times New Roman" w:cs="Times New Roman"/>
                      <w:color w:val="auto"/>
                      <w:spacing w:val="-4"/>
                      <w:sz w:val="21"/>
                      <w:szCs w:val="21"/>
                      <w:highlight w:val="none"/>
                      <w:lang w:val="en-US" w:eastAsia="zh-CN"/>
                    </w:rPr>
                    <w:t>全厂共</w:t>
                  </w:r>
                  <w:r>
                    <w:rPr>
                      <w:rFonts w:hint="default" w:ascii="Times New Roman" w:hAnsi="Times New Roman" w:eastAsia="宋体" w:cs="Times New Roman"/>
                      <w:color w:val="auto"/>
                      <w:spacing w:val="-4"/>
                      <w:sz w:val="21"/>
                      <w:szCs w:val="21"/>
                      <w:highlight w:val="none"/>
                      <w:lang w:val="en-US" w:eastAsia="zh-CN"/>
                    </w:rPr>
                    <w:t>3个</w:t>
                  </w:r>
                  <w:r>
                    <w:rPr>
                      <w:rFonts w:hint="default" w:ascii="Times New Roman" w:hAnsi="Times New Roman" w:eastAsia="宋体" w:cs="Times New Roman"/>
                      <w:color w:val="auto"/>
                      <w:spacing w:val="6"/>
                      <w:position w:val="1"/>
                      <w:sz w:val="21"/>
                      <w:szCs w:val="21"/>
                      <w:highlight w:val="none"/>
                    </w:rPr>
                    <w:t>储油罐区</w:t>
                  </w:r>
                  <w:r>
                    <w:rPr>
                      <w:rFonts w:hint="default" w:ascii="Times New Roman" w:hAnsi="Times New Roman" w:eastAsia="宋体" w:cs="Times New Roman"/>
                      <w:color w:val="auto"/>
                      <w:spacing w:val="6"/>
                      <w:position w:val="1"/>
                      <w:sz w:val="21"/>
                      <w:szCs w:val="21"/>
                      <w:highlight w:val="none"/>
                      <w:lang w:eastAsia="zh-CN"/>
                    </w:rPr>
                    <w:t>，</w:t>
                  </w:r>
                  <w:r>
                    <w:rPr>
                      <w:rFonts w:hint="default" w:ascii="Times New Roman" w:hAnsi="Times New Roman" w:eastAsia="宋体" w:cs="Times New Roman"/>
                      <w:color w:val="auto"/>
                      <w:spacing w:val="-4"/>
                      <w:sz w:val="21"/>
                      <w:szCs w:val="21"/>
                      <w:highlight w:val="none"/>
                    </w:rPr>
                    <w:t>均采用立式钢罐，</w:t>
                  </w:r>
                  <w:r>
                    <w:rPr>
                      <w:rFonts w:hint="default" w:ascii="Times New Roman" w:hAnsi="Times New Roman" w:eastAsia="宋体" w:cs="Times New Roman"/>
                      <w:color w:val="auto"/>
                      <w:spacing w:val="-4"/>
                      <w:sz w:val="21"/>
                      <w:szCs w:val="21"/>
                      <w:highlight w:val="none"/>
                      <w:lang w:val="en-US" w:eastAsia="zh-CN"/>
                    </w:rPr>
                    <w:t>总</w:t>
                  </w:r>
                  <w:r>
                    <w:rPr>
                      <w:rFonts w:hint="default" w:ascii="Times New Roman" w:hAnsi="Times New Roman" w:eastAsia="宋体" w:cs="Times New Roman"/>
                      <w:b w:val="0"/>
                      <w:bCs/>
                      <w:color w:val="auto"/>
                      <w:kern w:val="0"/>
                      <w:sz w:val="21"/>
                      <w:szCs w:val="21"/>
                      <w:highlight w:val="none"/>
                      <w:vertAlign w:val="baseline"/>
                      <w:lang w:val="en-US" w:eastAsia="zh-CN" w:bidi="ar-SA"/>
                    </w:rPr>
                    <w:t>储油规模</w:t>
                  </w:r>
                  <w:r>
                    <w:rPr>
                      <w:rFonts w:hint="eastAsia" w:ascii="Times New Roman" w:hAnsi="Times New Roman" w:cs="Times New Roman"/>
                      <w:color w:val="auto"/>
                      <w:spacing w:val="3"/>
                      <w:position w:val="1"/>
                      <w:sz w:val="21"/>
                      <w:szCs w:val="21"/>
                      <w:highlight w:val="none"/>
                      <w:lang w:eastAsia="zh-CN"/>
                    </w:rPr>
                    <w:t>1</w:t>
                  </w:r>
                  <w:r>
                    <w:rPr>
                      <w:rFonts w:hint="eastAsia" w:ascii="Times New Roman" w:hAnsi="Times New Roman" w:cs="Times New Roman"/>
                      <w:color w:val="auto"/>
                      <w:spacing w:val="3"/>
                      <w:position w:val="1"/>
                      <w:sz w:val="21"/>
                      <w:szCs w:val="21"/>
                      <w:highlight w:val="none"/>
                      <w:lang w:val="en-US" w:eastAsia="zh-CN"/>
                    </w:rPr>
                    <w:t>0.44</w:t>
                  </w:r>
                  <w:r>
                    <w:rPr>
                      <w:rFonts w:hint="default" w:ascii="Times New Roman" w:hAnsi="Times New Roman" w:eastAsia="宋体" w:cs="Times New Roman"/>
                      <w:color w:val="auto"/>
                      <w:spacing w:val="-2"/>
                      <w:sz w:val="21"/>
                      <w:szCs w:val="21"/>
                      <w:highlight w:val="none"/>
                    </w:rPr>
                    <w:t>万t</w:t>
                  </w:r>
                  <w:r>
                    <w:rPr>
                      <w:rFonts w:hint="eastAsia" w:ascii="Times New Roman" w:hAnsi="Times New Roman" w:cs="Times New Roman"/>
                      <w:color w:val="auto"/>
                      <w:spacing w:val="-2"/>
                      <w:sz w:val="21"/>
                      <w:szCs w:val="21"/>
                      <w:highlight w:val="none"/>
                      <w:lang w:eastAsia="zh-CN"/>
                    </w:rPr>
                    <w:t>：</w:t>
                  </w:r>
                </w:p>
                <w:p w14:paraId="4DE1345C">
                  <w:pPr>
                    <w:pStyle w:val="24"/>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default" w:ascii="Times New Roman" w:hAnsi="Times New Roman" w:eastAsia="宋体" w:cs="Times New Roman"/>
                      <w:color w:val="auto"/>
                      <w:spacing w:val="6"/>
                      <w:position w:val="1"/>
                      <w:sz w:val="21"/>
                      <w:szCs w:val="21"/>
                      <w:highlight w:val="none"/>
                      <w:lang w:val="en-US" w:eastAsia="zh-CN"/>
                    </w:rPr>
                  </w:pPr>
                  <w:r>
                    <w:rPr>
                      <w:rFonts w:hint="default" w:ascii="Times New Roman" w:hAnsi="Times New Roman" w:eastAsia="宋体" w:cs="Times New Roman"/>
                      <w:color w:val="auto"/>
                      <w:spacing w:val="6"/>
                      <w:position w:val="1"/>
                      <w:sz w:val="21"/>
                      <w:szCs w:val="21"/>
                      <w:highlight w:val="none"/>
                    </w:rPr>
                    <w:t>1#罐区</w:t>
                  </w:r>
                  <w:r>
                    <w:rPr>
                      <w:rFonts w:hint="default" w:ascii="Times New Roman" w:hAnsi="Times New Roman" w:eastAsia="宋体" w:cs="Times New Roman"/>
                      <w:color w:val="auto"/>
                      <w:spacing w:val="6"/>
                      <w:position w:val="1"/>
                      <w:sz w:val="21"/>
                      <w:szCs w:val="21"/>
                      <w:highlight w:val="none"/>
                      <w:lang w:val="en-US" w:eastAsia="zh-CN"/>
                    </w:rPr>
                    <w:t>位于厂区东侧，共设</w:t>
                  </w:r>
                  <w:r>
                    <w:rPr>
                      <w:rFonts w:hint="default" w:ascii="Times New Roman" w:hAnsi="Times New Roman" w:eastAsia="宋体" w:cs="Times New Roman"/>
                      <w:color w:val="auto"/>
                      <w:spacing w:val="6"/>
                      <w:position w:val="1"/>
                      <w:sz w:val="21"/>
                      <w:szCs w:val="21"/>
                      <w:highlight w:val="none"/>
                    </w:rPr>
                    <w:t>储油罐</w:t>
                  </w:r>
                  <w:r>
                    <w:rPr>
                      <w:rFonts w:hint="eastAsia" w:ascii="Times New Roman" w:hAnsi="Times New Roman" w:cs="Times New Roman"/>
                      <w:color w:val="auto"/>
                      <w:spacing w:val="6"/>
                      <w:position w:val="1"/>
                      <w:sz w:val="21"/>
                      <w:szCs w:val="21"/>
                      <w:highlight w:val="none"/>
                      <w:lang w:val="en-US" w:eastAsia="zh-CN"/>
                    </w:rPr>
                    <w:t>29</w:t>
                  </w:r>
                  <w:r>
                    <w:rPr>
                      <w:rFonts w:hint="default" w:ascii="Times New Roman" w:hAnsi="Times New Roman" w:eastAsia="宋体" w:cs="Times New Roman"/>
                      <w:color w:val="auto"/>
                      <w:spacing w:val="6"/>
                      <w:position w:val="1"/>
                      <w:sz w:val="21"/>
                      <w:szCs w:val="21"/>
                      <w:highlight w:val="none"/>
                    </w:rPr>
                    <w:t>个</w:t>
                  </w:r>
                  <w:r>
                    <w:rPr>
                      <w:rFonts w:hint="default" w:ascii="Times New Roman" w:hAnsi="Times New Roman" w:eastAsia="宋体" w:cs="Times New Roman"/>
                      <w:color w:val="auto"/>
                      <w:spacing w:val="6"/>
                      <w:position w:val="1"/>
                      <w:sz w:val="21"/>
                      <w:szCs w:val="21"/>
                      <w:highlight w:val="none"/>
                      <w:lang w:eastAsia="zh-CN"/>
                    </w:rPr>
                    <w:t>，</w:t>
                  </w:r>
                  <w:r>
                    <w:rPr>
                      <w:rFonts w:hint="eastAsia" w:ascii="Times New Roman" w:hAnsi="Times New Roman" w:cs="Times New Roman"/>
                      <w:color w:val="auto"/>
                      <w:spacing w:val="6"/>
                      <w:position w:val="1"/>
                      <w:sz w:val="21"/>
                      <w:szCs w:val="21"/>
                      <w:highlight w:val="none"/>
                      <w:lang w:val="en-US" w:eastAsia="zh-CN"/>
                    </w:rPr>
                    <w:t>因与</w:t>
                  </w:r>
                  <w:r>
                    <w:rPr>
                      <w:rFonts w:hint="eastAsia" w:ascii="Times New Roman" w:hAnsi="Times New Roman" w:cs="Times New Roman"/>
                      <w:color w:val="auto"/>
                      <w:spacing w:val="0"/>
                      <w:position w:val="0"/>
                      <w:sz w:val="21"/>
                      <w:szCs w:val="21"/>
                      <w:highlight w:val="none"/>
                      <w:lang w:val="en-US" w:eastAsia="zh-CN"/>
                    </w:rPr>
                    <w:t>长江上游珍稀特有鱼类国家级自然保护区重叠实施退让，空置</w:t>
                  </w:r>
                  <w:r>
                    <w:rPr>
                      <w:rFonts w:hint="eastAsia" w:ascii="Times New Roman" w:hAnsi="Times New Roman" w:cs="Times New Roman"/>
                      <w:color w:val="auto"/>
                      <w:spacing w:val="5"/>
                      <w:kern w:val="2"/>
                      <w:sz w:val="21"/>
                      <w:szCs w:val="21"/>
                      <w:highlight w:val="none"/>
                      <w:lang w:val="en-US" w:eastAsia="zh-CN" w:bidi="ar-SA"/>
                    </w:rPr>
                    <w:t>储罐2个（300t、1200t），设</w:t>
                  </w:r>
                  <w:r>
                    <w:rPr>
                      <w:rFonts w:hint="eastAsia" w:ascii="Times New Roman" w:hAnsi="Times New Roman" w:cs="Times New Roman"/>
                      <w:color w:val="auto"/>
                      <w:spacing w:val="6"/>
                      <w:position w:val="1"/>
                      <w:sz w:val="21"/>
                      <w:szCs w:val="21"/>
                      <w:highlight w:val="none"/>
                      <w:lang w:val="en-US" w:eastAsia="zh-CN"/>
                    </w:rPr>
                    <w:t>6</w:t>
                  </w:r>
                  <w:r>
                    <w:rPr>
                      <w:rFonts w:hint="default" w:ascii="Times New Roman" w:hAnsi="Times New Roman" w:eastAsia="宋体" w:cs="Times New Roman"/>
                      <w:color w:val="auto"/>
                      <w:spacing w:val="6"/>
                      <w:position w:val="1"/>
                      <w:sz w:val="21"/>
                      <w:szCs w:val="21"/>
                      <w:highlight w:val="none"/>
                      <w:lang w:val="en-US" w:eastAsia="zh-CN"/>
                    </w:rPr>
                    <w:t>个300t，1</w:t>
                  </w:r>
                  <w:r>
                    <w:rPr>
                      <w:rFonts w:hint="eastAsia" w:ascii="Times New Roman" w:hAnsi="Times New Roman" w:cs="Times New Roman"/>
                      <w:color w:val="auto"/>
                      <w:spacing w:val="6"/>
                      <w:position w:val="1"/>
                      <w:sz w:val="21"/>
                      <w:szCs w:val="21"/>
                      <w:highlight w:val="none"/>
                      <w:lang w:val="en-US" w:eastAsia="zh-CN"/>
                    </w:rPr>
                    <w:t>7</w:t>
                  </w:r>
                  <w:r>
                    <w:rPr>
                      <w:rFonts w:hint="default" w:ascii="Times New Roman" w:hAnsi="Times New Roman" w:eastAsia="宋体" w:cs="Times New Roman"/>
                      <w:color w:val="auto"/>
                      <w:spacing w:val="6"/>
                      <w:position w:val="1"/>
                      <w:sz w:val="21"/>
                      <w:szCs w:val="21"/>
                      <w:highlight w:val="none"/>
                      <w:lang w:val="en-US" w:eastAsia="zh-CN"/>
                    </w:rPr>
                    <w:t>个1200t，3个2200t，1个10000t</w:t>
                  </w:r>
                  <w:r>
                    <w:rPr>
                      <w:rFonts w:hint="default" w:ascii="Times New Roman" w:hAnsi="Times New Roman" w:eastAsia="宋体" w:cs="Times New Roman"/>
                      <w:color w:val="auto"/>
                      <w:spacing w:val="6"/>
                      <w:position w:val="1"/>
                      <w:sz w:val="21"/>
                      <w:szCs w:val="21"/>
                      <w:highlight w:val="none"/>
                    </w:rPr>
                    <w:t>储油罐</w:t>
                  </w:r>
                  <w:r>
                    <w:rPr>
                      <w:rFonts w:hint="default" w:ascii="Times New Roman" w:hAnsi="Times New Roman" w:eastAsia="宋体" w:cs="Times New Roman"/>
                      <w:color w:val="auto"/>
                      <w:spacing w:val="6"/>
                      <w:position w:val="1"/>
                      <w:sz w:val="21"/>
                      <w:szCs w:val="21"/>
                      <w:highlight w:val="none"/>
                      <w:lang w:val="en-US" w:eastAsia="zh-CN"/>
                    </w:rPr>
                    <w:t>，</w:t>
                  </w:r>
                  <w:r>
                    <w:rPr>
                      <w:rFonts w:hint="eastAsia" w:ascii="Times New Roman" w:hAnsi="Times New Roman" w:cs="Times New Roman"/>
                      <w:color w:val="auto"/>
                      <w:spacing w:val="6"/>
                      <w:position w:val="1"/>
                      <w:sz w:val="21"/>
                      <w:szCs w:val="21"/>
                      <w:highlight w:val="none"/>
                      <w:lang w:val="en-US" w:eastAsia="zh-CN"/>
                    </w:rPr>
                    <w:t>总储存规模3.88万</w:t>
                  </w:r>
                  <w:r>
                    <w:rPr>
                      <w:rFonts w:hint="default" w:ascii="Times New Roman" w:hAnsi="Times New Roman" w:eastAsia="宋体" w:cs="Times New Roman"/>
                      <w:color w:val="auto"/>
                      <w:spacing w:val="6"/>
                      <w:position w:val="1"/>
                      <w:sz w:val="21"/>
                      <w:szCs w:val="21"/>
                      <w:highlight w:val="none"/>
                      <w:lang w:val="en-US" w:eastAsia="zh-CN"/>
                    </w:rPr>
                    <w:t>t</w:t>
                  </w:r>
                  <w:r>
                    <w:rPr>
                      <w:rFonts w:hint="eastAsia" w:ascii="Times New Roman" w:hAnsi="Times New Roman" w:eastAsia="宋体" w:cs="Times New Roman"/>
                      <w:color w:val="auto"/>
                      <w:spacing w:val="6"/>
                      <w:position w:val="1"/>
                      <w:sz w:val="21"/>
                      <w:szCs w:val="21"/>
                      <w:highlight w:val="none"/>
                      <w:lang w:val="en-US" w:eastAsia="zh-CN"/>
                    </w:rPr>
                    <w:t>，考虑2个</w:t>
                  </w:r>
                  <w:r>
                    <w:rPr>
                      <w:rFonts w:hint="default" w:ascii="Times New Roman" w:hAnsi="Times New Roman" w:eastAsia="宋体" w:cs="Times New Roman"/>
                      <w:color w:val="auto"/>
                      <w:spacing w:val="6"/>
                      <w:position w:val="1"/>
                      <w:sz w:val="21"/>
                      <w:szCs w:val="21"/>
                      <w:highlight w:val="none"/>
                      <w:lang w:val="en-US" w:eastAsia="zh-CN"/>
                    </w:rPr>
                    <w:t>1200t</w:t>
                  </w:r>
                  <w:r>
                    <w:rPr>
                      <w:rFonts w:hint="eastAsia" w:ascii="Times New Roman" w:hAnsi="Times New Roman" w:eastAsia="宋体" w:cs="Times New Roman"/>
                      <w:color w:val="auto"/>
                      <w:spacing w:val="6"/>
                      <w:position w:val="1"/>
                      <w:sz w:val="21"/>
                      <w:szCs w:val="21"/>
                      <w:highlight w:val="none"/>
                      <w:lang w:val="en-US" w:eastAsia="zh-CN"/>
                    </w:rPr>
                    <w:t>作为应急备用油罐，储油规模3.64万t，该油罐区</w:t>
                  </w:r>
                  <w:r>
                    <w:rPr>
                      <w:rFonts w:hint="default" w:ascii="Times New Roman" w:hAnsi="Times New Roman" w:eastAsia="宋体" w:cs="Times New Roman"/>
                      <w:color w:val="auto"/>
                      <w:spacing w:val="6"/>
                      <w:position w:val="1"/>
                      <w:sz w:val="21"/>
                      <w:szCs w:val="21"/>
                      <w:highlight w:val="none"/>
                      <w:lang w:val="en-US" w:eastAsia="zh-CN"/>
                    </w:rPr>
                    <w:t>用于成品油</w:t>
                  </w:r>
                  <w:r>
                    <w:rPr>
                      <w:rFonts w:hint="eastAsia" w:ascii="Times New Roman" w:hAnsi="Times New Roman" w:cs="Times New Roman"/>
                      <w:color w:val="auto"/>
                      <w:spacing w:val="6"/>
                      <w:position w:val="1"/>
                      <w:sz w:val="21"/>
                      <w:szCs w:val="21"/>
                      <w:highlight w:val="none"/>
                      <w:lang w:val="en-US" w:eastAsia="zh-CN"/>
                    </w:rPr>
                    <w:t>和代储油</w:t>
                  </w:r>
                  <w:r>
                    <w:rPr>
                      <w:rFonts w:hint="default" w:ascii="Times New Roman" w:hAnsi="Times New Roman" w:eastAsia="宋体" w:cs="Times New Roman"/>
                      <w:color w:val="auto"/>
                      <w:spacing w:val="6"/>
                      <w:position w:val="1"/>
                      <w:sz w:val="21"/>
                      <w:szCs w:val="21"/>
                      <w:highlight w:val="none"/>
                      <w:lang w:val="en-US" w:eastAsia="zh-CN"/>
                    </w:rPr>
                    <w:t>的储存。</w:t>
                  </w:r>
                </w:p>
                <w:p w14:paraId="66476F34">
                  <w:pPr>
                    <w:pStyle w:val="24"/>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position w:val="1"/>
                      <w:sz w:val="21"/>
                      <w:szCs w:val="21"/>
                      <w:highlight w:val="none"/>
                      <w:lang w:val="en-US" w:eastAsia="zh-CN"/>
                    </w:rPr>
                    <w:t>2#</w:t>
                  </w:r>
                  <w:r>
                    <w:rPr>
                      <w:rFonts w:hint="default" w:ascii="Times New Roman" w:hAnsi="Times New Roman" w:eastAsia="宋体" w:cs="Times New Roman"/>
                      <w:color w:val="auto"/>
                      <w:spacing w:val="5"/>
                      <w:sz w:val="21"/>
                      <w:szCs w:val="21"/>
                      <w:highlight w:val="none"/>
                    </w:rPr>
                    <w:t>储油罐区</w:t>
                  </w:r>
                  <w:r>
                    <w:rPr>
                      <w:rFonts w:hint="default" w:ascii="Times New Roman" w:hAnsi="Times New Roman" w:eastAsia="宋体" w:cs="Times New Roman"/>
                      <w:color w:val="auto"/>
                      <w:spacing w:val="5"/>
                      <w:sz w:val="21"/>
                      <w:szCs w:val="21"/>
                      <w:highlight w:val="none"/>
                      <w:lang w:val="en-US" w:eastAsia="zh-CN"/>
                    </w:rPr>
                    <w:t>位于厂区西南侧，共设</w:t>
                  </w:r>
                  <w:r>
                    <w:rPr>
                      <w:rFonts w:hint="default" w:ascii="Times New Roman" w:hAnsi="Times New Roman" w:eastAsia="宋体" w:cs="Times New Roman"/>
                      <w:color w:val="auto"/>
                      <w:spacing w:val="5"/>
                      <w:sz w:val="21"/>
                      <w:szCs w:val="21"/>
                      <w:highlight w:val="none"/>
                    </w:rPr>
                    <w:t>储油罐</w:t>
                  </w:r>
                  <w:r>
                    <w:rPr>
                      <w:rFonts w:hint="default" w:ascii="Times New Roman" w:hAnsi="Times New Roman" w:eastAsia="宋体" w:cs="Times New Roman"/>
                      <w:color w:val="auto"/>
                      <w:spacing w:val="5"/>
                      <w:sz w:val="21"/>
                      <w:szCs w:val="21"/>
                      <w:highlight w:val="none"/>
                      <w:lang w:val="en-US" w:eastAsia="zh-CN"/>
                    </w:rPr>
                    <w:t>17个，6个500t，10个4500t，1个10000t，</w:t>
                  </w:r>
                  <w:r>
                    <w:rPr>
                      <w:rFonts w:hint="eastAsia" w:ascii="Times New Roman" w:hAnsi="Times New Roman" w:cs="Times New Roman"/>
                      <w:color w:val="auto"/>
                      <w:spacing w:val="6"/>
                      <w:position w:val="1"/>
                      <w:sz w:val="21"/>
                      <w:szCs w:val="21"/>
                      <w:highlight w:val="none"/>
                      <w:lang w:val="en-US" w:eastAsia="zh-CN"/>
                    </w:rPr>
                    <w:t>总储存规模5.8</w:t>
                  </w:r>
                  <w:r>
                    <w:rPr>
                      <w:rFonts w:hint="default" w:ascii="Times New Roman" w:hAnsi="Times New Roman" w:eastAsia="宋体" w:cs="Times New Roman"/>
                      <w:color w:val="auto"/>
                      <w:spacing w:val="6"/>
                      <w:position w:val="1"/>
                      <w:sz w:val="21"/>
                      <w:szCs w:val="21"/>
                      <w:highlight w:val="none"/>
                      <w:lang w:val="en-US" w:eastAsia="zh-CN"/>
                    </w:rPr>
                    <w:t>t</w:t>
                  </w:r>
                  <w:r>
                    <w:rPr>
                      <w:rFonts w:hint="eastAsia" w:ascii="Times New Roman" w:hAnsi="Times New Roman" w:eastAsia="宋体" w:cs="Times New Roman"/>
                      <w:color w:val="auto"/>
                      <w:spacing w:val="6"/>
                      <w:position w:val="1"/>
                      <w:sz w:val="21"/>
                      <w:szCs w:val="21"/>
                      <w:highlight w:val="none"/>
                      <w:lang w:val="en-US" w:eastAsia="zh-CN"/>
                    </w:rPr>
                    <w:t>，考虑2个</w:t>
                  </w:r>
                  <w:r>
                    <w:rPr>
                      <w:rFonts w:hint="default" w:ascii="Times New Roman" w:hAnsi="Times New Roman" w:eastAsia="宋体" w:cs="Times New Roman"/>
                      <w:color w:val="auto"/>
                      <w:spacing w:val="5"/>
                      <w:sz w:val="21"/>
                      <w:szCs w:val="21"/>
                      <w:highlight w:val="none"/>
                      <w:lang w:val="en-US" w:eastAsia="zh-CN"/>
                    </w:rPr>
                    <w:t>4500t</w:t>
                  </w:r>
                  <w:r>
                    <w:rPr>
                      <w:rFonts w:hint="eastAsia" w:ascii="Times New Roman" w:hAnsi="Times New Roman" w:eastAsia="宋体" w:cs="Times New Roman"/>
                      <w:color w:val="auto"/>
                      <w:spacing w:val="6"/>
                      <w:position w:val="1"/>
                      <w:sz w:val="21"/>
                      <w:szCs w:val="21"/>
                      <w:highlight w:val="none"/>
                      <w:lang w:val="en-US" w:eastAsia="zh-CN"/>
                    </w:rPr>
                    <w:t>作为应急备用油罐，储油规模4.9万t，</w:t>
                  </w:r>
                  <w:r>
                    <w:rPr>
                      <w:rFonts w:hint="default" w:ascii="Times New Roman" w:hAnsi="Times New Roman" w:eastAsia="宋体" w:cs="Times New Roman"/>
                      <w:color w:val="auto"/>
                      <w:spacing w:val="5"/>
                      <w:sz w:val="21"/>
                      <w:szCs w:val="21"/>
                      <w:highlight w:val="none"/>
                      <w:lang w:val="en-US" w:eastAsia="zh-CN"/>
                    </w:rPr>
                    <w:t>主要用于原料油的储存。</w:t>
                  </w:r>
                </w:p>
                <w:p w14:paraId="3D018135">
                  <w:pPr>
                    <w:pStyle w:val="24"/>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default" w:ascii="Times New Roman" w:hAnsi="Times New Roman" w:cs="Times New Roman"/>
                      <w:color w:val="auto"/>
                      <w:spacing w:val="6"/>
                      <w:position w:val="1"/>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3#</w:t>
                  </w:r>
                  <w:r>
                    <w:rPr>
                      <w:rFonts w:hint="default" w:ascii="Times New Roman" w:hAnsi="Times New Roman" w:eastAsia="宋体" w:cs="Times New Roman"/>
                      <w:color w:val="auto"/>
                      <w:spacing w:val="5"/>
                      <w:sz w:val="21"/>
                      <w:szCs w:val="21"/>
                      <w:highlight w:val="none"/>
                    </w:rPr>
                    <w:t>储油罐区</w:t>
                  </w:r>
                  <w:r>
                    <w:rPr>
                      <w:rFonts w:hint="default" w:ascii="Times New Roman" w:hAnsi="Times New Roman" w:eastAsia="宋体" w:cs="Times New Roman"/>
                      <w:color w:val="auto"/>
                      <w:spacing w:val="5"/>
                      <w:sz w:val="21"/>
                      <w:szCs w:val="21"/>
                      <w:highlight w:val="none"/>
                      <w:lang w:val="en-US" w:eastAsia="zh-CN"/>
                    </w:rPr>
                    <w:t>位于厂区西侧</w:t>
                  </w:r>
                  <w:r>
                    <w:rPr>
                      <w:rFonts w:hint="default" w:ascii="Times New Roman" w:hAnsi="Times New Roman" w:eastAsia="宋体" w:cs="Times New Roman"/>
                      <w:color w:val="auto"/>
                      <w:spacing w:val="6"/>
                      <w:position w:val="1"/>
                      <w:sz w:val="21"/>
                      <w:szCs w:val="21"/>
                      <w:highlight w:val="none"/>
                      <w:lang w:val="en-US" w:eastAsia="zh-CN"/>
                    </w:rPr>
                    <w:t>，</w:t>
                  </w:r>
                  <w:r>
                    <w:rPr>
                      <w:rFonts w:hint="default" w:ascii="Times New Roman" w:hAnsi="Times New Roman" w:eastAsia="宋体" w:cs="Times New Roman"/>
                      <w:color w:val="auto"/>
                      <w:spacing w:val="5"/>
                      <w:sz w:val="21"/>
                      <w:szCs w:val="21"/>
                      <w:highlight w:val="none"/>
                      <w:lang w:val="en-US" w:eastAsia="zh-CN"/>
                    </w:rPr>
                    <w:t>共设</w:t>
                  </w:r>
                  <w:r>
                    <w:rPr>
                      <w:rFonts w:hint="default" w:ascii="Times New Roman" w:hAnsi="Times New Roman" w:eastAsia="宋体" w:cs="Times New Roman"/>
                      <w:color w:val="auto"/>
                      <w:spacing w:val="7"/>
                      <w:position w:val="1"/>
                      <w:sz w:val="21"/>
                      <w:szCs w:val="21"/>
                      <w:highlight w:val="none"/>
                    </w:rPr>
                    <w:t>8个储油罐</w:t>
                  </w:r>
                  <w:r>
                    <w:rPr>
                      <w:rFonts w:hint="default" w:ascii="Times New Roman" w:hAnsi="Times New Roman" w:eastAsia="宋体" w:cs="Times New Roman"/>
                      <w:color w:val="auto"/>
                      <w:spacing w:val="7"/>
                      <w:position w:val="1"/>
                      <w:sz w:val="21"/>
                      <w:szCs w:val="21"/>
                      <w:highlight w:val="none"/>
                      <w:lang w:eastAsia="zh-CN"/>
                    </w:rPr>
                    <w:t>，</w:t>
                  </w:r>
                  <w:r>
                    <w:rPr>
                      <w:rFonts w:hint="default" w:ascii="Times New Roman" w:hAnsi="Times New Roman" w:eastAsia="宋体" w:cs="Times New Roman"/>
                      <w:color w:val="auto"/>
                      <w:spacing w:val="7"/>
                      <w:position w:val="1"/>
                      <w:sz w:val="21"/>
                      <w:szCs w:val="21"/>
                      <w:highlight w:val="none"/>
                      <w:lang w:val="en-US" w:eastAsia="zh-CN"/>
                    </w:rPr>
                    <w:t>2个500t，6个4500t</w:t>
                  </w:r>
                  <w:r>
                    <w:rPr>
                      <w:rFonts w:hint="default" w:ascii="Times New Roman" w:hAnsi="Times New Roman" w:eastAsia="宋体" w:cs="Times New Roman"/>
                      <w:color w:val="auto"/>
                      <w:spacing w:val="5"/>
                      <w:sz w:val="21"/>
                      <w:szCs w:val="21"/>
                      <w:highlight w:val="none"/>
                      <w:lang w:val="en-US" w:eastAsia="zh-CN"/>
                    </w:rPr>
                    <w:t>，</w:t>
                  </w:r>
                  <w:r>
                    <w:rPr>
                      <w:rFonts w:hint="eastAsia" w:ascii="Times New Roman" w:hAnsi="Times New Roman" w:cs="Times New Roman"/>
                      <w:color w:val="auto"/>
                      <w:spacing w:val="6"/>
                      <w:position w:val="1"/>
                      <w:sz w:val="21"/>
                      <w:szCs w:val="21"/>
                      <w:highlight w:val="none"/>
                      <w:lang w:val="en-US" w:eastAsia="zh-CN"/>
                    </w:rPr>
                    <w:t>总储存规模2.8</w:t>
                  </w:r>
                  <w:r>
                    <w:rPr>
                      <w:rFonts w:hint="default" w:ascii="Times New Roman" w:hAnsi="Times New Roman" w:eastAsia="宋体" w:cs="Times New Roman"/>
                      <w:color w:val="auto"/>
                      <w:spacing w:val="6"/>
                      <w:position w:val="1"/>
                      <w:sz w:val="21"/>
                      <w:szCs w:val="21"/>
                      <w:highlight w:val="none"/>
                      <w:lang w:val="en-US" w:eastAsia="zh-CN"/>
                    </w:rPr>
                    <w:t>t</w:t>
                  </w:r>
                  <w:r>
                    <w:rPr>
                      <w:rFonts w:hint="eastAsia" w:ascii="Times New Roman" w:hAnsi="Times New Roman" w:eastAsia="宋体" w:cs="Times New Roman"/>
                      <w:color w:val="auto"/>
                      <w:spacing w:val="6"/>
                      <w:position w:val="1"/>
                      <w:sz w:val="21"/>
                      <w:szCs w:val="21"/>
                      <w:highlight w:val="none"/>
                      <w:lang w:val="en-US" w:eastAsia="zh-CN"/>
                    </w:rPr>
                    <w:t>，考虑2个</w:t>
                  </w:r>
                  <w:r>
                    <w:rPr>
                      <w:rFonts w:hint="default" w:ascii="Times New Roman" w:hAnsi="Times New Roman" w:eastAsia="宋体" w:cs="Times New Roman"/>
                      <w:color w:val="auto"/>
                      <w:spacing w:val="5"/>
                      <w:sz w:val="21"/>
                      <w:szCs w:val="21"/>
                      <w:highlight w:val="none"/>
                      <w:lang w:val="en-US" w:eastAsia="zh-CN"/>
                    </w:rPr>
                    <w:t>4500t</w:t>
                  </w:r>
                  <w:r>
                    <w:rPr>
                      <w:rFonts w:hint="eastAsia" w:ascii="Times New Roman" w:hAnsi="Times New Roman" w:eastAsia="宋体" w:cs="Times New Roman"/>
                      <w:color w:val="auto"/>
                      <w:spacing w:val="6"/>
                      <w:position w:val="1"/>
                      <w:sz w:val="21"/>
                      <w:szCs w:val="21"/>
                      <w:highlight w:val="none"/>
                      <w:lang w:val="en-US" w:eastAsia="zh-CN"/>
                    </w:rPr>
                    <w:t>作为应急备用油罐，储油规模1.9万t，</w:t>
                  </w:r>
                  <w:r>
                    <w:rPr>
                      <w:rFonts w:hint="default" w:ascii="Times New Roman" w:hAnsi="Times New Roman" w:eastAsia="宋体" w:cs="Times New Roman"/>
                      <w:color w:val="auto"/>
                      <w:spacing w:val="6"/>
                      <w:position w:val="1"/>
                      <w:sz w:val="21"/>
                      <w:szCs w:val="21"/>
                      <w:highlight w:val="none"/>
                      <w:lang w:val="en-US" w:eastAsia="zh-CN"/>
                    </w:rPr>
                    <w:t>用于成品油</w:t>
                  </w:r>
                  <w:r>
                    <w:rPr>
                      <w:rFonts w:hint="eastAsia" w:ascii="Times New Roman" w:hAnsi="Times New Roman" w:cs="Times New Roman"/>
                      <w:color w:val="auto"/>
                      <w:spacing w:val="6"/>
                      <w:position w:val="1"/>
                      <w:sz w:val="21"/>
                      <w:szCs w:val="21"/>
                      <w:highlight w:val="none"/>
                      <w:lang w:val="en-US" w:eastAsia="zh-CN"/>
                    </w:rPr>
                    <w:t>和代储油</w:t>
                  </w:r>
                  <w:r>
                    <w:rPr>
                      <w:rFonts w:hint="default" w:ascii="Times New Roman" w:hAnsi="Times New Roman" w:eastAsia="宋体" w:cs="Times New Roman"/>
                      <w:color w:val="auto"/>
                      <w:spacing w:val="6"/>
                      <w:position w:val="1"/>
                      <w:sz w:val="21"/>
                      <w:szCs w:val="21"/>
                      <w:highlight w:val="none"/>
                      <w:lang w:val="en-US" w:eastAsia="zh-CN"/>
                    </w:rPr>
                    <w:t>的储存</w:t>
                  </w:r>
                </w:p>
              </w:tc>
              <w:tc>
                <w:tcPr>
                  <w:tcW w:w="432" w:type="pct"/>
                  <w:noWrap w:val="0"/>
                  <w:tcMar>
                    <w:left w:w="28" w:type="dxa"/>
                    <w:right w:w="28" w:type="dxa"/>
                  </w:tcMar>
                  <w:vAlign w:val="center"/>
                </w:tcPr>
                <w:p w14:paraId="3A9B5939">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依托+改造</w:t>
                  </w:r>
                </w:p>
              </w:tc>
            </w:tr>
            <w:tr w14:paraId="5ED6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642B169B">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lang w:val="en-US" w:eastAsia="zh-CN"/>
                    </w:rPr>
                  </w:pPr>
                </w:p>
              </w:tc>
              <w:tc>
                <w:tcPr>
                  <w:tcW w:w="293" w:type="pct"/>
                  <w:vMerge w:val="restart"/>
                  <w:shd w:val="clear" w:color="auto" w:fill="auto"/>
                  <w:noWrap w:val="0"/>
                  <w:tcMar>
                    <w:left w:w="28" w:type="dxa"/>
                    <w:right w:w="28" w:type="dxa"/>
                  </w:tcMar>
                  <w:vAlign w:val="center"/>
                </w:tcPr>
                <w:p w14:paraId="547C5DC2">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bidi="ar-SA"/>
                    </w:rPr>
                  </w:pPr>
                  <w:r>
                    <w:rPr>
                      <w:rFonts w:hint="eastAsia" w:cs="Times New Roman"/>
                      <w:bCs/>
                      <w:color w:val="auto"/>
                      <w:spacing w:val="8"/>
                      <w:kern w:val="0"/>
                      <w:sz w:val="21"/>
                      <w:szCs w:val="21"/>
                      <w:highlight w:val="none"/>
                      <w:lang w:val="en-US" w:eastAsia="zh-CN" w:bidi="ar-SA"/>
                    </w:rPr>
                    <w:t>精炼车间</w:t>
                  </w:r>
                </w:p>
              </w:tc>
              <w:tc>
                <w:tcPr>
                  <w:tcW w:w="456" w:type="pct"/>
                  <w:shd w:val="clear" w:color="auto" w:fill="auto"/>
                  <w:noWrap w:val="0"/>
                  <w:tcMar>
                    <w:left w:w="28" w:type="dxa"/>
                    <w:right w:w="28" w:type="dxa"/>
                  </w:tcMar>
                  <w:vAlign w:val="center"/>
                </w:tcPr>
                <w:p w14:paraId="7E9080F7">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bidi="ar-SA"/>
                    </w:rPr>
                  </w:pPr>
                  <w:r>
                    <w:rPr>
                      <w:rFonts w:hint="default" w:ascii="Times New Roman" w:hAnsi="Times New Roman" w:eastAsia="宋体" w:cs="Times New Roman"/>
                      <w:bCs/>
                      <w:color w:val="auto"/>
                      <w:spacing w:val="8"/>
                      <w:kern w:val="0"/>
                      <w:sz w:val="21"/>
                      <w:szCs w:val="21"/>
                      <w:highlight w:val="none"/>
                      <w:lang w:val="en-US" w:eastAsia="zh-CN"/>
                    </w:rPr>
                    <w:t>原辅料堆放区</w:t>
                  </w:r>
                </w:p>
              </w:tc>
              <w:tc>
                <w:tcPr>
                  <w:tcW w:w="3338" w:type="pct"/>
                  <w:gridSpan w:val="2"/>
                  <w:shd w:val="clear" w:color="auto" w:fill="auto"/>
                  <w:noWrap w:val="0"/>
                  <w:tcMar>
                    <w:left w:w="28" w:type="dxa"/>
                    <w:right w:w="28" w:type="dxa"/>
                  </w:tcMar>
                  <w:vAlign w:val="center"/>
                </w:tcPr>
                <w:p w14:paraId="6D94FBB7">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位于精炼车间1F</w:t>
                  </w:r>
                  <w:r>
                    <w:rPr>
                      <w:rFonts w:hint="eastAsia"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val="en-US" w:eastAsia="zh-CN"/>
                    </w:rPr>
                    <w:t>侧，面积220m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，分区分类存放助滤剂、白土等原辅料等</w:t>
                  </w:r>
                </w:p>
              </w:tc>
              <w:tc>
                <w:tcPr>
                  <w:tcW w:w="432" w:type="pct"/>
                  <w:shd w:val="clear" w:color="auto" w:fill="auto"/>
                  <w:noWrap w:val="0"/>
                  <w:tcMar>
                    <w:left w:w="28" w:type="dxa"/>
                    <w:right w:w="28" w:type="dxa"/>
                  </w:tcMar>
                  <w:vAlign w:val="center"/>
                </w:tcPr>
                <w:p w14:paraId="583F6D64">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新建</w:t>
                  </w:r>
                </w:p>
              </w:tc>
            </w:tr>
            <w:tr w14:paraId="5B25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Merge w:val="continue"/>
                  <w:noWrap w:val="0"/>
                  <w:tcMar>
                    <w:left w:w="28" w:type="dxa"/>
                    <w:right w:w="28" w:type="dxa"/>
                  </w:tcMar>
                  <w:vAlign w:val="center"/>
                </w:tcPr>
                <w:p w14:paraId="08EE634E">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lang w:val="en-US" w:eastAsia="zh-CN"/>
                    </w:rPr>
                  </w:pPr>
                </w:p>
              </w:tc>
              <w:tc>
                <w:tcPr>
                  <w:tcW w:w="293" w:type="pct"/>
                  <w:vMerge w:val="continue"/>
                  <w:noWrap w:val="0"/>
                  <w:tcMar>
                    <w:left w:w="28" w:type="dxa"/>
                    <w:right w:w="28" w:type="dxa"/>
                  </w:tcMar>
                  <w:vAlign w:val="center"/>
                </w:tcPr>
                <w:p w14:paraId="742432C5">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rPr>
                  </w:pPr>
                </w:p>
              </w:tc>
              <w:tc>
                <w:tcPr>
                  <w:tcW w:w="456" w:type="pct"/>
                  <w:shd w:val="clear" w:color="auto" w:fill="auto"/>
                  <w:noWrap w:val="0"/>
                  <w:tcMar>
                    <w:left w:w="28" w:type="dxa"/>
                    <w:right w:w="28" w:type="dxa"/>
                  </w:tcMar>
                  <w:vAlign w:val="center"/>
                </w:tcPr>
                <w:p w14:paraId="01C07A36">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bidi="ar-SA"/>
                    </w:rPr>
                  </w:pPr>
                  <w:r>
                    <w:rPr>
                      <w:rFonts w:hint="eastAsia" w:cs="Times New Roman"/>
                      <w:bCs/>
                      <w:color w:val="auto"/>
                      <w:spacing w:val="8"/>
                      <w:kern w:val="0"/>
                      <w:sz w:val="21"/>
                      <w:szCs w:val="21"/>
                      <w:highlight w:val="none"/>
                      <w:lang w:val="en-US" w:eastAsia="zh-CN"/>
                    </w:rPr>
                    <w:t>中间</w:t>
                  </w:r>
                  <w:r>
                    <w:rPr>
                      <w:rFonts w:hint="default" w:ascii="Times New Roman" w:hAnsi="Times New Roman" w:eastAsia="宋体" w:cs="Times New Roman"/>
                      <w:bCs/>
                      <w:color w:val="auto"/>
                      <w:spacing w:val="8"/>
                      <w:kern w:val="0"/>
                      <w:sz w:val="21"/>
                      <w:szCs w:val="21"/>
                      <w:highlight w:val="none"/>
                      <w:lang w:val="en-US" w:eastAsia="zh-CN"/>
                    </w:rPr>
                    <w:t>储罐区</w:t>
                  </w:r>
                </w:p>
              </w:tc>
              <w:tc>
                <w:tcPr>
                  <w:tcW w:w="3338" w:type="pct"/>
                  <w:gridSpan w:val="2"/>
                  <w:noWrap w:val="0"/>
                  <w:tcMar>
                    <w:left w:w="28" w:type="dxa"/>
                    <w:right w:w="28" w:type="dxa"/>
                  </w:tcMar>
                  <w:vAlign w:val="center"/>
                </w:tcPr>
                <w:p w14:paraId="7DA8CF3F">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位于精炼车间1F</w:t>
                  </w:r>
                  <w:r>
                    <w:rPr>
                      <w:rFonts w:hint="eastAsia"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侧，面积350m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，分两列设置脂肪酸罐2个（70m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/个，利旧），毛油罐1个（70m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新增</w:t>
                  </w:r>
                  <w:r>
                    <w:rPr>
                      <w:rFonts w:hint="default" w:ascii="Times New Roman" w:hAnsi="Times New Roman" w:eastAsia="宋体" w:cs="Times New Roman"/>
                      <w:color w:val="auto"/>
                      <w:sz w:val="21"/>
                      <w:szCs w:val="21"/>
                      <w:highlight w:val="none"/>
                      <w:lang w:val="en-US" w:eastAsia="zh-CN"/>
                    </w:rPr>
                    <w:t>），中和油罐1个（70m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val="en-US" w:eastAsia="zh-CN"/>
                    </w:rPr>
                    <w:t>利旧</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皂脚</w:t>
                  </w:r>
                  <w:r>
                    <w:rPr>
                      <w:rFonts w:hint="default" w:ascii="Times New Roman" w:hAnsi="Times New Roman" w:eastAsia="宋体" w:cs="Times New Roman"/>
                      <w:color w:val="auto"/>
                      <w:sz w:val="21"/>
                      <w:szCs w:val="21"/>
                      <w:highlight w:val="none"/>
                      <w:lang w:val="en-US" w:eastAsia="zh-CN"/>
                    </w:rPr>
                    <w:t>罐3个（70m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2利旧+1新增</w:t>
                  </w:r>
                  <w:r>
                    <w:rPr>
                      <w:rFonts w:hint="default" w:ascii="Times New Roman" w:hAnsi="Times New Roman" w:eastAsia="宋体" w:cs="Times New Roman"/>
                      <w:color w:val="auto"/>
                      <w:sz w:val="21"/>
                      <w:szCs w:val="21"/>
                      <w:highlight w:val="none"/>
                      <w:lang w:val="en-US" w:eastAsia="zh-CN"/>
                    </w:rPr>
                    <w:t>），纯水罐1个（</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新增</w:t>
                  </w:r>
                  <w:r>
                    <w:rPr>
                      <w:rFonts w:hint="default" w:ascii="Times New Roman" w:hAnsi="Times New Roman" w:eastAsia="宋体" w:cs="Times New Roman"/>
                      <w:color w:val="auto"/>
                      <w:sz w:val="21"/>
                      <w:szCs w:val="21"/>
                      <w:highlight w:val="none"/>
                      <w:lang w:val="en-US" w:eastAsia="zh-CN"/>
                    </w:rPr>
                    <w:t>），碱液罐</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新增</w:t>
                  </w:r>
                  <w:r>
                    <w:rPr>
                      <w:rFonts w:hint="default" w:ascii="Times New Roman" w:hAnsi="Times New Roman" w:eastAsia="宋体" w:cs="Times New Roman"/>
                      <w:color w:val="auto"/>
                      <w:sz w:val="21"/>
                      <w:szCs w:val="21"/>
                      <w:highlight w:val="none"/>
                      <w:lang w:val="en-US" w:eastAsia="zh-CN"/>
                    </w:rPr>
                    <w:t>），磷酸罐1个（</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新增</w:t>
                  </w:r>
                  <w:r>
                    <w:rPr>
                      <w:rFonts w:hint="default" w:ascii="Times New Roman" w:hAnsi="Times New Roman" w:eastAsia="宋体" w:cs="Times New Roman"/>
                      <w:color w:val="auto"/>
                      <w:sz w:val="21"/>
                      <w:szCs w:val="21"/>
                      <w:highlight w:val="none"/>
                      <w:lang w:val="en-US" w:eastAsia="zh-CN"/>
                    </w:rPr>
                    <w:t>）</w:t>
                  </w:r>
                </w:p>
              </w:tc>
              <w:tc>
                <w:tcPr>
                  <w:tcW w:w="432" w:type="pct"/>
                  <w:noWrap w:val="0"/>
                  <w:tcMar>
                    <w:left w:w="28" w:type="dxa"/>
                    <w:right w:w="28" w:type="dxa"/>
                  </w:tcMar>
                  <w:vAlign w:val="center"/>
                </w:tcPr>
                <w:p w14:paraId="4D158BD8">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新建+利旧</w:t>
                  </w:r>
                </w:p>
              </w:tc>
            </w:tr>
            <w:tr w14:paraId="1DCC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653E77F8">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lang w:val="en-US" w:eastAsia="zh-CN"/>
                    </w:rPr>
                  </w:pPr>
                </w:p>
              </w:tc>
              <w:tc>
                <w:tcPr>
                  <w:tcW w:w="293" w:type="pct"/>
                  <w:vMerge w:val="continue"/>
                  <w:noWrap w:val="0"/>
                  <w:tcMar>
                    <w:left w:w="28" w:type="dxa"/>
                    <w:right w:w="28" w:type="dxa"/>
                  </w:tcMar>
                  <w:vAlign w:val="center"/>
                </w:tcPr>
                <w:p w14:paraId="35062901">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rPr>
                  </w:pPr>
                </w:p>
              </w:tc>
              <w:tc>
                <w:tcPr>
                  <w:tcW w:w="456" w:type="pct"/>
                  <w:shd w:val="clear" w:color="auto" w:fill="auto"/>
                  <w:noWrap w:val="0"/>
                  <w:tcMar>
                    <w:left w:w="28" w:type="dxa"/>
                    <w:right w:w="28" w:type="dxa"/>
                  </w:tcMar>
                  <w:vAlign w:val="center"/>
                </w:tcPr>
                <w:p w14:paraId="6641E4D1">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pacing w:val="8"/>
                      <w:kern w:val="0"/>
                      <w:sz w:val="21"/>
                      <w:szCs w:val="21"/>
                      <w:highlight w:val="none"/>
                      <w:lang w:val="en-US" w:eastAsia="zh-CN" w:bidi="ar-SA"/>
                    </w:rPr>
                  </w:pPr>
                  <w:r>
                    <w:rPr>
                      <w:rFonts w:hint="default" w:ascii="Times New Roman" w:hAnsi="Times New Roman" w:eastAsia="宋体" w:cs="Times New Roman"/>
                      <w:bCs/>
                      <w:color w:val="auto"/>
                      <w:spacing w:val="8"/>
                      <w:kern w:val="0"/>
                      <w:sz w:val="21"/>
                      <w:szCs w:val="21"/>
                      <w:highlight w:val="none"/>
                      <w:lang w:val="en-US" w:eastAsia="zh-CN"/>
                    </w:rPr>
                    <w:t>柠檬酸库</w:t>
                  </w:r>
                </w:p>
              </w:tc>
              <w:tc>
                <w:tcPr>
                  <w:tcW w:w="3338" w:type="pct"/>
                  <w:gridSpan w:val="2"/>
                  <w:noWrap w:val="0"/>
                  <w:tcMar>
                    <w:left w:w="28" w:type="dxa"/>
                    <w:right w:w="28" w:type="dxa"/>
                  </w:tcMar>
                  <w:vAlign w:val="center"/>
                </w:tcPr>
                <w:p w14:paraId="547CAA75">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cs="Times New Roman"/>
                      <w:bCs/>
                      <w:color w:val="auto"/>
                      <w:kern w:val="2"/>
                      <w:sz w:val="21"/>
                      <w:szCs w:val="21"/>
                      <w:highlight w:val="none"/>
                      <w:lang w:val="en-US" w:eastAsia="zh-CN"/>
                    </w:rPr>
                    <w:t>位于精炼车间1F</w:t>
                  </w:r>
                  <w:r>
                    <w:rPr>
                      <w:rFonts w:hint="eastAsia" w:cs="Times New Roman"/>
                      <w:bCs/>
                      <w:color w:val="auto"/>
                      <w:kern w:val="2"/>
                      <w:sz w:val="21"/>
                      <w:szCs w:val="21"/>
                      <w:highlight w:val="none"/>
                      <w:lang w:val="en-US" w:eastAsia="zh-CN"/>
                    </w:rPr>
                    <w:t>东北</w:t>
                  </w:r>
                  <w:r>
                    <w:rPr>
                      <w:rFonts w:hint="default" w:ascii="Times New Roman" w:hAnsi="Times New Roman" w:cs="Times New Roman"/>
                      <w:bCs/>
                      <w:color w:val="auto"/>
                      <w:kern w:val="2"/>
                      <w:sz w:val="21"/>
                      <w:szCs w:val="21"/>
                      <w:highlight w:val="none"/>
                      <w:lang w:val="en-US" w:eastAsia="zh-CN"/>
                    </w:rPr>
                    <w:t>侧，面积25m</w:t>
                  </w:r>
                  <w:r>
                    <w:rPr>
                      <w:rFonts w:hint="default" w:ascii="Times New Roman" w:hAnsi="Times New Roman" w:cs="Times New Roman"/>
                      <w:bCs/>
                      <w:color w:val="auto"/>
                      <w:kern w:val="2"/>
                      <w:sz w:val="21"/>
                      <w:szCs w:val="21"/>
                      <w:highlight w:val="none"/>
                      <w:vertAlign w:val="superscript"/>
                      <w:lang w:val="en-US" w:eastAsia="zh-CN"/>
                    </w:rPr>
                    <w:t>2</w:t>
                  </w:r>
                  <w:r>
                    <w:rPr>
                      <w:rFonts w:hint="default" w:ascii="Times New Roman" w:hAnsi="Times New Roman" w:cs="Times New Roman"/>
                      <w:bCs/>
                      <w:color w:val="auto"/>
                      <w:kern w:val="2"/>
                      <w:sz w:val="21"/>
                      <w:szCs w:val="21"/>
                      <w:highlight w:val="none"/>
                      <w:lang w:val="en-US" w:eastAsia="zh-CN"/>
                    </w:rPr>
                    <w:t>，内设柠檬酸罐1个</w:t>
                  </w:r>
                  <w:r>
                    <w:rPr>
                      <w:rFonts w:hint="default" w:ascii="Times New Roman" w:hAnsi="Times New Roman" w:eastAsia="宋体" w:cs="Times New Roman"/>
                      <w:color w:val="auto"/>
                      <w:sz w:val="21"/>
                      <w:szCs w:val="21"/>
                      <w:highlight w:val="none"/>
                      <w:lang w:val="en-US" w:eastAsia="zh-CN"/>
                    </w:rPr>
                    <w:t>（2m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cs="Times New Roman"/>
                      <w:color w:val="auto"/>
                      <w:sz w:val="21"/>
                      <w:szCs w:val="21"/>
                      <w:highlight w:val="none"/>
                      <w:lang w:val="en-US" w:eastAsia="zh-CN"/>
                    </w:rPr>
                    <w:t>新增</w:t>
                  </w:r>
                  <w:r>
                    <w:rPr>
                      <w:rFonts w:hint="default" w:ascii="Times New Roman" w:hAnsi="Times New Roman" w:eastAsia="宋体" w:cs="Times New Roman"/>
                      <w:color w:val="auto"/>
                      <w:sz w:val="21"/>
                      <w:szCs w:val="21"/>
                      <w:highlight w:val="none"/>
                      <w:lang w:val="en-US" w:eastAsia="zh-CN"/>
                    </w:rPr>
                    <w:t>）</w:t>
                  </w:r>
                </w:p>
              </w:tc>
              <w:tc>
                <w:tcPr>
                  <w:tcW w:w="432" w:type="pct"/>
                  <w:noWrap w:val="0"/>
                  <w:tcMar>
                    <w:left w:w="28" w:type="dxa"/>
                    <w:right w:w="28" w:type="dxa"/>
                  </w:tcMar>
                  <w:vAlign w:val="center"/>
                </w:tcPr>
                <w:p w14:paraId="17A23320">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sz w:val="21"/>
                      <w:szCs w:val="21"/>
                      <w:highlight w:val="none"/>
                      <w:lang w:val="en-US" w:eastAsia="zh-CN"/>
                    </w:rPr>
                    <w:t>新建</w:t>
                  </w:r>
                </w:p>
              </w:tc>
            </w:tr>
            <w:tr w14:paraId="516E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noWrap w:val="0"/>
                  <w:tcMar>
                    <w:left w:w="28" w:type="dxa"/>
                    <w:right w:w="28" w:type="dxa"/>
                  </w:tcMar>
                  <w:vAlign w:val="center"/>
                </w:tcPr>
                <w:p w14:paraId="5C66BB8A">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cs="Times New Roman"/>
                      <w:bCs/>
                      <w:color w:val="auto"/>
                      <w:spacing w:val="8"/>
                      <w:kern w:val="0"/>
                      <w:sz w:val="21"/>
                      <w:szCs w:val="21"/>
                      <w:highlight w:val="none"/>
                    </w:rPr>
                    <w:t>公用</w:t>
                  </w:r>
                </w:p>
                <w:p w14:paraId="29296F58">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cs="Times New Roman"/>
                      <w:bCs/>
                      <w:color w:val="auto"/>
                      <w:spacing w:val="8"/>
                      <w:kern w:val="0"/>
                      <w:sz w:val="21"/>
                      <w:szCs w:val="21"/>
                      <w:highlight w:val="none"/>
                    </w:rPr>
                    <w:t>工程</w:t>
                  </w:r>
                </w:p>
              </w:tc>
              <w:tc>
                <w:tcPr>
                  <w:tcW w:w="750" w:type="pct"/>
                  <w:gridSpan w:val="2"/>
                  <w:noWrap w:val="0"/>
                  <w:tcMar>
                    <w:left w:w="28" w:type="dxa"/>
                    <w:right w:w="28" w:type="dxa"/>
                  </w:tcMar>
                  <w:vAlign w:val="center"/>
                </w:tcPr>
                <w:p w14:paraId="4E0B6377">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给排水</w:t>
                  </w:r>
                </w:p>
              </w:tc>
              <w:tc>
                <w:tcPr>
                  <w:tcW w:w="3338" w:type="pct"/>
                  <w:gridSpan w:val="2"/>
                  <w:noWrap w:val="0"/>
                  <w:tcMar>
                    <w:left w:w="28" w:type="dxa"/>
                    <w:right w:w="28" w:type="dxa"/>
                  </w:tcMar>
                  <w:vAlign w:val="center"/>
                </w:tcPr>
                <w:p w14:paraId="69EE914B">
                  <w:pPr>
                    <w:keepNext w:val="0"/>
                    <w:keepLines w:val="0"/>
                    <w:pageBreakBefore w:val="0"/>
                    <w:widowControl/>
                    <w:kinsoku/>
                    <w:wordWrap/>
                    <w:overflowPunct w:val="0"/>
                    <w:topLinePunct/>
                    <w:autoSpaceDE/>
                    <w:autoSpaceDN/>
                    <w:bidi w:val="0"/>
                    <w:adjustRightInd w:val="0"/>
                    <w:snapToGrid w:val="0"/>
                    <w:spacing w:line="240" w:lineRule="auto"/>
                    <w:ind w:left="0"/>
                    <w:jc w:val="left"/>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雨污、清污分流，雨水接入市政雨水管网；</w:t>
                  </w:r>
                </w:p>
                <w:p w14:paraId="47805565">
                  <w:pPr>
                    <w:keepNext w:val="0"/>
                    <w:keepLines w:val="0"/>
                    <w:widowControl/>
                    <w:suppressLineNumbers w:val="0"/>
                    <w:jc w:val="left"/>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bCs/>
                      <w:snapToGrid w:val="0"/>
                      <w:color w:val="auto"/>
                      <w:kern w:val="0"/>
                      <w:sz w:val="21"/>
                      <w:szCs w:val="21"/>
                      <w:highlight w:val="none"/>
                      <w:lang w:val="en-US" w:eastAsia="zh-CN"/>
                    </w:rPr>
                    <w:t>食堂废水经隔油处理后与生活污水收集至</w:t>
                  </w:r>
                  <w:r>
                    <w:rPr>
                      <w:rFonts w:hint="eastAsia" w:cs="Times New Roman"/>
                      <w:bCs/>
                      <w:snapToGrid w:val="0"/>
                      <w:color w:val="auto"/>
                      <w:kern w:val="0"/>
                      <w:sz w:val="21"/>
                      <w:szCs w:val="21"/>
                      <w:highlight w:val="none"/>
                      <w:lang w:val="en-US" w:eastAsia="zh-CN"/>
                    </w:rPr>
                    <w:t>生化池</w:t>
                  </w:r>
                  <w:r>
                    <w:rPr>
                      <w:rFonts w:hint="default" w:ascii="Times New Roman" w:hAnsi="Times New Roman" w:eastAsia="宋体" w:cs="Times New Roman"/>
                      <w:bCs/>
                      <w:snapToGrid w:val="0"/>
                      <w:color w:val="auto"/>
                      <w:kern w:val="0"/>
                      <w:sz w:val="21"/>
                      <w:szCs w:val="21"/>
                      <w:highlight w:val="none"/>
                      <w:lang w:val="en-US" w:eastAsia="zh-CN"/>
                    </w:rPr>
                    <w:t>，后与生产废水进入</w:t>
                  </w:r>
                  <w:r>
                    <w:rPr>
                      <w:rFonts w:hint="eastAsia" w:cs="Times New Roman"/>
                      <w:bCs/>
                      <w:snapToGrid w:val="0"/>
                      <w:color w:val="auto"/>
                      <w:kern w:val="0"/>
                      <w:sz w:val="21"/>
                      <w:szCs w:val="21"/>
                      <w:highlight w:val="none"/>
                      <w:lang w:val="en-US" w:eastAsia="zh-CN"/>
                    </w:rPr>
                    <w:t>污水处理站</w:t>
                  </w:r>
                  <w:r>
                    <w:rPr>
                      <w:rFonts w:hint="default" w:ascii="Times New Roman" w:hAnsi="Times New Roman" w:cs="Times New Roman"/>
                      <w:bCs/>
                      <w:snapToGrid w:val="0"/>
                      <w:color w:val="auto"/>
                      <w:kern w:val="0"/>
                      <w:sz w:val="21"/>
                      <w:szCs w:val="21"/>
                      <w:highlight w:val="none"/>
                      <w:lang w:val="en-US" w:eastAsia="zh-CN"/>
                    </w:rPr>
                    <w:t>进行处理，</w:t>
                  </w:r>
                  <w:r>
                    <w:rPr>
                      <w:rFonts w:hint="default" w:ascii="Times New Roman" w:hAnsi="Times New Roman" w:eastAsia="宋体" w:cs="Times New Roman"/>
                      <w:bCs/>
                      <w:snapToGrid w:val="0"/>
                      <w:color w:val="auto"/>
                      <w:kern w:val="0"/>
                      <w:sz w:val="21"/>
                      <w:szCs w:val="21"/>
                      <w:highlight w:val="none"/>
                      <w:lang w:val="en-US" w:eastAsia="zh-CN"/>
                    </w:rPr>
                    <w:t>处理达《</w:t>
                  </w:r>
                  <w:r>
                    <w:rPr>
                      <w:rFonts w:hint="eastAsia" w:cs="Times New Roman"/>
                      <w:bCs/>
                      <w:snapToGrid w:val="0"/>
                      <w:color w:val="auto"/>
                      <w:kern w:val="0"/>
                      <w:sz w:val="21"/>
                      <w:szCs w:val="21"/>
                      <w:highlight w:val="none"/>
                      <w:lang w:val="en-US" w:eastAsia="zh-CN"/>
                    </w:rPr>
                    <w:t>食品加工制造业水污染物排放标准</w:t>
                  </w:r>
                  <w:r>
                    <w:rPr>
                      <w:rFonts w:hint="default" w:ascii="Times New Roman" w:hAnsi="Times New Roman" w:eastAsia="宋体" w:cs="Times New Roman"/>
                      <w:bCs/>
                      <w:snapToGrid w:val="0"/>
                      <w:color w:val="auto"/>
                      <w:kern w:val="0"/>
                      <w:sz w:val="21"/>
                      <w:szCs w:val="21"/>
                      <w:highlight w:val="none"/>
                      <w:lang w:val="en-US" w:eastAsia="zh-CN"/>
                    </w:rPr>
                    <w:t>》（GB</w:t>
                  </w:r>
                  <w:r>
                    <w:rPr>
                      <w:rFonts w:hint="eastAsia" w:cs="Times New Roman"/>
                      <w:bCs/>
                      <w:snapToGrid w:val="0"/>
                      <w:color w:val="auto"/>
                      <w:kern w:val="0"/>
                      <w:sz w:val="21"/>
                      <w:szCs w:val="21"/>
                      <w:highlight w:val="none"/>
                      <w:lang w:val="en-US" w:eastAsia="zh-CN"/>
                    </w:rPr>
                    <w:t>46817</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2025</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表1间接排放标准后</w:t>
                  </w:r>
                  <w:r>
                    <w:rPr>
                      <w:rFonts w:hint="default" w:ascii="Times New Roman" w:hAnsi="Times New Roman" w:eastAsia="宋体" w:cs="Times New Roman"/>
                      <w:bCs/>
                      <w:snapToGrid w:val="0"/>
                      <w:color w:val="auto"/>
                      <w:kern w:val="0"/>
                      <w:sz w:val="21"/>
                      <w:szCs w:val="21"/>
                      <w:highlight w:val="none"/>
                      <w:lang w:val="en-US" w:eastAsia="zh-CN"/>
                    </w:rPr>
                    <w:t>经市政污水管网排至铜罐驿污水处理厂进一步处理，处理达《地表水环境质量标准》（GB3838-2002）IV类标准（其中TN、SS满足《城镇污水处理厂污染物排放标准》（GB18918-2002）一级A标准），尾水排入金竹沟，最终汇入长江</w:t>
                  </w:r>
                </w:p>
              </w:tc>
              <w:tc>
                <w:tcPr>
                  <w:tcW w:w="432" w:type="pct"/>
                  <w:noWrap w:val="0"/>
                  <w:tcMar>
                    <w:left w:w="28" w:type="dxa"/>
                    <w:right w:w="28" w:type="dxa"/>
                  </w:tcMar>
                  <w:vAlign w:val="center"/>
                </w:tcPr>
                <w:p w14:paraId="3490F9D7">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cs="Times New Roman"/>
                      <w:color w:val="auto"/>
                      <w:spacing w:val="9"/>
                      <w:sz w:val="21"/>
                      <w:szCs w:val="21"/>
                      <w:highlight w:val="none"/>
                      <w:lang w:val="en-US" w:eastAsia="zh-CN"/>
                    </w:rPr>
                    <w:t>依托</w:t>
                  </w:r>
                </w:p>
              </w:tc>
            </w:tr>
            <w:tr w14:paraId="5705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AB6B21B">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750" w:type="pct"/>
                  <w:gridSpan w:val="2"/>
                  <w:noWrap w:val="0"/>
                  <w:tcMar>
                    <w:left w:w="28" w:type="dxa"/>
                    <w:right w:w="28" w:type="dxa"/>
                  </w:tcMar>
                  <w:vAlign w:val="center"/>
                </w:tcPr>
                <w:p w14:paraId="590501AE">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锅炉房</w:t>
                  </w:r>
                </w:p>
              </w:tc>
              <w:tc>
                <w:tcPr>
                  <w:tcW w:w="3338" w:type="pct"/>
                  <w:gridSpan w:val="2"/>
                  <w:noWrap w:val="0"/>
                  <w:tcMar>
                    <w:left w:w="28" w:type="dxa"/>
                    <w:right w:w="28" w:type="dxa"/>
                  </w:tcMar>
                  <w:vAlign w:val="center"/>
                </w:tcPr>
                <w:p w14:paraId="1E4EEF17">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位于精炼车间1F，面积80m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，内设</w:t>
                  </w:r>
                  <w:r>
                    <w:rPr>
                      <w:rFonts w:hint="default" w:ascii="Times New Roman" w:hAnsi="Times New Roman" w:cs="Times New Roman"/>
                      <w:color w:val="auto"/>
                      <w:kern w:val="2"/>
                      <w:sz w:val="21"/>
                      <w:szCs w:val="21"/>
                      <w:highlight w:val="none"/>
                      <w:lang w:val="en-US" w:eastAsia="zh-CN" w:bidi="ar-SA"/>
                    </w:rPr>
                    <w:t>3t/h</w:t>
                  </w:r>
                  <w:r>
                    <w:rPr>
                      <w:rFonts w:hint="default" w:ascii="Times New Roman" w:hAnsi="Times New Roman" w:eastAsia="宋体" w:cs="Times New Roman"/>
                      <w:color w:val="auto"/>
                      <w:kern w:val="2"/>
                      <w:sz w:val="21"/>
                      <w:szCs w:val="21"/>
                      <w:highlight w:val="none"/>
                      <w:lang w:val="en-US" w:eastAsia="zh-CN" w:bidi="ar-SA"/>
                    </w:rPr>
                    <w:t>高压锅炉1台，1t/h蒸汽发生器1台，2t/h蒸汽锅炉1台，</w:t>
                  </w:r>
                  <w:r>
                    <w:rPr>
                      <w:rFonts w:hint="default" w:ascii="Times New Roman" w:hAnsi="Times New Roman" w:cs="Times New Roman"/>
                      <w:color w:val="auto"/>
                      <w:kern w:val="2"/>
                      <w:sz w:val="21"/>
                      <w:szCs w:val="21"/>
                      <w:highlight w:val="none"/>
                      <w:lang w:val="en-US" w:eastAsia="zh-CN" w:bidi="ar-SA"/>
                    </w:rPr>
                    <w:t>共3台，总规模为6t/h，</w:t>
                  </w:r>
                  <w:r>
                    <w:rPr>
                      <w:rFonts w:hint="default" w:ascii="Times New Roman" w:hAnsi="Times New Roman" w:eastAsia="宋体" w:cs="Times New Roman"/>
                      <w:color w:val="auto"/>
                      <w:spacing w:val="4"/>
                      <w:position w:val="1"/>
                      <w:sz w:val="21"/>
                      <w:szCs w:val="21"/>
                      <w:highlight w:val="none"/>
                      <w:lang w:val="en-US" w:eastAsia="zh-CN"/>
                    </w:rPr>
                    <w:t>主要为精炼车间</w:t>
                  </w:r>
                  <w:r>
                    <w:rPr>
                      <w:rFonts w:hint="eastAsia" w:cs="Times New Roman"/>
                      <w:color w:val="auto"/>
                      <w:spacing w:val="4"/>
                      <w:position w:val="1"/>
                      <w:sz w:val="21"/>
                      <w:szCs w:val="21"/>
                      <w:highlight w:val="none"/>
                      <w:lang w:val="en-US" w:eastAsia="zh-CN"/>
                    </w:rPr>
                    <w:t>加热</w:t>
                  </w:r>
                  <w:r>
                    <w:rPr>
                      <w:rFonts w:hint="default" w:ascii="Times New Roman" w:hAnsi="Times New Roman" w:eastAsia="宋体" w:cs="Times New Roman"/>
                      <w:color w:val="auto"/>
                      <w:spacing w:val="4"/>
                      <w:position w:val="1"/>
                      <w:sz w:val="21"/>
                      <w:szCs w:val="21"/>
                      <w:highlight w:val="none"/>
                      <w:lang w:val="en-US" w:eastAsia="zh-CN"/>
                    </w:rPr>
                    <w:t>单元和除臭单元提供蒸汽</w:t>
                  </w:r>
                  <w:r>
                    <w:rPr>
                      <w:rFonts w:hint="default" w:ascii="Times New Roman" w:hAnsi="Times New Roman" w:cs="Times New Roman"/>
                      <w:color w:val="auto"/>
                      <w:kern w:val="2"/>
                      <w:sz w:val="21"/>
                      <w:szCs w:val="21"/>
                      <w:highlight w:val="none"/>
                      <w:lang w:val="en-US" w:eastAsia="zh-CN" w:bidi="ar-SA"/>
                    </w:rPr>
                    <w:t>；</w:t>
                  </w:r>
                </w:p>
              </w:tc>
              <w:tc>
                <w:tcPr>
                  <w:tcW w:w="432" w:type="pct"/>
                  <w:noWrap w:val="0"/>
                  <w:tcMar>
                    <w:left w:w="28" w:type="dxa"/>
                    <w:right w:w="28" w:type="dxa"/>
                  </w:tcMar>
                  <w:vAlign w:val="center"/>
                </w:tcPr>
                <w:p w14:paraId="242BD17D">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9"/>
                      <w:sz w:val="21"/>
                      <w:szCs w:val="21"/>
                      <w:highlight w:val="none"/>
                      <w:lang w:val="en-US" w:eastAsia="zh-CN"/>
                    </w:rPr>
                  </w:pPr>
                  <w:r>
                    <w:rPr>
                      <w:rFonts w:hint="default" w:ascii="Times New Roman" w:hAnsi="Times New Roman" w:cs="Times New Roman"/>
                      <w:color w:val="auto"/>
                      <w:spacing w:val="9"/>
                      <w:sz w:val="21"/>
                      <w:szCs w:val="21"/>
                      <w:highlight w:val="none"/>
                      <w:lang w:val="en-US" w:eastAsia="zh-CN"/>
                    </w:rPr>
                    <w:t>新建</w:t>
                  </w:r>
                </w:p>
              </w:tc>
            </w:tr>
            <w:tr w14:paraId="05E7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16760FC">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750" w:type="pct"/>
                  <w:gridSpan w:val="2"/>
                  <w:noWrap w:val="0"/>
                  <w:tcMar>
                    <w:left w:w="28" w:type="dxa"/>
                    <w:right w:w="28" w:type="dxa"/>
                  </w:tcMar>
                  <w:vAlign w:val="center"/>
                </w:tcPr>
                <w:p w14:paraId="0D7A5A62">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供天然气</w:t>
                  </w:r>
                </w:p>
              </w:tc>
              <w:tc>
                <w:tcPr>
                  <w:tcW w:w="3338" w:type="pct"/>
                  <w:gridSpan w:val="2"/>
                  <w:noWrap w:val="0"/>
                  <w:tcMar>
                    <w:left w:w="28" w:type="dxa"/>
                    <w:right w:w="28" w:type="dxa"/>
                  </w:tcMar>
                  <w:vAlign w:val="center"/>
                </w:tcPr>
                <w:p w14:paraId="6FE6A634">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依托企业现有天然气供气系统</w:t>
                  </w:r>
                </w:p>
              </w:tc>
              <w:tc>
                <w:tcPr>
                  <w:tcW w:w="432" w:type="pct"/>
                  <w:noWrap w:val="0"/>
                  <w:tcMar>
                    <w:left w:w="28" w:type="dxa"/>
                    <w:right w:w="28" w:type="dxa"/>
                  </w:tcMar>
                  <w:vAlign w:val="center"/>
                </w:tcPr>
                <w:p w14:paraId="7F6BFFFD">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9"/>
                      <w:sz w:val="21"/>
                      <w:szCs w:val="21"/>
                      <w:highlight w:val="none"/>
                      <w:lang w:val="en-US" w:eastAsia="zh-CN"/>
                    </w:rPr>
                  </w:pPr>
                  <w:r>
                    <w:rPr>
                      <w:rFonts w:hint="default" w:ascii="Times New Roman" w:hAnsi="Times New Roman" w:cs="Times New Roman"/>
                      <w:color w:val="auto"/>
                      <w:spacing w:val="9"/>
                      <w:sz w:val="21"/>
                      <w:szCs w:val="21"/>
                      <w:highlight w:val="none"/>
                      <w:lang w:val="en-US" w:eastAsia="zh-CN"/>
                    </w:rPr>
                    <w:t>依托</w:t>
                  </w:r>
                </w:p>
              </w:tc>
            </w:tr>
            <w:tr w14:paraId="034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27D92CF">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750" w:type="pct"/>
                  <w:gridSpan w:val="2"/>
                  <w:noWrap w:val="0"/>
                  <w:tcMar>
                    <w:left w:w="28" w:type="dxa"/>
                    <w:right w:w="28" w:type="dxa"/>
                  </w:tcMar>
                  <w:vAlign w:val="center"/>
                </w:tcPr>
                <w:p w14:paraId="34F16829">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空压站</w:t>
                  </w:r>
                </w:p>
              </w:tc>
              <w:tc>
                <w:tcPr>
                  <w:tcW w:w="3338" w:type="pct"/>
                  <w:gridSpan w:val="2"/>
                  <w:noWrap w:val="0"/>
                  <w:tcMar>
                    <w:left w:w="28" w:type="dxa"/>
                    <w:right w:w="28" w:type="dxa"/>
                  </w:tcMar>
                  <w:vAlign w:val="center"/>
                </w:tcPr>
                <w:p w14:paraId="36F85C4C">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设单螺杆空压机2台，配套空气储罐1个，供压缩空气</w:t>
                  </w:r>
                  <w:r>
                    <w:rPr>
                      <w:rFonts w:hint="default" w:ascii="Times New Roman" w:hAnsi="Times New Roman" w:cs="Times New Roman"/>
                      <w:color w:val="auto"/>
                      <w:kern w:val="2"/>
                      <w:sz w:val="21"/>
                      <w:szCs w:val="21"/>
                      <w:highlight w:val="none"/>
                      <w:lang w:val="en-US" w:eastAsia="zh-CN" w:bidi="ar-SA"/>
                    </w:rPr>
                    <w:t>5.3</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/h</w:t>
                  </w:r>
                </w:p>
              </w:tc>
              <w:tc>
                <w:tcPr>
                  <w:tcW w:w="432" w:type="pct"/>
                  <w:noWrap w:val="0"/>
                  <w:tcMar>
                    <w:left w:w="28" w:type="dxa"/>
                    <w:right w:w="28" w:type="dxa"/>
                  </w:tcMar>
                  <w:vAlign w:val="center"/>
                </w:tcPr>
                <w:p w14:paraId="115A50F6">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9"/>
                      <w:sz w:val="21"/>
                      <w:szCs w:val="21"/>
                      <w:highlight w:val="none"/>
                      <w:lang w:val="en-US" w:eastAsia="zh-CN"/>
                    </w:rPr>
                  </w:pPr>
                  <w:r>
                    <w:rPr>
                      <w:rFonts w:hint="default" w:ascii="Times New Roman" w:hAnsi="Times New Roman" w:cs="Times New Roman"/>
                      <w:color w:val="auto"/>
                      <w:spacing w:val="9"/>
                      <w:sz w:val="21"/>
                      <w:szCs w:val="21"/>
                      <w:highlight w:val="none"/>
                      <w:lang w:val="en-US" w:eastAsia="zh-CN"/>
                    </w:rPr>
                    <w:t>新建</w:t>
                  </w:r>
                </w:p>
              </w:tc>
            </w:tr>
            <w:tr w14:paraId="2602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6AA0242">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750" w:type="pct"/>
                  <w:gridSpan w:val="2"/>
                  <w:noWrap w:val="0"/>
                  <w:tcMar>
                    <w:left w:w="28" w:type="dxa"/>
                    <w:right w:w="28" w:type="dxa"/>
                  </w:tcMar>
                  <w:vAlign w:val="center"/>
                </w:tcPr>
                <w:p w14:paraId="33CC362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冰冻冷凝系统</w:t>
                  </w:r>
                </w:p>
              </w:tc>
              <w:tc>
                <w:tcPr>
                  <w:tcW w:w="3338" w:type="pct"/>
                  <w:gridSpan w:val="2"/>
                  <w:noWrap w:val="0"/>
                  <w:tcMar>
                    <w:left w:w="28" w:type="dxa"/>
                    <w:right w:w="28" w:type="dxa"/>
                  </w:tcMar>
                  <w:vAlign w:val="center"/>
                </w:tcPr>
                <w:p w14:paraId="20D1C237">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设冰冻冷凝系统1套，最低温度为-28℃，配套蒸发器、冷凝器、控制系统</w:t>
                  </w:r>
                </w:p>
              </w:tc>
              <w:tc>
                <w:tcPr>
                  <w:tcW w:w="432" w:type="pct"/>
                  <w:noWrap w:val="0"/>
                  <w:tcMar>
                    <w:left w:w="28" w:type="dxa"/>
                    <w:right w:w="28" w:type="dxa"/>
                  </w:tcMar>
                  <w:vAlign w:val="center"/>
                </w:tcPr>
                <w:p w14:paraId="64977AEE">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9"/>
                      <w:sz w:val="21"/>
                      <w:szCs w:val="21"/>
                      <w:highlight w:val="none"/>
                      <w:lang w:val="en-US" w:eastAsia="zh-CN"/>
                    </w:rPr>
                  </w:pPr>
                  <w:r>
                    <w:rPr>
                      <w:rFonts w:hint="eastAsia" w:ascii="Times New Roman" w:hAnsi="Times New Roman" w:cs="Times New Roman"/>
                      <w:color w:val="auto"/>
                      <w:spacing w:val="9"/>
                      <w:sz w:val="21"/>
                      <w:szCs w:val="21"/>
                      <w:highlight w:val="none"/>
                      <w:lang w:val="en-US" w:eastAsia="zh-CN"/>
                    </w:rPr>
                    <w:t>新建</w:t>
                  </w:r>
                </w:p>
              </w:tc>
            </w:tr>
            <w:tr w14:paraId="1BFE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54BD17F9">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750" w:type="pct"/>
                  <w:gridSpan w:val="2"/>
                  <w:noWrap w:val="0"/>
                  <w:tcMar>
                    <w:left w:w="28" w:type="dxa"/>
                    <w:right w:w="28" w:type="dxa"/>
                  </w:tcMar>
                  <w:vAlign w:val="center"/>
                </w:tcPr>
                <w:p w14:paraId="12631F94">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纯水制备</w:t>
                  </w:r>
                </w:p>
              </w:tc>
              <w:tc>
                <w:tcPr>
                  <w:tcW w:w="3338" w:type="pct"/>
                  <w:gridSpan w:val="2"/>
                  <w:noWrap w:val="0"/>
                  <w:tcMar>
                    <w:left w:w="28" w:type="dxa"/>
                    <w:right w:w="28" w:type="dxa"/>
                  </w:tcMar>
                  <w:vAlign w:val="center"/>
                </w:tcPr>
                <w:p w14:paraId="3FEA5868">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设纯水制备系统1套，</w:t>
                  </w:r>
                  <w:r>
                    <w:rPr>
                      <w:rFonts w:hint="default" w:ascii="Times New Roman" w:hAnsi="Times New Roman" w:cs="Times New Roman"/>
                      <w:b w:val="0"/>
                      <w:bCs w:val="0"/>
                      <w:color w:val="auto"/>
                      <w:sz w:val="21"/>
                      <w:szCs w:val="21"/>
                      <w:highlight w:val="none"/>
                    </w:rPr>
                    <w:t>制备能力3t/h，纯水制备率</w:t>
                  </w:r>
                  <w:r>
                    <w:rPr>
                      <w:rFonts w:hint="eastAsia" w:ascii="Times New Roman" w:hAnsi="Times New Roman" w:cs="Times New Roman"/>
                      <w:b w:val="0"/>
                      <w:bCs w:val="0"/>
                      <w:color w:val="auto"/>
                      <w:sz w:val="21"/>
                      <w:szCs w:val="21"/>
                      <w:highlight w:val="none"/>
                      <w:lang w:val="en-US" w:eastAsia="zh-CN"/>
                    </w:rPr>
                    <w:t>7</w:t>
                  </w:r>
                  <w:r>
                    <w:rPr>
                      <w:rFonts w:hint="default" w:ascii="Times New Roman" w:hAnsi="Times New Roman" w:cs="Times New Roman"/>
                      <w:b w:val="0"/>
                      <w:bCs w:val="0"/>
                      <w:color w:val="auto"/>
                      <w:sz w:val="21"/>
                      <w:szCs w:val="21"/>
                      <w:highlight w:val="none"/>
                      <w:lang w:val="en-US" w:eastAsia="zh-CN"/>
                    </w:rPr>
                    <w:t>0</w:t>
                  </w:r>
                  <w:r>
                    <w:rPr>
                      <w:rFonts w:hint="default" w:ascii="Times New Roman" w:hAnsi="Times New Roman" w:cs="Times New Roman"/>
                      <w:b w:val="0"/>
                      <w:bCs w:val="0"/>
                      <w:color w:val="auto"/>
                      <w:sz w:val="21"/>
                      <w:szCs w:val="21"/>
                      <w:highlight w:val="none"/>
                    </w:rPr>
                    <w:t>%</w:t>
                  </w:r>
                </w:p>
              </w:tc>
              <w:tc>
                <w:tcPr>
                  <w:tcW w:w="432" w:type="pct"/>
                  <w:noWrap w:val="0"/>
                  <w:tcMar>
                    <w:left w:w="28" w:type="dxa"/>
                    <w:right w:w="28" w:type="dxa"/>
                  </w:tcMar>
                  <w:vAlign w:val="center"/>
                </w:tcPr>
                <w:p w14:paraId="25866807">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9"/>
                      <w:sz w:val="21"/>
                      <w:szCs w:val="21"/>
                      <w:highlight w:val="none"/>
                      <w:lang w:val="en-US" w:eastAsia="zh-CN"/>
                    </w:rPr>
                  </w:pPr>
                  <w:r>
                    <w:rPr>
                      <w:rFonts w:hint="eastAsia" w:ascii="Times New Roman" w:hAnsi="Times New Roman" w:cs="Times New Roman"/>
                      <w:color w:val="auto"/>
                      <w:spacing w:val="9"/>
                      <w:sz w:val="21"/>
                      <w:szCs w:val="21"/>
                      <w:highlight w:val="none"/>
                      <w:lang w:val="en-US" w:eastAsia="zh-CN"/>
                    </w:rPr>
                    <w:t>新建</w:t>
                  </w:r>
                </w:p>
              </w:tc>
            </w:tr>
            <w:tr w14:paraId="0FD6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13A8928F">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750" w:type="pct"/>
                  <w:gridSpan w:val="2"/>
                  <w:noWrap w:val="0"/>
                  <w:tcMar>
                    <w:left w:w="28" w:type="dxa"/>
                    <w:right w:w="28" w:type="dxa"/>
                  </w:tcMar>
                  <w:vAlign w:val="center"/>
                </w:tcPr>
                <w:p w14:paraId="35B8D654">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3338" w:type="pct"/>
                  <w:gridSpan w:val="2"/>
                  <w:noWrap w:val="0"/>
                  <w:tcMar>
                    <w:left w:w="28" w:type="dxa"/>
                    <w:right w:w="28" w:type="dxa"/>
                  </w:tcMar>
                  <w:vAlign w:val="center"/>
                </w:tcPr>
                <w:p w14:paraId="4D576743">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9"/>
                      <w:sz w:val="21"/>
                      <w:szCs w:val="21"/>
                      <w:highlight w:val="none"/>
                    </w:rPr>
                    <w:t>依托</w:t>
                  </w:r>
                  <w:r>
                    <w:rPr>
                      <w:rFonts w:hint="default" w:ascii="Times New Roman" w:hAnsi="Times New Roman" w:cs="Times New Roman"/>
                      <w:color w:val="auto"/>
                      <w:spacing w:val="9"/>
                      <w:sz w:val="21"/>
                      <w:szCs w:val="21"/>
                      <w:highlight w:val="none"/>
                      <w:lang w:val="en-US" w:eastAsia="zh-CN"/>
                    </w:rPr>
                    <w:t>企业现有供电管网</w:t>
                  </w:r>
                </w:p>
              </w:tc>
              <w:tc>
                <w:tcPr>
                  <w:tcW w:w="432" w:type="pct"/>
                  <w:noWrap w:val="0"/>
                  <w:tcMar>
                    <w:left w:w="28" w:type="dxa"/>
                    <w:right w:w="28" w:type="dxa"/>
                  </w:tcMar>
                  <w:vAlign w:val="center"/>
                </w:tcPr>
                <w:p w14:paraId="0DA1BDFF">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cs="Times New Roman"/>
                      <w:color w:val="auto"/>
                      <w:spacing w:val="9"/>
                      <w:sz w:val="21"/>
                      <w:szCs w:val="21"/>
                      <w:highlight w:val="none"/>
                    </w:rPr>
                  </w:pPr>
                  <w:r>
                    <w:rPr>
                      <w:rFonts w:hint="default" w:ascii="Times New Roman" w:hAnsi="Times New Roman" w:cs="Times New Roman"/>
                      <w:color w:val="auto"/>
                      <w:spacing w:val="9"/>
                      <w:sz w:val="21"/>
                      <w:szCs w:val="21"/>
                      <w:highlight w:val="none"/>
                      <w:lang w:val="en-US" w:eastAsia="zh-CN"/>
                    </w:rPr>
                    <w:t>依托</w:t>
                  </w:r>
                </w:p>
              </w:tc>
            </w:tr>
            <w:tr w14:paraId="72BB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noWrap w:val="0"/>
                  <w:tcMar>
                    <w:left w:w="28" w:type="dxa"/>
                    <w:right w:w="28" w:type="dxa"/>
                  </w:tcMar>
                  <w:vAlign w:val="center"/>
                </w:tcPr>
                <w:p w14:paraId="2B733E34">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cs="Times New Roman"/>
                      <w:bCs/>
                      <w:color w:val="auto"/>
                      <w:spacing w:val="8"/>
                      <w:kern w:val="0"/>
                      <w:sz w:val="21"/>
                      <w:szCs w:val="21"/>
                      <w:highlight w:val="none"/>
                    </w:rPr>
                    <w:t>环保</w:t>
                  </w:r>
                </w:p>
                <w:p w14:paraId="252E8A06">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cs="Times New Roman"/>
                      <w:bCs/>
                      <w:color w:val="auto"/>
                      <w:spacing w:val="8"/>
                      <w:kern w:val="0"/>
                      <w:sz w:val="21"/>
                      <w:szCs w:val="21"/>
                      <w:highlight w:val="none"/>
                    </w:rPr>
                    <w:t>工程</w:t>
                  </w:r>
                </w:p>
              </w:tc>
              <w:tc>
                <w:tcPr>
                  <w:tcW w:w="293" w:type="pct"/>
                  <w:vMerge w:val="restart"/>
                  <w:noWrap w:val="0"/>
                  <w:tcMar>
                    <w:left w:w="28" w:type="dxa"/>
                    <w:right w:w="28" w:type="dxa"/>
                  </w:tcMar>
                  <w:vAlign w:val="center"/>
                </w:tcPr>
                <w:p w14:paraId="79061171">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456" w:type="pct"/>
                  <w:noWrap w:val="0"/>
                  <w:tcMar>
                    <w:left w:w="28" w:type="dxa"/>
                    <w:right w:w="28" w:type="dxa"/>
                  </w:tcMar>
                  <w:vAlign w:val="center"/>
                </w:tcPr>
                <w:p w14:paraId="17892799">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lang w:val="en-US" w:eastAsia="zh-CN"/>
                    </w:rPr>
                    <w:t>精炼</w:t>
                  </w:r>
                  <w:r>
                    <w:rPr>
                      <w:rFonts w:hint="default" w:ascii="Times New Roman" w:hAnsi="Times New Roman" w:eastAsia="宋体" w:cs="Times New Roman"/>
                      <w:bCs/>
                      <w:color w:val="auto"/>
                      <w:kern w:val="2"/>
                      <w:sz w:val="21"/>
                      <w:szCs w:val="21"/>
                      <w:highlight w:val="none"/>
                      <w:lang w:val="en-US" w:eastAsia="zh-CN"/>
                    </w:rPr>
                    <w:t>废气</w:t>
                  </w:r>
                </w:p>
              </w:tc>
              <w:tc>
                <w:tcPr>
                  <w:tcW w:w="3338" w:type="pct"/>
                  <w:gridSpan w:val="2"/>
                  <w:tcBorders>
                    <w:bottom w:val="single" w:color="auto" w:sz="4" w:space="0"/>
                  </w:tcBorders>
                  <w:shd w:val="clear" w:color="auto" w:fill="auto"/>
                  <w:noWrap w:val="0"/>
                  <w:tcMar>
                    <w:left w:w="28" w:type="dxa"/>
                    <w:right w:w="28" w:type="dxa"/>
                  </w:tcMar>
                  <w:vAlign w:val="center"/>
                </w:tcPr>
                <w:p w14:paraId="30238083">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rPr>
                    <w:t>脱臭</w:t>
                  </w:r>
                  <w:r>
                    <w:rPr>
                      <w:rFonts w:hint="default" w:ascii="Times New Roman" w:hAnsi="Times New Roman" w:cs="Times New Roman"/>
                      <w:bCs/>
                      <w:color w:val="auto"/>
                      <w:kern w:val="2"/>
                      <w:sz w:val="21"/>
                      <w:szCs w:val="21"/>
                      <w:highlight w:val="none"/>
                      <w:lang w:val="en-US" w:eastAsia="zh-CN"/>
                    </w:rPr>
                    <w:t>、脱色</w:t>
                  </w:r>
                  <w:r>
                    <w:rPr>
                      <w:rFonts w:hint="default" w:ascii="Times New Roman" w:hAnsi="Times New Roman" w:eastAsia="宋体" w:cs="Times New Roman"/>
                      <w:bCs/>
                      <w:color w:val="auto"/>
                      <w:kern w:val="2"/>
                      <w:sz w:val="21"/>
                      <w:szCs w:val="21"/>
                      <w:highlight w:val="none"/>
                      <w:lang w:val="en-US" w:eastAsia="zh-CN"/>
                    </w:rPr>
                    <w:t>工段产生废气</w:t>
                  </w:r>
                  <w:r>
                    <w:rPr>
                      <w:rFonts w:hint="eastAsia" w:cs="Times New Roman"/>
                      <w:bCs/>
                      <w:color w:val="auto"/>
                      <w:kern w:val="2"/>
                      <w:sz w:val="21"/>
                      <w:szCs w:val="21"/>
                      <w:highlight w:val="none"/>
                      <w:lang w:val="en-US" w:eastAsia="zh-CN"/>
                    </w:rPr>
                    <w:t>处理工艺为“碱喷淋+次氯酸钠”升级为</w:t>
                  </w:r>
                  <w:r>
                    <w:rPr>
                      <w:rFonts w:hint="eastAsia" w:ascii="Times New Roman" w:hAnsi="Times New Roman" w:cs="Times New Roman"/>
                      <w:bCs/>
                      <w:color w:val="auto"/>
                      <w:kern w:val="2"/>
                      <w:sz w:val="21"/>
                      <w:szCs w:val="21"/>
                      <w:highlight w:val="none"/>
                      <w:lang w:val="en-US" w:eastAsia="zh-CN"/>
                    </w:rPr>
                    <w:t>“</w:t>
                  </w:r>
                  <w:r>
                    <w:rPr>
                      <w:rFonts w:hint="eastAsia" w:cs="Times New Roman"/>
                      <w:bCs/>
                      <w:color w:val="auto"/>
                      <w:kern w:val="2"/>
                      <w:sz w:val="21"/>
                      <w:szCs w:val="21"/>
                      <w:highlight w:val="none"/>
                      <w:lang w:val="en-US" w:eastAsia="zh-CN"/>
                    </w:rPr>
                    <w:t>冰冻冷凝+二级碱喷淋+次氯酸钠喷淋+活性炭吸附</w:t>
                  </w:r>
                  <w:r>
                    <w:rPr>
                      <w:rFonts w:hint="eastAsia" w:ascii="Times New Roman" w:hAnsi="Times New Roman" w:cs="Times New Roman"/>
                      <w:bCs/>
                      <w:color w:val="auto"/>
                      <w:kern w:val="2"/>
                      <w:sz w:val="21"/>
                      <w:szCs w:val="21"/>
                      <w:highlight w:val="none"/>
                      <w:lang w:val="en-US" w:eastAsia="zh-CN"/>
                    </w:rPr>
                    <w:t>”</w:t>
                  </w:r>
                  <w:r>
                    <w:rPr>
                      <w:rFonts w:hint="default" w:ascii="Times New Roman" w:hAnsi="Times New Roman" w:eastAsia="宋体" w:cs="Times New Roman"/>
                      <w:bCs/>
                      <w:color w:val="auto"/>
                      <w:kern w:val="2"/>
                      <w:sz w:val="21"/>
                      <w:szCs w:val="21"/>
                      <w:highlight w:val="none"/>
                      <w:lang w:val="en-US" w:eastAsia="zh-CN"/>
                    </w:rPr>
                    <w:t>，废气经处理后通过1根</w:t>
                  </w:r>
                  <w:r>
                    <w:rPr>
                      <w:rFonts w:hint="default" w:ascii="Times New Roman" w:hAnsi="Times New Roman" w:cs="Times New Roman"/>
                      <w:bCs/>
                      <w:color w:val="auto"/>
                      <w:kern w:val="2"/>
                      <w:sz w:val="21"/>
                      <w:szCs w:val="21"/>
                      <w:highlight w:val="none"/>
                      <w:lang w:val="en-US" w:eastAsia="zh-CN"/>
                    </w:rPr>
                    <w:t>25</w:t>
                  </w:r>
                  <w:r>
                    <w:rPr>
                      <w:rFonts w:hint="default" w:ascii="Times New Roman" w:hAnsi="Times New Roman" w:eastAsia="宋体" w:cs="Times New Roman"/>
                      <w:bCs/>
                      <w:color w:val="auto"/>
                      <w:kern w:val="2"/>
                      <w:sz w:val="21"/>
                      <w:szCs w:val="21"/>
                      <w:highlight w:val="none"/>
                      <w:lang w:val="en-US" w:eastAsia="zh-CN"/>
                    </w:rPr>
                    <w:t>m高排气筒</w:t>
                  </w:r>
                  <w:r>
                    <w:rPr>
                      <w:rFonts w:hint="default" w:ascii="Times New Roman" w:hAnsi="Times New Roman" w:cs="Times New Roman"/>
                      <w:bCs/>
                      <w:color w:val="auto"/>
                      <w:kern w:val="2"/>
                      <w:sz w:val="21"/>
                      <w:szCs w:val="21"/>
                      <w:highlight w:val="none"/>
                      <w:lang w:val="en-US" w:eastAsia="zh-CN"/>
                    </w:rPr>
                    <w:t>（DA001）</w:t>
                  </w:r>
                  <w:r>
                    <w:rPr>
                      <w:rFonts w:hint="default" w:ascii="Times New Roman" w:hAnsi="Times New Roman" w:eastAsia="宋体" w:cs="Times New Roman"/>
                      <w:bCs/>
                      <w:color w:val="auto"/>
                      <w:kern w:val="2"/>
                      <w:sz w:val="21"/>
                      <w:szCs w:val="21"/>
                      <w:highlight w:val="none"/>
                      <w:lang w:val="en-US" w:eastAsia="zh-CN"/>
                    </w:rPr>
                    <w:t>排放</w:t>
                  </w:r>
                  <w:r>
                    <w:rPr>
                      <w:rFonts w:hint="eastAsia" w:cs="Times New Roman"/>
                      <w:bCs/>
                      <w:color w:val="auto"/>
                      <w:kern w:val="2"/>
                      <w:sz w:val="21"/>
                      <w:szCs w:val="21"/>
                      <w:highlight w:val="none"/>
                      <w:lang w:val="en-US" w:eastAsia="zh-CN"/>
                    </w:rPr>
                    <w:t>，风量5000m</w:t>
                  </w:r>
                  <w:r>
                    <w:rPr>
                      <w:rFonts w:hint="eastAsia" w:cs="Times New Roman"/>
                      <w:bCs/>
                      <w:color w:val="auto"/>
                      <w:kern w:val="2"/>
                      <w:sz w:val="21"/>
                      <w:szCs w:val="21"/>
                      <w:highlight w:val="none"/>
                      <w:vertAlign w:val="superscript"/>
                      <w:lang w:val="en-US" w:eastAsia="zh-CN"/>
                    </w:rPr>
                    <w:t>3</w:t>
                  </w:r>
                  <w:r>
                    <w:rPr>
                      <w:rFonts w:hint="eastAsia" w:cs="Times New Roman"/>
                      <w:bCs/>
                      <w:color w:val="auto"/>
                      <w:kern w:val="2"/>
                      <w:sz w:val="21"/>
                      <w:szCs w:val="21"/>
                      <w:highlight w:val="none"/>
                      <w:lang w:val="en-US" w:eastAsia="zh-CN"/>
                    </w:rPr>
                    <w:t>/h</w:t>
                  </w:r>
                </w:p>
              </w:tc>
              <w:tc>
                <w:tcPr>
                  <w:tcW w:w="432" w:type="pct"/>
                  <w:tcBorders>
                    <w:bottom w:val="single" w:color="auto" w:sz="4" w:space="0"/>
                  </w:tcBorders>
                  <w:noWrap w:val="0"/>
                  <w:tcMar>
                    <w:left w:w="28" w:type="dxa"/>
                    <w:right w:w="28" w:type="dxa"/>
                  </w:tcMar>
                  <w:vAlign w:val="center"/>
                </w:tcPr>
                <w:p w14:paraId="243383B2">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新建</w:t>
                  </w:r>
                </w:p>
              </w:tc>
            </w:tr>
            <w:tr w14:paraId="595E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6CDE03FC">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64D1DB95">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456" w:type="pct"/>
                  <w:noWrap w:val="0"/>
                  <w:tcMar>
                    <w:left w:w="28" w:type="dxa"/>
                    <w:right w:w="28" w:type="dxa"/>
                  </w:tcMar>
                  <w:vAlign w:val="center"/>
                </w:tcPr>
                <w:p w14:paraId="0C43965F">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kern w:val="2"/>
                      <w:sz w:val="21"/>
                      <w:szCs w:val="21"/>
                      <w:highlight w:val="none"/>
                      <w:lang w:val="en-US" w:eastAsia="zh-CN"/>
                    </w:rPr>
                    <w:t>锅炉废气</w:t>
                  </w:r>
                </w:p>
              </w:tc>
              <w:tc>
                <w:tcPr>
                  <w:tcW w:w="3338" w:type="pct"/>
                  <w:gridSpan w:val="2"/>
                  <w:tcBorders>
                    <w:bottom w:val="single" w:color="auto" w:sz="4" w:space="0"/>
                  </w:tcBorders>
                  <w:shd w:val="clear" w:color="auto" w:fill="auto"/>
                  <w:noWrap w:val="0"/>
                  <w:tcMar>
                    <w:left w:w="28" w:type="dxa"/>
                    <w:right w:w="28" w:type="dxa"/>
                  </w:tcMar>
                  <w:vAlign w:val="center"/>
                </w:tcPr>
                <w:p w14:paraId="7D4099C1">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rPr>
                    <w:t>锅炉使用天然气为燃料，采用低氮燃烧</w:t>
                  </w:r>
                  <w:r>
                    <w:rPr>
                      <w:rFonts w:hint="eastAsia" w:cs="Times New Roman"/>
                      <w:bCs/>
                      <w:color w:val="auto"/>
                      <w:kern w:val="2"/>
                      <w:sz w:val="21"/>
                      <w:szCs w:val="21"/>
                      <w:highlight w:val="none"/>
                      <w:lang w:val="en-US" w:eastAsia="zh-CN"/>
                    </w:rPr>
                    <w:t>技术</w:t>
                  </w:r>
                  <w:r>
                    <w:rPr>
                      <w:rFonts w:hint="default" w:ascii="Times New Roman" w:hAnsi="Times New Roman" w:eastAsia="宋体" w:cs="Times New Roman"/>
                      <w:bCs/>
                      <w:color w:val="auto"/>
                      <w:kern w:val="2"/>
                      <w:sz w:val="21"/>
                      <w:szCs w:val="21"/>
                      <w:highlight w:val="none"/>
                      <w:lang w:val="en-US" w:eastAsia="zh-CN"/>
                    </w:rPr>
                    <w:t>，设2根排气筒排放（高压锅炉排气筒</w:t>
                  </w:r>
                  <w:r>
                    <w:rPr>
                      <w:rFonts w:hint="default" w:ascii="Times New Roman" w:hAnsi="Times New Roman" w:cs="Times New Roman"/>
                      <w:bCs/>
                      <w:color w:val="auto"/>
                      <w:kern w:val="2"/>
                      <w:sz w:val="21"/>
                      <w:szCs w:val="21"/>
                      <w:highlight w:val="none"/>
                      <w:lang w:val="en-US" w:eastAsia="zh-CN"/>
                    </w:rPr>
                    <w:t>（DA002）</w:t>
                  </w:r>
                  <w:r>
                    <w:rPr>
                      <w:rFonts w:hint="default" w:ascii="Times New Roman" w:hAnsi="Times New Roman" w:eastAsia="宋体" w:cs="Times New Roman"/>
                      <w:bCs/>
                      <w:color w:val="auto"/>
                      <w:kern w:val="2"/>
                      <w:sz w:val="21"/>
                      <w:szCs w:val="21"/>
                      <w:highlight w:val="none"/>
                      <w:lang w:val="en-US" w:eastAsia="zh-CN"/>
                    </w:rPr>
                    <w:t>高25米，蒸汽锅炉及蒸汽发生器合并一根排气筒</w:t>
                  </w:r>
                  <w:r>
                    <w:rPr>
                      <w:rFonts w:hint="default" w:ascii="Times New Roman" w:hAnsi="Times New Roman" w:cs="Times New Roman"/>
                      <w:bCs/>
                      <w:color w:val="auto"/>
                      <w:kern w:val="2"/>
                      <w:sz w:val="21"/>
                      <w:szCs w:val="21"/>
                      <w:highlight w:val="none"/>
                      <w:lang w:val="en-US" w:eastAsia="zh-CN"/>
                    </w:rPr>
                    <w:t>（DA003）</w:t>
                  </w:r>
                  <w:r>
                    <w:rPr>
                      <w:rFonts w:hint="default" w:ascii="Times New Roman" w:hAnsi="Times New Roman" w:eastAsia="宋体" w:cs="Times New Roman"/>
                      <w:bCs/>
                      <w:color w:val="auto"/>
                      <w:kern w:val="2"/>
                      <w:sz w:val="21"/>
                      <w:szCs w:val="21"/>
                      <w:highlight w:val="none"/>
                      <w:lang w:val="en-US" w:eastAsia="zh-CN"/>
                    </w:rPr>
                    <w:t>排放高19米）</w:t>
                  </w:r>
                </w:p>
              </w:tc>
              <w:tc>
                <w:tcPr>
                  <w:tcW w:w="432" w:type="pct"/>
                  <w:tcBorders>
                    <w:bottom w:val="single" w:color="auto" w:sz="4" w:space="0"/>
                  </w:tcBorders>
                  <w:noWrap w:val="0"/>
                  <w:tcMar>
                    <w:left w:w="28" w:type="dxa"/>
                    <w:right w:w="28" w:type="dxa"/>
                  </w:tcMar>
                  <w:vAlign w:val="center"/>
                </w:tcPr>
                <w:p w14:paraId="7EB2D724">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cs="Times New Roman"/>
                      <w:color w:val="auto"/>
                      <w:spacing w:val="6"/>
                      <w:sz w:val="21"/>
                      <w:szCs w:val="21"/>
                      <w:highlight w:val="none"/>
                      <w:lang w:val="en-US" w:eastAsia="zh-CN"/>
                    </w:rPr>
                    <w:t>新建</w:t>
                  </w:r>
                </w:p>
              </w:tc>
            </w:tr>
            <w:tr w14:paraId="2082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0C9AF1F1">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04E616AB">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456" w:type="pct"/>
                  <w:noWrap w:val="0"/>
                  <w:tcMar>
                    <w:left w:w="28" w:type="dxa"/>
                    <w:right w:w="28" w:type="dxa"/>
                  </w:tcMar>
                  <w:vAlign w:val="center"/>
                </w:tcPr>
                <w:p w14:paraId="3F2303D6">
                  <w:pPr>
                    <w:keepNext w:val="0"/>
                    <w:keepLines w:val="0"/>
                    <w:pageBreakBefore w:val="0"/>
                    <w:kinsoku/>
                    <w:wordWrap/>
                    <w:overflowPunct w:val="0"/>
                    <w:topLinePunct/>
                    <w:autoSpaceDE/>
                    <w:autoSpaceDN/>
                    <w:bidi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PET吹瓶工序废气</w:t>
                  </w:r>
                </w:p>
              </w:tc>
              <w:tc>
                <w:tcPr>
                  <w:tcW w:w="3338" w:type="pct"/>
                  <w:gridSpan w:val="2"/>
                  <w:tcBorders>
                    <w:bottom w:val="single" w:color="auto" w:sz="4" w:space="0"/>
                  </w:tcBorders>
                  <w:shd w:val="clear" w:color="auto" w:fill="auto"/>
                  <w:noWrap w:val="0"/>
                  <w:tcMar>
                    <w:left w:w="28" w:type="dxa"/>
                    <w:right w:w="28" w:type="dxa"/>
                  </w:tcMar>
                  <w:vAlign w:val="center"/>
                </w:tcPr>
                <w:p w14:paraId="156A0907">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PET吹瓶工序产生非甲烷总烃以无组织形式排放</w:t>
                  </w:r>
                </w:p>
              </w:tc>
              <w:tc>
                <w:tcPr>
                  <w:tcW w:w="432" w:type="pct"/>
                  <w:tcBorders>
                    <w:bottom w:val="single" w:color="auto" w:sz="4" w:space="0"/>
                  </w:tcBorders>
                  <w:noWrap w:val="0"/>
                  <w:tcMar>
                    <w:left w:w="28" w:type="dxa"/>
                    <w:right w:w="28" w:type="dxa"/>
                  </w:tcMar>
                  <w:vAlign w:val="center"/>
                </w:tcPr>
                <w:p w14:paraId="2F1E7B1E">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cs="Times New Roman"/>
                      <w:color w:val="auto"/>
                      <w:spacing w:val="6"/>
                      <w:sz w:val="21"/>
                      <w:szCs w:val="21"/>
                      <w:highlight w:val="none"/>
                      <w:lang w:val="en-US" w:eastAsia="zh-CN"/>
                    </w:rPr>
                    <w:t>/</w:t>
                  </w:r>
                </w:p>
              </w:tc>
            </w:tr>
            <w:tr w14:paraId="3E38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1300B035">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7E87E697">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456" w:type="pct"/>
                  <w:noWrap w:val="0"/>
                  <w:tcMar>
                    <w:left w:w="28" w:type="dxa"/>
                    <w:right w:w="28" w:type="dxa"/>
                  </w:tcMar>
                  <w:vAlign w:val="center"/>
                </w:tcPr>
                <w:p w14:paraId="3DC0FDBB">
                  <w:pPr>
                    <w:keepNext w:val="0"/>
                    <w:keepLines w:val="0"/>
                    <w:pageBreakBefore w:val="0"/>
                    <w:kinsoku/>
                    <w:wordWrap/>
                    <w:overflowPunct w:val="0"/>
                    <w:topLinePunct/>
                    <w:autoSpaceDE/>
                    <w:autoSpaceDN/>
                    <w:bidi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污水处理站臭气</w:t>
                  </w:r>
                </w:p>
              </w:tc>
              <w:tc>
                <w:tcPr>
                  <w:tcW w:w="3338" w:type="pct"/>
                  <w:gridSpan w:val="2"/>
                  <w:tcBorders>
                    <w:bottom w:val="single" w:color="auto" w:sz="4" w:space="0"/>
                  </w:tcBorders>
                  <w:shd w:val="clear" w:color="auto" w:fill="auto"/>
                  <w:noWrap w:val="0"/>
                  <w:tcMar>
                    <w:left w:w="28" w:type="dxa"/>
                    <w:right w:w="28" w:type="dxa"/>
                  </w:tcMar>
                  <w:vAlign w:val="center"/>
                </w:tcPr>
                <w:p w14:paraId="22710570">
                  <w:pPr>
                    <w:keepNext w:val="0"/>
                    <w:keepLines w:val="0"/>
                    <w:pageBreakBefore w:val="0"/>
                    <w:kinsoku/>
                    <w:wordWrap/>
                    <w:overflowPunct w:val="0"/>
                    <w:topLinePunct/>
                    <w:autoSpaceDE/>
                    <w:autoSpaceDN/>
                    <w:bidi w:val="0"/>
                    <w:snapToGrid w:val="0"/>
                    <w:spacing w:line="240" w:lineRule="auto"/>
                    <w:jc w:val="left"/>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设臭气处理装置1套，采用</w:t>
                  </w:r>
                  <w:r>
                    <w:rPr>
                      <w:rFonts w:hint="eastAsia" w:cs="Times New Roman"/>
                      <w:color w:val="auto"/>
                      <w:sz w:val="21"/>
                      <w:szCs w:val="21"/>
                      <w:highlight w:val="none"/>
                      <w:lang w:val="en-US" w:eastAsia="zh-CN"/>
                    </w:rPr>
                    <w:t>碱液喷淋+次氯酸钠吸附+UV光氧除臭</w:t>
                  </w:r>
                  <w:r>
                    <w:rPr>
                      <w:rFonts w:hint="default" w:ascii="Times New Roman" w:hAnsi="Times New Roman" w:eastAsia="宋体" w:cs="Times New Roman"/>
                      <w:color w:val="auto"/>
                      <w:sz w:val="21"/>
                      <w:szCs w:val="21"/>
                      <w:highlight w:val="none"/>
                      <w:lang w:val="en-US" w:eastAsia="zh-CN"/>
                    </w:rPr>
                    <w:t>工艺，风量</w:t>
                  </w:r>
                  <w:r>
                    <w:rPr>
                      <w:rFonts w:hint="default" w:ascii="Times New Roman" w:hAnsi="Times New Roman"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r>
                    <w:rPr>
                      <w:rFonts w:hint="default" w:ascii="Times New Roman" w:hAnsi="Times New Roman" w:eastAsia="宋体" w:cs="Times New Roman"/>
                      <w:color w:val="auto"/>
                      <w:sz w:val="21"/>
                      <w:szCs w:val="21"/>
                      <w:highlight w:val="none"/>
                      <w:lang w:val="en-US" w:eastAsia="zh-CN"/>
                    </w:rPr>
                    <w:t>配套排气筒1根，高度15m</w:t>
                  </w:r>
                </w:p>
              </w:tc>
              <w:tc>
                <w:tcPr>
                  <w:tcW w:w="432" w:type="pct"/>
                  <w:tcBorders>
                    <w:bottom w:val="single" w:color="auto" w:sz="4" w:space="0"/>
                  </w:tcBorders>
                  <w:noWrap w:val="0"/>
                  <w:tcMar>
                    <w:left w:w="28" w:type="dxa"/>
                    <w:right w:w="28" w:type="dxa"/>
                  </w:tcMar>
                  <w:vAlign w:val="center"/>
                </w:tcPr>
                <w:p w14:paraId="38311AD9">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cs="Times New Roman"/>
                      <w:color w:val="auto"/>
                      <w:spacing w:val="6"/>
                      <w:sz w:val="21"/>
                      <w:szCs w:val="21"/>
                      <w:highlight w:val="none"/>
                      <w:lang w:val="en-US" w:eastAsia="zh-CN"/>
                    </w:rPr>
                    <w:t>依托</w:t>
                  </w:r>
                </w:p>
              </w:tc>
            </w:tr>
            <w:tr w14:paraId="4686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885BF3C">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6F6E23B8">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456" w:type="pct"/>
                  <w:noWrap w:val="0"/>
                  <w:tcMar>
                    <w:left w:w="28" w:type="dxa"/>
                    <w:right w:w="28" w:type="dxa"/>
                  </w:tcMar>
                  <w:vAlign w:val="center"/>
                </w:tcPr>
                <w:p w14:paraId="2EEDA701">
                  <w:pPr>
                    <w:keepNext w:val="0"/>
                    <w:keepLines w:val="0"/>
                    <w:pageBreakBefore w:val="0"/>
                    <w:kinsoku/>
                    <w:wordWrap/>
                    <w:overflowPunct w:val="0"/>
                    <w:topLinePunct/>
                    <w:autoSpaceDE/>
                    <w:autoSpaceDN/>
                    <w:bidi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食堂油烟</w:t>
                  </w:r>
                </w:p>
              </w:tc>
              <w:tc>
                <w:tcPr>
                  <w:tcW w:w="3338" w:type="pct"/>
                  <w:gridSpan w:val="2"/>
                  <w:tcBorders>
                    <w:bottom w:val="single" w:color="auto" w:sz="4" w:space="0"/>
                  </w:tcBorders>
                  <w:shd w:val="clear" w:color="auto" w:fill="auto"/>
                  <w:noWrap w:val="0"/>
                  <w:tcMar>
                    <w:left w:w="28" w:type="dxa"/>
                    <w:right w:w="28" w:type="dxa"/>
                  </w:tcMar>
                  <w:vAlign w:val="center"/>
                </w:tcPr>
                <w:p w14:paraId="47937416">
                  <w:pPr>
                    <w:keepNext w:val="0"/>
                    <w:keepLines w:val="0"/>
                    <w:pageBreakBefore w:val="0"/>
                    <w:kinsoku/>
                    <w:wordWrap/>
                    <w:overflowPunct w:val="0"/>
                    <w:topLinePunct/>
                    <w:autoSpaceDE/>
                    <w:autoSpaceDN/>
                    <w:bidi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食堂油烟经油烟净化器处理</w:t>
                  </w:r>
                  <w:r>
                    <w:rPr>
                      <w:rFonts w:hint="default" w:ascii="Times New Roman" w:hAnsi="Times New Roman" w:eastAsia="宋体" w:cs="Times New Roman"/>
                      <w:color w:val="auto"/>
                      <w:sz w:val="21"/>
                      <w:szCs w:val="21"/>
                      <w:highlight w:val="none"/>
                      <w:lang w:val="en-US" w:eastAsia="zh-CN"/>
                    </w:rPr>
                    <w:t>后引至食堂楼顶排放</w:t>
                  </w:r>
                </w:p>
              </w:tc>
              <w:tc>
                <w:tcPr>
                  <w:tcW w:w="432" w:type="pct"/>
                  <w:tcBorders>
                    <w:bottom w:val="single" w:color="auto" w:sz="4" w:space="0"/>
                  </w:tcBorders>
                  <w:noWrap w:val="0"/>
                  <w:tcMar>
                    <w:left w:w="28" w:type="dxa"/>
                    <w:right w:w="28" w:type="dxa"/>
                  </w:tcMar>
                  <w:vAlign w:val="center"/>
                </w:tcPr>
                <w:p w14:paraId="7E1B9054">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eastAsia" w:cs="Times New Roman"/>
                      <w:color w:val="auto"/>
                      <w:spacing w:val="6"/>
                      <w:sz w:val="21"/>
                      <w:szCs w:val="21"/>
                      <w:highlight w:val="none"/>
                      <w:lang w:val="en-US" w:eastAsia="zh-CN"/>
                    </w:rPr>
                    <w:t>依托</w:t>
                  </w:r>
                </w:p>
              </w:tc>
            </w:tr>
            <w:tr w14:paraId="45B9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AD6C33B">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0C5E9480">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456" w:type="pct"/>
                  <w:noWrap w:val="0"/>
                  <w:tcMar>
                    <w:left w:w="28" w:type="dxa"/>
                    <w:right w:w="28" w:type="dxa"/>
                  </w:tcMar>
                  <w:vAlign w:val="center"/>
                </w:tcPr>
                <w:p w14:paraId="30BB7879">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白土投料废气</w:t>
                  </w:r>
                </w:p>
              </w:tc>
              <w:tc>
                <w:tcPr>
                  <w:tcW w:w="3338" w:type="pct"/>
                  <w:gridSpan w:val="2"/>
                  <w:tcBorders>
                    <w:bottom w:val="single" w:color="auto" w:sz="4" w:space="0"/>
                  </w:tcBorders>
                  <w:shd w:val="clear" w:color="auto" w:fill="auto"/>
                  <w:noWrap w:val="0"/>
                  <w:tcMar>
                    <w:left w:w="28" w:type="dxa"/>
                    <w:right w:w="28" w:type="dxa"/>
                  </w:tcMar>
                  <w:vAlign w:val="center"/>
                </w:tcPr>
                <w:p w14:paraId="26996435">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采用负压密闭投料方式，设布袋除尘器3套，投料粉尘经布袋除尘器处理后车间排放</w:t>
                  </w:r>
                </w:p>
              </w:tc>
              <w:tc>
                <w:tcPr>
                  <w:tcW w:w="432" w:type="pct"/>
                  <w:tcBorders>
                    <w:bottom w:val="single" w:color="auto" w:sz="4" w:space="0"/>
                  </w:tcBorders>
                  <w:noWrap w:val="0"/>
                  <w:tcMar>
                    <w:left w:w="28" w:type="dxa"/>
                    <w:right w:w="28" w:type="dxa"/>
                  </w:tcMar>
                  <w:vAlign w:val="center"/>
                </w:tcPr>
                <w:p w14:paraId="358A0E5D">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新建</w:t>
                  </w:r>
                </w:p>
              </w:tc>
            </w:tr>
            <w:tr w14:paraId="1885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601E573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restart"/>
                  <w:noWrap w:val="0"/>
                  <w:tcMar>
                    <w:left w:w="28" w:type="dxa"/>
                    <w:right w:w="28" w:type="dxa"/>
                  </w:tcMar>
                  <w:vAlign w:val="center"/>
                </w:tcPr>
                <w:p w14:paraId="448DB606">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cs="Times New Roman"/>
                      <w:bCs/>
                      <w:color w:val="auto"/>
                      <w:spacing w:val="8"/>
                      <w:kern w:val="0"/>
                      <w:sz w:val="21"/>
                      <w:szCs w:val="21"/>
                      <w:highlight w:val="none"/>
                    </w:rPr>
                    <w:t>废水</w:t>
                  </w:r>
                </w:p>
              </w:tc>
              <w:tc>
                <w:tcPr>
                  <w:tcW w:w="456" w:type="pct"/>
                  <w:noWrap w:val="0"/>
                  <w:tcMar>
                    <w:left w:w="28" w:type="dxa"/>
                    <w:right w:w="28" w:type="dxa"/>
                  </w:tcMar>
                  <w:vAlign w:val="center"/>
                </w:tcPr>
                <w:p w14:paraId="40992360">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eastAsia="宋体" w:cs="Times New Roman"/>
                      <w:color w:val="auto"/>
                      <w:spacing w:val="9"/>
                      <w:kern w:val="2"/>
                      <w:sz w:val="21"/>
                      <w:szCs w:val="21"/>
                      <w:highlight w:val="none"/>
                      <w:lang w:val="en-US" w:eastAsia="zh-CN" w:bidi="ar-SA"/>
                    </w:rPr>
                    <w:t>污水处理站</w:t>
                  </w:r>
                </w:p>
              </w:tc>
              <w:tc>
                <w:tcPr>
                  <w:tcW w:w="3338" w:type="pct"/>
                  <w:gridSpan w:val="2"/>
                  <w:noWrap w:val="0"/>
                  <w:tcMar>
                    <w:left w:w="28" w:type="dxa"/>
                    <w:right w:w="28" w:type="dxa"/>
                  </w:tcMar>
                  <w:vAlign w:val="center"/>
                </w:tcPr>
                <w:p w14:paraId="476B1F91">
                  <w:pPr>
                    <w:pageBreakBefore w:val="0"/>
                    <w:kinsoku/>
                    <w:wordWrap/>
                    <w:overflowPunct w:val="0"/>
                    <w:topLinePunct/>
                    <w:bidi w:val="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水洗工段废水、车间清洗废水经收集后依托厂区现有污水处理站处理，采用“隔油+气浮+沉淀+水解酸化+缺氧+生物接触氧化+沉淀”处理工艺，处理能力150m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p>
              </w:tc>
              <w:tc>
                <w:tcPr>
                  <w:tcW w:w="432" w:type="pct"/>
                  <w:tcBorders>
                    <w:bottom w:val="single" w:color="auto" w:sz="4" w:space="0"/>
                  </w:tcBorders>
                  <w:noWrap w:val="0"/>
                  <w:tcMar>
                    <w:left w:w="28" w:type="dxa"/>
                    <w:right w:w="28" w:type="dxa"/>
                  </w:tcMar>
                  <w:vAlign w:val="center"/>
                </w:tcPr>
                <w:p w14:paraId="5B459D3A">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依托</w:t>
                  </w:r>
                </w:p>
              </w:tc>
            </w:tr>
            <w:tr w14:paraId="29CF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7A3EAD27">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405D0851">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noWrap w:val="0"/>
                  <w:tcMar>
                    <w:left w:w="28" w:type="dxa"/>
                    <w:right w:w="28" w:type="dxa"/>
                  </w:tcMar>
                  <w:vAlign w:val="center"/>
                </w:tcPr>
                <w:p w14:paraId="3C62B801">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eastAsia" w:cs="Times New Roman"/>
                      <w:color w:val="auto"/>
                      <w:spacing w:val="9"/>
                      <w:kern w:val="2"/>
                      <w:sz w:val="21"/>
                      <w:szCs w:val="21"/>
                      <w:highlight w:val="none"/>
                      <w:lang w:val="en-US" w:eastAsia="zh-CN" w:bidi="ar-SA"/>
                    </w:rPr>
                    <w:t>生化池</w:t>
                  </w:r>
                </w:p>
              </w:tc>
              <w:tc>
                <w:tcPr>
                  <w:tcW w:w="3338" w:type="pct"/>
                  <w:gridSpan w:val="2"/>
                  <w:noWrap w:val="0"/>
                  <w:tcMar>
                    <w:left w:w="28" w:type="dxa"/>
                    <w:right w:w="28" w:type="dxa"/>
                  </w:tcMar>
                  <w:vAlign w:val="center"/>
                </w:tcPr>
                <w:p w14:paraId="65196E6C">
                  <w:pPr>
                    <w:pageBreakBefore w:val="0"/>
                    <w:kinsoku/>
                    <w:wordWrap/>
                    <w:overflowPunct w:val="0"/>
                    <w:topLine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本次不新增人员，无新增生活污水排放</w:t>
                  </w:r>
                </w:p>
              </w:tc>
              <w:tc>
                <w:tcPr>
                  <w:tcW w:w="432" w:type="pct"/>
                  <w:tcBorders>
                    <w:bottom w:val="single" w:color="auto" w:sz="4" w:space="0"/>
                  </w:tcBorders>
                  <w:noWrap w:val="0"/>
                  <w:tcMar>
                    <w:left w:w="28" w:type="dxa"/>
                    <w:right w:w="28" w:type="dxa"/>
                  </w:tcMar>
                  <w:vAlign w:val="center"/>
                </w:tcPr>
                <w:p w14:paraId="65195ABD">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依托</w:t>
                  </w:r>
                </w:p>
              </w:tc>
            </w:tr>
            <w:tr w14:paraId="66E2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BD5C08A">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0AA01A9A">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noWrap w:val="0"/>
                  <w:tcMar>
                    <w:left w:w="28" w:type="dxa"/>
                    <w:right w:w="28" w:type="dxa"/>
                  </w:tcMar>
                  <w:vAlign w:val="center"/>
                </w:tcPr>
                <w:p w14:paraId="62059866">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eastAsia="宋体" w:cs="Times New Roman"/>
                      <w:color w:val="auto"/>
                      <w:spacing w:val="9"/>
                      <w:kern w:val="2"/>
                      <w:sz w:val="21"/>
                      <w:szCs w:val="21"/>
                      <w:highlight w:val="none"/>
                      <w:lang w:val="en-US" w:eastAsia="zh-CN" w:bidi="ar-SA"/>
                    </w:rPr>
                    <w:t>隔油池</w:t>
                  </w:r>
                </w:p>
              </w:tc>
              <w:tc>
                <w:tcPr>
                  <w:tcW w:w="3338" w:type="pct"/>
                  <w:gridSpan w:val="2"/>
                  <w:noWrap w:val="0"/>
                  <w:tcMar>
                    <w:left w:w="28" w:type="dxa"/>
                    <w:right w:w="28" w:type="dxa"/>
                  </w:tcMar>
                  <w:vAlign w:val="center"/>
                </w:tcPr>
                <w:p w14:paraId="509C47A0">
                  <w:pPr>
                    <w:pageBreakBefore w:val="0"/>
                    <w:kinsoku/>
                    <w:wordWrap/>
                    <w:overflowPunct w:val="0"/>
                    <w:topLine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精炼车间储罐区设隔油池1个，处理能力15m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，用于精炼车间废水隔油处理</w:t>
                  </w:r>
                </w:p>
              </w:tc>
              <w:tc>
                <w:tcPr>
                  <w:tcW w:w="432" w:type="pct"/>
                  <w:tcBorders>
                    <w:bottom w:val="single" w:color="auto" w:sz="4" w:space="0"/>
                  </w:tcBorders>
                  <w:noWrap w:val="0"/>
                  <w:tcMar>
                    <w:left w:w="28" w:type="dxa"/>
                    <w:right w:w="28" w:type="dxa"/>
                  </w:tcMar>
                  <w:vAlign w:val="center"/>
                </w:tcPr>
                <w:p w14:paraId="6C25B31C">
                  <w:pPr>
                    <w:pStyle w:val="13"/>
                    <w:keepNext w:val="0"/>
                    <w:keepLines w:val="0"/>
                    <w:pageBreakBefore w:val="0"/>
                    <w:widowControl w:val="0"/>
                    <w:numPr>
                      <w:ilvl w:val="0"/>
                      <w:numId w:val="0"/>
                    </w:numPr>
                    <w:kinsoku/>
                    <w:wordWrap/>
                    <w:overflowPunct w:val="0"/>
                    <w:topLinePunct/>
                    <w:autoSpaceDE/>
                    <w:autoSpaceDN/>
                    <w:bidi w:val="0"/>
                    <w:adjustRightInd/>
                    <w:snapToGrid/>
                    <w:spacing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依托+</w:t>
                  </w:r>
                  <w:r>
                    <w:rPr>
                      <w:rFonts w:hint="default" w:ascii="Times New Roman" w:hAnsi="Times New Roman" w:eastAsia="宋体" w:cs="Times New Roman"/>
                      <w:b w:val="0"/>
                      <w:bCs w:val="0"/>
                      <w:color w:val="auto"/>
                      <w:sz w:val="21"/>
                      <w:szCs w:val="21"/>
                      <w:highlight w:val="none"/>
                      <w:u w:val="none"/>
                      <w:lang w:val="en-US" w:eastAsia="zh-CN"/>
                    </w:rPr>
                    <w:t>新建</w:t>
                  </w:r>
                </w:p>
              </w:tc>
            </w:tr>
            <w:tr w14:paraId="484E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0F0F95E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750" w:type="pct"/>
                  <w:gridSpan w:val="2"/>
                  <w:tcBorders>
                    <w:bottom w:val="single" w:color="auto" w:sz="4" w:space="0"/>
                  </w:tcBorders>
                  <w:noWrap w:val="0"/>
                  <w:tcMar>
                    <w:left w:w="28" w:type="dxa"/>
                    <w:right w:w="28" w:type="dxa"/>
                  </w:tcMar>
                  <w:vAlign w:val="center"/>
                </w:tcPr>
                <w:p w14:paraId="5EBF89E3">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cs="Times New Roman"/>
                      <w:bCs/>
                      <w:color w:val="auto"/>
                      <w:spacing w:val="8"/>
                      <w:kern w:val="0"/>
                      <w:sz w:val="21"/>
                      <w:szCs w:val="21"/>
                      <w:highlight w:val="none"/>
                    </w:rPr>
                    <w:t>噪声</w:t>
                  </w:r>
                </w:p>
              </w:tc>
              <w:tc>
                <w:tcPr>
                  <w:tcW w:w="3338" w:type="pct"/>
                  <w:gridSpan w:val="2"/>
                  <w:tcBorders>
                    <w:bottom w:val="single" w:color="auto" w:sz="4" w:space="0"/>
                  </w:tcBorders>
                  <w:noWrap w:val="0"/>
                  <w:tcMar>
                    <w:left w:w="28" w:type="dxa"/>
                    <w:right w:w="28" w:type="dxa"/>
                  </w:tcMar>
                  <w:vAlign w:val="center"/>
                </w:tcPr>
                <w:p w14:paraId="7FD9BFCD">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default" w:ascii="Times New Roman" w:hAnsi="Times New Roman" w:eastAsia="宋体" w:cs="Times New Roman"/>
                      <w:color w:val="auto"/>
                      <w:spacing w:val="9"/>
                      <w:kern w:val="2"/>
                      <w:sz w:val="21"/>
                      <w:szCs w:val="21"/>
                      <w:highlight w:val="none"/>
                      <w:lang w:val="en-US" w:eastAsia="zh-CN" w:bidi="ar-SA"/>
                    </w:rPr>
                    <w:t>合理布局，选用低噪音设备，采取减振隔声措施，加强设备维护等。</w:t>
                  </w:r>
                </w:p>
              </w:tc>
              <w:tc>
                <w:tcPr>
                  <w:tcW w:w="432" w:type="pct"/>
                  <w:tcBorders>
                    <w:bottom w:val="single" w:color="auto" w:sz="4" w:space="0"/>
                  </w:tcBorders>
                  <w:noWrap w:val="0"/>
                  <w:tcMar>
                    <w:left w:w="28" w:type="dxa"/>
                    <w:right w:w="28" w:type="dxa"/>
                  </w:tcMar>
                  <w:vAlign w:val="center"/>
                </w:tcPr>
                <w:p w14:paraId="5D704084">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新建</w:t>
                  </w:r>
                </w:p>
              </w:tc>
            </w:tr>
            <w:tr w14:paraId="7CC2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40D5F734">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restart"/>
                  <w:noWrap w:val="0"/>
                  <w:tcMar>
                    <w:left w:w="28" w:type="dxa"/>
                    <w:right w:w="28" w:type="dxa"/>
                  </w:tcMar>
                  <w:vAlign w:val="center"/>
                </w:tcPr>
                <w:p w14:paraId="6AEFEE94">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r>
                    <w:rPr>
                      <w:rFonts w:hint="default" w:ascii="Times New Roman" w:hAnsi="Times New Roman" w:cs="Times New Roman"/>
                      <w:bCs/>
                      <w:color w:val="auto"/>
                      <w:spacing w:val="8"/>
                      <w:kern w:val="0"/>
                      <w:sz w:val="21"/>
                      <w:szCs w:val="21"/>
                      <w:highlight w:val="none"/>
                    </w:rPr>
                    <w:t>固废</w:t>
                  </w:r>
                </w:p>
              </w:tc>
              <w:tc>
                <w:tcPr>
                  <w:tcW w:w="456" w:type="pct"/>
                  <w:vMerge w:val="restart"/>
                  <w:noWrap w:val="0"/>
                  <w:tcMar>
                    <w:left w:w="28" w:type="dxa"/>
                    <w:right w:w="28" w:type="dxa"/>
                  </w:tcMar>
                  <w:vAlign w:val="center"/>
                </w:tcPr>
                <w:p w14:paraId="27898A1E">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lang w:val="en-US" w:eastAsia="zh-CN"/>
                    </w:rPr>
                    <w:t>一般固废</w:t>
                  </w:r>
                </w:p>
              </w:tc>
              <w:tc>
                <w:tcPr>
                  <w:tcW w:w="582" w:type="pct"/>
                  <w:shd w:val="clear" w:color="auto" w:fill="auto"/>
                  <w:noWrap w:val="0"/>
                  <w:tcMar>
                    <w:left w:w="28" w:type="dxa"/>
                    <w:right w:w="28" w:type="dxa"/>
                  </w:tcMar>
                  <w:vAlign w:val="center"/>
                </w:tcPr>
                <w:p w14:paraId="23BC17BA">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皂脚</w:t>
                  </w:r>
                </w:p>
              </w:tc>
              <w:tc>
                <w:tcPr>
                  <w:tcW w:w="2756" w:type="pct"/>
                  <w:shd w:val="clear" w:color="auto" w:fill="auto"/>
                  <w:noWrap w:val="0"/>
                  <w:tcMar>
                    <w:left w:w="28" w:type="dxa"/>
                    <w:right w:w="28" w:type="dxa"/>
                  </w:tcMar>
                  <w:vAlign w:val="center"/>
                </w:tcPr>
                <w:p w14:paraId="19217FF7">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采用固废不落地系统，</w:t>
                  </w:r>
                  <w:r>
                    <w:rPr>
                      <w:rFonts w:hint="default" w:ascii="Times New Roman" w:hAnsi="Times New Roman" w:cs="Times New Roman"/>
                      <w:color w:val="auto"/>
                      <w:spacing w:val="8"/>
                      <w:sz w:val="21"/>
                      <w:szCs w:val="21"/>
                      <w:highlight w:val="none"/>
                      <w:lang w:val="en-US" w:eastAsia="zh-CN"/>
                    </w:rPr>
                    <w:t>经皂脚罐（70m</w:t>
                  </w:r>
                  <w:r>
                    <w:rPr>
                      <w:rFonts w:hint="default" w:ascii="Times New Roman" w:hAnsi="Times New Roman" w:cs="Times New Roman"/>
                      <w:color w:val="auto"/>
                      <w:spacing w:val="8"/>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cs="Times New Roman"/>
                      <w:color w:val="auto"/>
                      <w:spacing w:val="8"/>
                      <w:sz w:val="21"/>
                      <w:szCs w:val="21"/>
                      <w:highlight w:val="none"/>
                      <w:lang w:val="en-US" w:eastAsia="zh-CN"/>
                    </w:rPr>
                    <w:t>，3个）收集后</w:t>
                  </w:r>
                  <w:r>
                    <w:rPr>
                      <w:rFonts w:hint="eastAsia" w:cs="Times New Roman"/>
                      <w:color w:val="auto"/>
                      <w:spacing w:val="8"/>
                      <w:sz w:val="21"/>
                      <w:szCs w:val="21"/>
                      <w:highlight w:val="none"/>
                      <w:lang w:val="en-US" w:eastAsia="zh-CN"/>
                    </w:rPr>
                    <w:t>给四川宝汉丰废弃资源综合利用有限公司处置</w:t>
                  </w:r>
                </w:p>
              </w:tc>
              <w:tc>
                <w:tcPr>
                  <w:tcW w:w="432" w:type="pct"/>
                  <w:tcBorders>
                    <w:bottom w:val="single" w:color="000000" w:sz="8" w:space="0"/>
                  </w:tcBorders>
                  <w:noWrap w:val="0"/>
                  <w:tcMar>
                    <w:left w:w="28" w:type="dxa"/>
                    <w:right w:w="28" w:type="dxa"/>
                  </w:tcMar>
                  <w:vAlign w:val="center"/>
                </w:tcPr>
                <w:p w14:paraId="10C724AC">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新建</w:t>
                  </w:r>
                </w:p>
              </w:tc>
            </w:tr>
            <w:tr w14:paraId="158E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4516FF10">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48D7570A">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vMerge w:val="continue"/>
                  <w:noWrap w:val="0"/>
                  <w:tcMar>
                    <w:left w:w="28" w:type="dxa"/>
                    <w:right w:w="28" w:type="dxa"/>
                  </w:tcMar>
                  <w:vAlign w:val="center"/>
                </w:tcPr>
                <w:p w14:paraId="0B3B0457">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82" w:type="pct"/>
                  <w:shd w:val="clear" w:color="auto" w:fill="auto"/>
                  <w:noWrap w:val="0"/>
                  <w:tcMar>
                    <w:left w:w="28" w:type="dxa"/>
                    <w:right w:w="28" w:type="dxa"/>
                  </w:tcMar>
                  <w:vAlign w:val="center"/>
                </w:tcPr>
                <w:p w14:paraId="610369CC">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脂肪酸</w:t>
                  </w:r>
                </w:p>
              </w:tc>
              <w:tc>
                <w:tcPr>
                  <w:tcW w:w="2756" w:type="pct"/>
                  <w:shd w:val="clear" w:color="auto" w:fill="auto"/>
                  <w:noWrap w:val="0"/>
                  <w:tcMar>
                    <w:left w:w="28" w:type="dxa"/>
                    <w:right w:w="28" w:type="dxa"/>
                  </w:tcMar>
                  <w:vAlign w:val="center"/>
                </w:tcPr>
                <w:p w14:paraId="2B8EC3AB">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采用固废不落地系统，</w:t>
                  </w:r>
                  <w:r>
                    <w:rPr>
                      <w:rFonts w:hint="default" w:ascii="Times New Roman" w:hAnsi="Times New Roman" w:cs="Times New Roman"/>
                      <w:color w:val="auto"/>
                      <w:spacing w:val="8"/>
                      <w:sz w:val="21"/>
                      <w:szCs w:val="21"/>
                      <w:highlight w:val="none"/>
                      <w:lang w:val="en-US" w:eastAsia="zh-CN"/>
                    </w:rPr>
                    <w:t>经</w:t>
                  </w:r>
                  <w:r>
                    <w:rPr>
                      <w:rFonts w:hint="eastAsia" w:cs="Times New Roman"/>
                      <w:color w:val="auto"/>
                      <w:spacing w:val="8"/>
                      <w:sz w:val="21"/>
                      <w:szCs w:val="21"/>
                      <w:highlight w:val="none"/>
                      <w:lang w:val="en-US" w:eastAsia="zh-CN"/>
                    </w:rPr>
                    <w:t>脂肪酸</w:t>
                  </w:r>
                  <w:r>
                    <w:rPr>
                      <w:rFonts w:hint="default" w:ascii="Times New Roman" w:hAnsi="Times New Roman" w:cs="Times New Roman"/>
                      <w:color w:val="auto"/>
                      <w:spacing w:val="8"/>
                      <w:sz w:val="21"/>
                      <w:szCs w:val="21"/>
                      <w:highlight w:val="none"/>
                      <w:lang w:val="en-US" w:eastAsia="zh-CN"/>
                    </w:rPr>
                    <w:t>罐（70m</w:t>
                  </w:r>
                  <w:r>
                    <w:rPr>
                      <w:rFonts w:hint="default" w:ascii="Times New Roman" w:hAnsi="Times New Roman" w:cs="Times New Roman"/>
                      <w:color w:val="auto"/>
                      <w:spacing w:val="8"/>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default" w:ascii="Times New Roman" w:hAnsi="Times New Roman" w:cs="Times New Roman"/>
                      <w:color w:val="auto"/>
                      <w:spacing w:val="8"/>
                      <w:sz w:val="21"/>
                      <w:szCs w:val="21"/>
                      <w:highlight w:val="none"/>
                      <w:lang w:val="en-US" w:eastAsia="zh-CN"/>
                    </w:rPr>
                    <w:t>，</w:t>
                  </w:r>
                  <w:r>
                    <w:rPr>
                      <w:rFonts w:hint="eastAsia" w:cs="Times New Roman"/>
                      <w:color w:val="auto"/>
                      <w:spacing w:val="8"/>
                      <w:sz w:val="21"/>
                      <w:szCs w:val="21"/>
                      <w:highlight w:val="none"/>
                      <w:lang w:val="en-US" w:eastAsia="zh-CN"/>
                    </w:rPr>
                    <w:t>2</w:t>
                  </w:r>
                  <w:r>
                    <w:rPr>
                      <w:rFonts w:hint="default" w:ascii="Times New Roman" w:hAnsi="Times New Roman" w:cs="Times New Roman"/>
                      <w:color w:val="auto"/>
                      <w:spacing w:val="8"/>
                      <w:sz w:val="21"/>
                      <w:szCs w:val="21"/>
                      <w:highlight w:val="none"/>
                      <w:lang w:val="en-US" w:eastAsia="zh-CN"/>
                    </w:rPr>
                    <w:t>个）收集后</w:t>
                  </w:r>
                  <w:r>
                    <w:rPr>
                      <w:rFonts w:hint="eastAsia" w:cs="Times New Roman"/>
                      <w:color w:val="auto"/>
                      <w:spacing w:val="8"/>
                      <w:sz w:val="21"/>
                      <w:szCs w:val="21"/>
                      <w:highlight w:val="none"/>
                      <w:lang w:val="en-US" w:eastAsia="zh-CN"/>
                    </w:rPr>
                    <w:t>给四川宝汉丰废弃资源综合利用有限公司处置</w:t>
                  </w:r>
                </w:p>
              </w:tc>
              <w:tc>
                <w:tcPr>
                  <w:tcW w:w="432" w:type="pct"/>
                  <w:tcBorders>
                    <w:bottom w:val="single" w:color="000000" w:sz="8" w:space="0"/>
                  </w:tcBorders>
                  <w:noWrap w:val="0"/>
                  <w:tcMar>
                    <w:left w:w="28" w:type="dxa"/>
                    <w:right w:w="28" w:type="dxa"/>
                  </w:tcMar>
                  <w:vAlign w:val="center"/>
                </w:tcPr>
                <w:p w14:paraId="5C27CC8C">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新建</w:t>
                  </w:r>
                </w:p>
              </w:tc>
            </w:tr>
            <w:tr w14:paraId="79CD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78184A1B">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5B517CB4">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vMerge w:val="continue"/>
                  <w:noWrap w:val="0"/>
                  <w:tcMar>
                    <w:left w:w="28" w:type="dxa"/>
                    <w:right w:w="28" w:type="dxa"/>
                  </w:tcMar>
                  <w:vAlign w:val="center"/>
                </w:tcPr>
                <w:p w14:paraId="5E54D5DA">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p>
              </w:tc>
              <w:tc>
                <w:tcPr>
                  <w:tcW w:w="582" w:type="pct"/>
                  <w:shd w:val="clear" w:color="auto" w:fill="auto"/>
                  <w:noWrap w:val="0"/>
                  <w:tcMar>
                    <w:left w:w="28" w:type="dxa"/>
                    <w:right w:w="28" w:type="dxa"/>
                  </w:tcMar>
                  <w:vAlign w:val="center"/>
                </w:tcPr>
                <w:p w14:paraId="46473103">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废白土</w:t>
                  </w:r>
                </w:p>
              </w:tc>
              <w:tc>
                <w:tcPr>
                  <w:tcW w:w="2756" w:type="pct"/>
                  <w:shd w:val="clear" w:color="auto" w:fill="auto"/>
                  <w:noWrap w:val="0"/>
                  <w:tcMar>
                    <w:left w:w="28" w:type="dxa"/>
                    <w:right w:w="28" w:type="dxa"/>
                  </w:tcMar>
                  <w:vAlign w:val="center"/>
                </w:tcPr>
                <w:p w14:paraId="335CC38E">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设废白土储存间1间，位于精炼车间1F西侧，面积80m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采用固废不落地系统，</w:t>
                  </w:r>
                  <w:r>
                    <w:rPr>
                      <w:rFonts w:hint="default" w:ascii="Times New Roman" w:hAnsi="Times New Roman" w:cs="Times New Roman"/>
                      <w:color w:val="auto"/>
                      <w:sz w:val="21"/>
                      <w:szCs w:val="21"/>
                      <w:highlight w:val="none"/>
                      <w:lang w:val="en-US" w:eastAsia="zh-CN"/>
                    </w:rPr>
                    <w:t>内设废白土存料箱2个，单个容积19m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，用于存放废白土</w:t>
                  </w:r>
                  <w:r>
                    <w:rPr>
                      <w:rFonts w:hint="eastAsia" w:cs="Times New Roman"/>
                      <w:color w:val="auto"/>
                      <w:sz w:val="21"/>
                      <w:szCs w:val="21"/>
                      <w:highlight w:val="none"/>
                      <w:lang w:val="en-US" w:eastAsia="zh-CN"/>
                    </w:rPr>
                    <w:t>，外售</w:t>
                  </w:r>
                  <w:r>
                    <w:rPr>
                      <w:rFonts w:hint="eastAsia" w:cs="Times New Roman"/>
                      <w:color w:val="auto"/>
                      <w:spacing w:val="8"/>
                      <w:sz w:val="21"/>
                      <w:szCs w:val="21"/>
                      <w:highlight w:val="none"/>
                      <w:lang w:val="en-US" w:eastAsia="zh-CN"/>
                    </w:rPr>
                    <w:t>给四川宝汉丰废弃资源综合利用有限公司处置</w:t>
                  </w:r>
                </w:p>
              </w:tc>
              <w:tc>
                <w:tcPr>
                  <w:tcW w:w="432" w:type="pct"/>
                  <w:tcBorders>
                    <w:bottom w:val="single" w:color="000000" w:sz="8" w:space="0"/>
                  </w:tcBorders>
                  <w:noWrap w:val="0"/>
                  <w:tcMar>
                    <w:left w:w="28" w:type="dxa"/>
                    <w:right w:w="28" w:type="dxa"/>
                  </w:tcMar>
                  <w:vAlign w:val="center"/>
                </w:tcPr>
                <w:p w14:paraId="78CFA085">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新建</w:t>
                  </w:r>
                </w:p>
              </w:tc>
            </w:tr>
            <w:tr w14:paraId="6711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6643EB8B">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3A931EB7">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vMerge w:val="continue"/>
                  <w:noWrap w:val="0"/>
                  <w:tcMar>
                    <w:left w:w="28" w:type="dxa"/>
                    <w:right w:w="28" w:type="dxa"/>
                  </w:tcMar>
                  <w:vAlign w:val="center"/>
                </w:tcPr>
                <w:p w14:paraId="554DCDB8">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82" w:type="pct"/>
                  <w:shd w:val="clear" w:color="auto" w:fill="auto"/>
                  <w:noWrap w:val="0"/>
                  <w:tcMar>
                    <w:left w:w="28" w:type="dxa"/>
                    <w:right w:w="28" w:type="dxa"/>
                  </w:tcMar>
                  <w:vAlign w:val="center"/>
                </w:tcPr>
                <w:p w14:paraId="3DF56112">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废助滤剂</w:t>
                  </w:r>
                </w:p>
              </w:tc>
              <w:tc>
                <w:tcPr>
                  <w:tcW w:w="2756" w:type="pct"/>
                  <w:shd w:val="clear" w:color="auto" w:fill="auto"/>
                  <w:noWrap w:val="0"/>
                  <w:tcMar>
                    <w:left w:w="28" w:type="dxa"/>
                    <w:right w:w="28" w:type="dxa"/>
                  </w:tcMar>
                  <w:vAlign w:val="center"/>
                </w:tcPr>
                <w:p w14:paraId="53EA9585">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设废</w:t>
                  </w:r>
                  <w:r>
                    <w:rPr>
                      <w:rFonts w:hint="default" w:ascii="Times New Roman" w:hAnsi="Times New Roman" w:eastAsia="宋体" w:cs="Times New Roman"/>
                      <w:color w:val="auto"/>
                      <w:kern w:val="0"/>
                      <w:sz w:val="21"/>
                      <w:szCs w:val="21"/>
                      <w:highlight w:val="none"/>
                      <w:lang w:val="en-US" w:eastAsia="zh-CN" w:bidi="ar"/>
                    </w:rPr>
                    <w:t>助滤剂间</w:t>
                  </w:r>
                  <w:r>
                    <w:rPr>
                      <w:rFonts w:hint="default" w:ascii="Times New Roman" w:hAnsi="Times New Roman" w:cs="Times New Roman"/>
                      <w:color w:val="auto"/>
                      <w:sz w:val="21"/>
                      <w:szCs w:val="21"/>
                      <w:highlight w:val="none"/>
                      <w:lang w:val="en-US" w:eastAsia="zh-CN"/>
                    </w:rPr>
                    <w:t>1间，位于精炼车间1F西侧，面积80m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采用固废不落地系统，</w:t>
                  </w:r>
                  <w:r>
                    <w:rPr>
                      <w:rFonts w:hint="default" w:ascii="Times New Roman" w:hAnsi="Times New Roman" w:cs="Times New Roman"/>
                      <w:color w:val="auto"/>
                      <w:sz w:val="21"/>
                      <w:szCs w:val="21"/>
                      <w:highlight w:val="none"/>
                      <w:lang w:val="en-US" w:eastAsia="zh-CN"/>
                    </w:rPr>
                    <w:t>内设废助滤剂存料箱2个，单个容积19m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，用于存放废</w:t>
                  </w:r>
                  <w:r>
                    <w:rPr>
                      <w:rFonts w:hint="default" w:ascii="Times New Roman" w:hAnsi="Times New Roman" w:eastAsia="宋体" w:cs="Times New Roman"/>
                      <w:color w:val="auto"/>
                      <w:kern w:val="0"/>
                      <w:sz w:val="21"/>
                      <w:szCs w:val="21"/>
                      <w:highlight w:val="none"/>
                      <w:lang w:val="en-US" w:eastAsia="zh-CN" w:bidi="ar"/>
                    </w:rPr>
                    <w:t>助滤剂</w:t>
                  </w:r>
                  <w:r>
                    <w:rPr>
                      <w:rFonts w:hint="eastAsia" w:cs="Times New Roman"/>
                      <w:color w:val="auto"/>
                      <w:kern w:val="0"/>
                      <w:sz w:val="21"/>
                      <w:szCs w:val="21"/>
                      <w:highlight w:val="none"/>
                      <w:lang w:val="en-US" w:eastAsia="zh-CN" w:bidi="ar"/>
                    </w:rPr>
                    <w:t>，</w:t>
                  </w:r>
                  <w:r>
                    <w:rPr>
                      <w:rFonts w:hint="eastAsia" w:cs="Times New Roman"/>
                      <w:color w:val="auto"/>
                      <w:sz w:val="21"/>
                      <w:szCs w:val="21"/>
                      <w:highlight w:val="none"/>
                      <w:lang w:val="en-US" w:eastAsia="zh-CN"/>
                    </w:rPr>
                    <w:t>外售</w:t>
                  </w:r>
                  <w:r>
                    <w:rPr>
                      <w:rFonts w:hint="eastAsia" w:cs="Times New Roman"/>
                      <w:color w:val="auto"/>
                      <w:spacing w:val="8"/>
                      <w:sz w:val="21"/>
                      <w:szCs w:val="21"/>
                      <w:highlight w:val="none"/>
                      <w:lang w:val="en-US" w:eastAsia="zh-CN"/>
                    </w:rPr>
                    <w:t>给有资质单位处置</w:t>
                  </w:r>
                </w:p>
              </w:tc>
              <w:tc>
                <w:tcPr>
                  <w:tcW w:w="432" w:type="pct"/>
                  <w:tcBorders>
                    <w:bottom w:val="single" w:color="000000" w:sz="8" w:space="0"/>
                  </w:tcBorders>
                  <w:noWrap w:val="0"/>
                  <w:tcMar>
                    <w:left w:w="28" w:type="dxa"/>
                    <w:right w:w="28" w:type="dxa"/>
                  </w:tcMar>
                  <w:vAlign w:val="center"/>
                </w:tcPr>
                <w:p w14:paraId="78AF96DA">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新建</w:t>
                  </w:r>
                </w:p>
              </w:tc>
            </w:tr>
            <w:tr w14:paraId="0FEC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21EC73B7">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02103DA3">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vMerge w:val="continue"/>
                  <w:noWrap w:val="0"/>
                  <w:tcMar>
                    <w:left w:w="28" w:type="dxa"/>
                    <w:right w:w="28" w:type="dxa"/>
                  </w:tcMar>
                  <w:vAlign w:val="center"/>
                </w:tcPr>
                <w:p w14:paraId="26E845CD">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p>
              </w:tc>
              <w:tc>
                <w:tcPr>
                  <w:tcW w:w="582" w:type="pct"/>
                  <w:shd w:val="clear" w:color="auto" w:fill="auto"/>
                  <w:noWrap w:val="0"/>
                  <w:tcMar>
                    <w:left w:w="28" w:type="dxa"/>
                    <w:right w:w="28" w:type="dxa"/>
                  </w:tcMar>
                  <w:vAlign w:val="center"/>
                </w:tcPr>
                <w:p w14:paraId="499D74AA">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废包装袋</w:t>
                  </w:r>
                </w:p>
              </w:tc>
              <w:tc>
                <w:tcPr>
                  <w:tcW w:w="2756" w:type="pct"/>
                  <w:shd w:val="clear" w:color="auto" w:fill="auto"/>
                  <w:noWrap w:val="0"/>
                  <w:tcMar>
                    <w:left w:w="28" w:type="dxa"/>
                    <w:right w:w="28" w:type="dxa"/>
                  </w:tcMar>
                  <w:vAlign w:val="center"/>
                </w:tcPr>
                <w:p w14:paraId="3A2C45D3">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pacing w:val="8"/>
                      <w:kern w:val="2"/>
                      <w:sz w:val="21"/>
                      <w:szCs w:val="21"/>
                      <w:highlight w:val="none"/>
                    </w:rPr>
                    <w:t>收集后暂存于精炼车间</w:t>
                  </w:r>
                  <w:r>
                    <w:rPr>
                      <w:rFonts w:hint="default" w:ascii="Times New Roman" w:hAnsi="Times New Roman" w:eastAsia="宋体" w:cs="Times New Roman"/>
                      <w:color w:val="auto"/>
                      <w:spacing w:val="8"/>
                      <w:kern w:val="2"/>
                      <w:sz w:val="21"/>
                      <w:szCs w:val="21"/>
                      <w:highlight w:val="none"/>
                    </w:rPr>
                    <w:t>1F</w:t>
                  </w:r>
                  <w:r>
                    <w:rPr>
                      <w:rFonts w:hint="eastAsia" w:ascii="宋体" w:hAnsi="宋体" w:eastAsia="宋体" w:cs="宋体"/>
                      <w:color w:val="auto"/>
                      <w:spacing w:val="8"/>
                      <w:kern w:val="2"/>
                      <w:sz w:val="21"/>
                      <w:szCs w:val="21"/>
                      <w:highlight w:val="none"/>
                    </w:rPr>
                    <w:t>废包材区，面积</w:t>
                  </w:r>
                  <w:r>
                    <w:rPr>
                      <w:rFonts w:hint="default" w:ascii="Times New Roman" w:hAnsi="Times New Roman" w:eastAsia="宋体" w:cs="Times New Roman"/>
                      <w:color w:val="auto"/>
                      <w:spacing w:val="8"/>
                      <w:kern w:val="2"/>
                      <w:sz w:val="21"/>
                      <w:szCs w:val="21"/>
                      <w:highlight w:val="none"/>
                    </w:rPr>
                    <w:t>7m</w:t>
                  </w:r>
                  <w:r>
                    <w:rPr>
                      <w:rFonts w:hint="default" w:ascii="Times New Roman" w:hAnsi="Times New Roman" w:eastAsia="宋体" w:cs="Times New Roman"/>
                      <w:color w:val="auto"/>
                      <w:spacing w:val="8"/>
                      <w:kern w:val="2"/>
                      <w:sz w:val="21"/>
                      <w:szCs w:val="21"/>
                      <w:highlight w:val="none"/>
                      <w:vertAlign w:val="superscript"/>
                    </w:rPr>
                    <w:t>2</w:t>
                  </w:r>
                  <w:r>
                    <w:rPr>
                      <w:rFonts w:hint="eastAsia" w:ascii="宋体" w:hAnsi="宋体" w:eastAsia="宋体" w:cs="宋体"/>
                      <w:color w:val="auto"/>
                      <w:spacing w:val="8"/>
                      <w:kern w:val="2"/>
                      <w:sz w:val="21"/>
                      <w:szCs w:val="21"/>
                      <w:highlight w:val="none"/>
                    </w:rPr>
                    <w:t>，定期</w:t>
                  </w:r>
                  <w:r>
                    <w:rPr>
                      <w:rFonts w:hint="eastAsia" w:ascii="宋体" w:hAnsi="宋体" w:cs="宋体"/>
                      <w:color w:val="auto"/>
                      <w:spacing w:val="8"/>
                      <w:kern w:val="2"/>
                      <w:sz w:val="21"/>
                      <w:szCs w:val="21"/>
                      <w:highlight w:val="none"/>
                      <w:lang w:val="en-US" w:eastAsia="zh-CN"/>
                    </w:rPr>
                    <w:t>交回收单位</w:t>
                  </w:r>
                </w:p>
              </w:tc>
              <w:tc>
                <w:tcPr>
                  <w:tcW w:w="432" w:type="pct"/>
                  <w:noWrap w:val="0"/>
                  <w:tcMar>
                    <w:left w:w="28" w:type="dxa"/>
                    <w:right w:w="28" w:type="dxa"/>
                  </w:tcMar>
                  <w:vAlign w:val="center"/>
                </w:tcPr>
                <w:p w14:paraId="56908ED5">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08BA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72201F0C">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5792E6F7">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vMerge w:val="restart"/>
                  <w:noWrap w:val="0"/>
                  <w:tcMar>
                    <w:left w:w="28" w:type="dxa"/>
                    <w:right w:w="28" w:type="dxa"/>
                  </w:tcMar>
                  <w:vAlign w:val="center"/>
                </w:tcPr>
                <w:p w14:paraId="55EB7A4F">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eastAsia" w:cs="Times New Roman"/>
                      <w:color w:val="auto"/>
                      <w:spacing w:val="8"/>
                      <w:sz w:val="21"/>
                      <w:szCs w:val="21"/>
                      <w:highlight w:val="none"/>
                      <w:lang w:val="en-US" w:eastAsia="zh-CN"/>
                    </w:rPr>
                  </w:pPr>
                  <w:r>
                    <w:rPr>
                      <w:rFonts w:hint="eastAsia" w:cs="Times New Roman"/>
                      <w:color w:val="auto"/>
                      <w:spacing w:val="8"/>
                      <w:sz w:val="21"/>
                      <w:szCs w:val="21"/>
                      <w:highlight w:val="none"/>
                      <w:lang w:val="en-US" w:eastAsia="zh-CN"/>
                    </w:rPr>
                    <w:t>危险废物</w:t>
                  </w:r>
                </w:p>
              </w:tc>
              <w:tc>
                <w:tcPr>
                  <w:tcW w:w="582" w:type="pct"/>
                  <w:noWrap w:val="0"/>
                  <w:tcMar>
                    <w:left w:w="28" w:type="dxa"/>
                    <w:right w:w="28" w:type="dxa"/>
                  </w:tcMar>
                  <w:vAlign w:val="center"/>
                </w:tcPr>
                <w:p w14:paraId="5A5BFA9B">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化验室废液</w:t>
                  </w:r>
                </w:p>
              </w:tc>
              <w:tc>
                <w:tcPr>
                  <w:tcW w:w="2756" w:type="pct"/>
                  <w:noWrap w:val="0"/>
                  <w:tcMar>
                    <w:left w:w="28" w:type="dxa"/>
                    <w:right w:w="28" w:type="dxa"/>
                  </w:tcMar>
                  <w:vAlign w:val="center"/>
                </w:tcPr>
                <w:p w14:paraId="66CFA87A">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暂存于化验室内的危险废物贮存间，定期交</w:t>
                  </w:r>
                  <w:r>
                    <w:rPr>
                      <w:rFonts w:hint="eastAsia" w:cs="Times New Roman"/>
                      <w:color w:val="auto"/>
                      <w:sz w:val="21"/>
                      <w:szCs w:val="21"/>
                      <w:highlight w:val="none"/>
                      <w:lang w:val="en-US" w:eastAsia="zh-CN"/>
                    </w:rPr>
                    <w:t>重庆融聚瑞环保科技有限公司</w:t>
                  </w:r>
                  <w:r>
                    <w:rPr>
                      <w:rFonts w:hint="default" w:ascii="Times New Roman" w:hAnsi="Times New Roman" w:cs="Times New Roman"/>
                      <w:color w:val="auto"/>
                      <w:sz w:val="21"/>
                      <w:szCs w:val="21"/>
                      <w:highlight w:val="none"/>
                      <w:lang w:val="en-US" w:eastAsia="zh-CN"/>
                    </w:rPr>
                    <w:t>处置</w:t>
                  </w:r>
                </w:p>
              </w:tc>
              <w:tc>
                <w:tcPr>
                  <w:tcW w:w="432" w:type="pct"/>
                  <w:noWrap w:val="0"/>
                  <w:tcMar>
                    <w:left w:w="28" w:type="dxa"/>
                    <w:right w:w="28" w:type="dxa"/>
                  </w:tcMar>
                  <w:vAlign w:val="center"/>
                </w:tcPr>
                <w:p w14:paraId="4D9AB404">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05D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453F242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1361A6E1">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vMerge w:val="continue"/>
                  <w:noWrap w:val="0"/>
                  <w:tcMar>
                    <w:left w:w="28" w:type="dxa"/>
                    <w:right w:w="28" w:type="dxa"/>
                  </w:tcMar>
                  <w:vAlign w:val="center"/>
                </w:tcPr>
                <w:p w14:paraId="07DFAE5A">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cs="Times New Roman"/>
                      <w:color w:val="auto"/>
                      <w:spacing w:val="8"/>
                      <w:sz w:val="21"/>
                      <w:szCs w:val="21"/>
                      <w:highlight w:val="none"/>
                      <w:lang w:val="en-US" w:eastAsia="zh-CN"/>
                    </w:rPr>
                  </w:pPr>
                </w:p>
              </w:tc>
              <w:tc>
                <w:tcPr>
                  <w:tcW w:w="582" w:type="pct"/>
                  <w:noWrap w:val="0"/>
                  <w:tcMar>
                    <w:left w:w="28" w:type="dxa"/>
                    <w:right w:w="28" w:type="dxa"/>
                  </w:tcMar>
                  <w:vAlign w:val="center"/>
                </w:tcPr>
                <w:p w14:paraId="0BC01B1A">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8"/>
                      <w:sz w:val="21"/>
                      <w:szCs w:val="21"/>
                      <w:highlight w:val="none"/>
                      <w:lang w:val="en-US" w:eastAsia="zh-CN"/>
                    </w:rPr>
                    <w:t>废活性炭</w:t>
                  </w:r>
                </w:p>
              </w:tc>
              <w:tc>
                <w:tcPr>
                  <w:tcW w:w="2756" w:type="pct"/>
                  <w:noWrap w:val="0"/>
                  <w:tcMar>
                    <w:left w:w="28" w:type="dxa"/>
                    <w:right w:w="28" w:type="dxa"/>
                  </w:tcMar>
                  <w:vAlign w:val="center"/>
                </w:tcPr>
                <w:p w14:paraId="071A8558">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收集后暂存于</w:t>
                  </w:r>
                  <w:r>
                    <w:rPr>
                      <w:rFonts w:hint="default" w:ascii="Times New Roman" w:hAnsi="Times New Roman" w:cs="Times New Roman"/>
                      <w:color w:val="auto"/>
                      <w:sz w:val="21"/>
                      <w:szCs w:val="21"/>
                      <w:highlight w:val="none"/>
                      <w:lang w:val="en-US" w:eastAsia="zh-CN"/>
                    </w:rPr>
                    <w:t>危险废物贮存间</w:t>
                  </w:r>
                  <w:r>
                    <w:rPr>
                      <w:rFonts w:hint="eastAsia" w:cs="Times New Roman"/>
                      <w:color w:val="auto"/>
                      <w:sz w:val="21"/>
                      <w:szCs w:val="21"/>
                      <w:highlight w:val="none"/>
                      <w:lang w:val="en-US" w:eastAsia="zh-CN"/>
                    </w:rPr>
                    <w:t>（15m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），定期交有资质单位处置</w:t>
                  </w:r>
                </w:p>
              </w:tc>
              <w:tc>
                <w:tcPr>
                  <w:tcW w:w="432" w:type="pct"/>
                  <w:noWrap w:val="0"/>
                  <w:tcMar>
                    <w:left w:w="28" w:type="dxa"/>
                    <w:right w:w="28" w:type="dxa"/>
                  </w:tcMar>
                  <w:vAlign w:val="center"/>
                </w:tcPr>
                <w:p w14:paraId="615282F6">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依托</w:t>
                  </w:r>
                </w:p>
              </w:tc>
            </w:tr>
            <w:tr w14:paraId="7DBD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noWrap w:val="0"/>
                  <w:tcMar>
                    <w:left w:w="28" w:type="dxa"/>
                    <w:right w:w="28" w:type="dxa"/>
                  </w:tcMar>
                  <w:vAlign w:val="center"/>
                </w:tcPr>
                <w:p w14:paraId="0F0FBD38">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1593E64D">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456" w:type="pct"/>
                  <w:noWrap w:val="0"/>
                  <w:tcMar>
                    <w:left w:w="28" w:type="dxa"/>
                    <w:right w:w="28" w:type="dxa"/>
                  </w:tcMar>
                  <w:vAlign w:val="center"/>
                </w:tcPr>
                <w:p w14:paraId="7234516A">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eastAsia" w:cs="Times New Roman"/>
                      <w:color w:val="auto"/>
                      <w:spacing w:val="8"/>
                      <w:sz w:val="21"/>
                      <w:szCs w:val="21"/>
                      <w:highlight w:val="none"/>
                      <w:lang w:val="en-US" w:eastAsia="zh-CN"/>
                    </w:rPr>
                  </w:pPr>
                  <w:r>
                    <w:rPr>
                      <w:rFonts w:hint="eastAsia" w:cs="Times New Roman"/>
                      <w:color w:val="auto"/>
                      <w:spacing w:val="8"/>
                      <w:sz w:val="21"/>
                      <w:szCs w:val="21"/>
                      <w:highlight w:val="none"/>
                      <w:lang w:val="en-US" w:eastAsia="zh-CN"/>
                    </w:rPr>
                    <w:t>生活垃圾</w:t>
                  </w:r>
                </w:p>
              </w:tc>
              <w:tc>
                <w:tcPr>
                  <w:tcW w:w="3338" w:type="pct"/>
                  <w:gridSpan w:val="2"/>
                  <w:noWrap w:val="0"/>
                  <w:tcMar>
                    <w:left w:w="28" w:type="dxa"/>
                    <w:right w:w="28" w:type="dxa"/>
                  </w:tcMar>
                  <w:vAlign w:val="center"/>
                </w:tcPr>
                <w:p w14:paraId="79CC235C">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改建项目不新增人员，不新增生活垃圾</w:t>
                  </w:r>
                </w:p>
              </w:tc>
              <w:tc>
                <w:tcPr>
                  <w:tcW w:w="432" w:type="pct"/>
                  <w:noWrap w:val="0"/>
                  <w:tcMar>
                    <w:left w:w="28" w:type="dxa"/>
                    <w:right w:w="28" w:type="dxa"/>
                  </w:tcMar>
                  <w:vAlign w:val="center"/>
                </w:tcPr>
                <w:p w14:paraId="7CC67245">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190C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78" w:type="pct"/>
                  <w:vMerge w:val="continue"/>
                  <w:noWrap w:val="0"/>
                  <w:tcMar>
                    <w:left w:w="28" w:type="dxa"/>
                    <w:right w:w="28" w:type="dxa"/>
                  </w:tcMar>
                  <w:vAlign w:val="center"/>
                </w:tcPr>
                <w:p w14:paraId="5E51DE08">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restart"/>
                  <w:noWrap w:val="0"/>
                  <w:tcMar>
                    <w:left w:w="28" w:type="dxa"/>
                    <w:right w:w="28" w:type="dxa"/>
                  </w:tcMar>
                  <w:vAlign w:val="center"/>
                </w:tcPr>
                <w:p w14:paraId="778DBBE3">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eastAsia" w:cs="Times New Roman"/>
                      <w:color w:val="auto"/>
                      <w:spacing w:val="8"/>
                      <w:sz w:val="21"/>
                      <w:szCs w:val="21"/>
                      <w:highlight w:val="none"/>
                      <w:lang w:val="en-US" w:eastAsia="zh-CN"/>
                    </w:rPr>
                  </w:pPr>
                  <w:r>
                    <w:rPr>
                      <w:rFonts w:hint="eastAsia" w:cs="Times New Roman"/>
                      <w:color w:val="auto"/>
                      <w:spacing w:val="8"/>
                      <w:sz w:val="21"/>
                      <w:szCs w:val="21"/>
                      <w:highlight w:val="none"/>
                      <w:lang w:val="en-US" w:eastAsia="zh-CN"/>
                    </w:rPr>
                    <w:t>环境风险</w:t>
                  </w:r>
                </w:p>
              </w:tc>
              <w:tc>
                <w:tcPr>
                  <w:tcW w:w="456" w:type="pct"/>
                  <w:shd w:val="clear" w:color="auto" w:fill="auto"/>
                  <w:noWrap w:val="0"/>
                  <w:tcMar>
                    <w:left w:w="28" w:type="dxa"/>
                    <w:right w:w="28" w:type="dxa"/>
                  </w:tcMar>
                  <w:vAlign w:val="center"/>
                </w:tcPr>
                <w:p w14:paraId="141A9603">
                  <w:pPr>
                    <w:keepNext w:val="0"/>
                    <w:keepLines w:val="0"/>
                    <w:pageBreakBefore w:val="0"/>
                    <w:widowControl/>
                    <w:suppressLineNumbers w:val="0"/>
                    <w:kinsoku/>
                    <w:wordWrap/>
                    <w:overflowPunct w:val="0"/>
                    <w:topLinePunct/>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应急油罐</w:t>
                  </w:r>
                </w:p>
              </w:tc>
              <w:tc>
                <w:tcPr>
                  <w:tcW w:w="3338" w:type="pct"/>
                  <w:gridSpan w:val="2"/>
                  <w:shd w:val="clear" w:color="auto" w:fill="auto"/>
                  <w:noWrap w:val="0"/>
                  <w:tcMar>
                    <w:left w:w="28" w:type="dxa"/>
                    <w:right w:w="28" w:type="dxa"/>
                  </w:tcMar>
                  <w:vAlign w:val="center"/>
                </w:tcPr>
                <w:p w14:paraId="4BCF5FB8">
                  <w:pPr>
                    <w:pStyle w:val="2"/>
                    <w:keepNext w:val="0"/>
                    <w:keepLines w:val="0"/>
                    <w:pageBreakBefore w:val="0"/>
                    <w:widowControl/>
                    <w:kinsoku/>
                    <w:wordWrap/>
                    <w:overflowPunct w:val="0"/>
                    <w:topLinePunct/>
                    <w:autoSpaceDE/>
                    <w:autoSpaceDN/>
                    <w:bidi w:val="0"/>
                    <w:adjustRightInd/>
                    <w:snapToGrid w:val="0"/>
                    <w:spacing w:before="0" w:after="0" w:line="240" w:lineRule="auto"/>
                    <w:ind w:right="113" w:rightChars="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4"/>
                      <w:sz w:val="21"/>
                      <w:szCs w:val="21"/>
                      <w:highlight w:val="none"/>
                    </w:rPr>
                    <w:t>总存储</w:t>
                  </w:r>
                  <w:r>
                    <w:rPr>
                      <w:rFonts w:hint="default" w:ascii="Times New Roman" w:hAnsi="Times New Roman" w:eastAsia="宋体" w:cs="Times New Roman"/>
                      <w:color w:val="auto"/>
                      <w:spacing w:val="3"/>
                      <w:sz w:val="21"/>
                      <w:szCs w:val="21"/>
                      <w:highlight w:val="none"/>
                    </w:rPr>
                    <w:t>规模为2.04万t</w:t>
                  </w:r>
                  <w:r>
                    <w:rPr>
                      <w:rFonts w:hint="default" w:ascii="Times New Roman" w:hAnsi="Times New Roman" w:cs="Times New Roman"/>
                      <w:color w:val="auto"/>
                      <w:spacing w:val="3"/>
                      <w:sz w:val="21"/>
                      <w:szCs w:val="21"/>
                      <w:highlight w:val="none"/>
                      <w:lang w:eastAsia="zh-CN"/>
                    </w:rPr>
                    <w:t>，</w:t>
                  </w:r>
                  <w:r>
                    <w:rPr>
                      <w:rFonts w:hint="default" w:ascii="Times New Roman" w:hAnsi="Times New Roman" w:eastAsia="宋体" w:cs="Times New Roman"/>
                      <w:color w:val="auto"/>
                      <w:spacing w:val="5"/>
                      <w:position w:val="1"/>
                      <w:sz w:val="21"/>
                      <w:szCs w:val="21"/>
                      <w:highlight w:val="none"/>
                    </w:rPr>
                    <w:t>共6个空置油罐；1#罐区</w:t>
                  </w:r>
                  <w:r>
                    <w:rPr>
                      <w:rFonts w:hint="default" w:ascii="Times New Roman" w:hAnsi="Times New Roman" w:cs="Times New Roman"/>
                      <w:color w:val="auto"/>
                      <w:spacing w:val="5"/>
                      <w:position w:val="1"/>
                      <w:sz w:val="21"/>
                      <w:szCs w:val="21"/>
                      <w:highlight w:val="none"/>
                      <w:lang w:val="en-US" w:eastAsia="zh-CN"/>
                    </w:rPr>
                    <w:t>2个，</w:t>
                  </w:r>
                  <w:r>
                    <w:rPr>
                      <w:rFonts w:hint="default" w:ascii="Times New Roman" w:hAnsi="Times New Roman" w:eastAsia="宋体" w:cs="Times New Roman"/>
                      <w:color w:val="auto"/>
                      <w:spacing w:val="5"/>
                      <w:position w:val="1"/>
                      <w:sz w:val="21"/>
                      <w:szCs w:val="21"/>
                      <w:highlight w:val="none"/>
                    </w:rPr>
                    <w:t>1200t/</w:t>
                  </w:r>
                  <w:r>
                    <w:rPr>
                      <w:rFonts w:hint="default" w:ascii="Times New Roman" w:hAnsi="Times New Roman" w:eastAsia="宋体" w:cs="Times New Roman"/>
                      <w:color w:val="auto"/>
                      <w:spacing w:val="4"/>
                      <w:position w:val="1"/>
                      <w:sz w:val="21"/>
                      <w:szCs w:val="21"/>
                      <w:highlight w:val="none"/>
                    </w:rPr>
                    <w:t>个；2#罐区</w:t>
                  </w:r>
                  <w:r>
                    <w:rPr>
                      <w:rFonts w:hint="default" w:ascii="Times New Roman" w:hAnsi="Times New Roman" w:cs="Times New Roman"/>
                      <w:color w:val="auto"/>
                      <w:spacing w:val="4"/>
                      <w:position w:val="1"/>
                      <w:sz w:val="21"/>
                      <w:szCs w:val="21"/>
                      <w:highlight w:val="none"/>
                      <w:lang w:val="en-US" w:eastAsia="zh-CN"/>
                    </w:rPr>
                    <w:t>2个，</w:t>
                  </w:r>
                  <w:r>
                    <w:rPr>
                      <w:rFonts w:hint="default" w:ascii="Times New Roman" w:hAnsi="Times New Roman" w:eastAsia="宋体" w:cs="Times New Roman"/>
                      <w:color w:val="auto"/>
                      <w:spacing w:val="4"/>
                      <w:position w:val="1"/>
                      <w:sz w:val="21"/>
                      <w:szCs w:val="21"/>
                      <w:highlight w:val="none"/>
                    </w:rPr>
                    <w:t>4500t/个；3#罐区</w:t>
                  </w:r>
                  <w:r>
                    <w:rPr>
                      <w:rFonts w:hint="default" w:ascii="Times New Roman" w:hAnsi="Times New Roman" w:cs="Times New Roman"/>
                      <w:color w:val="auto"/>
                      <w:spacing w:val="4"/>
                      <w:position w:val="1"/>
                      <w:sz w:val="21"/>
                      <w:szCs w:val="21"/>
                      <w:highlight w:val="none"/>
                      <w:lang w:val="en-US" w:eastAsia="zh-CN"/>
                    </w:rPr>
                    <w:t>2个，</w:t>
                  </w:r>
                  <w:r>
                    <w:rPr>
                      <w:rFonts w:hint="default" w:ascii="Times New Roman" w:hAnsi="Times New Roman" w:eastAsia="宋体" w:cs="Times New Roman"/>
                      <w:color w:val="auto"/>
                      <w:spacing w:val="7"/>
                      <w:position w:val="1"/>
                      <w:sz w:val="21"/>
                      <w:szCs w:val="21"/>
                      <w:highlight w:val="none"/>
                    </w:rPr>
                    <w:t>4500t/个</w:t>
                  </w:r>
                </w:p>
              </w:tc>
              <w:tc>
                <w:tcPr>
                  <w:tcW w:w="432" w:type="pct"/>
                  <w:shd w:val="clear" w:color="auto" w:fill="auto"/>
                  <w:noWrap w:val="0"/>
                  <w:tcMar>
                    <w:left w:w="28" w:type="dxa"/>
                    <w:right w:w="28" w:type="dxa"/>
                  </w:tcMar>
                  <w:vAlign w:val="center"/>
                </w:tcPr>
                <w:p w14:paraId="58789D7D">
                  <w:pPr>
                    <w:pStyle w:val="2"/>
                    <w:keepNext w:val="0"/>
                    <w:keepLines w:val="0"/>
                    <w:pageBreakBefore w:val="0"/>
                    <w:widowControl/>
                    <w:kinsoku/>
                    <w:wordWrap/>
                    <w:overflowPunct w:val="0"/>
                    <w:topLinePunct/>
                    <w:autoSpaceDE/>
                    <w:autoSpaceDN/>
                    <w:bidi w:val="0"/>
                    <w:adjustRightInd/>
                    <w:snapToGrid w:val="0"/>
                    <w:spacing w:before="0" w:after="0" w:line="240" w:lineRule="auto"/>
                    <w:ind w:right="113" w:rightChars="0"/>
                    <w:jc w:val="center"/>
                    <w:textAlignment w:val="auto"/>
                    <w:rPr>
                      <w:rFonts w:hint="eastAsia" w:ascii="Times New Roman" w:hAnsi="Times New Roman" w:eastAsia="宋体" w:cs="Times New Roman"/>
                      <w:color w:val="auto"/>
                      <w:spacing w:val="-4"/>
                      <w:kern w:val="0"/>
                      <w:sz w:val="21"/>
                      <w:szCs w:val="21"/>
                      <w:highlight w:val="none"/>
                      <w:lang w:val="en-US" w:eastAsia="zh-CN" w:bidi="ar-SA"/>
                    </w:rPr>
                  </w:pPr>
                  <w:r>
                    <w:rPr>
                      <w:rFonts w:hint="eastAsia" w:cs="Times New Roman"/>
                      <w:color w:val="auto"/>
                      <w:spacing w:val="-4"/>
                      <w:sz w:val="21"/>
                      <w:szCs w:val="21"/>
                      <w:highlight w:val="none"/>
                      <w:lang w:val="en-US" w:eastAsia="zh-CN"/>
                    </w:rPr>
                    <w:t>依托</w:t>
                  </w:r>
                </w:p>
              </w:tc>
            </w:tr>
            <w:tr w14:paraId="09F0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78" w:type="pct"/>
                  <w:vMerge w:val="continue"/>
                  <w:noWrap w:val="0"/>
                  <w:tcMar>
                    <w:left w:w="28" w:type="dxa"/>
                    <w:right w:w="28" w:type="dxa"/>
                  </w:tcMar>
                  <w:vAlign w:val="center"/>
                </w:tcPr>
                <w:p w14:paraId="28D3FD57">
                  <w:pPr>
                    <w:keepNext w:val="0"/>
                    <w:keepLines w:val="0"/>
                    <w:pageBreakBefore w:val="0"/>
                    <w:widowControl w:val="0"/>
                    <w:kinsoku/>
                    <w:wordWrap/>
                    <w:overflowPunct w:val="0"/>
                    <w:topLinePunct/>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pacing w:val="8"/>
                      <w:kern w:val="0"/>
                      <w:sz w:val="21"/>
                      <w:szCs w:val="21"/>
                      <w:highlight w:val="none"/>
                    </w:rPr>
                  </w:pPr>
                </w:p>
              </w:tc>
              <w:tc>
                <w:tcPr>
                  <w:tcW w:w="293" w:type="pct"/>
                  <w:vMerge w:val="continue"/>
                  <w:noWrap w:val="0"/>
                  <w:tcMar>
                    <w:left w:w="28" w:type="dxa"/>
                    <w:right w:w="28" w:type="dxa"/>
                  </w:tcMar>
                  <w:vAlign w:val="center"/>
                </w:tcPr>
                <w:p w14:paraId="6EB0E426">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eastAsia" w:cs="Times New Roman"/>
                      <w:color w:val="auto"/>
                      <w:spacing w:val="8"/>
                      <w:sz w:val="21"/>
                      <w:szCs w:val="21"/>
                      <w:highlight w:val="none"/>
                      <w:lang w:val="en-US" w:eastAsia="zh-CN"/>
                    </w:rPr>
                  </w:pPr>
                </w:p>
              </w:tc>
              <w:tc>
                <w:tcPr>
                  <w:tcW w:w="456" w:type="pct"/>
                  <w:vMerge w:val="restart"/>
                  <w:shd w:val="clear" w:color="auto" w:fill="auto"/>
                  <w:noWrap w:val="0"/>
                  <w:tcMar>
                    <w:left w:w="28" w:type="dxa"/>
                    <w:right w:w="28" w:type="dxa"/>
                  </w:tcMar>
                  <w:vAlign w:val="center"/>
                </w:tcPr>
                <w:p w14:paraId="254EB966">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color w:val="auto"/>
                      <w:sz w:val="21"/>
                      <w:szCs w:val="21"/>
                      <w:highlight w:val="none"/>
                    </w:rPr>
                  </w:pPr>
                  <w:r>
                    <w:rPr>
                      <w:rFonts w:hint="default" w:ascii="Times New Roman" w:hAnsi="Times New Roman" w:eastAsia="宋体" w:cs="Times New Roman"/>
                      <w:color w:val="auto"/>
                      <w:spacing w:val="-7"/>
                      <w:sz w:val="21"/>
                      <w:szCs w:val="21"/>
                      <w:highlight w:val="none"/>
                    </w:rPr>
                    <w:t>围堰</w:t>
                  </w:r>
                </w:p>
              </w:tc>
              <w:tc>
                <w:tcPr>
                  <w:tcW w:w="3338" w:type="pct"/>
                  <w:gridSpan w:val="2"/>
                  <w:shd w:val="clear" w:color="auto" w:fill="auto"/>
                  <w:noWrap w:val="0"/>
                  <w:tcMar>
                    <w:left w:w="28" w:type="dxa"/>
                    <w:right w:w="28" w:type="dxa"/>
                  </w:tcMar>
                  <w:vAlign w:val="center"/>
                </w:tcPr>
                <w:p w14:paraId="61E245F0">
                  <w:pPr>
                    <w:pStyle w:val="2"/>
                    <w:keepNext w:val="0"/>
                    <w:keepLines w:val="0"/>
                    <w:pageBreakBefore w:val="0"/>
                    <w:widowControl/>
                    <w:kinsoku/>
                    <w:wordWrap/>
                    <w:overflowPunct w:val="0"/>
                    <w:topLinePunct/>
                    <w:autoSpaceDE/>
                    <w:autoSpaceDN/>
                    <w:bidi w:val="0"/>
                    <w:adjustRightInd/>
                    <w:snapToGrid w:val="0"/>
                    <w:spacing w:before="0" w:after="0" w:line="240" w:lineRule="auto"/>
                    <w:ind w:right="113" w:rightChars="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改建精炼车间磷酸罐、碱液罐设置围堰，磷酸罐围堰高度1.6m，容积为8m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，碱液罐围堰高度1.6m，容积30m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，储罐区、生产区采取重点防渗措施</w:t>
                  </w:r>
                </w:p>
              </w:tc>
              <w:tc>
                <w:tcPr>
                  <w:tcW w:w="432" w:type="pct"/>
                  <w:shd w:val="clear" w:color="auto" w:fill="auto"/>
                  <w:noWrap w:val="0"/>
                  <w:tcMar>
                    <w:left w:w="28" w:type="dxa"/>
                    <w:right w:w="28" w:type="dxa"/>
                  </w:tcMar>
                  <w:vAlign w:val="center"/>
                </w:tcPr>
                <w:p w14:paraId="4C5F2A6D">
                  <w:pPr>
                    <w:pStyle w:val="2"/>
                    <w:keepNext w:val="0"/>
                    <w:keepLines w:val="0"/>
                    <w:pageBreakBefore w:val="0"/>
                    <w:widowControl/>
                    <w:kinsoku/>
                    <w:wordWrap/>
                    <w:overflowPunct w:val="0"/>
                    <w:topLinePunct/>
                    <w:autoSpaceDE/>
                    <w:autoSpaceDN/>
                    <w:bidi w:val="0"/>
                    <w:adjustRightInd/>
                    <w:snapToGrid w:val="0"/>
                    <w:spacing w:before="0" w:after="0" w:line="240" w:lineRule="auto"/>
                    <w:ind w:right="113" w:rightChars="0"/>
                    <w:jc w:val="center"/>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eastAsia" w:ascii="Times New Roman" w:hAnsi="Times New Roman" w:eastAsia="宋体" w:cs="Times New Roman"/>
                      <w:color w:val="auto"/>
                      <w:spacing w:val="-4"/>
                      <w:kern w:val="0"/>
                      <w:sz w:val="21"/>
                      <w:szCs w:val="21"/>
                      <w:highlight w:val="none"/>
                      <w:lang w:val="en-US" w:eastAsia="zh-CN" w:bidi="ar-SA"/>
                    </w:rPr>
                    <w:t>新建</w:t>
                  </w:r>
                </w:p>
              </w:tc>
            </w:tr>
            <w:tr w14:paraId="75B6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78" w:type="pct"/>
                  <w:vMerge w:val="continue"/>
                  <w:noWrap w:val="0"/>
                  <w:tcMar>
                    <w:left w:w="28" w:type="dxa"/>
                    <w:right w:w="28" w:type="dxa"/>
                  </w:tcMar>
                  <w:vAlign w:val="center"/>
                </w:tcPr>
                <w:p w14:paraId="5709DB67">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color w:val="auto"/>
                      <w:sz w:val="21"/>
                      <w:szCs w:val="21"/>
                      <w:highlight w:val="none"/>
                    </w:rPr>
                  </w:pPr>
                </w:p>
              </w:tc>
              <w:tc>
                <w:tcPr>
                  <w:tcW w:w="293" w:type="pct"/>
                  <w:vMerge w:val="continue"/>
                  <w:noWrap w:val="0"/>
                  <w:tcMar>
                    <w:left w:w="28" w:type="dxa"/>
                    <w:right w:w="28" w:type="dxa"/>
                  </w:tcMar>
                  <w:vAlign w:val="center"/>
                </w:tcPr>
                <w:p w14:paraId="0269A851">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color w:val="auto"/>
                      <w:sz w:val="21"/>
                      <w:szCs w:val="21"/>
                      <w:highlight w:val="none"/>
                    </w:rPr>
                  </w:pPr>
                </w:p>
              </w:tc>
              <w:tc>
                <w:tcPr>
                  <w:tcW w:w="456" w:type="pct"/>
                  <w:vMerge w:val="continue"/>
                  <w:noWrap w:val="0"/>
                  <w:tcMar>
                    <w:left w:w="28" w:type="dxa"/>
                    <w:right w:w="28" w:type="dxa"/>
                  </w:tcMar>
                  <w:vAlign w:val="center"/>
                </w:tcPr>
                <w:p w14:paraId="0B8617BF">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color w:val="auto"/>
                      <w:sz w:val="21"/>
                      <w:szCs w:val="21"/>
                      <w:highlight w:val="none"/>
                    </w:rPr>
                  </w:pPr>
                </w:p>
              </w:tc>
              <w:tc>
                <w:tcPr>
                  <w:tcW w:w="3338" w:type="pct"/>
                  <w:gridSpan w:val="2"/>
                  <w:noWrap w:val="0"/>
                  <w:tcMar>
                    <w:left w:w="28" w:type="dxa"/>
                    <w:right w:w="28" w:type="dxa"/>
                  </w:tcMar>
                  <w:vAlign w:val="center"/>
                </w:tcPr>
                <w:p w14:paraId="4A48C916">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eastAsia" w:cs="Times New Roman"/>
                      <w:color w:val="auto"/>
                      <w:spacing w:val="8"/>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1#储油罐区</w:t>
                  </w:r>
                  <w:r>
                    <w:rPr>
                      <w:rFonts w:hint="default" w:ascii="Times New Roman" w:hAnsi="Times New Roman" w:eastAsia="宋体" w:cs="Times New Roman"/>
                      <w:color w:val="auto"/>
                      <w:kern w:val="2"/>
                      <w:sz w:val="21"/>
                      <w:szCs w:val="21"/>
                      <w:highlight w:val="none"/>
                      <w:lang w:val="en-US" w:eastAsia="zh-CN" w:bidi="ar-SA"/>
                    </w:rPr>
                    <w:t>设置高度为1.5</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m的事故围堰，容积为</w:t>
                  </w:r>
                  <w:r>
                    <w:rPr>
                      <w:rFonts w:hint="eastAsia" w:ascii="Times New Roman" w:hAnsi="Times New Roman" w:eastAsia="宋体" w:cs="Times New Roman"/>
                      <w:color w:val="auto"/>
                      <w:kern w:val="2"/>
                      <w:sz w:val="21"/>
                      <w:szCs w:val="21"/>
                      <w:highlight w:val="none"/>
                      <w:lang w:val="en-US" w:eastAsia="zh-CN" w:bidi="ar-SA"/>
                    </w:rPr>
                    <w:t>12207</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2#储油罐区</w:t>
                  </w:r>
                  <w:r>
                    <w:rPr>
                      <w:rFonts w:hint="default" w:ascii="Times New Roman" w:hAnsi="Times New Roman" w:eastAsia="宋体" w:cs="Times New Roman"/>
                      <w:color w:val="auto"/>
                      <w:kern w:val="2"/>
                      <w:sz w:val="21"/>
                      <w:szCs w:val="21"/>
                      <w:highlight w:val="none"/>
                      <w:lang w:val="en-US" w:eastAsia="zh-CN" w:bidi="ar-SA"/>
                    </w:rPr>
                    <w:t>设置高度为</w:t>
                  </w:r>
                  <w:r>
                    <w:rPr>
                      <w:rFonts w:hint="eastAsia" w:ascii="Times New Roman" w:hAnsi="Times New Roman" w:eastAsia="宋体" w:cs="Times New Roman"/>
                      <w:color w:val="auto"/>
                      <w:kern w:val="2"/>
                      <w:sz w:val="21"/>
                      <w:szCs w:val="21"/>
                      <w:highlight w:val="none"/>
                      <w:lang w:val="en-US" w:eastAsia="zh-CN" w:bidi="ar-SA"/>
                    </w:rPr>
                    <w:t>2.0</w:t>
                  </w:r>
                  <w:r>
                    <w:rPr>
                      <w:rFonts w:hint="default" w:ascii="Times New Roman" w:hAnsi="Times New Roman" w:eastAsia="宋体" w:cs="Times New Roman"/>
                      <w:color w:val="auto"/>
                      <w:kern w:val="2"/>
                      <w:sz w:val="21"/>
                      <w:szCs w:val="21"/>
                      <w:highlight w:val="none"/>
                      <w:lang w:val="en-US" w:eastAsia="zh-CN" w:bidi="ar-SA"/>
                    </w:rPr>
                    <w:t>m的事故围堰，围堰容积为</w:t>
                  </w:r>
                  <w:r>
                    <w:rPr>
                      <w:rFonts w:hint="eastAsia" w:ascii="Times New Roman" w:hAnsi="Times New Roman" w:eastAsia="宋体" w:cs="Times New Roman"/>
                      <w:color w:val="auto"/>
                      <w:kern w:val="2"/>
                      <w:sz w:val="21"/>
                      <w:szCs w:val="21"/>
                      <w:highlight w:val="none"/>
                      <w:lang w:val="en-US" w:eastAsia="zh-CN" w:bidi="ar-SA"/>
                    </w:rPr>
                    <w:t>15130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3#储油罐区</w:t>
                  </w:r>
                  <w:r>
                    <w:rPr>
                      <w:rFonts w:hint="default" w:ascii="Times New Roman" w:hAnsi="Times New Roman" w:eastAsia="宋体" w:cs="Times New Roman"/>
                      <w:color w:val="auto"/>
                      <w:kern w:val="2"/>
                      <w:sz w:val="21"/>
                      <w:szCs w:val="21"/>
                      <w:highlight w:val="none"/>
                      <w:lang w:val="en-US" w:eastAsia="zh-CN" w:bidi="ar-SA"/>
                    </w:rPr>
                    <w:t>设置高度为</w:t>
                  </w:r>
                  <w:r>
                    <w:rPr>
                      <w:rFonts w:hint="eastAsia" w:ascii="Times New Roman" w:hAnsi="Times New Roman" w:eastAsia="宋体" w:cs="Times New Roman"/>
                      <w:color w:val="auto"/>
                      <w:kern w:val="2"/>
                      <w:sz w:val="21"/>
                      <w:szCs w:val="21"/>
                      <w:highlight w:val="none"/>
                      <w:lang w:val="en-US" w:eastAsia="zh-CN" w:bidi="ar-SA"/>
                    </w:rPr>
                    <w:t>1.65</w:t>
                  </w:r>
                  <w:r>
                    <w:rPr>
                      <w:rFonts w:hint="default" w:ascii="Times New Roman" w:hAnsi="Times New Roman" w:eastAsia="宋体" w:cs="Times New Roman"/>
                      <w:color w:val="auto"/>
                      <w:kern w:val="2"/>
                      <w:sz w:val="21"/>
                      <w:szCs w:val="21"/>
                      <w:highlight w:val="none"/>
                      <w:lang w:val="en-US" w:eastAsia="zh-CN" w:bidi="ar-SA"/>
                    </w:rPr>
                    <w:t>m的事故围堰，围堰容积为</w:t>
                  </w:r>
                  <w:r>
                    <w:rPr>
                      <w:rFonts w:hint="eastAsia" w:ascii="Times New Roman" w:hAnsi="Times New Roman" w:eastAsia="宋体" w:cs="Times New Roman"/>
                      <w:color w:val="auto"/>
                      <w:kern w:val="2"/>
                      <w:sz w:val="21"/>
                      <w:szCs w:val="21"/>
                      <w:highlight w:val="none"/>
                      <w:lang w:val="en-US" w:eastAsia="zh-CN" w:bidi="ar-SA"/>
                    </w:rPr>
                    <w:t>6562</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sz w:val="21"/>
                      <w:szCs w:val="21"/>
                      <w:highlight w:val="none"/>
                      <w:vertAlign w:val="baseline"/>
                      <w:lang w:val="en-US" w:eastAsia="zh-CN"/>
                    </w:rPr>
                    <w:t>1号包装车间成品油周转油罐区</w:t>
                  </w:r>
                  <w:r>
                    <w:rPr>
                      <w:rFonts w:hint="default" w:ascii="Times New Roman" w:hAnsi="Times New Roman" w:eastAsia="宋体" w:cs="Times New Roman"/>
                      <w:color w:val="auto"/>
                      <w:kern w:val="2"/>
                      <w:sz w:val="21"/>
                      <w:szCs w:val="21"/>
                      <w:highlight w:val="none"/>
                      <w:lang w:val="en-US" w:eastAsia="zh-CN" w:bidi="ar-SA"/>
                    </w:rPr>
                    <w:t>设置高度为</w:t>
                  </w:r>
                  <w:r>
                    <w:rPr>
                      <w:rFonts w:hint="eastAsia" w:ascii="Times New Roman" w:hAnsi="Times New Roman" w:eastAsia="宋体" w:cs="Times New Roman"/>
                      <w:color w:val="auto"/>
                      <w:kern w:val="2"/>
                      <w:sz w:val="21"/>
                      <w:szCs w:val="21"/>
                      <w:highlight w:val="none"/>
                      <w:lang w:val="en-US" w:eastAsia="zh-CN" w:bidi="ar-SA"/>
                    </w:rPr>
                    <w:t>1.2</w:t>
                  </w:r>
                  <w:r>
                    <w:rPr>
                      <w:rFonts w:hint="default" w:ascii="Times New Roman" w:hAnsi="Times New Roman" w:eastAsia="宋体" w:cs="Times New Roman"/>
                      <w:color w:val="auto"/>
                      <w:kern w:val="2"/>
                      <w:sz w:val="21"/>
                      <w:szCs w:val="21"/>
                      <w:highlight w:val="none"/>
                      <w:lang w:val="en-US" w:eastAsia="zh-CN" w:bidi="ar-SA"/>
                    </w:rPr>
                    <w:t>m的事故围堰，围堰容积为</w:t>
                  </w:r>
                  <w:r>
                    <w:rPr>
                      <w:rFonts w:hint="eastAsia" w:ascii="Times New Roman" w:hAnsi="Times New Roman" w:eastAsia="宋体" w:cs="Times New Roman"/>
                      <w:color w:val="auto"/>
                      <w:kern w:val="2"/>
                      <w:sz w:val="21"/>
                      <w:szCs w:val="21"/>
                      <w:highlight w:val="none"/>
                      <w:lang w:val="en-US" w:eastAsia="zh-CN" w:bidi="ar-SA"/>
                    </w:rPr>
                    <w:t>1180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sz w:val="21"/>
                      <w:szCs w:val="21"/>
                      <w:highlight w:val="none"/>
                      <w:vertAlign w:val="baseline"/>
                      <w:lang w:val="en-US" w:eastAsia="zh-CN"/>
                    </w:rPr>
                    <w:t>2号包装车间成品油周转罐区</w:t>
                  </w:r>
                  <w:r>
                    <w:rPr>
                      <w:rFonts w:hint="default" w:ascii="Times New Roman" w:hAnsi="Times New Roman" w:eastAsia="宋体" w:cs="Times New Roman"/>
                      <w:color w:val="auto"/>
                      <w:kern w:val="2"/>
                      <w:sz w:val="21"/>
                      <w:szCs w:val="21"/>
                      <w:highlight w:val="none"/>
                      <w:lang w:val="en-US" w:eastAsia="zh-CN" w:bidi="ar-SA"/>
                    </w:rPr>
                    <w:t>设置高度为</w:t>
                  </w:r>
                  <w:r>
                    <w:rPr>
                      <w:rFonts w:hint="eastAsia" w:ascii="Times New Roman" w:hAnsi="Times New Roman" w:eastAsia="宋体" w:cs="Times New Roman"/>
                      <w:color w:val="auto"/>
                      <w:kern w:val="2"/>
                      <w:sz w:val="21"/>
                      <w:szCs w:val="21"/>
                      <w:highlight w:val="none"/>
                      <w:lang w:val="en-US" w:eastAsia="zh-CN" w:bidi="ar-SA"/>
                    </w:rPr>
                    <w:t>1.2</w:t>
                  </w:r>
                  <w:r>
                    <w:rPr>
                      <w:rFonts w:hint="default" w:ascii="Times New Roman" w:hAnsi="Times New Roman" w:eastAsia="宋体" w:cs="Times New Roman"/>
                      <w:color w:val="auto"/>
                      <w:kern w:val="2"/>
                      <w:sz w:val="21"/>
                      <w:szCs w:val="21"/>
                      <w:highlight w:val="none"/>
                      <w:lang w:val="en-US" w:eastAsia="zh-CN" w:bidi="ar-SA"/>
                    </w:rPr>
                    <w:t>m的事故围堰，围堰容积为</w:t>
                  </w:r>
                  <w:r>
                    <w:rPr>
                      <w:rFonts w:hint="eastAsia" w:ascii="Times New Roman" w:hAnsi="Times New Roman" w:eastAsia="宋体" w:cs="Times New Roman"/>
                      <w:color w:val="auto"/>
                      <w:kern w:val="2"/>
                      <w:sz w:val="21"/>
                      <w:szCs w:val="21"/>
                      <w:highlight w:val="none"/>
                      <w:lang w:val="en-US" w:eastAsia="zh-CN" w:bidi="ar-SA"/>
                    </w:rPr>
                    <w:t>95</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c>
                <w:tcPr>
                  <w:tcW w:w="432" w:type="pct"/>
                  <w:noWrap w:val="0"/>
                  <w:tcMar>
                    <w:left w:w="28" w:type="dxa"/>
                    <w:right w:w="28" w:type="dxa"/>
                  </w:tcMar>
                  <w:vAlign w:val="center"/>
                </w:tcPr>
                <w:p w14:paraId="6DF5092A">
                  <w:pPr>
                    <w:jc w:val="center"/>
                    <w:rPr>
                      <w:rFonts w:hint="eastAsia"/>
                      <w:color w:val="auto"/>
                      <w:sz w:val="21"/>
                      <w:szCs w:val="21"/>
                      <w:highlight w:val="none"/>
                      <w:lang w:val="en-US" w:eastAsia="zh-CN"/>
                    </w:rPr>
                  </w:pPr>
                  <w:r>
                    <w:rPr>
                      <w:rFonts w:hint="eastAsia" w:cs="Times New Roman"/>
                      <w:color w:val="auto"/>
                      <w:spacing w:val="-4"/>
                      <w:sz w:val="21"/>
                      <w:szCs w:val="21"/>
                      <w:highlight w:val="none"/>
                      <w:lang w:val="en-US" w:eastAsia="zh-CN"/>
                    </w:rPr>
                    <w:t>依托</w:t>
                  </w:r>
                </w:p>
              </w:tc>
            </w:tr>
            <w:tr w14:paraId="034C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78" w:type="pct"/>
                  <w:vMerge w:val="continue"/>
                  <w:noWrap w:val="0"/>
                  <w:tcMar>
                    <w:left w:w="28" w:type="dxa"/>
                    <w:right w:w="28" w:type="dxa"/>
                  </w:tcMar>
                  <w:vAlign w:val="center"/>
                </w:tcPr>
                <w:p w14:paraId="4E48AC2A">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color w:val="auto"/>
                      <w:sz w:val="21"/>
                      <w:szCs w:val="21"/>
                      <w:highlight w:val="none"/>
                    </w:rPr>
                  </w:pPr>
                </w:p>
              </w:tc>
              <w:tc>
                <w:tcPr>
                  <w:tcW w:w="293" w:type="pct"/>
                  <w:vMerge w:val="continue"/>
                  <w:noWrap w:val="0"/>
                  <w:tcMar>
                    <w:left w:w="28" w:type="dxa"/>
                    <w:right w:w="28" w:type="dxa"/>
                  </w:tcMar>
                  <w:vAlign w:val="center"/>
                </w:tcPr>
                <w:p w14:paraId="790394E9">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color w:val="auto"/>
                      <w:sz w:val="21"/>
                      <w:szCs w:val="21"/>
                      <w:highlight w:val="none"/>
                    </w:rPr>
                  </w:pPr>
                </w:p>
              </w:tc>
              <w:tc>
                <w:tcPr>
                  <w:tcW w:w="456" w:type="pct"/>
                  <w:noWrap w:val="0"/>
                  <w:tcMar>
                    <w:left w:w="28" w:type="dxa"/>
                    <w:right w:w="28" w:type="dxa"/>
                  </w:tcMar>
                  <w:vAlign w:val="center"/>
                </w:tcPr>
                <w:p w14:paraId="433DC7BC">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color w:val="auto"/>
                      <w:sz w:val="21"/>
                      <w:szCs w:val="21"/>
                      <w:highlight w:val="none"/>
                    </w:rPr>
                  </w:pPr>
                  <w:r>
                    <w:rPr>
                      <w:rFonts w:hint="default" w:ascii="Times New Roman" w:hAnsi="Times New Roman" w:eastAsia="宋体" w:cs="Times New Roman"/>
                      <w:color w:val="auto"/>
                      <w:spacing w:val="9"/>
                      <w:position w:val="1"/>
                      <w:sz w:val="21"/>
                      <w:szCs w:val="21"/>
                      <w:highlight w:val="none"/>
                    </w:rPr>
                    <w:t>储油罐区</w:t>
                  </w:r>
                  <w:r>
                    <w:rPr>
                      <w:rFonts w:hint="default" w:ascii="Times New Roman" w:hAnsi="Times New Roman" w:cs="Times New Roman"/>
                      <w:color w:val="auto"/>
                      <w:spacing w:val="9"/>
                      <w:position w:val="1"/>
                      <w:sz w:val="21"/>
                      <w:szCs w:val="21"/>
                      <w:highlight w:val="none"/>
                      <w:lang w:val="en-US" w:eastAsia="zh-CN"/>
                    </w:rPr>
                    <w:t>排水</w:t>
                  </w:r>
                </w:p>
              </w:tc>
              <w:tc>
                <w:tcPr>
                  <w:tcW w:w="3338" w:type="pct"/>
                  <w:gridSpan w:val="2"/>
                  <w:shd w:val="clear" w:color="auto" w:fill="auto"/>
                  <w:noWrap w:val="0"/>
                  <w:tcMar>
                    <w:left w:w="28" w:type="dxa"/>
                    <w:right w:w="28" w:type="dxa"/>
                  </w:tcMar>
                  <w:vAlign w:val="center"/>
                </w:tcPr>
                <w:p w14:paraId="792E1B9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left"/>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9"/>
                      <w:position w:val="1"/>
                      <w:sz w:val="21"/>
                      <w:szCs w:val="21"/>
                      <w:highlight w:val="none"/>
                    </w:rPr>
                    <w:t>储油罐区均设有排水沟</w:t>
                  </w:r>
                  <w:r>
                    <w:rPr>
                      <w:rFonts w:hint="default" w:ascii="Times New Roman" w:hAnsi="Times New Roman" w:cs="Times New Roman"/>
                      <w:color w:val="auto"/>
                      <w:spacing w:val="9"/>
                      <w:position w:val="1"/>
                      <w:sz w:val="21"/>
                      <w:szCs w:val="21"/>
                      <w:highlight w:val="none"/>
                      <w:lang w:val="en-US" w:eastAsia="zh-CN"/>
                    </w:rPr>
                    <w:t>及雨污截断阀，</w:t>
                  </w:r>
                  <w:r>
                    <w:rPr>
                      <w:rFonts w:hint="default" w:ascii="Times New Roman" w:hAnsi="Times New Roman" w:eastAsia="宋体" w:cs="Times New Roman"/>
                      <w:color w:val="auto"/>
                      <w:spacing w:val="9"/>
                      <w:position w:val="1"/>
                      <w:sz w:val="21"/>
                      <w:szCs w:val="21"/>
                      <w:highlight w:val="none"/>
                    </w:rPr>
                    <w:t>收集雨污废水全部接</w:t>
                  </w:r>
                  <w:r>
                    <w:rPr>
                      <w:rFonts w:hint="default" w:ascii="Times New Roman" w:hAnsi="Times New Roman" w:eastAsia="宋体" w:cs="Times New Roman"/>
                      <w:color w:val="auto"/>
                      <w:spacing w:val="7"/>
                      <w:position w:val="1"/>
                      <w:sz w:val="21"/>
                      <w:szCs w:val="21"/>
                      <w:highlight w:val="none"/>
                    </w:rPr>
                    <w:t>入隔油池</w:t>
                  </w:r>
                  <w:r>
                    <w:rPr>
                      <w:rFonts w:hint="default" w:ascii="Times New Roman" w:hAnsi="Times New Roman" w:cs="Times New Roman"/>
                      <w:color w:val="auto"/>
                      <w:spacing w:val="7"/>
                      <w:position w:val="1"/>
                      <w:sz w:val="21"/>
                      <w:szCs w:val="21"/>
                      <w:highlight w:val="none"/>
                      <w:lang w:val="en-US" w:eastAsia="zh-CN"/>
                    </w:rPr>
                    <w:t>处理后</w:t>
                  </w:r>
                  <w:r>
                    <w:rPr>
                      <w:rFonts w:hint="default" w:ascii="Times New Roman" w:hAnsi="Times New Roman" w:eastAsia="宋体" w:cs="Times New Roman"/>
                      <w:color w:val="auto"/>
                      <w:spacing w:val="7"/>
                      <w:position w:val="1"/>
                      <w:sz w:val="21"/>
                      <w:szCs w:val="21"/>
                      <w:highlight w:val="none"/>
                    </w:rPr>
                    <w:t>排放</w:t>
                  </w:r>
                  <w:r>
                    <w:rPr>
                      <w:rFonts w:hint="default" w:ascii="Times New Roman" w:hAnsi="Times New Roman" w:cs="Times New Roman"/>
                      <w:color w:val="auto"/>
                      <w:spacing w:val="7"/>
                      <w:position w:val="1"/>
                      <w:sz w:val="21"/>
                      <w:szCs w:val="21"/>
                      <w:highlight w:val="none"/>
                      <w:lang w:eastAsia="zh-CN"/>
                    </w:rPr>
                    <w:t>，</w:t>
                  </w:r>
                  <w:r>
                    <w:rPr>
                      <w:rFonts w:hint="default" w:ascii="Times New Roman" w:hAnsi="Times New Roman" w:cs="Times New Roman"/>
                      <w:color w:val="auto"/>
                      <w:spacing w:val="7"/>
                      <w:position w:val="1"/>
                      <w:sz w:val="21"/>
                      <w:szCs w:val="21"/>
                      <w:highlight w:val="none"/>
                      <w:lang w:val="en-US" w:eastAsia="zh-CN"/>
                    </w:rPr>
                    <w:t>共</w:t>
                  </w:r>
                  <w:r>
                    <w:rPr>
                      <w:rFonts w:hint="default" w:ascii="Times New Roman" w:hAnsi="Times New Roman" w:eastAsia="宋体" w:cs="Times New Roman"/>
                      <w:color w:val="auto"/>
                      <w:spacing w:val="7"/>
                      <w:position w:val="1"/>
                      <w:sz w:val="21"/>
                      <w:szCs w:val="21"/>
                      <w:highlight w:val="none"/>
                    </w:rPr>
                    <w:t>隔油池共3个</w:t>
                  </w:r>
                  <w:r>
                    <w:rPr>
                      <w:rFonts w:hint="default" w:ascii="Times New Roman" w:hAnsi="Times New Roman" w:cs="Times New Roman"/>
                      <w:color w:val="auto"/>
                      <w:spacing w:val="7"/>
                      <w:position w:val="1"/>
                      <w:sz w:val="21"/>
                      <w:szCs w:val="21"/>
                      <w:highlight w:val="none"/>
                      <w:lang w:eastAsia="zh-CN"/>
                    </w:rPr>
                    <w:t>，</w:t>
                  </w:r>
                  <w:r>
                    <w:rPr>
                      <w:rFonts w:hint="default" w:ascii="Times New Roman" w:hAnsi="Times New Roman" w:eastAsia="宋体" w:cs="Times New Roman"/>
                      <w:color w:val="auto"/>
                      <w:spacing w:val="7"/>
                      <w:position w:val="1"/>
                      <w:sz w:val="21"/>
                      <w:szCs w:val="21"/>
                      <w:highlight w:val="none"/>
                    </w:rPr>
                    <w:t>5.6m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6"/>
                      <w:position w:val="1"/>
                      <w:sz w:val="21"/>
                      <w:szCs w:val="21"/>
                      <w:highlight w:val="none"/>
                    </w:rPr>
                    <w:t>/个</w:t>
                  </w:r>
                </w:p>
              </w:tc>
              <w:tc>
                <w:tcPr>
                  <w:tcW w:w="432" w:type="pct"/>
                  <w:noWrap w:val="0"/>
                  <w:tcMar>
                    <w:left w:w="28" w:type="dxa"/>
                    <w:right w:w="28" w:type="dxa"/>
                  </w:tcMar>
                  <w:vAlign w:val="center"/>
                </w:tcPr>
                <w:p w14:paraId="46106EA3">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9"/>
                      <w:position w:val="1"/>
                      <w:sz w:val="21"/>
                      <w:szCs w:val="21"/>
                      <w:highlight w:val="none"/>
                    </w:rPr>
                  </w:pPr>
                  <w:r>
                    <w:rPr>
                      <w:rFonts w:hint="eastAsia" w:cs="Times New Roman"/>
                      <w:color w:val="auto"/>
                      <w:spacing w:val="-4"/>
                      <w:sz w:val="21"/>
                      <w:szCs w:val="21"/>
                      <w:highlight w:val="none"/>
                      <w:lang w:val="en-US" w:eastAsia="zh-CN"/>
                    </w:rPr>
                    <w:t>依托</w:t>
                  </w:r>
                </w:p>
              </w:tc>
            </w:tr>
            <w:tr w14:paraId="0C1A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78" w:type="pct"/>
                  <w:vMerge w:val="continue"/>
                  <w:noWrap w:val="0"/>
                  <w:tcMar>
                    <w:left w:w="28" w:type="dxa"/>
                    <w:right w:w="28" w:type="dxa"/>
                  </w:tcMar>
                  <w:vAlign w:val="center"/>
                </w:tcPr>
                <w:p w14:paraId="6374F502">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eastAsia" w:cs="Times New Roman"/>
                      <w:color w:val="auto"/>
                      <w:spacing w:val="8"/>
                      <w:sz w:val="21"/>
                      <w:szCs w:val="21"/>
                      <w:highlight w:val="none"/>
                      <w:lang w:val="en-US" w:eastAsia="zh-CN"/>
                    </w:rPr>
                  </w:pPr>
                </w:p>
              </w:tc>
              <w:tc>
                <w:tcPr>
                  <w:tcW w:w="293" w:type="pct"/>
                  <w:vMerge w:val="continue"/>
                  <w:noWrap w:val="0"/>
                  <w:tcMar>
                    <w:left w:w="28" w:type="dxa"/>
                    <w:right w:w="28" w:type="dxa"/>
                  </w:tcMar>
                  <w:vAlign w:val="center"/>
                </w:tcPr>
                <w:p w14:paraId="57B40E73">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eastAsia" w:cs="Times New Roman"/>
                      <w:color w:val="auto"/>
                      <w:spacing w:val="8"/>
                      <w:sz w:val="21"/>
                      <w:szCs w:val="21"/>
                      <w:highlight w:val="none"/>
                      <w:lang w:val="en-US" w:eastAsia="zh-CN"/>
                    </w:rPr>
                  </w:pPr>
                </w:p>
              </w:tc>
              <w:tc>
                <w:tcPr>
                  <w:tcW w:w="456" w:type="pct"/>
                  <w:noWrap w:val="0"/>
                  <w:tcMar>
                    <w:left w:w="28" w:type="dxa"/>
                    <w:right w:w="28" w:type="dxa"/>
                  </w:tcMar>
                  <w:vAlign w:val="center"/>
                </w:tcPr>
                <w:p w14:paraId="24D6F925">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eastAsia" w:cs="Times New Roman"/>
                      <w:color w:val="auto"/>
                      <w:spacing w:val="8"/>
                      <w:sz w:val="21"/>
                      <w:szCs w:val="21"/>
                      <w:highlight w:val="none"/>
                      <w:lang w:val="en-US" w:eastAsia="zh-CN"/>
                    </w:rPr>
                  </w:pPr>
                  <w:r>
                    <w:rPr>
                      <w:rFonts w:hint="default" w:ascii="Times New Roman" w:hAnsi="Times New Roman" w:eastAsia="宋体" w:cs="Times New Roman"/>
                      <w:color w:val="auto"/>
                      <w:spacing w:val="6"/>
                      <w:sz w:val="21"/>
                      <w:szCs w:val="21"/>
                      <w:highlight w:val="none"/>
                    </w:rPr>
                    <w:t>事故池</w:t>
                  </w:r>
                </w:p>
              </w:tc>
              <w:tc>
                <w:tcPr>
                  <w:tcW w:w="3338" w:type="pct"/>
                  <w:gridSpan w:val="2"/>
                  <w:shd w:val="clear" w:color="auto" w:fill="auto"/>
                  <w:noWrap w:val="0"/>
                  <w:tcMar>
                    <w:left w:w="28" w:type="dxa"/>
                    <w:right w:w="28" w:type="dxa"/>
                  </w:tcMar>
                  <w:vAlign w:val="center"/>
                </w:tcPr>
                <w:p w14:paraId="4CD46FD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left"/>
                    <w:rPr>
                      <w:rFonts w:hint="default"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eastAsia="宋体" w:cs="Times New Roman"/>
                      <w:color w:val="auto"/>
                      <w:spacing w:val="6"/>
                      <w:position w:val="1"/>
                      <w:sz w:val="21"/>
                      <w:szCs w:val="21"/>
                      <w:highlight w:val="none"/>
                    </w:rPr>
                    <w:t>厂区</w:t>
                  </w:r>
                  <w:r>
                    <w:rPr>
                      <w:rFonts w:hint="eastAsia" w:cs="Times New Roman"/>
                      <w:color w:val="auto"/>
                      <w:spacing w:val="6"/>
                      <w:position w:val="1"/>
                      <w:sz w:val="21"/>
                      <w:szCs w:val="21"/>
                      <w:highlight w:val="none"/>
                      <w:lang w:val="en-US" w:eastAsia="zh-CN"/>
                    </w:rPr>
                    <w:t>东</w:t>
                  </w:r>
                  <w:r>
                    <w:rPr>
                      <w:rFonts w:hint="default" w:ascii="Times New Roman" w:hAnsi="Times New Roman" w:eastAsia="宋体" w:cs="Times New Roman"/>
                      <w:color w:val="auto"/>
                      <w:spacing w:val="6"/>
                      <w:position w:val="1"/>
                      <w:sz w:val="21"/>
                      <w:szCs w:val="21"/>
                      <w:highlight w:val="none"/>
                    </w:rPr>
                    <w:t>北面的</w:t>
                  </w:r>
                  <w:r>
                    <w:rPr>
                      <w:rFonts w:hint="eastAsia" w:cs="Times New Roman"/>
                      <w:color w:val="auto"/>
                      <w:spacing w:val="6"/>
                      <w:position w:val="1"/>
                      <w:sz w:val="21"/>
                      <w:szCs w:val="21"/>
                      <w:highlight w:val="none"/>
                      <w:lang w:val="en-US" w:eastAsia="zh-CN"/>
                    </w:rPr>
                    <w:t>污水处理站</w:t>
                  </w:r>
                  <w:r>
                    <w:rPr>
                      <w:rFonts w:hint="default" w:ascii="Times New Roman" w:hAnsi="Times New Roman" w:cs="Times New Roman"/>
                      <w:color w:val="auto"/>
                      <w:spacing w:val="6"/>
                      <w:position w:val="1"/>
                      <w:sz w:val="21"/>
                      <w:szCs w:val="21"/>
                      <w:highlight w:val="none"/>
                      <w:lang w:val="en-US" w:eastAsia="zh-CN"/>
                    </w:rPr>
                    <w:t>旁</w:t>
                  </w:r>
                  <w:r>
                    <w:rPr>
                      <w:rFonts w:hint="default" w:ascii="Times New Roman" w:hAnsi="Times New Roman" w:eastAsia="宋体" w:cs="Times New Roman"/>
                      <w:color w:val="auto"/>
                      <w:spacing w:val="6"/>
                      <w:position w:val="1"/>
                      <w:sz w:val="21"/>
                      <w:szCs w:val="21"/>
                      <w:highlight w:val="none"/>
                    </w:rPr>
                    <w:t>设有1个200m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6"/>
                      <w:position w:val="1"/>
                      <w:sz w:val="21"/>
                      <w:szCs w:val="21"/>
                      <w:highlight w:val="none"/>
                    </w:rPr>
                    <w:t>事故池</w:t>
                  </w:r>
                </w:p>
              </w:tc>
              <w:tc>
                <w:tcPr>
                  <w:tcW w:w="432" w:type="pct"/>
                  <w:noWrap w:val="0"/>
                  <w:tcMar>
                    <w:left w:w="28" w:type="dxa"/>
                    <w:right w:w="28" w:type="dxa"/>
                  </w:tcMar>
                  <w:vAlign w:val="center"/>
                </w:tcPr>
                <w:p w14:paraId="3CDFB3C7">
                  <w:pPr>
                    <w:keepNext w:val="0"/>
                    <w:keepLines w:val="0"/>
                    <w:pageBreakBefore w:val="0"/>
                    <w:widowControl/>
                    <w:suppressLineNumbers w:val="0"/>
                    <w:kinsoku/>
                    <w:wordWrap/>
                    <w:overflowPunct w:val="0"/>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6"/>
                      <w:position w:val="1"/>
                      <w:sz w:val="21"/>
                      <w:szCs w:val="21"/>
                      <w:highlight w:val="none"/>
                    </w:rPr>
                  </w:pPr>
                  <w:r>
                    <w:rPr>
                      <w:rFonts w:hint="eastAsia" w:cs="Times New Roman"/>
                      <w:color w:val="auto"/>
                      <w:spacing w:val="-4"/>
                      <w:sz w:val="21"/>
                      <w:szCs w:val="21"/>
                      <w:highlight w:val="none"/>
                      <w:lang w:val="en-US" w:eastAsia="zh-CN"/>
                    </w:rPr>
                    <w:t>依托</w:t>
                  </w:r>
                </w:p>
              </w:tc>
            </w:tr>
          </w:tbl>
          <w:p w14:paraId="47421EAE">
            <w:pPr>
              <w:keepNext w:val="0"/>
              <w:keepLines w:val="0"/>
              <w:pageBreakBefore w:val="0"/>
              <w:widowControl w:val="0"/>
              <w:kinsoku/>
              <w:wordWrap/>
              <w:overflowPunct w:val="0"/>
              <w:topLinePunct/>
              <w:autoSpaceDE/>
              <w:autoSpaceDN/>
              <w:bidi w:val="0"/>
              <w:adjustRightInd/>
              <w:snapToGrid/>
              <w:spacing w:line="460" w:lineRule="exact"/>
              <w:ind w:firstLine="482" w:firstLineChars="200"/>
              <w:jc w:val="both"/>
              <w:textAlignment w:val="auto"/>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依托工程可行性分析：</w:t>
            </w:r>
          </w:p>
          <w:p w14:paraId="12FF0414">
            <w:pPr>
              <w:keepNext w:val="0"/>
              <w:keepLines w:val="0"/>
              <w:pageBreakBefore w:val="0"/>
              <w:widowControl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
              </w:rPr>
            </w:pPr>
            <w:r>
              <w:rPr>
                <w:rFonts w:hint="eastAsia" w:cs="Times New Roman"/>
                <w:bCs w:val="0"/>
                <w:color w:val="auto"/>
                <w:kern w:val="0"/>
                <w:sz w:val="24"/>
                <w:szCs w:val="24"/>
                <w:highlight w:val="none"/>
                <w:lang w:val="en-US" w:eastAsia="zh-CN" w:bidi="ar"/>
              </w:rPr>
              <w:t>本项目</w:t>
            </w:r>
            <w:r>
              <w:rPr>
                <w:rFonts w:hint="default" w:ascii="Times New Roman" w:hAnsi="Times New Roman" w:eastAsia="宋体" w:cs="Times New Roman"/>
                <w:bCs w:val="0"/>
                <w:color w:val="auto"/>
                <w:kern w:val="0"/>
                <w:sz w:val="24"/>
                <w:szCs w:val="24"/>
                <w:highlight w:val="none"/>
                <w:lang w:val="en-US" w:eastAsia="zh-CN" w:bidi="ar"/>
              </w:rPr>
              <w:t>依托性分析见表2.3-2。</w:t>
            </w:r>
          </w:p>
          <w:p w14:paraId="408CBE7D">
            <w:pPr>
              <w:keepNext w:val="0"/>
              <w:keepLines w:val="0"/>
              <w:pageBreakBefore w:val="0"/>
              <w:widowControl w:val="0"/>
              <w:kinsoku/>
              <w:wordWrap/>
              <w:overflowPunct w:val="0"/>
              <w:topLinePunct/>
              <w:autoSpaceDE/>
              <w:autoSpaceDN/>
              <w:bidi w:val="0"/>
              <w:adjustRightInd/>
              <w:snapToGrid/>
              <w:spacing w:line="360" w:lineRule="auto"/>
              <w:jc w:val="center"/>
              <w:textAlignment w:val="auto"/>
              <w:rPr>
                <w:rFonts w:hint="default" w:ascii="Times New Roman" w:hAnsi="Times New Roman" w:eastAsia="宋体" w:cs="Times New Roman"/>
                <w:b/>
                <w:color w:val="auto"/>
                <w:sz w:val="22"/>
                <w:szCs w:val="22"/>
                <w:highlight w:val="none"/>
                <w:lang w:val="en-US" w:eastAsia="zh-CN"/>
              </w:rPr>
            </w:pPr>
            <w:r>
              <w:rPr>
                <w:rFonts w:hint="default" w:ascii="Times New Roman" w:hAnsi="Times New Roman" w:eastAsia="宋体" w:cs="Times New Roman"/>
                <w:b/>
                <w:color w:val="auto"/>
                <w:sz w:val="22"/>
                <w:szCs w:val="22"/>
                <w:highlight w:val="none"/>
                <w:lang w:val="en-US" w:eastAsia="zh-CN"/>
              </w:rPr>
              <w:t>表2.3-2</w:t>
            </w:r>
            <w:r>
              <w:rPr>
                <w:rFonts w:hint="eastAsia" w:cs="Times New Roman"/>
                <w:b/>
                <w:color w:val="auto"/>
                <w:sz w:val="22"/>
                <w:szCs w:val="22"/>
                <w:highlight w:val="none"/>
                <w:lang w:val="en-US" w:eastAsia="zh-CN"/>
              </w:rPr>
              <w:t>本项目</w:t>
            </w:r>
            <w:r>
              <w:rPr>
                <w:rFonts w:hint="default" w:ascii="Times New Roman" w:hAnsi="Times New Roman" w:cs="Times New Roman"/>
                <w:b/>
                <w:color w:val="auto"/>
                <w:sz w:val="22"/>
                <w:szCs w:val="22"/>
                <w:highlight w:val="none"/>
                <w:lang w:val="en-US" w:eastAsia="zh-CN"/>
              </w:rPr>
              <w:t>可依托性分析表</w:t>
            </w:r>
          </w:p>
          <w:tbl>
            <w:tblPr>
              <w:tblStyle w:val="19"/>
              <w:tblW w:w="498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0"/>
              <w:gridCol w:w="1099"/>
              <w:gridCol w:w="1200"/>
              <w:gridCol w:w="4106"/>
              <w:gridCol w:w="745"/>
              <w:gridCol w:w="745"/>
            </w:tblGrid>
            <w:tr w14:paraId="1169F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270" w:type="pct"/>
                  <w:noWrap w:val="0"/>
                  <w:vAlign w:val="center"/>
                </w:tcPr>
                <w:p w14:paraId="5A0961DB">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658" w:type="pct"/>
                  <w:noWrap w:val="0"/>
                  <w:vAlign w:val="center"/>
                </w:tcPr>
                <w:p w14:paraId="7A7415A5">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依托</w:t>
                  </w:r>
                </w:p>
                <w:p w14:paraId="3A8EA00E">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内容</w:t>
                  </w:r>
                </w:p>
              </w:tc>
              <w:tc>
                <w:tcPr>
                  <w:tcW w:w="719" w:type="pct"/>
                  <w:noWrap w:val="0"/>
                  <w:vAlign w:val="center"/>
                </w:tcPr>
                <w:p w14:paraId="0684CA26">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建设项目</w:t>
                  </w:r>
                </w:p>
              </w:tc>
              <w:tc>
                <w:tcPr>
                  <w:tcW w:w="2459" w:type="pct"/>
                  <w:noWrap w:val="0"/>
                  <w:vAlign w:val="center"/>
                </w:tcPr>
                <w:p w14:paraId="690C3E5D">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可依托性分析</w:t>
                  </w:r>
                </w:p>
              </w:tc>
              <w:tc>
                <w:tcPr>
                  <w:tcW w:w="446" w:type="pct"/>
                  <w:noWrap w:val="0"/>
                  <w:vAlign w:val="center"/>
                </w:tcPr>
                <w:p w14:paraId="1554CB3B">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分析结论</w:t>
                  </w:r>
                </w:p>
              </w:tc>
              <w:tc>
                <w:tcPr>
                  <w:tcW w:w="446" w:type="pct"/>
                  <w:noWrap w:val="0"/>
                  <w:vAlign w:val="center"/>
                </w:tcPr>
                <w:p w14:paraId="28F05E41">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建设情况</w:t>
                  </w:r>
                </w:p>
              </w:tc>
            </w:tr>
            <w:tr w14:paraId="7F3B0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270" w:type="pct"/>
                  <w:vMerge w:val="restart"/>
                  <w:noWrap w:val="0"/>
                  <w:vAlign w:val="center"/>
                </w:tcPr>
                <w:p w14:paraId="78A69499">
                  <w:pPr>
                    <w:keepNext w:val="0"/>
                    <w:keepLines w:val="0"/>
                    <w:pageBreakBefore w:val="0"/>
                    <w:widowControl w:val="0"/>
                    <w:kinsoku/>
                    <w:wordWrap/>
                    <w:overflowPunct w:val="0"/>
                    <w:topLinePunct/>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658" w:type="pct"/>
                  <w:vMerge w:val="restart"/>
                  <w:noWrap w:val="0"/>
                  <w:vAlign w:val="center"/>
                </w:tcPr>
                <w:p w14:paraId="5641D0D3">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主体工程</w:t>
                  </w:r>
                </w:p>
              </w:tc>
              <w:tc>
                <w:tcPr>
                  <w:tcW w:w="719" w:type="pct"/>
                  <w:noWrap w:val="0"/>
                  <w:vAlign w:val="center"/>
                </w:tcPr>
                <w:p w14:paraId="6B0F3DE1">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包装车间</w:t>
                  </w:r>
                </w:p>
              </w:tc>
              <w:tc>
                <w:tcPr>
                  <w:tcW w:w="2459" w:type="pct"/>
                  <w:noWrap w:val="0"/>
                  <w:vAlign w:val="center"/>
                </w:tcPr>
                <w:p w14:paraId="2A4E15CB">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本项目灌装规模不变，灌装规模仍旧为1500t/d，仅由精炼后成品油灌装规模增加200t/d，外购成品油灌装规模降低200t/d，灌装总规模不变</w:t>
                  </w:r>
                </w:p>
              </w:tc>
              <w:tc>
                <w:tcPr>
                  <w:tcW w:w="446" w:type="pct"/>
                  <w:noWrap w:val="0"/>
                  <w:vAlign w:val="center"/>
                </w:tcPr>
                <w:p w14:paraId="6A269FDA">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依托可行</w:t>
                  </w:r>
                </w:p>
              </w:tc>
              <w:tc>
                <w:tcPr>
                  <w:tcW w:w="446" w:type="pct"/>
                  <w:noWrap w:val="0"/>
                  <w:vAlign w:val="center"/>
                </w:tcPr>
                <w:p w14:paraId="56F852AB">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已建成</w:t>
                  </w:r>
                </w:p>
              </w:tc>
            </w:tr>
            <w:tr w14:paraId="08007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270" w:type="pct"/>
                  <w:vMerge w:val="continue"/>
                  <w:noWrap w:val="0"/>
                  <w:vAlign w:val="center"/>
                </w:tcPr>
                <w:p w14:paraId="47BAE21F">
                  <w:pPr>
                    <w:keepNext w:val="0"/>
                    <w:keepLines w:val="0"/>
                    <w:pageBreakBefore w:val="0"/>
                    <w:widowControl w:val="0"/>
                    <w:kinsoku/>
                    <w:wordWrap/>
                    <w:overflowPunct w:val="0"/>
                    <w:topLinePunct/>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p>
              </w:tc>
              <w:tc>
                <w:tcPr>
                  <w:tcW w:w="658" w:type="pct"/>
                  <w:vMerge w:val="continue"/>
                  <w:noWrap w:val="0"/>
                  <w:vAlign w:val="center"/>
                </w:tcPr>
                <w:p w14:paraId="0E704BAD">
                  <w:pPr>
                    <w:keepNext w:val="0"/>
                    <w:keepLines w:val="0"/>
                    <w:pageBreakBefore w:val="0"/>
                    <w:widowControl w:val="0"/>
                    <w:kinsoku/>
                    <w:wordWrap/>
                    <w:overflowPunct w:val="0"/>
                    <w:topLinePunct/>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p>
              </w:tc>
              <w:tc>
                <w:tcPr>
                  <w:tcW w:w="719" w:type="pct"/>
                  <w:noWrap w:val="0"/>
                  <w:vAlign w:val="center"/>
                </w:tcPr>
                <w:p w14:paraId="3FC1AF92">
                  <w:pPr>
                    <w:keepNext w:val="0"/>
                    <w:keepLines w:val="0"/>
                    <w:pageBreakBefore w:val="0"/>
                    <w:widowControl w:val="0"/>
                    <w:kinsoku/>
                    <w:wordWrap/>
                    <w:overflowPunct w:val="0"/>
                    <w:topLinePunct/>
                    <w:autoSpaceDE/>
                    <w:autoSpaceDN/>
                    <w:bidi w:val="0"/>
                    <w:adjustRightInd/>
                    <w:snapToGrid/>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制瓶车间</w:t>
                  </w:r>
                </w:p>
              </w:tc>
              <w:tc>
                <w:tcPr>
                  <w:tcW w:w="2459" w:type="pct"/>
                  <w:noWrap w:val="0"/>
                  <w:vAlign w:val="center"/>
                </w:tcPr>
                <w:p w14:paraId="316D35D6">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项目制瓶规模不变</w:t>
                  </w:r>
                </w:p>
              </w:tc>
              <w:tc>
                <w:tcPr>
                  <w:tcW w:w="446" w:type="pct"/>
                  <w:noWrap w:val="0"/>
                  <w:vAlign w:val="center"/>
                </w:tcPr>
                <w:p w14:paraId="1F926CDC">
                  <w:pPr>
                    <w:keepNext w:val="0"/>
                    <w:keepLines w:val="0"/>
                    <w:pageBreakBefore w:val="0"/>
                    <w:widowControl w:val="0"/>
                    <w:kinsoku/>
                    <w:wordWrap/>
                    <w:overflowPunct w:val="0"/>
                    <w:topLinePunct/>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依托可行</w:t>
                  </w:r>
                </w:p>
              </w:tc>
              <w:tc>
                <w:tcPr>
                  <w:tcW w:w="446" w:type="pct"/>
                  <w:noWrap w:val="0"/>
                  <w:vAlign w:val="center"/>
                </w:tcPr>
                <w:p w14:paraId="3FA2F7FB">
                  <w:pPr>
                    <w:keepNext w:val="0"/>
                    <w:keepLines w:val="0"/>
                    <w:pageBreakBefore w:val="0"/>
                    <w:widowControl w:val="0"/>
                    <w:kinsoku/>
                    <w:wordWrap/>
                    <w:overflowPunct w:val="0"/>
                    <w:topLinePunct/>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已建成</w:t>
                  </w:r>
                </w:p>
              </w:tc>
            </w:tr>
            <w:tr w14:paraId="76CBD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270" w:type="pct"/>
                  <w:noWrap w:val="0"/>
                  <w:vAlign w:val="center"/>
                </w:tcPr>
                <w:p w14:paraId="5E54F3A4">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658" w:type="pct"/>
                  <w:noWrap w:val="0"/>
                  <w:vAlign w:val="center"/>
                </w:tcPr>
                <w:p w14:paraId="796D0211">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辅助工程</w:t>
                  </w:r>
                </w:p>
              </w:tc>
              <w:tc>
                <w:tcPr>
                  <w:tcW w:w="719" w:type="pct"/>
                  <w:noWrap w:val="0"/>
                  <w:vAlign w:val="center"/>
                </w:tcPr>
                <w:p w14:paraId="4F34F8F4">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办公</w:t>
                  </w:r>
                  <w:r>
                    <w:rPr>
                      <w:rFonts w:hint="eastAsia" w:cs="Times New Roman"/>
                      <w:b w:val="0"/>
                      <w:bCs/>
                      <w:color w:val="auto"/>
                      <w:sz w:val="21"/>
                      <w:szCs w:val="21"/>
                      <w:highlight w:val="none"/>
                      <w:lang w:val="en-US" w:eastAsia="zh-CN"/>
                    </w:rPr>
                    <w:t>、生活</w:t>
                  </w:r>
                </w:p>
              </w:tc>
              <w:tc>
                <w:tcPr>
                  <w:tcW w:w="2459" w:type="pct"/>
                  <w:noWrap w:val="0"/>
                  <w:vAlign w:val="center"/>
                </w:tcPr>
                <w:p w14:paraId="5F06F747">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现有厂区已建办公楼，</w:t>
                  </w:r>
                  <w:r>
                    <w:rPr>
                      <w:rFonts w:hint="eastAsia" w:cs="Times New Roman"/>
                      <w:b w:val="0"/>
                      <w:bCs/>
                      <w:color w:val="auto"/>
                      <w:sz w:val="21"/>
                      <w:szCs w:val="21"/>
                      <w:highlight w:val="none"/>
                      <w:lang w:val="en-US" w:eastAsia="zh-CN"/>
                    </w:rPr>
                    <w:t>本项目</w:t>
                  </w:r>
                  <w:r>
                    <w:rPr>
                      <w:rFonts w:hint="default" w:ascii="Times New Roman" w:hAnsi="Times New Roman" w:cs="Times New Roman"/>
                      <w:b w:val="0"/>
                      <w:bCs/>
                      <w:color w:val="auto"/>
                      <w:sz w:val="21"/>
                      <w:szCs w:val="21"/>
                      <w:highlight w:val="none"/>
                      <w:lang w:val="en-US" w:eastAsia="zh-CN"/>
                    </w:rPr>
                    <w:t>依托现有办公楼办公</w:t>
                  </w:r>
                  <w:r>
                    <w:rPr>
                      <w:rFonts w:hint="eastAsia" w:cs="Times New Roman"/>
                      <w:b w:val="0"/>
                      <w:bCs/>
                      <w:color w:val="auto"/>
                      <w:sz w:val="21"/>
                      <w:szCs w:val="21"/>
                      <w:highlight w:val="none"/>
                      <w:lang w:val="en-US" w:eastAsia="zh-CN"/>
                    </w:rPr>
                    <w:t>、生活</w:t>
                  </w:r>
                </w:p>
              </w:tc>
              <w:tc>
                <w:tcPr>
                  <w:tcW w:w="446" w:type="pct"/>
                  <w:noWrap w:val="0"/>
                  <w:vAlign w:val="center"/>
                </w:tcPr>
                <w:p w14:paraId="33A5239A">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color w:val="auto"/>
                      <w:sz w:val="21"/>
                      <w:szCs w:val="21"/>
                      <w:highlight w:val="none"/>
                      <w:lang w:val="en-US" w:eastAsia="zh-CN"/>
                    </w:rPr>
                    <w:t>依托可行</w:t>
                  </w:r>
                </w:p>
              </w:tc>
              <w:tc>
                <w:tcPr>
                  <w:tcW w:w="446" w:type="pct"/>
                  <w:noWrap w:val="0"/>
                  <w:vAlign w:val="center"/>
                </w:tcPr>
                <w:p w14:paraId="2D323A11">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已建成</w:t>
                  </w:r>
                </w:p>
              </w:tc>
            </w:tr>
            <w:tr w14:paraId="1A1CF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restart"/>
                  <w:noWrap w:val="0"/>
                  <w:vAlign w:val="center"/>
                </w:tcPr>
                <w:p w14:paraId="56FF18CC">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658" w:type="pct"/>
                  <w:vMerge w:val="restart"/>
                  <w:noWrap w:val="0"/>
                  <w:vAlign w:val="center"/>
                </w:tcPr>
                <w:p w14:paraId="591C846E">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公用工程</w:t>
                  </w:r>
                </w:p>
              </w:tc>
              <w:tc>
                <w:tcPr>
                  <w:tcW w:w="719" w:type="pct"/>
                  <w:shd w:val="clear" w:color="auto" w:fill="auto"/>
                  <w:noWrap w:val="0"/>
                  <w:vAlign w:val="center"/>
                </w:tcPr>
                <w:p w14:paraId="289DC4D1">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供配电</w:t>
                  </w:r>
                </w:p>
              </w:tc>
              <w:tc>
                <w:tcPr>
                  <w:tcW w:w="2459" w:type="pct"/>
                  <w:noWrap w:val="0"/>
                  <w:vAlign w:val="center"/>
                </w:tcPr>
                <w:p w14:paraId="749ED346">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现有厂区有完善供配电系统，满足</w:t>
                  </w: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要求</w:t>
                  </w:r>
                </w:p>
              </w:tc>
              <w:tc>
                <w:tcPr>
                  <w:tcW w:w="446" w:type="pct"/>
                  <w:noWrap w:val="0"/>
                  <w:vAlign w:val="center"/>
                </w:tcPr>
                <w:p w14:paraId="76110C8E">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依托可行</w:t>
                  </w:r>
                </w:p>
              </w:tc>
              <w:tc>
                <w:tcPr>
                  <w:tcW w:w="446" w:type="pct"/>
                  <w:noWrap w:val="0"/>
                  <w:vAlign w:val="center"/>
                </w:tcPr>
                <w:p w14:paraId="57ABEE74">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已建成</w:t>
                  </w:r>
                </w:p>
              </w:tc>
            </w:tr>
            <w:tr w14:paraId="15196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continue"/>
                  <w:noWrap w:val="0"/>
                  <w:vAlign w:val="center"/>
                </w:tcPr>
                <w:p w14:paraId="6BD80FF8">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p>
              </w:tc>
              <w:tc>
                <w:tcPr>
                  <w:tcW w:w="658" w:type="pct"/>
                  <w:vMerge w:val="continue"/>
                  <w:noWrap w:val="0"/>
                  <w:vAlign w:val="center"/>
                </w:tcPr>
                <w:p w14:paraId="40657CC5">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19" w:type="pct"/>
                  <w:shd w:val="clear" w:color="auto" w:fill="auto"/>
                  <w:noWrap w:val="0"/>
                  <w:vAlign w:val="center"/>
                </w:tcPr>
                <w:p w14:paraId="2C1F257B">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供水</w:t>
                  </w:r>
                </w:p>
              </w:tc>
              <w:tc>
                <w:tcPr>
                  <w:tcW w:w="2459" w:type="pct"/>
                  <w:noWrap w:val="0"/>
                  <w:vAlign w:val="center"/>
                </w:tcPr>
                <w:p w14:paraId="6B3CF41E">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现有厂区有完善供水管网，满足</w:t>
                  </w: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要求</w:t>
                  </w:r>
                </w:p>
              </w:tc>
              <w:tc>
                <w:tcPr>
                  <w:tcW w:w="446" w:type="pct"/>
                  <w:noWrap w:val="0"/>
                  <w:vAlign w:val="center"/>
                </w:tcPr>
                <w:p w14:paraId="778E9764">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依托可行</w:t>
                  </w:r>
                </w:p>
              </w:tc>
              <w:tc>
                <w:tcPr>
                  <w:tcW w:w="446" w:type="pct"/>
                  <w:noWrap w:val="0"/>
                  <w:vAlign w:val="center"/>
                </w:tcPr>
                <w:p w14:paraId="1E203BC6">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已建成</w:t>
                  </w:r>
                </w:p>
              </w:tc>
            </w:tr>
            <w:tr w14:paraId="29532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continue"/>
                  <w:noWrap w:val="0"/>
                  <w:vAlign w:val="center"/>
                </w:tcPr>
                <w:p w14:paraId="648C13B7">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p>
              </w:tc>
              <w:tc>
                <w:tcPr>
                  <w:tcW w:w="658" w:type="pct"/>
                  <w:vMerge w:val="continue"/>
                  <w:noWrap w:val="0"/>
                  <w:vAlign w:val="center"/>
                </w:tcPr>
                <w:p w14:paraId="300F4657">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p>
              </w:tc>
              <w:tc>
                <w:tcPr>
                  <w:tcW w:w="719" w:type="pct"/>
                  <w:shd w:val="clear" w:color="auto" w:fill="auto"/>
                  <w:noWrap w:val="0"/>
                  <w:vAlign w:val="center"/>
                </w:tcPr>
                <w:p w14:paraId="4E504B0E">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供天然气</w:t>
                  </w:r>
                </w:p>
              </w:tc>
              <w:tc>
                <w:tcPr>
                  <w:tcW w:w="2459" w:type="pct"/>
                  <w:noWrap w:val="0"/>
                  <w:vAlign w:val="center"/>
                </w:tcPr>
                <w:p w14:paraId="71C71ED9">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现有厂区有完善供气管网，满足</w:t>
                  </w: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要求</w:t>
                  </w:r>
                </w:p>
              </w:tc>
              <w:tc>
                <w:tcPr>
                  <w:tcW w:w="446" w:type="pct"/>
                  <w:shd w:val="clear" w:color="auto" w:fill="auto"/>
                  <w:noWrap w:val="0"/>
                  <w:vAlign w:val="center"/>
                </w:tcPr>
                <w:p w14:paraId="1FD8685C">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依托可行</w:t>
                  </w:r>
                </w:p>
              </w:tc>
              <w:tc>
                <w:tcPr>
                  <w:tcW w:w="446" w:type="pct"/>
                  <w:shd w:val="clear" w:color="auto" w:fill="auto"/>
                  <w:noWrap w:val="0"/>
                  <w:vAlign w:val="center"/>
                </w:tcPr>
                <w:p w14:paraId="408A4D1A">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已建成</w:t>
                  </w:r>
                </w:p>
              </w:tc>
            </w:tr>
            <w:tr w14:paraId="35BAE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restart"/>
                  <w:noWrap w:val="0"/>
                  <w:vAlign w:val="center"/>
                </w:tcPr>
                <w:p w14:paraId="020FEFD9">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658" w:type="pct"/>
                  <w:vMerge w:val="restart"/>
                  <w:noWrap w:val="0"/>
                  <w:vAlign w:val="center"/>
                </w:tcPr>
                <w:p w14:paraId="638F01AA">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储运工程</w:t>
                  </w:r>
                </w:p>
              </w:tc>
              <w:tc>
                <w:tcPr>
                  <w:tcW w:w="719" w:type="pct"/>
                  <w:shd w:val="clear" w:color="auto" w:fill="auto"/>
                  <w:noWrap w:val="0"/>
                  <w:vAlign w:val="center"/>
                </w:tcPr>
                <w:p w14:paraId="273E2482">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精炼车间中间储罐</w:t>
                  </w:r>
                </w:p>
              </w:tc>
              <w:tc>
                <w:tcPr>
                  <w:tcW w:w="2459" w:type="pct"/>
                  <w:noWrap w:val="0"/>
                  <w:vAlign w:val="center"/>
                </w:tcPr>
                <w:p w14:paraId="06398666">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本项目利旧</w:t>
                  </w:r>
                  <w:r>
                    <w:rPr>
                      <w:rFonts w:hint="default" w:ascii="Times New Roman" w:hAnsi="Times New Roman" w:eastAsia="宋体" w:cs="Times New Roman"/>
                      <w:color w:val="auto"/>
                      <w:sz w:val="21"/>
                      <w:szCs w:val="21"/>
                      <w:highlight w:val="none"/>
                      <w:lang w:val="en-US" w:eastAsia="zh-CN"/>
                    </w:rPr>
                    <w:t>脂肪酸罐2个70m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毛油罐1个70m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中和油罐1个70m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/个</w:t>
                  </w:r>
                  <w:r>
                    <w:rPr>
                      <w:rFonts w:hint="eastAsia" w:eastAsia="宋体" w:cs="Times New Roman"/>
                      <w:color w:val="auto"/>
                      <w:sz w:val="21"/>
                      <w:szCs w:val="21"/>
                      <w:highlight w:val="none"/>
                      <w:lang w:val="en-US" w:eastAsia="zh-CN"/>
                    </w:rPr>
                    <w:t>，主要用于脂肪酸、毛油、中和油暂时储存</w:t>
                  </w:r>
                  <w:r>
                    <w:rPr>
                      <w:rFonts w:hint="eastAsia" w:cs="Times New Roman"/>
                      <w:color w:val="auto"/>
                      <w:sz w:val="21"/>
                      <w:szCs w:val="21"/>
                      <w:highlight w:val="none"/>
                      <w:lang w:val="en-US" w:eastAsia="zh-CN"/>
                    </w:rPr>
                    <w:t>，满足项目需求</w:t>
                  </w:r>
                </w:p>
              </w:tc>
              <w:tc>
                <w:tcPr>
                  <w:tcW w:w="446" w:type="pct"/>
                  <w:shd w:val="clear" w:color="auto" w:fill="auto"/>
                  <w:noWrap w:val="0"/>
                  <w:vAlign w:val="center"/>
                </w:tcPr>
                <w:p w14:paraId="0FA88C72">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依托可行</w:t>
                  </w:r>
                </w:p>
              </w:tc>
              <w:tc>
                <w:tcPr>
                  <w:tcW w:w="446" w:type="pct"/>
                  <w:shd w:val="clear" w:color="auto" w:fill="auto"/>
                  <w:noWrap w:val="0"/>
                  <w:vAlign w:val="center"/>
                </w:tcPr>
                <w:p w14:paraId="6BD4C51A">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14:paraId="72621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continue"/>
                  <w:noWrap w:val="0"/>
                  <w:vAlign w:val="center"/>
                </w:tcPr>
                <w:p w14:paraId="6AD45997">
                  <w:pPr>
                    <w:keepNext w:val="0"/>
                    <w:keepLines w:val="0"/>
                    <w:pageBreakBefore w:val="0"/>
                    <w:widowControl w:val="0"/>
                    <w:kinsoku/>
                    <w:wordWrap/>
                    <w:overflowPunct w:val="0"/>
                    <w:topLinePunct/>
                    <w:autoSpaceDE/>
                    <w:autoSpaceDN/>
                    <w:bidi w:val="0"/>
                    <w:adjustRightInd/>
                    <w:snapToGrid/>
                    <w:jc w:val="center"/>
                    <w:textAlignment w:val="auto"/>
                    <w:rPr>
                      <w:rFonts w:hint="eastAsia" w:cs="Times New Roman"/>
                      <w:color w:val="auto"/>
                      <w:sz w:val="21"/>
                      <w:szCs w:val="21"/>
                      <w:highlight w:val="none"/>
                      <w:lang w:val="en-US" w:eastAsia="zh-CN"/>
                    </w:rPr>
                  </w:pPr>
                </w:p>
              </w:tc>
              <w:tc>
                <w:tcPr>
                  <w:tcW w:w="658" w:type="pct"/>
                  <w:vMerge w:val="continue"/>
                  <w:noWrap w:val="0"/>
                  <w:vAlign w:val="center"/>
                </w:tcPr>
                <w:p w14:paraId="0976C5A1">
                  <w:pPr>
                    <w:keepNext w:val="0"/>
                    <w:keepLines w:val="0"/>
                    <w:pageBreakBefore w:val="0"/>
                    <w:widowControl w:val="0"/>
                    <w:kinsoku/>
                    <w:wordWrap/>
                    <w:overflowPunct w:val="0"/>
                    <w:topLinePunct/>
                    <w:autoSpaceDE/>
                    <w:autoSpaceDN/>
                    <w:bidi w:val="0"/>
                    <w:adjustRightInd/>
                    <w:snapToGrid/>
                    <w:jc w:val="center"/>
                    <w:textAlignment w:val="auto"/>
                    <w:rPr>
                      <w:rFonts w:hint="eastAsia" w:cs="Times New Roman"/>
                      <w:color w:val="auto"/>
                      <w:sz w:val="21"/>
                      <w:szCs w:val="21"/>
                      <w:highlight w:val="none"/>
                      <w:lang w:val="en-US" w:eastAsia="zh-CN"/>
                    </w:rPr>
                  </w:pPr>
                </w:p>
              </w:tc>
              <w:tc>
                <w:tcPr>
                  <w:tcW w:w="719" w:type="pct"/>
                  <w:shd w:val="clear" w:color="auto" w:fill="auto"/>
                  <w:noWrap w:val="0"/>
                  <w:vAlign w:val="center"/>
                </w:tcPr>
                <w:p w14:paraId="65722760">
                  <w:pPr>
                    <w:keepNext w:val="0"/>
                    <w:keepLines w:val="0"/>
                    <w:pageBreakBefore w:val="0"/>
                    <w:widowControl w:val="0"/>
                    <w:kinsoku/>
                    <w:wordWrap/>
                    <w:overflowPunct w:val="0"/>
                    <w:topLinePunct/>
                    <w:autoSpaceDE/>
                    <w:autoSpaceDN/>
                    <w:bidi w:val="0"/>
                    <w:adjustRightInd/>
                    <w:snapToGrid/>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rPr>
                    <w:t>储油罐区</w:t>
                  </w:r>
                </w:p>
              </w:tc>
              <w:tc>
                <w:tcPr>
                  <w:tcW w:w="2459" w:type="pct"/>
                  <w:noWrap w:val="0"/>
                  <w:vAlign w:val="center"/>
                </w:tcPr>
                <w:p w14:paraId="36EF1EA6">
                  <w:pPr>
                    <w:pStyle w:val="24"/>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本次改建项目原料油和成品油周转频次为1次/月，原料油最大储存需求为1.6万t，产品油最大储存需求为1.5万t。现有</w:t>
                  </w:r>
                  <w:r>
                    <w:rPr>
                      <w:rFonts w:hint="eastAsia" w:ascii="Times New Roman" w:hAnsi="Times New Roman" w:cs="Times New Roman"/>
                      <w:color w:val="auto"/>
                      <w:spacing w:val="5"/>
                      <w:kern w:val="2"/>
                      <w:sz w:val="21"/>
                      <w:szCs w:val="21"/>
                      <w:highlight w:val="none"/>
                      <w:lang w:val="en-US" w:eastAsia="zh-CN" w:bidi="ar-SA"/>
                    </w:rPr>
                    <w:t>油罐区考虑</w:t>
                  </w:r>
                  <w:r>
                    <w:rPr>
                      <w:rFonts w:hint="eastAsia" w:ascii="Times New Roman" w:hAnsi="Times New Roman" w:cs="Times New Roman"/>
                      <w:color w:val="auto"/>
                      <w:spacing w:val="0"/>
                      <w:position w:val="0"/>
                      <w:sz w:val="21"/>
                      <w:szCs w:val="21"/>
                      <w:highlight w:val="none"/>
                      <w:lang w:val="en-US" w:eastAsia="zh-CN"/>
                    </w:rPr>
                    <w:t>长江上游珍稀特有鱼类国家级自然保护区</w:t>
                  </w:r>
                  <w:r>
                    <w:rPr>
                      <w:rFonts w:hint="eastAsia" w:ascii="Times New Roman" w:hAnsi="Times New Roman" w:eastAsia="宋体" w:cs="Times New Roman"/>
                      <w:color w:val="auto"/>
                      <w:spacing w:val="0"/>
                      <w:position w:val="0"/>
                      <w:sz w:val="21"/>
                      <w:szCs w:val="21"/>
                      <w:highlight w:val="none"/>
                      <w:lang w:val="en-US" w:eastAsia="zh-CN"/>
                    </w:rPr>
                    <w:t>重叠</w:t>
                  </w:r>
                  <w:r>
                    <w:rPr>
                      <w:rFonts w:hint="eastAsia" w:ascii="Times New Roman" w:hAnsi="Times New Roman" w:cs="Times New Roman"/>
                      <w:color w:val="auto"/>
                      <w:spacing w:val="0"/>
                      <w:position w:val="0"/>
                      <w:sz w:val="21"/>
                      <w:szCs w:val="21"/>
                      <w:highlight w:val="none"/>
                      <w:lang w:val="en-US" w:eastAsia="zh-CN"/>
                    </w:rPr>
                    <w:t>范围内储罐的退让后，</w:t>
                  </w:r>
                  <w:r>
                    <w:rPr>
                      <w:rFonts w:hint="eastAsia" w:ascii="Times New Roman" w:hAnsi="Times New Roman" w:eastAsia="宋体" w:cs="Times New Roman"/>
                      <w:color w:val="auto"/>
                      <w:spacing w:val="0"/>
                      <w:position w:val="0"/>
                      <w:sz w:val="21"/>
                      <w:szCs w:val="21"/>
                      <w:highlight w:val="none"/>
                      <w:lang w:val="en-US" w:eastAsia="zh-CN"/>
                    </w:rPr>
                    <w:t>原料油储存规模为4.9万t，能够满足本次改建项目原料油储存需求</w:t>
                  </w:r>
                  <w:r>
                    <w:rPr>
                      <w:rFonts w:hint="eastAsia" w:ascii="Times New Roman" w:hAnsi="Times New Roman" w:cs="Times New Roman"/>
                      <w:color w:val="auto"/>
                      <w:spacing w:val="0"/>
                      <w:position w:val="0"/>
                      <w:sz w:val="21"/>
                      <w:szCs w:val="21"/>
                      <w:highlight w:val="none"/>
                      <w:lang w:val="en-US" w:eastAsia="zh-CN"/>
                    </w:rPr>
                    <w:t>；</w:t>
                  </w:r>
                  <w:r>
                    <w:rPr>
                      <w:rFonts w:hint="eastAsia" w:ascii="Times New Roman" w:hAnsi="Times New Roman" w:eastAsia="宋体" w:cs="Times New Roman"/>
                      <w:color w:val="auto"/>
                      <w:spacing w:val="0"/>
                      <w:position w:val="0"/>
                      <w:sz w:val="21"/>
                      <w:szCs w:val="21"/>
                      <w:highlight w:val="none"/>
                      <w:lang w:val="en-US" w:eastAsia="zh-CN"/>
                    </w:rPr>
                    <w:t>成品油储存规模为5.55万t，考虑散装成品油</w:t>
                  </w:r>
                  <w:r>
                    <w:rPr>
                      <w:rFonts w:hint="eastAsia" w:ascii="Times New Roman" w:hAnsi="Times New Roman" w:cs="Times New Roman"/>
                      <w:color w:val="auto"/>
                      <w:spacing w:val="0"/>
                      <w:position w:val="0"/>
                      <w:sz w:val="21"/>
                      <w:szCs w:val="21"/>
                      <w:highlight w:val="none"/>
                      <w:lang w:val="en-US" w:eastAsia="zh-CN"/>
                    </w:rPr>
                    <w:t>储存</w:t>
                  </w:r>
                  <w:r>
                    <w:rPr>
                      <w:rFonts w:hint="eastAsia" w:ascii="Times New Roman" w:hAnsi="Times New Roman" w:eastAsia="宋体" w:cs="Times New Roman"/>
                      <w:color w:val="auto"/>
                      <w:spacing w:val="0"/>
                      <w:position w:val="0"/>
                      <w:sz w:val="21"/>
                      <w:szCs w:val="21"/>
                      <w:highlight w:val="none"/>
                      <w:lang w:val="en-US" w:eastAsia="zh-CN"/>
                    </w:rPr>
                    <w:t>规模，仍有3.3万t的储存富余，大于本项目储存需求，故成品油储存规模能满足本次改建项目原料油和成品油的储存需求。</w:t>
                  </w:r>
                </w:p>
              </w:tc>
              <w:tc>
                <w:tcPr>
                  <w:tcW w:w="446" w:type="pct"/>
                  <w:shd w:val="clear" w:color="auto" w:fill="auto"/>
                  <w:noWrap w:val="0"/>
                  <w:vAlign w:val="center"/>
                </w:tcPr>
                <w:p w14:paraId="2C0B0B22">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依托可行</w:t>
                  </w:r>
                </w:p>
              </w:tc>
              <w:tc>
                <w:tcPr>
                  <w:tcW w:w="446" w:type="pct"/>
                  <w:shd w:val="clear" w:color="auto" w:fill="auto"/>
                  <w:noWrap w:val="0"/>
                  <w:vAlign w:val="center"/>
                </w:tcPr>
                <w:p w14:paraId="27AFEA52">
                  <w:pPr>
                    <w:keepNext w:val="0"/>
                    <w:keepLines w:val="0"/>
                    <w:pageBreakBefore w:val="0"/>
                    <w:widowControl w:val="0"/>
                    <w:kinsoku/>
                    <w:wordWrap/>
                    <w:overflowPunct w:val="0"/>
                    <w:topLinePunct/>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已建成</w:t>
                  </w:r>
                </w:p>
              </w:tc>
            </w:tr>
            <w:tr w14:paraId="0ECBD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restart"/>
                  <w:noWrap w:val="0"/>
                  <w:vAlign w:val="center"/>
                </w:tcPr>
                <w:p w14:paraId="1F2B6BA0">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658" w:type="pct"/>
                  <w:vMerge w:val="restart"/>
                  <w:noWrap w:val="0"/>
                  <w:vAlign w:val="center"/>
                </w:tcPr>
                <w:p w14:paraId="29064AF2">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环保工程</w:t>
                  </w:r>
                </w:p>
              </w:tc>
              <w:tc>
                <w:tcPr>
                  <w:tcW w:w="719" w:type="pct"/>
                  <w:noWrap w:val="0"/>
                  <w:vAlign w:val="center"/>
                </w:tcPr>
                <w:p w14:paraId="0B98EE4A">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r>
                    <w:rPr>
                      <w:rFonts w:hint="eastAsia" w:cs="Times New Roman"/>
                      <w:color w:val="auto"/>
                      <w:sz w:val="21"/>
                      <w:szCs w:val="21"/>
                      <w:highlight w:val="none"/>
                      <w:lang w:val="en-US" w:eastAsia="zh-CN"/>
                    </w:rPr>
                    <w:t>处理</w:t>
                  </w:r>
                </w:p>
              </w:tc>
              <w:tc>
                <w:tcPr>
                  <w:tcW w:w="2459" w:type="pct"/>
                  <w:noWrap w:val="0"/>
                  <w:vAlign w:val="center"/>
                </w:tcPr>
                <w:p w14:paraId="096C625F">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依托厂区现有污水处理站处理，采用“隔油+气浮+沉淀+水解酸化+缺氧+生物接触氧化+沉淀”处理工艺，处理能力150m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实施后全厂废水排放量为</w:t>
                  </w:r>
                  <w:r>
                    <w:rPr>
                      <w:rFonts w:hint="eastAsia" w:cs="Times New Roman"/>
                      <w:color w:val="auto"/>
                      <w:sz w:val="21"/>
                      <w:szCs w:val="21"/>
                      <w:highlight w:val="none"/>
                      <w:lang w:val="en-US" w:eastAsia="zh-CN"/>
                    </w:rPr>
                    <w:t>47.21</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/d，现有污水处理站能满足项目废水处理</w:t>
                  </w:r>
                </w:p>
              </w:tc>
              <w:tc>
                <w:tcPr>
                  <w:tcW w:w="446" w:type="pct"/>
                  <w:noWrap w:val="0"/>
                  <w:vAlign w:val="center"/>
                </w:tcPr>
                <w:p w14:paraId="4B6EB833">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依托可行</w:t>
                  </w:r>
                </w:p>
              </w:tc>
              <w:tc>
                <w:tcPr>
                  <w:tcW w:w="446" w:type="pct"/>
                  <w:noWrap w:val="0"/>
                  <w:vAlign w:val="center"/>
                </w:tcPr>
                <w:p w14:paraId="4B182239">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已建成</w:t>
                  </w:r>
                </w:p>
              </w:tc>
            </w:tr>
            <w:tr w14:paraId="62B6A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continue"/>
                  <w:noWrap w:val="0"/>
                  <w:vAlign w:val="center"/>
                </w:tcPr>
                <w:p w14:paraId="5EB5ACCF">
                  <w:pPr>
                    <w:keepNext w:val="0"/>
                    <w:keepLines w:val="0"/>
                    <w:pageBreakBefore w:val="0"/>
                    <w:widowControl w:val="0"/>
                    <w:kinsoku/>
                    <w:wordWrap/>
                    <w:overflowPunct w:val="0"/>
                    <w:topLinePunct/>
                    <w:autoSpaceDE/>
                    <w:autoSpaceDN/>
                    <w:bidi w:val="0"/>
                    <w:adjustRightInd/>
                    <w:snapToGrid/>
                    <w:jc w:val="center"/>
                    <w:textAlignment w:val="auto"/>
                    <w:rPr>
                      <w:rFonts w:hint="eastAsia" w:cs="Times New Roman"/>
                      <w:color w:val="auto"/>
                      <w:sz w:val="21"/>
                      <w:szCs w:val="21"/>
                      <w:highlight w:val="none"/>
                      <w:lang w:val="en-US" w:eastAsia="zh-CN"/>
                    </w:rPr>
                  </w:pPr>
                </w:p>
              </w:tc>
              <w:tc>
                <w:tcPr>
                  <w:tcW w:w="658" w:type="pct"/>
                  <w:vMerge w:val="continue"/>
                  <w:noWrap w:val="0"/>
                  <w:vAlign w:val="center"/>
                </w:tcPr>
                <w:p w14:paraId="0925EBC2">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p>
              </w:tc>
              <w:tc>
                <w:tcPr>
                  <w:tcW w:w="719" w:type="pct"/>
                  <w:noWrap w:val="0"/>
                  <w:vAlign w:val="center"/>
                </w:tcPr>
                <w:p w14:paraId="547AF11D">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生化池</w:t>
                  </w:r>
                </w:p>
              </w:tc>
              <w:tc>
                <w:tcPr>
                  <w:tcW w:w="2459" w:type="pct"/>
                  <w:noWrap w:val="0"/>
                  <w:vAlign w:val="center"/>
                </w:tcPr>
                <w:p w14:paraId="131503C7">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w:t>
                  </w:r>
                  <w:r>
                    <w:rPr>
                      <w:rFonts w:hint="default" w:ascii="Times New Roman" w:hAnsi="Times New Roman" w:cs="Times New Roman"/>
                      <w:color w:val="auto"/>
                      <w:sz w:val="21"/>
                      <w:szCs w:val="21"/>
                      <w:highlight w:val="none"/>
                      <w:lang w:val="en-US" w:eastAsia="zh-CN"/>
                    </w:rPr>
                    <w:t>位于办公楼、倒班楼及精炼车间旁，</w:t>
                  </w:r>
                  <w:r>
                    <w:rPr>
                      <w:rFonts w:hint="default" w:ascii="Times New Roman" w:hAnsi="Times New Roman" w:eastAsia="宋体" w:cs="Times New Roman"/>
                      <w:color w:val="auto"/>
                      <w:sz w:val="21"/>
                      <w:szCs w:val="21"/>
                      <w:highlight w:val="none"/>
                    </w:rPr>
                    <w:t>处理能力</w:t>
                  </w:r>
                  <w:r>
                    <w:rPr>
                      <w:rFonts w:hint="default" w:ascii="Times New Roman" w:hAnsi="Times New Roman" w:cs="Times New Roman"/>
                      <w:color w:val="auto"/>
                      <w:sz w:val="21"/>
                      <w:szCs w:val="21"/>
                      <w:highlight w:val="none"/>
                      <w:lang w:val="en-US" w:eastAsia="zh-CN"/>
                    </w:rPr>
                    <w:t>共计</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default" w:ascii="Times New Roman" w:hAnsi="Times New Roman" w:cs="Times New Roman"/>
                      <w:color w:val="auto"/>
                      <w:sz w:val="21"/>
                      <w:szCs w:val="21"/>
                      <w:highlight w:val="none"/>
                      <w:lang w:val="en-US" w:eastAsia="zh-CN"/>
                    </w:rPr>
                    <w:t>用于收集</w:t>
                  </w:r>
                  <w:r>
                    <w:rPr>
                      <w:rFonts w:hint="default" w:ascii="Times New Roman" w:hAnsi="Times New Roman" w:eastAsia="宋体" w:cs="Times New Roman"/>
                      <w:color w:val="auto"/>
                      <w:sz w:val="21"/>
                      <w:szCs w:val="21"/>
                      <w:highlight w:val="none"/>
                    </w:rPr>
                    <w:t>处理生活污水</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改建</w:t>
                  </w:r>
                  <w:r>
                    <w:rPr>
                      <w:rFonts w:hint="eastAsia" w:ascii="Times New Roman" w:hAnsi="Times New Roman" w:eastAsia="宋体" w:cs="Times New Roman"/>
                      <w:color w:val="auto"/>
                      <w:sz w:val="21"/>
                      <w:szCs w:val="21"/>
                      <w:highlight w:val="none"/>
                      <w:lang w:val="en-US" w:eastAsia="zh-CN"/>
                    </w:rPr>
                    <w:t>项目不新增人员，不新增生活污水排放</w:t>
                  </w:r>
                </w:p>
              </w:tc>
              <w:tc>
                <w:tcPr>
                  <w:tcW w:w="446" w:type="pct"/>
                  <w:noWrap w:val="0"/>
                  <w:vAlign w:val="center"/>
                </w:tcPr>
                <w:p w14:paraId="1F5857F0">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依托可行</w:t>
                  </w:r>
                </w:p>
              </w:tc>
              <w:tc>
                <w:tcPr>
                  <w:tcW w:w="446" w:type="pct"/>
                  <w:noWrap w:val="0"/>
                  <w:vAlign w:val="center"/>
                </w:tcPr>
                <w:p w14:paraId="7A71D067">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已建成</w:t>
                  </w:r>
                </w:p>
              </w:tc>
            </w:tr>
            <w:tr w14:paraId="05238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continue"/>
                  <w:noWrap w:val="0"/>
                  <w:vAlign w:val="center"/>
                </w:tcPr>
                <w:p w14:paraId="4FF5F3C6">
                  <w:pPr>
                    <w:keepNext w:val="0"/>
                    <w:keepLines w:val="0"/>
                    <w:pageBreakBefore w:val="0"/>
                    <w:widowControl w:val="0"/>
                    <w:kinsoku/>
                    <w:wordWrap/>
                    <w:overflowPunct w:val="0"/>
                    <w:topLinePunct/>
                    <w:autoSpaceDE/>
                    <w:autoSpaceDN/>
                    <w:bidi w:val="0"/>
                    <w:adjustRightInd/>
                    <w:snapToGrid/>
                    <w:jc w:val="center"/>
                    <w:textAlignment w:val="auto"/>
                    <w:rPr>
                      <w:rFonts w:hint="eastAsia" w:cs="Times New Roman"/>
                      <w:color w:val="auto"/>
                      <w:sz w:val="21"/>
                      <w:szCs w:val="21"/>
                      <w:highlight w:val="none"/>
                      <w:lang w:val="en-US" w:eastAsia="zh-CN"/>
                    </w:rPr>
                  </w:pPr>
                </w:p>
              </w:tc>
              <w:tc>
                <w:tcPr>
                  <w:tcW w:w="658" w:type="pct"/>
                  <w:vMerge w:val="continue"/>
                  <w:noWrap w:val="0"/>
                  <w:vAlign w:val="center"/>
                </w:tcPr>
                <w:p w14:paraId="4C4352B8">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p>
              </w:tc>
              <w:tc>
                <w:tcPr>
                  <w:tcW w:w="719" w:type="pct"/>
                  <w:noWrap w:val="0"/>
                  <w:vAlign w:val="center"/>
                </w:tcPr>
                <w:p w14:paraId="421BCBB8">
                  <w:pPr>
                    <w:keepNext w:val="0"/>
                    <w:keepLines w:val="0"/>
                    <w:pageBreakBefore w:val="0"/>
                    <w:widowControl w:val="0"/>
                    <w:kinsoku/>
                    <w:wordWrap/>
                    <w:overflowPunct w:val="0"/>
                    <w:topLinePunct/>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危险废物</w:t>
                  </w:r>
                </w:p>
              </w:tc>
              <w:tc>
                <w:tcPr>
                  <w:tcW w:w="2459" w:type="pct"/>
                  <w:noWrap w:val="0"/>
                  <w:vAlign w:val="center"/>
                </w:tcPr>
                <w:p w14:paraId="70722E13">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项目废活性炭经收集后暂存于危废暂存间，面积15m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，定期交有资质单位处置，现有工程已设置满足要求危废暂存间，暂存能力为10t，现暂储量为2t，满足项目暂存需求</w:t>
                  </w:r>
                </w:p>
              </w:tc>
              <w:tc>
                <w:tcPr>
                  <w:tcW w:w="446" w:type="pct"/>
                  <w:noWrap w:val="0"/>
                  <w:vAlign w:val="center"/>
                </w:tcPr>
                <w:p w14:paraId="5F2203C4">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依托可行</w:t>
                  </w:r>
                </w:p>
              </w:tc>
              <w:tc>
                <w:tcPr>
                  <w:tcW w:w="446" w:type="pct"/>
                  <w:noWrap w:val="0"/>
                  <w:vAlign w:val="center"/>
                </w:tcPr>
                <w:p w14:paraId="1D5569DD">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已建成</w:t>
                  </w:r>
                </w:p>
              </w:tc>
            </w:tr>
            <w:tr w14:paraId="07441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70" w:type="pct"/>
                  <w:vMerge w:val="continue"/>
                  <w:noWrap w:val="0"/>
                  <w:vAlign w:val="center"/>
                </w:tcPr>
                <w:p w14:paraId="564FA19C">
                  <w:pPr>
                    <w:keepNext w:val="0"/>
                    <w:keepLines w:val="0"/>
                    <w:pageBreakBefore w:val="0"/>
                    <w:widowControl w:val="0"/>
                    <w:kinsoku/>
                    <w:wordWrap/>
                    <w:overflowPunct w:val="0"/>
                    <w:topLinePunct/>
                    <w:autoSpaceDE/>
                    <w:autoSpaceDN/>
                    <w:bidi w:val="0"/>
                    <w:adjustRightInd/>
                    <w:snapToGrid/>
                    <w:jc w:val="center"/>
                    <w:textAlignment w:val="auto"/>
                    <w:rPr>
                      <w:rFonts w:hint="eastAsia" w:cs="Times New Roman"/>
                      <w:color w:val="auto"/>
                      <w:sz w:val="21"/>
                      <w:szCs w:val="21"/>
                      <w:highlight w:val="none"/>
                      <w:lang w:val="en-US" w:eastAsia="zh-CN"/>
                    </w:rPr>
                  </w:pPr>
                </w:p>
              </w:tc>
              <w:tc>
                <w:tcPr>
                  <w:tcW w:w="658" w:type="pct"/>
                  <w:vMerge w:val="continue"/>
                  <w:noWrap w:val="0"/>
                  <w:vAlign w:val="center"/>
                </w:tcPr>
                <w:p w14:paraId="0DEEB631">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p>
              </w:tc>
              <w:tc>
                <w:tcPr>
                  <w:tcW w:w="719" w:type="pct"/>
                  <w:noWrap w:val="0"/>
                  <w:vAlign w:val="center"/>
                </w:tcPr>
                <w:p w14:paraId="47A0443F">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2459" w:type="pct"/>
                  <w:noWrap w:val="0"/>
                  <w:vAlign w:val="center"/>
                </w:tcPr>
                <w:p w14:paraId="7FCEBCAE">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污水处理站</w:t>
                  </w:r>
                  <w:r>
                    <w:rPr>
                      <w:rFonts w:hint="default" w:ascii="Times New Roman" w:hAnsi="Times New Roman" w:eastAsia="宋体" w:cs="Times New Roman"/>
                      <w:color w:val="auto"/>
                      <w:sz w:val="21"/>
                      <w:szCs w:val="21"/>
                      <w:highlight w:val="none"/>
                      <w:lang w:val="en-US" w:eastAsia="zh-CN"/>
                    </w:rPr>
                    <w:t>设臭气处理装置1套，采用</w:t>
                  </w:r>
                  <w:r>
                    <w:rPr>
                      <w:rFonts w:hint="eastAsia" w:cs="Times New Roman"/>
                      <w:color w:val="auto"/>
                      <w:sz w:val="21"/>
                      <w:szCs w:val="21"/>
                      <w:highlight w:val="none"/>
                      <w:lang w:val="en-US" w:eastAsia="zh-CN"/>
                    </w:rPr>
                    <w:t>碱液喷淋+次氯酸钠吸附+UV光氧除臭</w:t>
                  </w:r>
                  <w:r>
                    <w:rPr>
                      <w:rFonts w:hint="default" w:ascii="Times New Roman" w:hAnsi="Times New Roman" w:eastAsia="宋体" w:cs="Times New Roman"/>
                      <w:color w:val="auto"/>
                      <w:sz w:val="21"/>
                      <w:szCs w:val="21"/>
                      <w:highlight w:val="none"/>
                      <w:lang w:val="en-US" w:eastAsia="zh-CN"/>
                    </w:rPr>
                    <w:t>工艺，风量</w:t>
                  </w:r>
                  <w:r>
                    <w:rPr>
                      <w:rFonts w:hint="default" w:ascii="Times New Roman" w:hAnsi="Times New Roman"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r>
                    <w:rPr>
                      <w:rFonts w:hint="default" w:ascii="Times New Roman" w:hAnsi="Times New Roman" w:eastAsia="宋体" w:cs="Times New Roman"/>
                      <w:color w:val="auto"/>
                      <w:sz w:val="21"/>
                      <w:szCs w:val="21"/>
                      <w:highlight w:val="none"/>
                      <w:lang w:val="en-US" w:eastAsia="zh-CN"/>
                    </w:rPr>
                    <w:t>配套排气筒1根，高度15m</w:t>
                  </w:r>
                </w:p>
              </w:tc>
              <w:tc>
                <w:tcPr>
                  <w:tcW w:w="446" w:type="pct"/>
                  <w:noWrap w:val="0"/>
                  <w:vAlign w:val="center"/>
                </w:tcPr>
                <w:p w14:paraId="6B6B0091">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依托可行</w:t>
                  </w:r>
                </w:p>
              </w:tc>
              <w:tc>
                <w:tcPr>
                  <w:tcW w:w="446" w:type="pct"/>
                  <w:noWrap w:val="0"/>
                  <w:vAlign w:val="center"/>
                </w:tcPr>
                <w:p w14:paraId="43CE218E">
                  <w:pPr>
                    <w:keepNext w:val="0"/>
                    <w:keepLines w:val="0"/>
                    <w:pageBreakBefore w:val="0"/>
                    <w:widowControl w:val="0"/>
                    <w:kinsoku/>
                    <w:wordWrap/>
                    <w:overflowPunct w:val="0"/>
                    <w:topLinePunct/>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已建成</w:t>
                  </w:r>
                </w:p>
              </w:tc>
            </w:tr>
          </w:tbl>
          <w:p w14:paraId="1711879F">
            <w:pPr>
              <w:keepNext w:val="0"/>
              <w:keepLines w:val="0"/>
              <w:pageBreakBefore w:val="0"/>
              <w:kinsoku/>
              <w:wordWrap/>
              <w:overflowPunct w:val="0"/>
              <w:topLinePunct/>
              <w:autoSpaceDE/>
              <w:autoSpaceDN/>
              <w:bidi w:val="0"/>
              <w:adjustRightInd/>
              <w:snapToGrid/>
              <w:spacing w:line="460" w:lineRule="exact"/>
              <w:ind w:firstLine="482" w:firstLineChars="200"/>
              <w:jc w:val="both"/>
              <w:textAlignment w:val="auto"/>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2.3.4</w:t>
            </w:r>
            <w:r>
              <w:rPr>
                <w:rFonts w:hint="default" w:ascii="Times New Roman" w:hAnsi="Times New Roman" w:cs="Times New Roman"/>
                <w:b/>
                <w:color w:val="auto"/>
                <w:sz w:val="24"/>
                <w:szCs w:val="24"/>
                <w:highlight w:val="none"/>
                <w:lang w:val="en-US" w:eastAsia="zh-CN"/>
              </w:rPr>
              <w:t>建设规模</w:t>
            </w:r>
          </w:p>
          <w:p w14:paraId="6961E97C">
            <w:pPr>
              <w:keepNext w:val="0"/>
              <w:keepLines w:val="0"/>
              <w:pageBreakBefore w:val="0"/>
              <w:widowControl w:val="0"/>
              <w:kinsoku/>
              <w:wordWrap/>
              <w:overflowPunct w:val="0"/>
              <w:topLinePunct/>
              <w:autoSpaceDE/>
              <w:autoSpaceDN/>
              <w:bidi w:val="0"/>
              <w:adjustRightInd/>
              <w:snapToGrid/>
              <w:spacing w:line="46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精炼油主要为菜籽油，同时具备大豆油、葵花籽油、玉米油等精炼能力，精炼油品根据市场需求进行适时调整；项目灌装油包括项目精炼成品油及外购散装成品油，改建后灌装油品中精炼成品油灌装量由400t</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增加至600t</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，外购散装成品油灌装量由1100t</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缩减至900t</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，总灌装规模改建前后保持不变。储油罐区除储存精炼所需原料油和成品油，还需储存外购散装成品油以及代储油，</w:t>
            </w:r>
            <w:r>
              <w:rPr>
                <w:rFonts w:hint="eastAsia" w:ascii="Times New Roman" w:hAnsi="Times New Roman" w:eastAsia="宋体" w:cs="Times New Roman"/>
                <w:color w:val="auto"/>
                <w:sz w:val="24"/>
                <w:szCs w:val="24"/>
                <w:highlight w:val="none"/>
                <w:lang w:val="en-US" w:eastAsia="zh-CN"/>
              </w:rPr>
              <w:t>储存规模因实施长江上游珍稀特有鱼类国家级自</w:t>
            </w:r>
            <w:r>
              <w:rPr>
                <w:rFonts w:hint="eastAsia" w:ascii="Times New Roman" w:hAnsi="Times New Roman" w:cs="Times New Roman"/>
                <w:color w:val="auto"/>
                <w:spacing w:val="0"/>
                <w:position w:val="0"/>
                <w:sz w:val="24"/>
                <w:szCs w:val="24"/>
                <w:highlight w:val="none"/>
                <w:lang w:val="en-US" w:eastAsia="zh-CN"/>
              </w:rPr>
              <w:t>然保护区</w:t>
            </w:r>
            <w:r>
              <w:rPr>
                <w:rFonts w:hint="eastAsia" w:ascii="Times New Roman" w:hAnsi="Times New Roman" w:eastAsia="宋体" w:cs="Times New Roman"/>
                <w:color w:val="auto"/>
                <w:sz w:val="24"/>
                <w:szCs w:val="24"/>
                <w:highlight w:val="none"/>
                <w:lang w:val="en-US" w:eastAsia="zh-CN"/>
              </w:rPr>
              <w:t>重叠</w:t>
            </w:r>
            <w:r>
              <w:rPr>
                <w:rFonts w:hint="eastAsia" w:ascii="Times New Roman" w:hAnsi="Times New Roman" w:cs="Times New Roman"/>
                <w:color w:val="auto"/>
                <w:spacing w:val="0"/>
                <w:position w:val="0"/>
                <w:sz w:val="24"/>
                <w:szCs w:val="24"/>
                <w:highlight w:val="none"/>
                <w:lang w:val="en-US" w:eastAsia="zh-CN"/>
              </w:rPr>
              <w:t>范围</w:t>
            </w:r>
            <w:r>
              <w:rPr>
                <w:rFonts w:hint="eastAsia" w:ascii="Times New Roman" w:hAnsi="Times New Roman" w:eastAsia="宋体" w:cs="Times New Roman"/>
                <w:color w:val="auto"/>
                <w:sz w:val="24"/>
                <w:szCs w:val="24"/>
                <w:highlight w:val="none"/>
                <w:lang w:val="en-US" w:eastAsia="zh-CN"/>
              </w:rPr>
              <w:t>退让方案，减少0.15万t。</w:t>
            </w:r>
          </w:p>
          <w:p w14:paraId="38469408">
            <w:pPr>
              <w:keepNext w:val="0"/>
              <w:keepLines w:val="0"/>
              <w:pageBreakBefore w:val="0"/>
              <w:widowControl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改建前后全厂生产</w:t>
            </w:r>
            <w:r>
              <w:rPr>
                <w:rFonts w:hint="default" w:ascii="Times New Roman" w:hAnsi="Times New Roman" w:cs="Times New Roman"/>
                <w:color w:val="auto"/>
                <w:sz w:val="24"/>
                <w:szCs w:val="24"/>
                <w:highlight w:val="none"/>
                <w:lang w:val="en-US" w:eastAsia="zh-CN"/>
              </w:rPr>
              <w:t>规模</w:t>
            </w:r>
            <w:r>
              <w:rPr>
                <w:rFonts w:hint="default" w:ascii="Times New Roman" w:hAnsi="Times New Roman" w:eastAsia="宋体" w:cs="Times New Roman"/>
                <w:color w:val="auto"/>
                <w:sz w:val="24"/>
                <w:szCs w:val="24"/>
                <w:highlight w:val="none"/>
                <w:lang w:val="en-US" w:eastAsia="zh-CN"/>
              </w:rPr>
              <w:t>变化情况</w:t>
            </w:r>
            <w:r>
              <w:rPr>
                <w:rFonts w:hint="default" w:ascii="Times New Roman" w:hAnsi="Times New Roman" w:eastAsia="宋体" w:cs="Times New Roman"/>
                <w:color w:val="auto"/>
                <w:sz w:val="24"/>
                <w:szCs w:val="24"/>
                <w:highlight w:val="none"/>
                <w:lang w:eastAsia="zh-CN"/>
              </w:rPr>
              <w:t>见表2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-3。</w:t>
            </w:r>
          </w:p>
          <w:p w14:paraId="3D3EE729">
            <w:pPr>
              <w:keepNext w:val="0"/>
              <w:keepLines w:val="0"/>
              <w:pageBreakBefore w:val="0"/>
              <w:widowControl w:val="0"/>
              <w:kinsoku/>
              <w:wordWrap/>
              <w:overflowPunct w:val="0"/>
              <w:topLinePunct/>
              <w:autoSpaceDE/>
              <w:autoSpaceDN/>
              <w:bidi w:val="0"/>
              <w:adjustRightInd/>
              <w:snapToGrid/>
              <w:spacing w:line="460" w:lineRule="exact"/>
              <w:jc w:val="center"/>
              <w:textAlignment w:val="auto"/>
              <w:rPr>
                <w:rFonts w:hint="default" w:ascii="Times New Roman" w:hAnsi="Times New Roman" w:eastAsia="宋体" w:cs="Times New Roman"/>
                <w:b/>
                <w:bCs/>
                <w:color w:val="auto"/>
                <w:sz w:val="24"/>
                <w:szCs w:val="24"/>
                <w:highlight w:val="none"/>
                <w:lang w:eastAsia="zh-CN"/>
              </w:rPr>
            </w:pPr>
          </w:p>
          <w:p w14:paraId="26581CFE">
            <w:pPr>
              <w:keepNext w:val="0"/>
              <w:keepLines w:val="0"/>
              <w:pageBreakBefore w:val="0"/>
              <w:widowControl w:val="0"/>
              <w:kinsoku/>
              <w:wordWrap/>
              <w:overflowPunct w:val="0"/>
              <w:topLinePunct/>
              <w:autoSpaceDE/>
              <w:autoSpaceDN/>
              <w:bidi w:val="0"/>
              <w:adjustRightInd/>
              <w:snapToGrid/>
              <w:spacing w:line="460" w:lineRule="exact"/>
              <w:jc w:val="center"/>
              <w:textAlignment w:val="auto"/>
              <w:rPr>
                <w:rFonts w:hint="default" w:ascii="Times New Roman" w:hAnsi="Times New Roman" w:eastAsia="宋体" w:cs="Times New Roman"/>
                <w:b/>
                <w:bCs/>
                <w:color w:val="auto"/>
                <w:sz w:val="24"/>
                <w:szCs w:val="24"/>
                <w:highlight w:val="none"/>
                <w:lang w:eastAsia="zh-CN"/>
              </w:rPr>
            </w:pPr>
          </w:p>
          <w:p w14:paraId="38DCC7FC">
            <w:pPr>
              <w:keepNext w:val="0"/>
              <w:keepLines w:val="0"/>
              <w:pageBreakBefore w:val="0"/>
              <w:widowControl w:val="0"/>
              <w:kinsoku/>
              <w:wordWrap/>
              <w:overflowPunct w:val="0"/>
              <w:topLinePunct/>
              <w:autoSpaceDE/>
              <w:autoSpaceDN/>
              <w:bidi w:val="0"/>
              <w:adjustRightInd/>
              <w:snapToGrid/>
              <w:spacing w:line="460" w:lineRule="exact"/>
              <w:jc w:val="center"/>
              <w:textAlignment w:val="auto"/>
              <w:rPr>
                <w:rFonts w:hint="default" w:ascii="Times New Roman" w:hAnsi="Times New Roman" w:eastAsia="宋体" w:cs="Times New Roman"/>
                <w:b/>
                <w:bCs/>
                <w:color w:val="auto"/>
                <w:sz w:val="24"/>
                <w:szCs w:val="24"/>
                <w:highlight w:val="none"/>
                <w:lang w:eastAsia="zh-CN"/>
              </w:rPr>
            </w:pPr>
          </w:p>
          <w:p w14:paraId="590AB5FD">
            <w:pPr>
              <w:keepNext w:val="0"/>
              <w:keepLines w:val="0"/>
              <w:pageBreakBefore w:val="0"/>
              <w:widowControl w:val="0"/>
              <w:kinsoku/>
              <w:wordWrap/>
              <w:overflowPunct w:val="0"/>
              <w:topLinePunct/>
              <w:autoSpaceDE/>
              <w:autoSpaceDN/>
              <w:bidi w:val="0"/>
              <w:adjustRightInd/>
              <w:snapToGrid/>
              <w:spacing w:line="460" w:lineRule="exact"/>
              <w:jc w:val="center"/>
              <w:textAlignment w:val="auto"/>
              <w:rPr>
                <w:rFonts w:hint="default" w:ascii="Times New Roman" w:hAnsi="Times New Roman" w:eastAsia="宋体" w:cs="Times New Roman"/>
                <w:b/>
                <w:bCs/>
                <w:color w:val="auto"/>
                <w:sz w:val="22"/>
                <w:szCs w:val="22"/>
                <w:highlight w:val="none"/>
                <w:lang w:val="en-US" w:eastAsia="zh-CN"/>
              </w:rPr>
            </w:pPr>
            <w:r>
              <w:rPr>
                <w:rFonts w:hint="default" w:ascii="Times New Roman" w:hAnsi="Times New Roman" w:eastAsia="宋体" w:cs="Times New Roman"/>
                <w:b/>
                <w:bCs/>
                <w:color w:val="auto"/>
                <w:sz w:val="24"/>
                <w:szCs w:val="24"/>
                <w:highlight w:val="none"/>
                <w:lang w:eastAsia="zh-CN"/>
              </w:rPr>
              <w:t>表2</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-3项目</w:t>
            </w:r>
            <w:r>
              <w:rPr>
                <w:rFonts w:hint="eastAsia" w:cs="Times New Roman"/>
                <w:b/>
                <w:bCs/>
                <w:color w:val="auto"/>
                <w:sz w:val="24"/>
                <w:szCs w:val="24"/>
                <w:highlight w:val="none"/>
                <w:lang w:eastAsia="zh-CN"/>
              </w:rPr>
              <w:t>改建</w:t>
            </w:r>
            <w:r>
              <w:rPr>
                <w:rFonts w:hint="default" w:ascii="Times New Roman" w:hAnsi="Times New Roman" w:eastAsia="宋体" w:cs="Times New Roman"/>
                <w:b/>
                <w:bCs/>
                <w:color w:val="auto"/>
                <w:sz w:val="24"/>
                <w:szCs w:val="24"/>
                <w:highlight w:val="none"/>
                <w:lang w:eastAsia="zh-CN"/>
              </w:rPr>
              <w:t>前后</w:t>
            </w:r>
            <w:r>
              <w:rPr>
                <w:rFonts w:hint="eastAsia" w:cs="Times New Roman"/>
                <w:b/>
                <w:bCs/>
                <w:color w:val="auto"/>
                <w:sz w:val="24"/>
                <w:szCs w:val="24"/>
                <w:highlight w:val="none"/>
                <w:lang w:val="en-US" w:eastAsia="zh-CN"/>
              </w:rPr>
              <w:t>全厂</w:t>
            </w:r>
            <w:r>
              <w:rPr>
                <w:rFonts w:hint="default" w:ascii="Times New Roman" w:hAnsi="Times New Roman" w:cs="Times New Roman"/>
                <w:b/>
                <w:bCs/>
                <w:color w:val="auto"/>
                <w:sz w:val="24"/>
                <w:szCs w:val="24"/>
                <w:highlight w:val="none"/>
                <w:lang w:val="en-US" w:eastAsia="zh-CN"/>
              </w:rPr>
              <w:t>生产规模</w:t>
            </w:r>
            <w:r>
              <w:rPr>
                <w:rFonts w:hint="eastAsia" w:cs="Times New Roman"/>
                <w:b/>
                <w:bCs/>
                <w:color w:val="auto"/>
                <w:sz w:val="24"/>
                <w:szCs w:val="24"/>
                <w:highlight w:val="none"/>
                <w:lang w:val="en-US" w:eastAsia="zh-CN"/>
              </w:rPr>
              <w:t>统计表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32"/>
              <w:gridCol w:w="1082"/>
              <w:gridCol w:w="903"/>
              <w:gridCol w:w="1357"/>
              <w:gridCol w:w="1357"/>
              <w:gridCol w:w="1209"/>
              <w:gridCol w:w="1512"/>
            </w:tblGrid>
            <w:tr w14:paraId="1053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gridSpan w:val="3"/>
                  <w:noWrap w:val="0"/>
                  <w:vAlign w:val="center"/>
                </w:tcPr>
                <w:p w14:paraId="4828919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建设规模</w:t>
                  </w:r>
                </w:p>
              </w:tc>
              <w:tc>
                <w:tcPr>
                  <w:tcW w:w="539" w:type="pct"/>
                  <w:noWrap w:val="0"/>
                  <w:vAlign w:val="center"/>
                </w:tcPr>
                <w:p w14:paraId="3B020AE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单位</w:t>
                  </w:r>
                </w:p>
              </w:tc>
              <w:tc>
                <w:tcPr>
                  <w:tcW w:w="810" w:type="pct"/>
                  <w:noWrap w:val="0"/>
                  <w:vAlign w:val="center"/>
                </w:tcPr>
                <w:p w14:paraId="75360D1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改建</w:t>
                  </w:r>
                  <w:r>
                    <w:rPr>
                      <w:rFonts w:hint="default" w:ascii="Times New Roman" w:hAnsi="Times New Roman" w:eastAsia="宋体" w:cs="Times New Roman"/>
                      <w:color w:val="auto"/>
                      <w:sz w:val="21"/>
                      <w:szCs w:val="21"/>
                      <w:highlight w:val="none"/>
                      <w:vertAlign w:val="baseline"/>
                      <w:lang w:val="en-US" w:eastAsia="zh-CN"/>
                    </w:rPr>
                    <w:t>前</w:t>
                  </w:r>
                </w:p>
              </w:tc>
              <w:tc>
                <w:tcPr>
                  <w:tcW w:w="810" w:type="pct"/>
                  <w:noWrap w:val="0"/>
                  <w:vAlign w:val="center"/>
                </w:tcPr>
                <w:p w14:paraId="690B92B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改建</w:t>
                  </w:r>
                  <w:r>
                    <w:rPr>
                      <w:rFonts w:hint="default" w:ascii="Times New Roman" w:hAnsi="Times New Roman" w:eastAsia="宋体" w:cs="Times New Roman"/>
                      <w:color w:val="auto"/>
                      <w:sz w:val="21"/>
                      <w:szCs w:val="21"/>
                      <w:highlight w:val="none"/>
                      <w:vertAlign w:val="baseline"/>
                      <w:lang w:val="en-US" w:eastAsia="zh-CN"/>
                    </w:rPr>
                    <w:t>后</w:t>
                  </w:r>
                </w:p>
              </w:tc>
              <w:tc>
                <w:tcPr>
                  <w:tcW w:w="721" w:type="pct"/>
                  <w:noWrap w:val="0"/>
                  <w:vAlign w:val="center"/>
                </w:tcPr>
                <w:p w14:paraId="05009E0A">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变化情况</w:t>
                  </w:r>
                </w:p>
              </w:tc>
              <w:tc>
                <w:tcPr>
                  <w:tcW w:w="902" w:type="pct"/>
                  <w:noWrap w:val="0"/>
                  <w:vAlign w:val="center"/>
                </w:tcPr>
                <w:p w14:paraId="22F94821">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备注</w:t>
                  </w:r>
                </w:p>
              </w:tc>
            </w:tr>
            <w:tr w14:paraId="0FEC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gridSpan w:val="3"/>
                  <w:noWrap w:val="0"/>
                  <w:vAlign w:val="center"/>
                </w:tcPr>
                <w:p w14:paraId="48168D35">
                  <w:pPr>
                    <w:keepNext w:val="0"/>
                    <w:keepLines w:val="0"/>
                    <w:widowControl/>
                    <w:suppressLineNumbers w:val="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精炼</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菜籽油、大豆油、葵花籽油、玉米油</w:t>
                  </w:r>
                  <w:r>
                    <w:rPr>
                      <w:rFonts w:hint="eastAsia" w:cs="Times New Roman"/>
                      <w:color w:val="auto"/>
                      <w:sz w:val="21"/>
                      <w:szCs w:val="21"/>
                      <w:highlight w:val="none"/>
                      <w:vertAlign w:val="baseline"/>
                      <w:lang w:val="en-US" w:eastAsia="zh-CN"/>
                    </w:rPr>
                    <w:t>）</w:t>
                  </w:r>
                </w:p>
              </w:tc>
              <w:tc>
                <w:tcPr>
                  <w:tcW w:w="539" w:type="pct"/>
                  <w:noWrap w:val="0"/>
                  <w:vAlign w:val="center"/>
                </w:tcPr>
                <w:p w14:paraId="7B6CBE2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t/d</w:t>
                  </w:r>
                </w:p>
              </w:tc>
              <w:tc>
                <w:tcPr>
                  <w:tcW w:w="810" w:type="pct"/>
                  <w:noWrap w:val="0"/>
                  <w:vAlign w:val="center"/>
                </w:tcPr>
                <w:p w14:paraId="0662688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400</w:t>
                  </w:r>
                </w:p>
              </w:tc>
              <w:tc>
                <w:tcPr>
                  <w:tcW w:w="810" w:type="pct"/>
                  <w:noWrap w:val="0"/>
                  <w:vAlign w:val="center"/>
                </w:tcPr>
                <w:p w14:paraId="59D84AE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600</w:t>
                  </w:r>
                </w:p>
              </w:tc>
              <w:tc>
                <w:tcPr>
                  <w:tcW w:w="721" w:type="pct"/>
                  <w:noWrap w:val="0"/>
                  <w:vAlign w:val="center"/>
                </w:tcPr>
                <w:p w14:paraId="1DB0F66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+200</w:t>
                  </w:r>
                </w:p>
              </w:tc>
              <w:tc>
                <w:tcPr>
                  <w:tcW w:w="902" w:type="pct"/>
                  <w:noWrap w:val="0"/>
                  <w:vAlign w:val="center"/>
                </w:tcPr>
                <w:p w14:paraId="3AF3EB4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去灌装</w:t>
                  </w:r>
                </w:p>
              </w:tc>
            </w:tr>
            <w:tr w14:paraId="7DD1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1" w:type="pct"/>
                  <w:vMerge w:val="restart"/>
                  <w:noWrap w:val="0"/>
                  <w:vAlign w:val="center"/>
                </w:tcPr>
                <w:p w14:paraId="0685FAD5">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成品包装油（灌装）</w:t>
                  </w:r>
                </w:p>
              </w:tc>
              <w:tc>
                <w:tcPr>
                  <w:tcW w:w="665" w:type="pct"/>
                  <w:gridSpan w:val="2"/>
                  <w:noWrap w:val="0"/>
                  <w:vAlign w:val="center"/>
                </w:tcPr>
                <w:p w14:paraId="6CF8F1F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精炼成品油</w:t>
                  </w:r>
                </w:p>
              </w:tc>
              <w:tc>
                <w:tcPr>
                  <w:tcW w:w="539" w:type="pct"/>
                  <w:noWrap w:val="0"/>
                  <w:vAlign w:val="center"/>
                </w:tcPr>
                <w:p w14:paraId="3A549CD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t/d</w:t>
                  </w:r>
                </w:p>
              </w:tc>
              <w:tc>
                <w:tcPr>
                  <w:tcW w:w="810" w:type="pct"/>
                  <w:noWrap w:val="0"/>
                  <w:vAlign w:val="center"/>
                </w:tcPr>
                <w:p w14:paraId="0A61EB0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r>
                    <w:rPr>
                      <w:rFonts w:hint="default" w:ascii="Times New Roman" w:hAnsi="Times New Roman" w:cs="Times New Roman"/>
                      <w:color w:val="auto"/>
                      <w:sz w:val="21"/>
                      <w:szCs w:val="21"/>
                      <w:highlight w:val="none"/>
                      <w:vertAlign w:val="baseline"/>
                      <w:lang w:val="en-US" w:eastAsia="zh-CN"/>
                    </w:rPr>
                    <w:t>00</w:t>
                  </w:r>
                </w:p>
              </w:tc>
              <w:tc>
                <w:tcPr>
                  <w:tcW w:w="810" w:type="pct"/>
                  <w:noWrap w:val="0"/>
                  <w:vAlign w:val="center"/>
                </w:tcPr>
                <w:p w14:paraId="567C970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w:t>
                  </w:r>
                  <w:r>
                    <w:rPr>
                      <w:rFonts w:hint="default" w:ascii="Times New Roman" w:hAnsi="Times New Roman" w:cs="Times New Roman"/>
                      <w:color w:val="auto"/>
                      <w:sz w:val="21"/>
                      <w:szCs w:val="21"/>
                      <w:highlight w:val="none"/>
                      <w:vertAlign w:val="baseline"/>
                      <w:lang w:val="en-US" w:eastAsia="zh-CN"/>
                    </w:rPr>
                    <w:t>00</w:t>
                  </w:r>
                </w:p>
              </w:tc>
              <w:tc>
                <w:tcPr>
                  <w:tcW w:w="721" w:type="pct"/>
                  <w:noWrap w:val="0"/>
                  <w:vAlign w:val="center"/>
                </w:tcPr>
                <w:p w14:paraId="41C59B2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+200</w:t>
                  </w:r>
                </w:p>
              </w:tc>
              <w:tc>
                <w:tcPr>
                  <w:tcW w:w="902" w:type="pct"/>
                  <w:noWrap w:val="0"/>
                  <w:vAlign w:val="center"/>
                </w:tcPr>
                <w:p w14:paraId="3257060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外售</w:t>
                  </w:r>
                </w:p>
              </w:tc>
            </w:tr>
            <w:tr w14:paraId="07B9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1" w:type="pct"/>
                  <w:vMerge w:val="continue"/>
                  <w:noWrap w:val="0"/>
                  <w:vAlign w:val="center"/>
                </w:tcPr>
                <w:p w14:paraId="0333B58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65" w:type="pct"/>
                  <w:gridSpan w:val="2"/>
                  <w:noWrap w:val="0"/>
                  <w:vAlign w:val="center"/>
                </w:tcPr>
                <w:p w14:paraId="6D94F10B">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外购散装成品油</w:t>
                  </w:r>
                </w:p>
              </w:tc>
              <w:tc>
                <w:tcPr>
                  <w:tcW w:w="539" w:type="pct"/>
                  <w:noWrap w:val="0"/>
                  <w:vAlign w:val="center"/>
                </w:tcPr>
                <w:p w14:paraId="57DEC13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t/d</w:t>
                  </w:r>
                </w:p>
              </w:tc>
              <w:tc>
                <w:tcPr>
                  <w:tcW w:w="810" w:type="pct"/>
                  <w:noWrap w:val="0"/>
                  <w:vAlign w:val="center"/>
                </w:tcPr>
                <w:p w14:paraId="54C802C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1100</w:t>
                  </w:r>
                </w:p>
              </w:tc>
              <w:tc>
                <w:tcPr>
                  <w:tcW w:w="810" w:type="pct"/>
                  <w:noWrap w:val="0"/>
                  <w:vAlign w:val="center"/>
                </w:tcPr>
                <w:p w14:paraId="7EFC69F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900</w:t>
                  </w:r>
                </w:p>
              </w:tc>
              <w:tc>
                <w:tcPr>
                  <w:tcW w:w="721" w:type="pct"/>
                  <w:noWrap w:val="0"/>
                  <w:vAlign w:val="center"/>
                </w:tcPr>
                <w:p w14:paraId="5EBA522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-200</w:t>
                  </w:r>
                </w:p>
              </w:tc>
              <w:tc>
                <w:tcPr>
                  <w:tcW w:w="902" w:type="pct"/>
                  <w:noWrap w:val="0"/>
                  <w:vAlign w:val="center"/>
                </w:tcPr>
                <w:p w14:paraId="1E102B2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外售</w:t>
                  </w:r>
                </w:p>
              </w:tc>
            </w:tr>
            <w:tr w14:paraId="4357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1" w:type="pct"/>
                  <w:vMerge w:val="continue"/>
                  <w:noWrap w:val="0"/>
                  <w:vAlign w:val="center"/>
                </w:tcPr>
                <w:p w14:paraId="63FFEDD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65" w:type="pct"/>
                  <w:gridSpan w:val="2"/>
                  <w:noWrap w:val="0"/>
                  <w:vAlign w:val="center"/>
                </w:tcPr>
                <w:p w14:paraId="4FD0E101">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合计</w:t>
                  </w:r>
                </w:p>
              </w:tc>
              <w:tc>
                <w:tcPr>
                  <w:tcW w:w="539" w:type="pct"/>
                  <w:noWrap w:val="0"/>
                  <w:vAlign w:val="center"/>
                </w:tcPr>
                <w:p w14:paraId="25778C0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t/d</w:t>
                  </w:r>
                </w:p>
              </w:tc>
              <w:tc>
                <w:tcPr>
                  <w:tcW w:w="810" w:type="pct"/>
                  <w:noWrap w:val="0"/>
                  <w:vAlign w:val="center"/>
                </w:tcPr>
                <w:p w14:paraId="0B0264AA">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1500</w:t>
                  </w:r>
                </w:p>
              </w:tc>
              <w:tc>
                <w:tcPr>
                  <w:tcW w:w="810" w:type="pct"/>
                  <w:noWrap w:val="0"/>
                  <w:vAlign w:val="center"/>
                </w:tcPr>
                <w:p w14:paraId="4EA01D9A">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1500</w:t>
                  </w:r>
                </w:p>
              </w:tc>
              <w:tc>
                <w:tcPr>
                  <w:tcW w:w="721" w:type="pct"/>
                  <w:noWrap w:val="0"/>
                  <w:vAlign w:val="center"/>
                </w:tcPr>
                <w:p w14:paraId="776E3F5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w:t>
                  </w:r>
                </w:p>
              </w:tc>
              <w:tc>
                <w:tcPr>
                  <w:tcW w:w="902" w:type="pct"/>
                  <w:noWrap w:val="0"/>
                  <w:vAlign w:val="center"/>
                </w:tcPr>
                <w:p w14:paraId="5458FA0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p>
              </w:tc>
            </w:tr>
            <w:tr w14:paraId="627C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pct"/>
                  <w:gridSpan w:val="3"/>
                  <w:noWrap w:val="0"/>
                  <w:vAlign w:val="center"/>
                </w:tcPr>
                <w:p w14:paraId="1028FDDA">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制瓶</w:t>
                  </w:r>
                </w:p>
              </w:tc>
              <w:tc>
                <w:tcPr>
                  <w:tcW w:w="539" w:type="pct"/>
                  <w:noWrap w:val="0"/>
                  <w:vAlign w:val="center"/>
                </w:tcPr>
                <w:p w14:paraId="20E52F7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万个/年</w:t>
                  </w:r>
                </w:p>
              </w:tc>
              <w:tc>
                <w:tcPr>
                  <w:tcW w:w="810" w:type="pct"/>
                  <w:noWrap w:val="0"/>
                  <w:vAlign w:val="center"/>
                </w:tcPr>
                <w:p w14:paraId="77D33E88">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1765</w:t>
                  </w:r>
                </w:p>
              </w:tc>
              <w:tc>
                <w:tcPr>
                  <w:tcW w:w="810" w:type="pct"/>
                  <w:noWrap w:val="0"/>
                  <w:vAlign w:val="center"/>
                </w:tcPr>
                <w:p w14:paraId="3022E8A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1765</w:t>
                  </w:r>
                </w:p>
              </w:tc>
              <w:tc>
                <w:tcPr>
                  <w:tcW w:w="721" w:type="pct"/>
                  <w:noWrap w:val="0"/>
                  <w:vAlign w:val="center"/>
                </w:tcPr>
                <w:p w14:paraId="550F8E4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902" w:type="pct"/>
                  <w:noWrap w:val="0"/>
                  <w:vAlign w:val="center"/>
                </w:tcPr>
                <w:p w14:paraId="2632843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去灌装</w:t>
                  </w:r>
                </w:p>
              </w:tc>
            </w:tr>
            <w:tr w14:paraId="365A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pct"/>
                  <w:gridSpan w:val="2"/>
                  <w:vMerge w:val="restart"/>
                  <w:shd w:val="clear" w:color="auto" w:fill="auto"/>
                  <w:noWrap w:val="0"/>
                  <w:vAlign w:val="center"/>
                </w:tcPr>
                <w:p w14:paraId="1B47B37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4"/>
                      <w:sz w:val="21"/>
                      <w:szCs w:val="21"/>
                      <w:highlight w:val="none"/>
                    </w:rPr>
                    <w:t>储油罐区</w:t>
                  </w:r>
                </w:p>
              </w:tc>
              <w:tc>
                <w:tcPr>
                  <w:tcW w:w="645" w:type="pct"/>
                  <w:shd w:val="clear" w:color="auto" w:fill="auto"/>
                  <w:noWrap w:val="0"/>
                  <w:vAlign w:val="center"/>
                </w:tcPr>
                <w:p w14:paraId="3BFB5B8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精炼原料油、成品油</w:t>
                  </w:r>
                </w:p>
              </w:tc>
              <w:tc>
                <w:tcPr>
                  <w:tcW w:w="539" w:type="pct"/>
                  <w:shd w:val="clear" w:color="auto" w:fill="auto"/>
                  <w:noWrap w:val="0"/>
                  <w:vAlign w:val="center"/>
                </w:tcPr>
                <w:p w14:paraId="4058C82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万</w:t>
                  </w:r>
                  <w:r>
                    <w:rPr>
                      <w:rFonts w:hint="default" w:ascii="Times New Roman" w:hAnsi="Times New Roman" w:eastAsia="宋体" w:cs="Times New Roman"/>
                      <w:color w:val="auto"/>
                      <w:sz w:val="21"/>
                      <w:szCs w:val="21"/>
                      <w:highlight w:val="none"/>
                      <w:vertAlign w:val="baseline"/>
                      <w:lang w:val="en-US" w:eastAsia="zh-CN"/>
                    </w:rPr>
                    <w:t>t</w:t>
                  </w:r>
                </w:p>
              </w:tc>
              <w:tc>
                <w:tcPr>
                  <w:tcW w:w="810" w:type="pct"/>
                  <w:shd w:val="clear" w:color="auto" w:fill="auto"/>
                  <w:noWrap w:val="0"/>
                  <w:vAlign w:val="center"/>
                </w:tcPr>
                <w:p w14:paraId="42C98208">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2.1</w:t>
                  </w:r>
                </w:p>
              </w:tc>
              <w:tc>
                <w:tcPr>
                  <w:tcW w:w="810" w:type="pct"/>
                  <w:shd w:val="clear" w:color="auto" w:fill="auto"/>
                  <w:noWrap w:val="0"/>
                  <w:vAlign w:val="center"/>
                </w:tcPr>
                <w:p w14:paraId="059FD57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3.1</w:t>
                  </w:r>
                </w:p>
              </w:tc>
              <w:tc>
                <w:tcPr>
                  <w:tcW w:w="721" w:type="pct"/>
                  <w:shd w:val="clear" w:color="auto" w:fill="auto"/>
                  <w:noWrap w:val="0"/>
                  <w:vAlign w:val="center"/>
                </w:tcPr>
                <w:p w14:paraId="034135C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+1.0</w:t>
                  </w:r>
                </w:p>
              </w:tc>
              <w:tc>
                <w:tcPr>
                  <w:tcW w:w="902" w:type="pct"/>
                  <w:shd w:val="clear" w:color="auto" w:fill="auto"/>
                  <w:noWrap w:val="0"/>
                  <w:vAlign w:val="center"/>
                </w:tcPr>
                <w:p w14:paraId="1C95E78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去精炼</w:t>
                  </w:r>
                </w:p>
              </w:tc>
            </w:tr>
            <w:tr w14:paraId="76CF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pct"/>
                  <w:gridSpan w:val="2"/>
                  <w:vMerge w:val="continue"/>
                  <w:shd w:val="clear" w:color="auto" w:fill="auto"/>
                  <w:noWrap w:val="0"/>
                  <w:vAlign w:val="center"/>
                </w:tcPr>
                <w:p w14:paraId="6BDEACF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5" w:type="pct"/>
                  <w:shd w:val="clear" w:color="auto" w:fill="auto"/>
                  <w:noWrap w:val="0"/>
                  <w:vAlign w:val="center"/>
                </w:tcPr>
                <w:p w14:paraId="678C305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灌装用散装成品油</w:t>
                  </w:r>
                </w:p>
              </w:tc>
              <w:tc>
                <w:tcPr>
                  <w:tcW w:w="539" w:type="pct"/>
                  <w:shd w:val="clear" w:color="auto" w:fill="auto"/>
                  <w:noWrap w:val="0"/>
                  <w:vAlign w:val="center"/>
                </w:tcPr>
                <w:p w14:paraId="29A46D1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万</w:t>
                  </w:r>
                  <w:r>
                    <w:rPr>
                      <w:rFonts w:hint="default" w:ascii="Times New Roman" w:hAnsi="Times New Roman" w:eastAsia="宋体" w:cs="Times New Roman"/>
                      <w:color w:val="auto"/>
                      <w:sz w:val="21"/>
                      <w:szCs w:val="21"/>
                      <w:highlight w:val="none"/>
                      <w:vertAlign w:val="baseline"/>
                      <w:lang w:val="en-US" w:eastAsia="zh-CN"/>
                    </w:rPr>
                    <w:t>t</w:t>
                  </w:r>
                </w:p>
              </w:tc>
              <w:tc>
                <w:tcPr>
                  <w:tcW w:w="810" w:type="pct"/>
                  <w:shd w:val="clear" w:color="auto" w:fill="auto"/>
                  <w:noWrap w:val="0"/>
                  <w:vAlign w:val="center"/>
                </w:tcPr>
                <w:p w14:paraId="4200E7EE">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2.75</w:t>
                  </w:r>
                </w:p>
              </w:tc>
              <w:tc>
                <w:tcPr>
                  <w:tcW w:w="810" w:type="pct"/>
                  <w:shd w:val="clear" w:color="auto" w:fill="auto"/>
                  <w:noWrap w:val="0"/>
                  <w:vAlign w:val="center"/>
                </w:tcPr>
                <w:p w14:paraId="0015AD6B">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2.25</w:t>
                  </w:r>
                </w:p>
              </w:tc>
              <w:tc>
                <w:tcPr>
                  <w:tcW w:w="721" w:type="pct"/>
                  <w:shd w:val="clear" w:color="auto" w:fill="auto"/>
                  <w:noWrap w:val="0"/>
                  <w:vAlign w:val="center"/>
                </w:tcPr>
                <w:p w14:paraId="44FD886E">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w:t>
                  </w:r>
                </w:p>
              </w:tc>
              <w:tc>
                <w:tcPr>
                  <w:tcW w:w="902" w:type="pct"/>
                  <w:shd w:val="clear" w:color="auto" w:fill="auto"/>
                  <w:noWrap w:val="0"/>
                  <w:vAlign w:val="center"/>
                </w:tcPr>
                <w:p w14:paraId="74741726">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去灌装</w:t>
                  </w:r>
                </w:p>
              </w:tc>
            </w:tr>
            <w:tr w14:paraId="04B3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pct"/>
                  <w:gridSpan w:val="2"/>
                  <w:vMerge w:val="continue"/>
                  <w:shd w:val="clear" w:color="auto" w:fill="auto"/>
                  <w:noWrap w:val="0"/>
                  <w:vAlign w:val="center"/>
                </w:tcPr>
                <w:p w14:paraId="24544B98">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5" w:type="pct"/>
                  <w:shd w:val="clear" w:color="auto" w:fill="auto"/>
                  <w:noWrap w:val="0"/>
                  <w:vAlign w:val="center"/>
                </w:tcPr>
                <w:p w14:paraId="2AD2B741">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代储油</w:t>
                  </w:r>
                </w:p>
              </w:tc>
              <w:tc>
                <w:tcPr>
                  <w:tcW w:w="539" w:type="pct"/>
                  <w:shd w:val="clear" w:color="auto" w:fill="auto"/>
                  <w:noWrap w:val="0"/>
                  <w:vAlign w:val="center"/>
                </w:tcPr>
                <w:p w14:paraId="6A1D92B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万</w:t>
                  </w:r>
                  <w:r>
                    <w:rPr>
                      <w:rFonts w:hint="default" w:ascii="Times New Roman" w:hAnsi="Times New Roman" w:eastAsia="宋体" w:cs="Times New Roman"/>
                      <w:color w:val="auto"/>
                      <w:sz w:val="21"/>
                      <w:szCs w:val="21"/>
                      <w:highlight w:val="none"/>
                      <w:vertAlign w:val="baseline"/>
                      <w:lang w:val="en-US" w:eastAsia="zh-CN"/>
                    </w:rPr>
                    <w:t>t</w:t>
                  </w:r>
                </w:p>
              </w:tc>
              <w:tc>
                <w:tcPr>
                  <w:tcW w:w="810" w:type="pct"/>
                  <w:shd w:val="clear" w:color="auto" w:fill="auto"/>
                  <w:noWrap w:val="0"/>
                  <w:vAlign w:val="center"/>
                </w:tcPr>
                <w:p w14:paraId="42B94AB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5.74</w:t>
                  </w:r>
                </w:p>
              </w:tc>
              <w:tc>
                <w:tcPr>
                  <w:tcW w:w="810" w:type="pct"/>
                  <w:shd w:val="clear" w:color="auto" w:fill="auto"/>
                  <w:noWrap w:val="0"/>
                  <w:vAlign w:val="center"/>
                </w:tcPr>
                <w:p w14:paraId="3F195F0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5.09</w:t>
                  </w:r>
                </w:p>
              </w:tc>
              <w:tc>
                <w:tcPr>
                  <w:tcW w:w="721" w:type="pct"/>
                  <w:shd w:val="clear" w:color="auto" w:fill="auto"/>
                  <w:noWrap w:val="0"/>
                  <w:vAlign w:val="center"/>
                </w:tcPr>
                <w:p w14:paraId="71246A9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-0.65</w:t>
                  </w:r>
                </w:p>
              </w:tc>
              <w:tc>
                <w:tcPr>
                  <w:tcW w:w="902" w:type="pct"/>
                  <w:shd w:val="clear" w:color="auto" w:fill="auto"/>
                  <w:noWrap w:val="0"/>
                  <w:vAlign w:val="center"/>
                </w:tcPr>
                <w:p w14:paraId="0FC6CD16">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代储油</w:t>
                  </w:r>
                </w:p>
              </w:tc>
            </w:tr>
            <w:tr w14:paraId="109C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0" w:type="pct"/>
                  <w:gridSpan w:val="2"/>
                  <w:vMerge w:val="continue"/>
                  <w:shd w:val="clear" w:color="auto" w:fill="auto"/>
                  <w:noWrap w:val="0"/>
                  <w:vAlign w:val="center"/>
                </w:tcPr>
                <w:p w14:paraId="5628FA4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645" w:type="pct"/>
                  <w:shd w:val="clear" w:color="auto" w:fill="auto"/>
                  <w:noWrap w:val="0"/>
                  <w:vAlign w:val="center"/>
                </w:tcPr>
                <w:p w14:paraId="3780B90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合计</w:t>
                  </w:r>
                </w:p>
              </w:tc>
              <w:tc>
                <w:tcPr>
                  <w:tcW w:w="539" w:type="pct"/>
                  <w:shd w:val="clear" w:color="auto" w:fill="auto"/>
                  <w:noWrap w:val="0"/>
                  <w:vAlign w:val="center"/>
                </w:tcPr>
                <w:p w14:paraId="0D4811AA">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万</w:t>
                  </w:r>
                  <w:r>
                    <w:rPr>
                      <w:rFonts w:hint="default" w:ascii="Times New Roman" w:hAnsi="Times New Roman" w:eastAsia="宋体" w:cs="Times New Roman"/>
                      <w:color w:val="auto"/>
                      <w:sz w:val="21"/>
                      <w:szCs w:val="21"/>
                      <w:highlight w:val="none"/>
                      <w:vertAlign w:val="baseline"/>
                      <w:lang w:val="en-US" w:eastAsia="zh-CN"/>
                    </w:rPr>
                    <w:t>t</w:t>
                  </w:r>
                </w:p>
              </w:tc>
              <w:tc>
                <w:tcPr>
                  <w:tcW w:w="810" w:type="pct"/>
                  <w:shd w:val="clear" w:color="auto" w:fill="auto"/>
                  <w:noWrap w:val="0"/>
                  <w:vAlign w:val="center"/>
                </w:tcPr>
                <w:p w14:paraId="6653BB35">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10.59</w:t>
                  </w:r>
                </w:p>
              </w:tc>
              <w:tc>
                <w:tcPr>
                  <w:tcW w:w="810" w:type="pct"/>
                  <w:shd w:val="clear" w:color="auto" w:fill="auto"/>
                  <w:noWrap w:val="0"/>
                  <w:vAlign w:val="center"/>
                </w:tcPr>
                <w:p w14:paraId="419E279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10.44</w:t>
                  </w:r>
                </w:p>
              </w:tc>
              <w:tc>
                <w:tcPr>
                  <w:tcW w:w="721" w:type="pct"/>
                  <w:shd w:val="clear" w:color="auto" w:fill="auto"/>
                  <w:noWrap w:val="0"/>
                  <w:vAlign w:val="center"/>
                </w:tcPr>
                <w:p w14:paraId="42FF56E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-0.15</w:t>
                  </w:r>
                </w:p>
              </w:tc>
              <w:tc>
                <w:tcPr>
                  <w:tcW w:w="902" w:type="pct"/>
                  <w:shd w:val="clear" w:color="auto" w:fill="auto"/>
                  <w:noWrap w:val="0"/>
                  <w:vAlign w:val="center"/>
                </w:tcPr>
                <w:p w14:paraId="1422187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p>
              </w:tc>
            </w:tr>
          </w:tbl>
          <w:p w14:paraId="053C9EAD">
            <w:pPr>
              <w:keepNext w:val="0"/>
              <w:keepLines w:val="0"/>
              <w:pageBreakBefore w:val="0"/>
              <w:widowControl w:val="0"/>
              <w:kinsoku/>
              <w:wordWrap/>
              <w:overflowPunct w:val="0"/>
              <w:topLinePunct/>
              <w:autoSpaceDE/>
              <w:autoSpaceDN/>
              <w:bidi w:val="0"/>
              <w:adjustRightInd/>
              <w:snapToGrid/>
              <w:spacing w:line="460" w:lineRule="exact"/>
              <w:ind w:firstLine="482" w:firstLineChars="200"/>
              <w:jc w:val="both"/>
              <w:textAlignment w:val="auto"/>
              <w:outlineLvl w:val="1"/>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2.3.5产品质量标准</w:t>
            </w:r>
          </w:p>
          <w:p w14:paraId="65E36BEE">
            <w:pPr>
              <w:keepNext w:val="0"/>
              <w:keepLines w:val="0"/>
              <w:pageBreakBefore w:val="0"/>
              <w:widowControl w:val="0"/>
              <w:kinsoku/>
              <w:wordWrap/>
              <w:overflowPunct w:val="0"/>
              <w:topLinePunct/>
              <w:autoSpaceDE/>
              <w:autoSpaceDN/>
              <w:bidi w:val="0"/>
              <w:adjustRightInd/>
              <w:snapToGrid/>
              <w:spacing w:line="460" w:lineRule="exact"/>
              <w:ind w:firstLine="480" w:firstLineChars="200"/>
              <w:jc w:val="both"/>
              <w:textAlignment w:val="auto"/>
              <w:outlineLvl w:val="1"/>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项目主要产品为成品油，等级根据要求为一级、二级、三级，主要为菜籽油、大豆油、葵花籽油、玉米油，菜籽油产品质量标准执行《菜籽油》（GB/T1536-2021），大豆油产品质量标准执行《大豆油》（GB/T1535-2017），葵花籽油产品质量标准执行《葵花籽油》（GB/T10464-2017），玉米油产品质量执行《玉米油》（GB/T19111-2017），其产品质量标准如下：</w:t>
            </w:r>
          </w:p>
          <w:p w14:paraId="4639C755">
            <w:pPr>
              <w:pStyle w:val="2"/>
              <w:jc w:val="center"/>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表2.3-4菜籽油产品质量标准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2002"/>
              <w:gridCol w:w="1928"/>
              <w:gridCol w:w="1765"/>
            </w:tblGrid>
            <w:tr w14:paraId="4E04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vMerge w:val="restart"/>
                  <w:vAlign w:val="center"/>
                </w:tcPr>
                <w:p w14:paraId="12A6E74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3400" w:type="pct"/>
                  <w:gridSpan w:val="3"/>
                  <w:vAlign w:val="center"/>
                </w:tcPr>
                <w:p w14:paraId="2DDA171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2DD1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vMerge w:val="continue"/>
                  <w:vAlign w:val="center"/>
                </w:tcPr>
                <w:p w14:paraId="42F5301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color w:val="auto"/>
                      <w:highlight w:val="none"/>
                    </w:rPr>
                  </w:pPr>
                </w:p>
              </w:tc>
              <w:tc>
                <w:tcPr>
                  <w:tcW w:w="1195" w:type="pct"/>
                  <w:vAlign w:val="center"/>
                </w:tcPr>
                <w:p w14:paraId="6F7BF47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一级</w:t>
                  </w:r>
                </w:p>
              </w:tc>
              <w:tc>
                <w:tcPr>
                  <w:tcW w:w="1151" w:type="pct"/>
                  <w:vAlign w:val="center"/>
                </w:tcPr>
                <w:p w14:paraId="5F16680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二级</w:t>
                  </w:r>
                </w:p>
              </w:tc>
              <w:tc>
                <w:tcPr>
                  <w:tcW w:w="1053" w:type="pct"/>
                  <w:vAlign w:val="center"/>
                </w:tcPr>
                <w:p w14:paraId="69F75A5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三级</w:t>
                  </w:r>
                </w:p>
              </w:tc>
            </w:tr>
            <w:tr w14:paraId="63F8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2AC77D2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1195" w:type="pct"/>
                  <w:vAlign w:val="center"/>
                </w:tcPr>
                <w:p w14:paraId="6C294CD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淡黄色至浅黄色</w:t>
                  </w:r>
                </w:p>
              </w:tc>
              <w:tc>
                <w:tcPr>
                  <w:tcW w:w="1151" w:type="pct"/>
                  <w:vAlign w:val="center"/>
                </w:tcPr>
                <w:p w14:paraId="233EC08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浅黄色至橙黄色</w:t>
                  </w:r>
                </w:p>
              </w:tc>
              <w:tc>
                <w:tcPr>
                  <w:tcW w:w="1053" w:type="pct"/>
                  <w:vAlign w:val="center"/>
                </w:tcPr>
                <w:p w14:paraId="050D464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橙黄色至棕褐色</w:t>
                  </w:r>
                </w:p>
              </w:tc>
            </w:tr>
            <w:tr w14:paraId="60E6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4790174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透明度（20℃）</w:t>
                  </w:r>
                </w:p>
              </w:tc>
              <w:tc>
                <w:tcPr>
                  <w:tcW w:w="1195" w:type="pct"/>
                  <w:vAlign w:val="center"/>
                </w:tcPr>
                <w:p w14:paraId="27EDB7A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澄清、透明</w:t>
                  </w:r>
                </w:p>
              </w:tc>
              <w:tc>
                <w:tcPr>
                  <w:tcW w:w="1151" w:type="pct"/>
                  <w:vAlign w:val="center"/>
                </w:tcPr>
                <w:p w14:paraId="10D6DEB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w:t>
                  </w:r>
                </w:p>
              </w:tc>
              <w:tc>
                <w:tcPr>
                  <w:tcW w:w="1053" w:type="pct"/>
                  <w:vAlign w:val="center"/>
                </w:tcPr>
                <w:p w14:paraId="7BC00F0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允许微浊</w:t>
                  </w:r>
                </w:p>
              </w:tc>
            </w:tr>
            <w:tr w14:paraId="4FC9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4A7121C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气味、滋味</w:t>
                  </w:r>
                </w:p>
              </w:tc>
              <w:tc>
                <w:tcPr>
                  <w:tcW w:w="1195" w:type="pct"/>
                  <w:vAlign w:val="center"/>
                </w:tcPr>
                <w:p w14:paraId="669D20B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无异味、口感好</w:t>
                  </w:r>
                </w:p>
              </w:tc>
              <w:tc>
                <w:tcPr>
                  <w:tcW w:w="1151" w:type="pct"/>
                  <w:vAlign w:val="center"/>
                </w:tcPr>
                <w:p w14:paraId="13CF2C3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无异味、口感良好</w:t>
                  </w:r>
                </w:p>
              </w:tc>
              <w:tc>
                <w:tcPr>
                  <w:tcW w:w="1053" w:type="pct"/>
                  <w:vAlign w:val="center"/>
                </w:tcPr>
                <w:p w14:paraId="053AF7E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具有菜籽油固有气味和滋味、无异味</w:t>
                  </w:r>
                </w:p>
              </w:tc>
            </w:tr>
            <w:tr w14:paraId="7BA0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1D73EF8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水分及挥发物含量/%≤</w:t>
                  </w:r>
                </w:p>
              </w:tc>
              <w:tc>
                <w:tcPr>
                  <w:tcW w:w="1195" w:type="pct"/>
                  <w:vAlign w:val="center"/>
                </w:tcPr>
                <w:p w14:paraId="4BB21E9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0.10</w:t>
                  </w:r>
                </w:p>
              </w:tc>
              <w:tc>
                <w:tcPr>
                  <w:tcW w:w="1151" w:type="pct"/>
                  <w:vAlign w:val="center"/>
                </w:tcPr>
                <w:p w14:paraId="6763F54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0.15</w:t>
                  </w:r>
                </w:p>
              </w:tc>
              <w:tc>
                <w:tcPr>
                  <w:tcW w:w="1053" w:type="pct"/>
                  <w:vAlign w:val="center"/>
                </w:tcPr>
                <w:p w14:paraId="7D3755A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0.2</w:t>
                  </w:r>
                </w:p>
              </w:tc>
            </w:tr>
            <w:tr w14:paraId="49D3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377C62D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不溶性杂质含量/%≤</w:t>
                  </w:r>
                </w:p>
              </w:tc>
              <w:tc>
                <w:tcPr>
                  <w:tcW w:w="1195" w:type="pct"/>
                  <w:vAlign w:val="center"/>
                </w:tcPr>
                <w:p w14:paraId="693C89E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c>
                <w:tcPr>
                  <w:tcW w:w="1151" w:type="pct"/>
                  <w:vAlign w:val="center"/>
                </w:tcPr>
                <w:p w14:paraId="0445A49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c>
                <w:tcPr>
                  <w:tcW w:w="1053" w:type="pct"/>
                  <w:vAlign w:val="center"/>
                </w:tcPr>
                <w:p w14:paraId="3ED7FCE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r>
            <w:tr w14:paraId="495B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1808707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酸价（以KOH计）（mg/g）≤</w:t>
                  </w:r>
                </w:p>
              </w:tc>
              <w:tc>
                <w:tcPr>
                  <w:tcW w:w="1195" w:type="pct"/>
                  <w:vAlign w:val="center"/>
                </w:tcPr>
                <w:p w14:paraId="6FB578F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0.5</w:t>
                  </w:r>
                </w:p>
              </w:tc>
              <w:tc>
                <w:tcPr>
                  <w:tcW w:w="1151" w:type="pct"/>
                  <w:vAlign w:val="center"/>
                </w:tcPr>
                <w:p w14:paraId="6A7110D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2.0</w:t>
                  </w:r>
                </w:p>
              </w:tc>
              <w:tc>
                <w:tcPr>
                  <w:tcW w:w="1053" w:type="pct"/>
                  <w:vAlign w:val="center"/>
                </w:tcPr>
                <w:p w14:paraId="4743107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3.0</w:t>
                  </w:r>
                </w:p>
              </w:tc>
            </w:tr>
            <w:tr w14:paraId="43AF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5989DA6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过氧化值（g/100g）≤</w:t>
                  </w:r>
                </w:p>
              </w:tc>
              <w:tc>
                <w:tcPr>
                  <w:tcW w:w="1195" w:type="pct"/>
                  <w:vAlign w:val="center"/>
                </w:tcPr>
                <w:p w14:paraId="0F8E2E9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0.125</w:t>
                  </w:r>
                </w:p>
              </w:tc>
              <w:tc>
                <w:tcPr>
                  <w:tcW w:w="2204" w:type="pct"/>
                  <w:gridSpan w:val="2"/>
                  <w:vAlign w:val="center"/>
                </w:tcPr>
                <w:p w14:paraId="3E6E4EC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0.25</w:t>
                  </w:r>
                </w:p>
              </w:tc>
            </w:tr>
            <w:tr w14:paraId="2A8F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426E7AA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加热试验（280℃）</w:t>
                  </w:r>
                </w:p>
              </w:tc>
              <w:tc>
                <w:tcPr>
                  <w:tcW w:w="1195" w:type="pct"/>
                  <w:vAlign w:val="center"/>
                </w:tcPr>
                <w:p w14:paraId="5923775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c>
                <w:tcPr>
                  <w:tcW w:w="1151" w:type="pct"/>
                  <w:vAlign w:val="center"/>
                </w:tcPr>
                <w:p w14:paraId="7E5DBBA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无析出物，油色不得变深</w:t>
                  </w:r>
                </w:p>
              </w:tc>
              <w:tc>
                <w:tcPr>
                  <w:tcW w:w="1053" w:type="pct"/>
                  <w:vAlign w:val="center"/>
                </w:tcPr>
                <w:p w14:paraId="3289228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允许微量析出物和油色变深，但不得变黑</w:t>
                  </w:r>
                </w:p>
              </w:tc>
            </w:tr>
            <w:tr w14:paraId="0553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1DF080D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含皂量/%≤</w:t>
                  </w:r>
                </w:p>
              </w:tc>
              <w:tc>
                <w:tcPr>
                  <w:tcW w:w="1195" w:type="pct"/>
                  <w:vAlign w:val="center"/>
                </w:tcPr>
                <w:p w14:paraId="42C5F3C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c>
                <w:tcPr>
                  <w:tcW w:w="2204" w:type="pct"/>
                  <w:gridSpan w:val="2"/>
                  <w:vAlign w:val="center"/>
                </w:tcPr>
                <w:p w14:paraId="1D838F4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0.03</w:t>
                  </w:r>
                </w:p>
              </w:tc>
            </w:tr>
            <w:tr w14:paraId="7B12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5A21EB0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冷冻试验（0℃储藏5.5h）</w:t>
                  </w:r>
                </w:p>
              </w:tc>
              <w:tc>
                <w:tcPr>
                  <w:tcW w:w="1195" w:type="pct"/>
                  <w:vAlign w:val="center"/>
                </w:tcPr>
                <w:p w14:paraId="1267F21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澄清、透明</w:t>
                  </w:r>
                </w:p>
              </w:tc>
              <w:tc>
                <w:tcPr>
                  <w:tcW w:w="2204" w:type="pct"/>
                  <w:gridSpan w:val="2"/>
                  <w:vAlign w:val="center"/>
                </w:tcPr>
                <w:p w14:paraId="6A415C9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r>
            <w:tr w14:paraId="0A40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7DC82DE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烟点/℃≥</w:t>
                  </w:r>
                </w:p>
              </w:tc>
              <w:tc>
                <w:tcPr>
                  <w:tcW w:w="1195" w:type="pct"/>
                  <w:vAlign w:val="center"/>
                </w:tcPr>
                <w:p w14:paraId="53F4CC6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190</w:t>
                  </w:r>
                </w:p>
              </w:tc>
              <w:tc>
                <w:tcPr>
                  <w:tcW w:w="2204" w:type="pct"/>
                  <w:gridSpan w:val="2"/>
                  <w:vAlign w:val="center"/>
                </w:tcPr>
                <w:p w14:paraId="74646AF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r>
            <w:tr w14:paraId="7BFD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214D0D4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溶剂残留量/（mg/kg）</w:t>
                  </w:r>
                </w:p>
              </w:tc>
              <w:tc>
                <w:tcPr>
                  <w:tcW w:w="1195" w:type="pct"/>
                  <w:vAlign w:val="center"/>
                </w:tcPr>
                <w:p w14:paraId="0863FAF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不得检出</w:t>
                  </w:r>
                </w:p>
              </w:tc>
              <w:tc>
                <w:tcPr>
                  <w:tcW w:w="2204" w:type="pct"/>
                  <w:gridSpan w:val="2"/>
                  <w:vAlign w:val="center"/>
                </w:tcPr>
                <w:p w14:paraId="196877A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w:t>
                  </w:r>
                  <w:r>
                    <w:rPr>
                      <w:rFonts w:hint="eastAsia" w:cs="Times New Roman" w:eastAsiaTheme="minorEastAsia"/>
                      <w:b w:val="0"/>
                      <w:bCs/>
                      <w:color w:val="auto"/>
                      <w:sz w:val="21"/>
                      <w:szCs w:val="21"/>
                      <w:highlight w:val="none"/>
                      <w:vertAlign w:val="baseline"/>
                      <w:lang w:val="en-US" w:eastAsia="zh-CN"/>
                    </w:rPr>
                    <w:t>20</w:t>
                  </w:r>
                </w:p>
              </w:tc>
            </w:tr>
          </w:tbl>
          <w:p w14:paraId="06C7B40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w:t>
            </w:r>
            <w:r>
              <w:rPr>
                <w:rFonts w:hint="eastAsia" w:cs="Times New Roman"/>
                <w:b/>
                <w:bCs w:val="0"/>
                <w:color w:val="auto"/>
                <w:kern w:val="2"/>
                <w:sz w:val="24"/>
                <w:szCs w:val="24"/>
                <w:highlight w:val="none"/>
                <w:lang w:val="en-US" w:eastAsia="zh-CN" w:bidi="ar-SA"/>
              </w:rPr>
              <w:t>5大豆油</w:t>
            </w:r>
            <w:r>
              <w:rPr>
                <w:rFonts w:hint="eastAsia" w:ascii="Times New Roman" w:hAnsi="Times New Roman" w:eastAsia="宋体" w:cs="Times New Roman"/>
                <w:b/>
                <w:bCs w:val="0"/>
                <w:color w:val="auto"/>
                <w:kern w:val="2"/>
                <w:sz w:val="24"/>
                <w:szCs w:val="24"/>
                <w:highlight w:val="none"/>
                <w:lang w:val="en-US" w:eastAsia="zh-CN" w:bidi="ar-SA"/>
              </w:rPr>
              <w:t>产品质量标准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2002"/>
              <w:gridCol w:w="1928"/>
              <w:gridCol w:w="1765"/>
            </w:tblGrid>
            <w:tr w14:paraId="6C6F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vMerge w:val="restart"/>
                  <w:vAlign w:val="center"/>
                </w:tcPr>
                <w:p w14:paraId="0304A35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3400" w:type="pct"/>
                  <w:gridSpan w:val="3"/>
                  <w:vAlign w:val="center"/>
                </w:tcPr>
                <w:p w14:paraId="5C3C728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6415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vMerge w:val="continue"/>
                  <w:vAlign w:val="center"/>
                </w:tcPr>
                <w:p w14:paraId="11BE2E7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color w:val="auto"/>
                      <w:highlight w:val="none"/>
                    </w:rPr>
                  </w:pPr>
                </w:p>
              </w:tc>
              <w:tc>
                <w:tcPr>
                  <w:tcW w:w="1195" w:type="pct"/>
                  <w:vAlign w:val="center"/>
                </w:tcPr>
                <w:p w14:paraId="430FF35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一级</w:t>
                  </w:r>
                </w:p>
              </w:tc>
              <w:tc>
                <w:tcPr>
                  <w:tcW w:w="1151" w:type="pct"/>
                  <w:vAlign w:val="center"/>
                </w:tcPr>
                <w:p w14:paraId="69BB092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二级</w:t>
                  </w:r>
                </w:p>
              </w:tc>
              <w:tc>
                <w:tcPr>
                  <w:tcW w:w="1053" w:type="pct"/>
                  <w:vAlign w:val="center"/>
                </w:tcPr>
                <w:p w14:paraId="37529AC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三级</w:t>
                  </w:r>
                </w:p>
              </w:tc>
            </w:tr>
            <w:tr w14:paraId="6B7A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23D6C70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1195" w:type="pct"/>
                  <w:vAlign w:val="center"/>
                </w:tcPr>
                <w:p w14:paraId="79D781E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淡黄色至浅黄色</w:t>
                  </w:r>
                </w:p>
              </w:tc>
              <w:tc>
                <w:tcPr>
                  <w:tcW w:w="1151" w:type="pct"/>
                  <w:vAlign w:val="center"/>
                </w:tcPr>
                <w:p w14:paraId="70EC8A7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浅黄色至橙黄色</w:t>
                  </w:r>
                </w:p>
              </w:tc>
              <w:tc>
                <w:tcPr>
                  <w:tcW w:w="1053" w:type="pct"/>
                  <w:vAlign w:val="center"/>
                </w:tcPr>
                <w:p w14:paraId="27D55D4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橙黄色至棕</w:t>
                  </w:r>
                  <w:r>
                    <w:rPr>
                      <w:rFonts w:hint="eastAsia" w:cs="Times New Roman" w:eastAsiaTheme="minorEastAsia"/>
                      <w:b w:val="0"/>
                      <w:bCs/>
                      <w:color w:val="auto"/>
                      <w:sz w:val="21"/>
                      <w:szCs w:val="21"/>
                      <w:highlight w:val="none"/>
                      <w:vertAlign w:val="baseline"/>
                      <w:lang w:val="en-US" w:eastAsia="zh-CN"/>
                    </w:rPr>
                    <w:t>红</w:t>
                  </w:r>
                  <w:r>
                    <w:rPr>
                      <w:rFonts w:hint="eastAsia" w:ascii="Times New Roman" w:hAnsi="Times New Roman" w:cs="Times New Roman" w:eastAsiaTheme="minorEastAsia"/>
                      <w:b w:val="0"/>
                      <w:bCs/>
                      <w:color w:val="auto"/>
                      <w:sz w:val="21"/>
                      <w:szCs w:val="21"/>
                      <w:highlight w:val="none"/>
                      <w:vertAlign w:val="baseline"/>
                      <w:lang w:val="en-US" w:eastAsia="zh-CN"/>
                    </w:rPr>
                    <w:t>色</w:t>
                  </w:r>
                </w:p>
              </w:tc>
            </w:tr>
            <w:tr w14:paraId="41B6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4953CE5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透明度（20℃）</w:t>
                  </w:r>
                </w:p>
              </w:tc>
              <w:tc>
                <w:tcPr>
                  <w:tcW w:w="1195" w:type="pct"/>
                  <w:vAlign w:val="center"/>
                </w:tcPr>
                <w:p w14:paraId="6C9417B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澄清、透明</w:t>
                  </w:r>
                </w:p>
              </w:tc>
              <w:tc>
                <w:tcPr>
                  <w:tcW w:w="1151" w:type="pct"/>
                  <w:vAlign w:val="center"/>
                </w:tcPr>
                <w:p w14:paraId="52D909B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w:t>
                  </w:r>
                </w:p>
              </w:tc>
              <w:tc>
                <w:tcPr>
                  <w:tcW w:w="1053" w:type="pct"/>
                  <w:vAlign w:val="center"/>
                </w:tcPr>
                <w:p w14:paraId="4D8B44A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允许微浊</w:t>
                  </w:r>
                </w:p>
              </w:tc>
            </w:tr>
            <w:tr w14:paraId="2591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6239524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气味、滋味</w:t>
                  </w:r>
                </w:p>
              </w:tc>
              <w:tc>
                <w:tcPr>
                  <w:tcW w:w="1195" w:type="pct"/>
                  <w:vAlign w:val="center"/>
                </w:tcPr>
                <w:p w14:paraId="62CEAC7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无异味、口感好</w:t>
                  </w:r>
                </w:p>
              </w:tc>
              <w:tc>
                <w:tcPr>
                  <w:tcW w:w="1151" w:type="pct"/>
                  <w:vAlign w:val="center"/>
                </w:tcPr>
                <w:p w14:paraId="0CADC02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无异味、口感良好</w:t>
                  </w:r>
                </w:p>
              </w:tc>
              <w:tc>
                <w:tcPr>
                  <w:tcW w:w="1053" w:type="pct"/>
                  <w:vAlign w:val="center"/>
                </w:tcPr>
                <w:p w14:paraId="568F9AB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具有</w:t>
                  </w:r>
                  <w:r>
                    <w:rPr>
                      <w:rFonts w:hint="eastAsia" w:cs="Times New Roman" w:eastAsiaTheme="minorEastAsia"/>
                      <w:b w:val="0"/>
                      <w:bCs/>
                      <w:color w:val="auto"/>
                      <w:sz w:val="21"/>
                      <w:szCs w:val="21"/>
                      <w:highlight w:val="none"/>
                      <w:vertAlign w:val="baseline"/>
                      <w:lang w:val="en-US" w:eastAsia="zh-CN"/>
                    </w:rPr>
                    <w:t>大豆油</w:t>
                  </w:r>
                  <w:r>
                    <w:rPr>
                      <w:rFonts w:hint="eastAsia" w:ascii="Times New Roman" w:hAnsi="Times New Roman" w:cs="Times New Roman" w:eastAsiaTheme="minorEastAsia"/>
                      <w:b w:val="0"/>
                      <w:bCs/>
                      <w:color w:val="auto"/>
                      <w:sz w:val="21"/>
                      <w:szCs w:val="21"/>
                      <w:highlight w:val="none"/>
                      <w:vertAlign w:val="baseline"/>
                      <w:lang w:val="en-US" w:eastAsia="zh-CN"/>
                    </w:rPr>
                    <w:t>固有气味和滋味、无异味</w:t>
                  </w:r>
                </w:p>
              </w:tc>
            </w:tr>
            <w:tr w14:paraId="0C92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246397D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水分及挥发物含量/%≤</w:t>
                  </w:r>
                </w:p>
              </w:tc>
              <w:tc>
                <w:tcPr>
                  <w:tcW w:w="1195" w:type="pct"/>
                  <w:vAlign w:val="center"/>
                </w:tcPr>
                <w:p w14:paraId="4E9E069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w:t>
                  </w:r>
                  <w:r>
                    <w:rPr>
                      <w:rFonts w:hint="eastAsia" w:cs="Times New Roman" w:eastAsiaTheme="minorEastAsia"/>
                      <w:b w:val="0"/>
                      <w:bCs/>
                      <w:color w:val="auto"/>
                      <w:sz w:val="21"/>
                      <w:szCs w:val="21"/>
                      <w:highlight w:val="none"/>
                      <w:vertAlign w:val="baseline"/>
                      <w:lang w:val="en-US" w:eastAsia="zh-CN"/>
                    </w:rPr>
                    <w:t>0</w:t>
                  </w:r>
                </w:p>
              </w:tc>
              <w:tc>
                <w:tcPr>
                  <w:tcW w:w="1151" w:type="pct"/>
                  <w:vAlign w:val="center"/>
                </w:tcPr>
                <w:p w14:paraId="536C1EF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0.15</w:t>
                  </w:r>
                </w:p>
              </w:tc>
              <w:tc>
                <w:tcPr>
                  <w:tcW w:w="1053" w:type="pct"/>
                  <w:vAlign w:val="center"/>
                </w:tcPr>
                <w:p w14:paraId="289C5F1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0.2</w:t>
                  </w:r>
                </w:p>
              </w:tc>
            </w:tr>
            <w:tr w14:paraId="5D2C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513FD1F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不溶性杂质含量/%≤</w:t>
                  </w:r>
                </w:p>
              </w:tc>
              <w:tc>
                <w:tcPr>
                  <w:tcW w:w="1195" w:type="pct"/>
                  <w:vAlign w:val="center"/>
                </w:tcPr>
                <w:p w14:paraId="1D8D857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c>
                <w:tcPr>
                  <w:tcW w:w="1151" w:type="pct"/>
                  <w:vAlign w:val="center"/>
                </w:tcPr>
                <w:p w14:paraId="7FFD840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c>
                <w:tcPr>
                  <w:tcW w:w="1053" w:type="pct"/>
                  <w:vAlign w:val="center"/>
                </w:tcPr>
                <w:p w14:paraId="4B83137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r>
            <w:tr w14:paraId="05E1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43AAE52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酸价（以KOH计）（mg/g）≤</w:t>
                  </w:r>
                </w:p>
              </w:tc>
              <w:tc>
                <w:tcPr>
                  <w:tcW w:w="1195" w:type="pct"/>
                  <w:vAlign w:val="center"/>
                </w:tcPr>
                <w:p w14:paraId="72013BA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0.5</w:t>
                  </w:r>
                </w:p>
              </w:tc>
              <w:tc>
                <w:tcPr>
                  <w:tcW w:w="1151" w:type="pct"/>
                  <w:vAlign w:val="center"/>
                </w:tcPr>
                <w:p w14:paraId="1554994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2.0</w:t>
                  </w:r>
                </w:p>
              </w:tc>
              <w:tc>
                <w:tcPr>
                  <w:tcW w:w="1053" w:type="pct"/>
                  <w:vAlign w:val="center"/>
                </w:tcPr>
                <w:p w14:paraId="247266E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按照GB2716执行</w:t>
                  </w:r>
                </w:p>
              </w:tc>
            </w:tr>
            <w:tr w14:paraId="6E07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20D296B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过氧化值（g/100g）≤</w:t>
                  </w:r>
                </w:p>
              </w:tc>
              <w:tc>
                <w:tcPr>
                  <w:tcW w:w="1195" w:type="pct"/>
                  <w:vAlign w:val="center"/>
                </w:tcPr>
                <w:p w14:paraId="583E775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5.0</w:t>
                  </w:r>
                </w:p>
              </w:tc>
              <w:tc>
                <w:tcPr>
                  <w:tcW w:w="1151" w:type="pct"/>
                  <w:vAlign w:val="center"/>
                </w:tcPr>
                <w:p w14:paraId="43FFCC8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6.0</w:t>
                  </w:r>
                </w:p>
              </w:tc>
              <w:tc>
                <w:tcPr>
                  <w:tcW w:w="1053" w:type="pct"/>
                  <w:vAlign w:val="center"/>
                </w:tcPr>
                <w:p w14:paraId="0671355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按照GB2716执行</w:t>
                  </w:r>
                </w:p>
              </w:tc>
            </w:tr>
            <w:tr w14:paraId="194D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58CA13B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加热试验（280℃）</w:t>
                  </w:r>
                </w:p>
              </w:tc>
              <w:tc>
                <w:tcPr>
                  <w:tcW w:w="1195" w:type="pct"/>
                  <w:vAlign w:val="center"/>
                </w:tcPr>
                <w:p w14:paraId="63F773E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c>
                <w:tcPr>
                  <w:tcW w:w="1151" w:type="pct"/>
                  <w:vAlign w:val="center"/>
                </w:tcPr>
                <w:p w14:paraId="118E0D0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无析出物，油色不得变深</w:t>
                  </w:r>
                </w:p>
              </w:tc>
              <w:tc>
                <w:tcPr>
                  <w:tcW w:w="1053" w:type="pct"/>
                  <w:vAlign w:val="center"/>
                </w:tcPr>
                <w:p w14:paraId="2BF64A4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允许微量析出物和油色变深</w:t>
                  </w:r>
                </w:p>
              </w:tc>
            </w:tr>
            <w:tr w14:paraId="47B1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70C73BD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含皂量/%≤</w:t>
                  </w:r>
                </w:p>
              </w:tc>
              <w:tc>
                <w:tcPr>
                  <w:tcW w:w="1195" w:type="pct"/>
                  <w:vAlign w:val="center"/>
                </w:tcPr>
                <w:p w14:paraId="32CAC29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c>
                <w:tcPr>
                  <w:tcW w:w="2204" w:type="pct"/>
                  <w:gridSpan w:val="2"/>
                  <w:vAlign w:val="center"/>
                </w:tcPr>
                <w:p w14:paraId="0E9FEFD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0.03</w:t>
                  </w:r>
                </w:p>
              </w:tc>
            </w:tr>
            <w:tr w14:paraId="0F9F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3BAFD5F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冷冻试验（0℃储藏5.5h）</w:t>
                  </w:r>
                </w:p>
              </w:tc>
              <w:tc>
                <w:tcPr>
                  <w:tcW w:w="1195" w:type="pct"/>
                  <w:vAlign w:val="center"/>
                </w:tcPr>
                <w:p w14:paraId="7F9C717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澄清、透明</w:t>
                  </w:r>
                </w:p>
              </w:tc>
              <w:tc>
                <w:tcPr>
                  <w:tcW w:w="2204" w:type="pct"/>
                  <w:gridSpan w:val="2"/>
                  <w:vAlign w:val="center"/>
                </w:tcPr>
                <w:p w14:paraId="1F70B60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r>
            <w:tr w14:paraId="4DAA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7EF986A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烟点/℃≥</w:t>
                  </w:r>
                </w:p>
              </w:tc>
              <w:tc>
                <w:tcPr>
                  <w:tcW w:w="1195" w:type="pct"/>
                  <w:vAlign w:val="center"/>
                </w:tcPr>
                <w:p w14:paraId="239844C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190</w:t>
                  </w:r>
                </w:p>
              </w:tc>
              <w:tc>
                <w:tcPr>
                  <w:tcW w:w="2204" w:type="pct"/>
                  <w:gridSpan w:val="2"/>
                  <w:vAlign w:val="center"/>
                </w:tcPr>
                <w:p w14:paraId="1593373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r>
            <w:tr w14:paraId="730F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52B0073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溶剂残留量/（mg/kg）</w:t>
                  </w:r>
                </w:p>
              </w:tc>
              <w:tc>
                <w:tcPr>
                  <w:tcW w:w="1195" w:type="pct"/>
                  <w:vAlign w:val="center"/>
                </w:tcPr>
                <w:p w14:paraId="72CE056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不得检出</w:t>
                  </w:r>
                </w:p>
              </w:tc>
              <w:tc>
                <w:tcPr>
                  <w:tcW w:w="2204" w:type="pct"/>
                  <w:gridSpan w:val="2"/>
                  <w:vAlign w:val="center"/>
                </w:tcPr>
                <w:p w14:paraId="79CFAC6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按照GB2716执行</w:t>
                  </w:r>
                </w:p>
              </w:tc>
            </w:tr>
          </w:tbl>
          <w:p w14:paraId="31FFE2E9">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表2.3-6葵花籽油产品质量标准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2002"/>
              <w:gridCol w:w="1928"/>
              <w:gridCol w:w="1765"/>
            </w:tblGrid>
            <w:tr w14:paraId="1698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vMerge w:val="restart"/>
                  <w:vAlign w:val="center"/>
                </w:tcPr>
                <w:p w14:paraId="532141F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3400" w:type="pct"/>
                  <w:gridSpan w:val="3"/>
                  <w:vAlign w:val="center"/>
                </w:tcPr>
                <w:p w14:paraId="28B6151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5A3F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vMerge w:val="continue"/>
                  <w:vAlign w:val="center"/>
                </w:tcPr>
                <w:p w14:paraId="0600FC1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color w:val="auto"/>
                      <w:highlight w:val="none"/>
                    </w:rPr>
                  </w:pPr>
                </w:p>
              </w:tc>
              <w:tc>
                <w:tcPr>
                  <w:tcW w:w="1195" w:type="pct"/>
                  <w:vAlign w:val="center"/>
                </w:tcPr>
                <w:p w14:paraId="6E02705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一级</w:t>
                  </w:r>
                </w:p>
              </w:tc>
              <w:tc>
                <w:tcPr>
                  <w:tcW w:w="1151" w:type="pct"/>
                  <w:vAlign w:val="center"/>
                </w:tcPr>
                <w:p w14:paraId="247C0BB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二级</w:t>
                  </w:r>
                </w:p>
              </w:tc>
              <w:tc>
                <w:tcPr>
                  <w:tcW w:w="1053" w:type="pct"/>
                  <w:vAlign w:val="center"/>
                </w:tcPr>
                <w:p w14:paraId="0F58428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三级</w:t>
                  </w:r>
                </w:p>
              </w:tc>
            </w:tr>
            <w:tr w14:paraId="0A44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115FB36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1195" w:type="pct"/>
                  <w:vAlign w:val="center"/>
                </w:tcPr>
                <w:p w14:paraId="2838B10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淡黄色至浅黄色</w:t>
                  </w:r>
                </w:p>
              </w:tc>
              <w:tc>
                <w:tcPr>
                  <w:tcW w:w="1151" w:type="pct"/>
                  <w:vAlign w:val="center"/>
                </w:tcPr>
                <w:p w14:paraId="4453568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浅黄色至橙黄色</w:t>
                  </w:r>
                </w:p>
              </w:tc>
              <w:tc>
                <w:tcPr>
                  <w:tcW w:w="1053" w:type="pct"/>
                  <w:vAlign w:val="center"/>
                </w:tcPr>
                <w:p w14:paraId="1249CD5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橙黄色至棕色</w:t>
                  </w:r>
                </w:p>
              </w:tc>
            </w:tr>
            <w:tr w14:paraId="6D81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2882501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透明度（20℃）</w:t>
                  </w:r>
                </w:p>
              </w:tc>
              <w:tc>
                <w:tcPr>
                  <w:tcW w:w="1195" w:type="pct"/>
                  <w:vAlign w:val="center"/>
                </w:tcPr>
                <w:p w14:paraId="4137F05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澄清、透明</w:t>
                  </w:r>
                </w:p>
              </w:tc>
              <w:tc>
                <w:tcPr>
                  <w:tcW w:w="1151" w:type="pct"/>
                  <w:vAlign w:val="center"/>
                </w:tcPr>
                <w:p w14:paraId="36FD16C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w:t>
                  </w:r>
                </w:p>
              </w:tc>
              <w:tc>
                <w:tcPr>
                  <w:tcW w:w="1053" w:type="pct"/>
                  <w:vAlign w:val="center"/>
                </w:tcPr>
                <w:p w14:paraId="1C5C2AD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允许微浊</w:t>
                  </w:r>
                </w:p>
              </w:tc>
            </w:tr>
            <w:tr w14:paraId="6AF5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42106D5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气味、滋味</w:t>
                  </w:r>
                </w:p>
              </w:tc>
              <w:tc>
                <w:tcPr>
                  <w:tcW w:w="1195" w:type="pct"/>
                  <w:vAlign w:val="center"/>
                </w:tcPr>
                <w:p w14:paraId="39E8FD8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无异味、口感好</w:t>
                  </w:r>
                </w:p>
              </w:tc>
              <w:tc>
                <w:tcPr>
                  <w:tcW w:w="1151" w:type="pct"/>
                  <w:vAlign w:val="center"/>
                </w:tcPr>
                <w:p w14:paraId="249AADB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无异味、口感良好</w:t>
                  </w:r>
                </w:p>
              </w:tc>
              <w:tc>
                <w:tcPr>
                  <w:tcW w:w="1053" w:type="pct"/>
                  <w:vAlign w:val="center"/>
                </w:tcPr>
                <w:p w14:paraId="72E2DD9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具有</w:t>
                  </w:r>
                  <w:r>
                    <w:rPr>
                      <w:rFonts w:hint="eastAsia" w:cs="Times New Roman" w:eastAsiaTheme="minorEastAsia"/>
                      <w:b w:val="0"/>
                      <w:bCs/>
                      <w:color w:val="auto"/>
                      <w:sz w:val="21"/>
                      <w:szCs w:val="21"/>
                      <w:highlight w:val="none"/>
                      <w:vertAlign w:val="baseline"/>
                      <w:lang w:val="en-US" w:eastAsia="zh-CN"/>
                    </w:rPr>
                    <w:t>葵花籽油</w:t>
                  </w:r>
                  <w:r>
                    <w:rPr>
                      <w:rFonts w:hint="eastAsia" w:ascii="Times New Roman" w:hAnsi="Times New Roman" w:cs="Times New Roman" w:eastAsiaTheme="minorEastAsia"/>
                      <w:b w:val="0"/>
                      <w:bCs/>
                      <w:color w:val="auto"/>
                      <w:sz w:val="21"/>
                      <w:szCs w:val="21"/>
                      <w:highlight w:val="none"/>
                      <w:vertAlign w:val="baseline"/>
                      <w:lang w:val="en-US" w:eastAsia="zh-CN"/>
                    </w:rPr>
                    <w:t>固有气味和滋味、无异味</w:t>
                  </w:r>
                </w:p>
              </w:tc>
            </w:tr>
            <w:tr w14:paraId="761C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4EA0346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水分及挥发物含量/%≤</w:t>
                  </w:r>
                </w:p>
              </w:tc>
              <w:tc>
                <w:tcPr>
                  <w:tcW w:w="1195" w:type="pct"/>
                  <w:vAlign w:val="center"/>
                </w:tcPr>
                <w:p w14:paraId="44B7FFA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w:t>
                  </w:r>
                  <w:r>
                    <w:rPr>
                      <w:rFonts w:hint="eastAsia" w:cs="Times New Roman" w:eastAsiaTheme="minorEastAsia"/>
                      <w:b w:val="0"/>
                      <w:bCs/>
                      <w:color w:val="auto"/>
                      <w:sz w:val="21"/>
                      <w:szCs w:val="21"/>
                      <w:highlight w:val="none"/>
                      <w:vertAlign w:val="baseline"/>
                      <w:lang w:val="en-US" w:eastAsia="zh-CN"/>
                    </w:rPr>
                    <w:t>0</w:t>
                  </w:r>
                </w:p>
              </w:tc>
              <w:tc>
                <w:tcPr>
                  <w:tcW w:w="1151" w:type="pct"/>
                  <w:vAlign w:val="center"/>
                </w:tcPr>
                <w:p w14:paraId="526DA20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0.15</w:t>
                  </w:r>
                </w:p>
              </w:tc>
              <w:tc>
                <w:tcPr>
                  <w:tcW w:w="1053" w:type="pct"/>
                  <w:vAlign w:val="center"/>
                </w:tcPr>
                <w:p w14:paraId="2562176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0.2</w:t>
                  </w:r>
                </w:p>
              </w:tc>
            </w:tr>
            <w:tr w14:paraId="72B4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1095AAB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不溶性杂质含量/%≤</w:t>
                  </w:r>
                </w:p>
              </w:tc>
              <w:tc>
                <w:tcPr>
                  <w:tcW w:w="1195" w:type="pct"/>
                  <w:vAlign w:val="center"/>
                </w:tcPr>
                <w:p w14:paraId="126355D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c>
                <w:tcPr>
                  <w:tcW w:w="1151" w:type="pct"/>
                  <w:vAlign w:val="center"/>
                </w:tcPr>
                <w:p w14:paraId="3AFFA37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c>
                <w:tcPr>
                  <w:tcW w:w="1053" w:type="pct"/>
                  <w:vAlign w:val="center"/>
                </w:tcPr>
                <w:p w14:paraId="1D39552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r>
            <w:tr w14:paraId="4BC1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194D3BA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酸价（以KOH计）（mg/g）≤</w:t>
                  </w:r>
                </w:p>
              </w:tc>
              <w:tc>
                <w:tcPr>
                  <w:tcW w:w="1195" w:type="pct"/>
                  <w:vAlign w:val="center"/>
                </w:tcPr>
                <w:p w14:paraId="24F5321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0.5</w:t>
                  </w:r>
                </w:p>
              </w:tc>
              <w:tc>
                <w:tcPr>
                  <w:tcW w:w="1151" w:type="pct"/>
                  <w:vAlign w:val="center"/>
                </w:tcPr>
                <w:p w14:paraId="07F30A2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2.0</w:t>
                  </w:r>
                </w:p>
              </w:tc>
              <w:tc>
                <w:tcPr>
                  <w:tcW w:w="1053" w:type="pct"/>
                  <w:vAlign w:val="center"/>
                </w:tcPr>
                <w:p w14:paraId="559A2EF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按照GB2716执行</w:t>
                  </w:r>
                </w:p>
              </w:tc>
            </w:tr>
            <w:tr w14:paraId="2EA3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608D44A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过氧化值（g/100g）≤</w:t>
                  </w:r>
                </w:p>
              </w:tc>
              <w:tc>
                <w:tcPr>
                  <w:tcW w:w="1195" w:type="pct"/>
                  <w:vAlign w:val="center"/>
                </w:tcPr>
                <w:p w14:paraId="7D68F57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5.0</w:t>
                  </w:r>
                </w:p>
              </w:tc>
              <w:tc>
                <w:tcPr>
                  <w:tcW w:w="1151" w:type="pct"/>
                  <w:vAlign w:val="center"/>
                </w:tcPr>
                <w:p w14:paraId="4FB28BA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7.5</w:t>
                  </w:r>
                </w:p>
              </w:tc>
              <w:tc>
                <w:tcPr>
                  <w:tcW w:w="1053" w:type="pct"/>
                  <w:vAlign w:val="center"/>
                </w:tcPr>
                <w:p w14:paraId="154EBEE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按照GB2716执行</w:t>
                  </w:r>
                </w:p>
              </w:tc>
            </w:tr>
            <w:tr w14:paraId="22CD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68F4F1D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加热试验（280℃）</w:t>
                  </w:r>
                </w:p>
              </w:tc>
              <w:tc>
                <w:tcPr>
                  <w:tcW w:w="1195" w:type="pct"/>
                  <w:vAlign w:val="center"/>
                </w:tcPr>
                <w:p w14:paraId="63FEC49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c>
                <w:tcPr>
                  <w:tcW w:w="1151" w:type="pct"/>
                  <w:vAlign w:val="center"/>
                </w:tcPr>
                <w:p w14:paraId="13DEAEA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无析出物，油色不变</w:t>
                  </w:r>
                </w:p>
              </w:tc>
              <w:tc>
                <w:tcPr>
                  <w:tcW w:w="1053" w:type="pct"/>
                  <w:vAlign w:val="center"/>
                </w:tcPr>
                <w:p w14:paraId="5C45F96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允许微量析出物和油色变深</w:t>
                  </w:r>
                </w:p>
              </w:tc>
            </w:tr>
            <w:tr w14:paraId="75BA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3BCE380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含皂量/%≤</w:t>
                  </w:r>
                </w:p>
              </w:tc>
              <w:tc>
                <w:tcPr>
                  <w:tcW w:w="1195" w:type="pct"/>
                  <w:vAlign w:val="center"/>
                </w:tcPr>
                <w:p w14:paraId="468E933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c>
                <w:tcPr>
                  <w:tcW w:w="2204" w:type="pct"/>
                  <w:gridSpan w:val="2"/>
                  <w:vAlign w:val="center"/>
                </w:tcPr>
                <w:p w14:paraId="78C5AE8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0.03</w:t>
                  </w:r>
                </w:p>
              </w:tc>
            </w:tr>
            <w:tr w14:paraId="17FF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640AA0F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冷冻试验（0℃储藏5.5h）</w:t>
                  </w:r>
                </w:p>
              </w:tc>
              <w:tc>
                <w:tcPr>
                  <w:tcW w:w="1195" w:type="pct"/>
                  <w:vAlign w:val="center"/>
                </w:tcPr>
                <w:p w14:paraId="07B10B0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澄清、透明</w:t>
                  </w:r>
                </w:p>
              </w:tc>
              <w:tc>
                <w:tcPr>
                  <w:tcW w:w="2204" w:type="pct"/>
                  <w:gridSpan w:val="2"/>
                  <w:vAlign w:val="center"/>
                </w:tcPr>
                <w:p w14:paraId="3623C4A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r>
            <w:tr w14:paraId="3398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0CF367C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烟点/℃≥</w:t>
                  </w:r>
                </w:p>
              </w:tc>
              <w:tc>
                <w:tcPr>
                  <w:tcW w:w="1195" w:type="pct"/>
                  <w:vAlign w:val="center"/>
                </w:tcPr>
                <w:p w14:paraId="6FD8B08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190</w:t>
                  </w:r>
                </w:p>
              </w:tc>
              <w:tc>
                <w:tcPr>
                  <w:tcW w:w="2204" w:type="pct"/>
                  <w:gridSpan w:val="2"/>
                  <w:vAlign w:val="center"/>
                </w:tcPr>
                <w:p w14:paraId="26821E1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r>
            <w:tr w14:paraId="08C0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14:paraId="2F5E485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溶剂残留量/（mg/kg）</w:t>
                  </w:r>
                </w:p>
              </w:tc>
              <w:tc>
                <w:tcPr>
                  <w:tcW w:w="1195" w:type="pct"/>
                  <w:vAlign w:val="center"/>
                </w:tcPr>
                <w:p w14:paraId="4E3991E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不得检出</w:t>
                  </w:r>
                </w:p>
              </w:tc>
              <w:tc>
                <w:tcPr>
                  <w:tcW w:w="2204" w:type="pct"/>
                  <w:gridSpan w:val="2"/>
                  <w:vAlign w:val="center"/>
                </w:tcPr>
                <w:p w14:paraId="03A624D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按照GB2716执行</w:t>
                  </w:r>
                </w:p>
              </w:tc>
            </w:tr>
          </w:tbl>
          <w:p w14:paraId="455631CC">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表2.3-7玉米油产品质量标准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2002"/>
              <w:gridCol w:w="1928"/>
              <w:gridCol w:w="1765"/>
            </w:tblGrid>
            <w:tr w14:paraId="0534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vMerge w:val="restart"/>
                </w:tcPr>
                <w:p w14:paraId="4EA300F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3400" w:type="pct"/>
                  <w:gridSpan w:val="3"/>
                </w:tcPr>
                <w:p w14:paraId="0A73DA0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7E24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00" w:type="pct"/>
                  <w:vMerge w:val="continue"/>
                </w:tcPr>
                <w:p w14:paraId="28B511B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color w:val="auto"/>
                      <w:highlight w:val="none"/>
                    </w:rPr>
                  </w:pPr>
                </w:p>
              </w:tc>
              <w:tc>
                <w:tcPr>
                  <w:tcW w:w="1195" w:type="pct"/>
                </w:tcPr>
                <w:p w14:paraId="6901404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一级</w:t>
                  </w:r>
                </w:p>
              </w:tc>
              <w:tc>
                <w:tcPr>
                  <w:tcW w:w="1151" w:type="pct"/>
                </w:tcPr>
                <w:p w14:paraId="15FA8BD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二级</w:t>
                  </w:r>
                </w:p>
              </w:tc>
              <w:tc>
                <w:tcPr>
                  <w:tcW w:w="1053" w:type="pct"/>
                </w:tcPr>
                <w:p w14:paraId="69225A7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三级</w:t>
                  </w:r>
                </w:p>
              </w:tc>
            </w:tr>
            <w:tr w14:paraId="069C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2AADB3F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1195" w:type="pct"/>
                </w:tcPr>
                <w:p w14:paraId="3C60D7E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淡黄色至黄色</w:t>
                  </w:r>
                </w:p>
              </w:tc>
              <w:tc>
                <w:tcPr>
                  <w:tcW w:w="1151" w:type="pct"/>
                </w:tcPr>
                <w:p w14:paraId="654EC61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浅黄色至橙黄色</w:t>
                  </w:r>
                </w:p>
              </w:tc>
              <w:tc>
                <w:tcPr>
                  <w:tcW w:w="1053" w:type="pct"/>
                </w:tcPr>
                <w:p w14:paraId="3E3C5A3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橙黄色至棕</w:t>
                  </w:r>
                  <w:r>
                    <w:rPr>
                      <w:rFonts w:hint="eastAsia" w:cs="Times New Roman" w:eastAsiaTheme="minorEastAsia"/>
                      <w:b w:val="0"/>
                      <w:bCs/>
                      <w:color w:val="auto"/>
                      <w:sz w:val="21"/>
                      <w:szCs w:val="21"/>
                      <w:highlight w:val="none"/>
                      <w:vertAlign w:val="baseline"/>
                      <w:lang w:val="en-US" w:eastAsia="zh-CN"/>
                    </w:rPr>
                    <w:t>红</w:t>
                  </w:r>
                  <w:r>
                    <w:rPr>
                      <w:rFonts w:hint="eastAsia" w:ascii="Times New Roman" w:hAnsi="Times New Roman" w:cs="Times New Roman" w:eastAsiaTheme="minorEastAsia"/>
                      <w:b w:val="0"/>
                      <w:bCs/>
                      <w:color w:val="auto"/>
                      <w:sz w:val="21"/>
                      <w:szCs w:val="21"/>
                      <w:highlight w:val="none"/>
                      <w:vertAlign w:val="baseline"/>
                      <w:lang w:val="en-US" w:eastAsia="zh-CN"/>
                    </w:rPr>
                    <w:t>色</w:t>
                  </w:r>
                </w:p>
              </w:tc>
            </w:tr>
            <w:tr w14:paraId="6D84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6432C52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透明度（20℃）</w:t>
                  </w:r>
                </w:p>
              </w:tc>
              <w:tc>
                <w:tcPr>
                  <w:tcW w:w="1195" w:type="pct"/>
                </w:tcPr>
                <w:p w14:paraId="6C48E9D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澄清、透明</w:t>
                  </w:r>
                </w:p>
              </w:tc>
              <w:tc>
                <w:tcPr>
                  <w:tcW w:w="1151" w:type="pct"/>
                </w:tcPr>
                <w:p w14:paraId="268BFBE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w:t>
                  </w:r>
                </w:p>
              </w:tc>
              <w:tc>
                <w:tcPr>
                  <w:tcW w:w="1053" w:type="pct"/>
                </w:tcPr>
                <w:p w14:paraId="15E537C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允许微浊</w:t>
                  </w:r>
                </w:p>
              </w:tc>
            </w:tr>
            <w:tr w14:paraId="634C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4A26733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气味、滋味</w:t>
                  </w:r>
                </w:p>
              </w:tc>
              <w:tc>
                <w:tcPr>
                  <w:tcW w:w="1195" w:type="pct"/>
                </w:tcPr>
                <w:p w14:paraId="006B113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无异味、口感好</w:t>
                  </w:r>
                </w:p>
              </w:tc>
              <w:tc>
                <w:tcPr>
                  <w:tcW w:w="1151" w:type="pct"/>
                </w:tcPr>
                <w:p w14:paraId="1089B8F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无异味、口感良好</w:t>
                  </w:r>
                </w:p>
              </w:tc>
              <w:tc>
                <w:tcPr>
                  <w:tcW w:w="1053" w:type="pct"/>
                </w:tcPr>
                <w:p w14:paraId="5FB7880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具有</w:t>
                  </w:r>
                  <w:r>
                    <w:rPr>
                      <w:rFonts w:hint="eastAsia" w:cs="Times New Roman" w:eastAsiaTheme="minorEastAsia"/>
                      <w:b w:val="0"/>
                      <w:bCs/>
                      <w:color w:val="auto"/>
                      <w:sz w:val="21"/>
                      <w:szCs w:val="21"/>
                      <w:highlight w:val="none"/>
                      <w:vertAlign w:val="baseline"/>
                      <w:lang w:val="en-US" w:eastAsia="zh-CN"/>
                    </w:rPr>
                    <w:t>葵花籽油</w:t>
                  </w:r>
                  <w:r>
                    <w:rPr>
                      <w:rFonts w:hint="eastAsia" w:ascii="Times New Roman" w:hAnsi="Times New Roman" w:cs="Times New Roman" w:eastAsiaTheme="minorEastAsia"/>
                      <w:b w:val="0"/>
                      <w:bCs/>
                      <w:color w:val="auto"/>
                      <w:sz w:val="21"/>
                      <w:szCs w:val="21"/>
                      <w:highlight w:val="none"/>
                      <w:vertAlign w:val="baseline"/>
                      <w:lang w:val="en-US" w:eastAsia="zh-CN"/>
                    </w:rPr>
                    <w:t>固有气味和滋味、无异味</w:t>
                  </w:r>
                </w:p>
              </w:tc>
            </w:tr>
            <w:tr w14:paraId="1959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11FED7B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水分及挥发物含量/%≤</w:t>
                  </w:r>
                </w:p>
              </w:tc>
              <w:tc>
                <w:tcPr>
                  <w:tcW w:w="1195" w:type="pct"/>
                </w:tcPr>
                <w:p w14:paraId="3970F5E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w:t>
                  </w:r>
                  <w:r>
                    <w:rPr>
                      <w:rFonts w:hint="eastAsia" w:cs="Times New Roman" w:eastAsiaTheme="minorEastAsia"/>
                      <w:b w:val="0"/>
                      <w:bCs/>
                      <w:color w:val="auto"/>
                      <w:sz w:val="21"/>
                      <w:szCs w:val="21"/>
                      <w:highlight w:val="none"/>
                      <w:vertAlign w:val="baseline"/>
                      <w:lang w:val="en-US" w:eastAsia="zh-CN"/>
                    </w:rPr>
                    <w:t>0</w:t>
                  </w:r>
                </w:p>
              </w:tc>
              <w:tc>
                <w:tcPr>
                  <w:tcW w:w="1151" w:type="pct"/>
                </w:tcPr>
                <w:p w14:paraId="60F3E39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0.15</w:t>
                  </w:r>
                </w:p>
              </w:tc>
              <w:tc>
                <w:tcPr>
                  <w:tcW w:w="1053" w:type="pct"/>
                </w:tcPr>
                <w:p w14:paraId="182FE97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0.2</w:t>
                  </w:r>
                </w:p>
              </w:tc>
            </w:tr>
            <w:tr w14:paraId="3D90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1B018D4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不溶性杂质含量/%≤</w:t>
                  </w:r>
                </w:p>
              </w:tc>
              <w:tc>
                <w:tcPr>
                  <w:tcW w:w="1195" w:type="pct"/>
                </w:tcPr>
                <w:p w14:paraId="61AFFC4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c>
                <w:tcPr>
                  <w:tcW w:w="1151" w:type="pct"/>
                </w:tcPr>
                <w:p w14:paraId="069DA79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c>
                <w:tcPr>
                  <w:tcW w:w="1053" w:type="pct"/>
                </w:tcPr>
                <w:p w14:paraId="630E554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0.05</w:t>
                  </w:r>
                </w:p>
              </w:tc>
            </w:tr>
            <w:tr w14:paraId="6655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10451FF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酸价（以KOH计）（mg/g）≤</w:t>
                  </w:r>
                </w:p>
              </w:tc>
              <w:tc>
                <w:tcPr>
                  <w:tcW w:w="1195" w:type="pct"/>
                </w:tcPr>
                <w:p w14:paraId="564C673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0.5</w:t>
                  </w:r>
                </w:p>
              </w:tc>
              <w:tc>
                <w:tcPr>
                  <w:tcW w:w="1151" w:type="pct"/>
                </w:tcPr>
                <w:p w14:paraId="679AB48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2.0</w:t>
                  </w:r>
                </w:p>
              </w:tc>
              <w:tc>
                <w:tcPr>
                  <w:tcW w:w="1053" w:type="pct"/>
                </w:tcPr>
                <w:p w14:paraId="3798029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按照GB2716执行</w:t>
                  </w:r>
                </w:p>
              </w:tc>
            </w:tr>
            <w:tr w14:paraId="358B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0BE8B40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含皂量/%≤</w:t>
                  </w:r>
                </w:p>
              </w:tc>
              <w:tc>
                <w:tcPr>
                  <w:tcW w:w="1195" w:type="pct"/>
                </w:tcPr>
                <w:p w14:paraId="36CB830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c>
                <w:tcPr>
                  <w:tcW w:w="1151" w:type="pct"/>
                </w:tcPr>
                <w:p w14:paraId="1575309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0.0</w:t>
                  </w:r>
                  <w:r>
                    <w:rPr>
                      <w:rFonts w:hint="eastAsia" w:cs="Times New Roman" w:eastAsiaTheme="minorEastAsia"/>
                      <w:b w:val="0"/>
                      <w:bCs/>
                      <w:color w:val="auto"/>
                      <w:sz w:val="21"/>
                      <w:szCs w:val="21"/>
                      <w:highlight w:val="none"/>
                      <w:vertAlign w:val="baseline"/>
                      <w:lang w:val="en-US" w:eastAsia="zh-CN"/>
                    </w:rPr>
                    <w:t>2</w:t>
                  </w:r>
                </w:p>
              </w:tc>
              <w:tc>
                <w:tcPr>
                  <w:tcW w:w="1053" w:type="pct"/>
                </w:tcPr>
                <w:p w14:paraId="7771BF8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0.03</w:t>
                  </w:r>
                </w:p>
              </w:tc>
            </w:tr>
            <w:tr w14:paraId="7D37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1EA950E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冷冻试验（0℃储藏5.5h）</w:t>
                  </w:r>
                </w:p>
              </w:tc>
              <w:tc>
                <w:tcPr>
                  <w:tcW w:w="1195" w:type="pct"/>
                </w:tcPr>
                <w:p w14:paraId="25933CD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澄清、透明</w:t>
                  </w:r>
                </w:p>
              </w:tc>
              <w:tc>
                <w:tcPr>
                  <w:tcW w:w="2204" w:type="pct"/>
                  <w:gridSpan w:val="2"/>
                </w:tcPr>
                <w:p w14:paraId="48CACC3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r>
            <w:tr w14:paraId="01A9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pct"/>
                </w:tcPr>
                <w:p w14:paraId="1D10AF1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烟点/℃≥</w:t>
                  </w:r>
                </w:p>
              </w:tc>
              <w:tc>
                <w:tcPr>
                  <w:tcW w:w="1195" w:type="pct"/>
                </w:tcPr>
                <w:p w14:paraId="3EA66D5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190</w:t>
                  </w:r>
                </w:p>
              </w:tc>
              <w:tc>
                <w:tcPr>
                  <w:tcW w:w="2204" w:type="pct"/>
                  <w:gridSpan w:val="2"/>
                </w:tcPr>
                <w:p w14:paraId="5B398CD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w:t>
                  </w:r>
                </w:p>
              </w:tc>
            </w:tr>
          </w:tbl>
          <w:p w14:paraId="404C7B49">
            <w:pPr>
              <w:keepNext w:val="0"/>
              <w:keepLines w:val="0"/>
              <w:pageBreakBefore w:val="0"/>
              <w:widowControl w:val="0"/>
              <w:kinsoku/>
              <w:wordWrap/>
              <w:overflowPunct w:val="0"/>
              <w:topLinePunct/>
              <w:autoSpaceDE/>
              <w:autoSpaceDN/>
              <w:bidi w:val="0"/>
              <w:adjustRightInd/>
              <w:snapToGrid/>
              <w:spacing w:line="460" w:lineRule="exact"/>
              <w:ind w:firstLine="482" w:firstLineChars="200"/>
              <w:jc w:val="both"/>
              <w:textAlignment w:val="auto"/>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2.3.5项目主要生产设备</w:t>
            </w:r>
          </w:p>
          <w:p w14:paraId="21BCB4A3">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表2.3-</w:t>
            </w:r>
            <w:r>
              <w:rPr>
                <w:rFonts w:hint="eastAsia" w:ascii="Times New Roman" w:hAnsi="Times New Roman" w:eastAsia="宋体" w:cs="Times New Roman"/>
                <w:b/>
                <w:bCs w:val="0"/>
                <w:color w:val="auto"/>
                <w:kern w:val="2"/>
                <w:sz w:val="24"/>
                <w:szCs w:val="24"/>
                <w:highlight w:val="none"/>
                <w:lang w:val="en-US" w:eastAsia="zh-CN" w:bidi="ar-SA"/>
              </w:rPr>
              <w:t>8本项目</w:t>
            </w:r>
            <w:r>
              <w:rPr>
                <w:rFonts w:hint="default" w:ascii="Times New Roman" w:hAnsi="Times New Roman" w:eastAsia="宋体" w:cs="Times New Roman"/>
                <w:b/>
                <w:bCs w:val="0"/>
                <w:color w:val="auto"/>
                <w:kern w:val="2"/>
                <w:sz w:val="24"/>
                <w:szCs w:val="24"/>
                <w:highlight w:val="none"/>
                <w:lang w:val="en-US" w:eastAsia="zh-CN" w:bidi="ar-SA"/>
              </w:rPr>
              <w:t>主要生产设备一览表</w:t>
            </w:r>
          </w:p>
          <w:tbl>
            <w:tblPr>
              <w:tblStyle w:val="18"/>
              <w:tblW w:w="502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3"/>
              <w:gridCol w:w="2043"/>
              <w:gridCol w:w="1933"/>
              <w:gridCol w:w="2094"/>
              <w:gridCol w:w="1384"/>
            </w:tblGrid>
            <w:tr w14:paraId="66789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91F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82D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设备名称</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8E42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eastAsia="宋体" w:cs="Times New Roman"/>
                      <w:b/>
                      <w:bCs/>
                      <w:i w:val="0"/>
                      <w:iCs w:val="0"/>
                      <w:color w:val="auto"/>
                      <w:sz w:val="21"/>
                      <w:szCs w:val="21"/>
                      <w:highlight w:val="none"/>
                      <w:u w:val="none"/>
                      <w:lang w:val="en-US" w:eastAsia="zh-CN"/>
                    </w:rPr>
                    <w:t>规格</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60AC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eastAsia="宋体" w:cs="Times New Roman"/>
                      <w:b/>
                      <w:bCs/>
                      <w:i w:val="0"/>
                      <w:iCs w:val="0"/>
                      <w:color w:val="auto"/>
                      <w:sz w:val="21"/>
                      <w:szCs w:val="21"/>
                      <w:highlight w:val="none"/>
                      <w:u w:val="none"/>
                      <w:lang w:val="en-US" w:eastAsia="zh-CN"/>
                    </w:rPr>
                    <w:t>数量</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4AD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eastAsia="宋体" w:cs="Times New Roman"/>
                      <w:b/>
                      <w:bCs/>
                      <w:i w:val="0"/>
                      <w:iCs w:val="0"/>
                      <w:color w:val="auto"/>
                      <w:sz w:val="21"/>
                      <w:szCs w:val="21"/>
                      <w:highlight w:val="none"/>
                      <w:u w:val="none"/>
                      <w:lang w:val="en-US" w:eastAsia="zh-CN"/>
                    </w:rPr>
                    <w:t>备注</w:t>
                  </w:r>
                </w:p>
              </w:tc>
            </w:tr>
            <w:tr w14:paraId="692EE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F1F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一</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B48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中和工段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810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D5DA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9ACA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lang w:val="en-US" w:eastAsia="zh-CN"/>
                    </w:rPr>
                  </w:pPr>
                </w:p>
              </w:tc>
            </w:tr>
            <w:tr w14:paraId="2607D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DB8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D23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毛油暂存罐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8C5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70m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00A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AB9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利旧</w:t>
                  </w:r>
                </w:p>
              </w:tc>
            </w:tr>
            <w:tr w14:paraId="4AEFA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1A2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4E4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自清式过滤器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AF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自清式</w:t>
                  </w:r>
                  <w:r>
                    <w:rPr>
                      <w:rStyle w:val="27"/>
                      <w:rFonts w:hint="default" w:ascii="Times New Roman" w:hAnsi="Times New Roman" w:eastAsia="宋体" w:cs="Times New Roman"/>
                      <w:b w:val="0"/>
                      <w:bCs w:val="0"/>
                      <w:color w:val="auto"/>
                      <w:sz w:val="21"/>
                      <w:szCs w:val="21"/>
                      <w:highlight w:val="none"/>
                      <w:lang w:val="en-US" w:eastAsia="zh-CN" w:bidi="ar"/>
                    </w:rPr>
                    <w:t>0.8m</w:t>
                  </w:r>
                  <w:r>
                    <w:rPr>
                      <w:rStyle w:val="25"/>
                      <w:rFonts w:hint="default" w:ascii="Times New Roman" w:hAnsi="Times New Roman" w:eastAsia="宋体" w:cs="Times New Roman"/>
                      <w:b w:val="0"/>
                      <w:bCs w:val="0"/>
                      <w:color w:val="auto"/>
                      <w:sz w:val="21"/>
                      <w:szCs w:val="21"/>
                      <w:highlight w:val="none"/>
                      <w:lang w:val="en-US" w:eastAsia="zh-CN" w:bidi="ar"/>
                    </w:rPr>
                    <w:t>2</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214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41C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5BF6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68D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775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油油板式换热器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EEB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板式</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72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5F9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F57F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D8D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4C3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磷酸罐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376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w:t>
                  </w:r>
                  <w:r>
                    <w:rPr>
                      <w:rFonts w:hint="eastAsia" w:cs="Times New Roman"/>
                      <w:b w:val="0"/>
                      <w:bCs w:val="0"/>
                      <w:i w:val="0"/>
                      <w:iCs w:val="0"/>
                      <w:color w:val="auto"/>
                      <w:kern w:val="0"/>
                      <w:sz w:val="21"/>
                      <w:szCs w:val="21"/>
                      <w:highlight w:val="none"/>
                      <w:u w:val="none"/>
                      <w:lang w:val="en-US" w:eastAsia="zh-CN" w:bidi="ar"/>
                    </w:rPr>
                    <w:t>8</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Style w:val="25"/>
                      <w:rFonts w:hint="default" w:ascii="Times New Roman" w:hAnsi="Times New Roman" w:eastAsia="宋体" w:cs="Times New Roman"/>
                      <w:b w:val="0"/>
                      <w:bCs w:val="0"/>
                      <w:color w:val="auto"/>
                      <w:sz w:val="21"/>
                      <w:szCs w:val="21"/>
                      <w:highlight w:val="none"/>
                      <w:lang w:val="en-US" w:eastAsia="zh-CN" w:bidi="ar"/>
                    </w:rPr>
                    <w:t>3</w:t>
                  </w:r>
                  <w:r>
                    <w:rPr>
                      <w:rStyle w:val="25"/>
                      <w:rFonts w:hint="eastAsia" w:cs="Times New Roman"/>
                      <w:b w:val="0"/>
                      <w:bCs w:val="0"/>
                      <w:color w:val="auto"/>
                      <w:sz w:val="21"/>
                      <w:szCs w:val="21"/>
                      <w:highlight w:val="none"/>
                      <w:vertAlign w:val="baseline"/>
                      <w:lang w:val="en-US" w:eastAsia="zh-CN" w:bidi="ar"/>
                    </w:rPr>
                    <w:t>，充装系数为0.8</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365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1BE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D228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340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2C9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酸混合器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767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高剪切泵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2A3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F02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76A8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E0F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D72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酸反应罐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61A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w:t>
                  </w:r>
                  <w:r>
                    <w:rPr>
                      <w:rStyle w:val="27"/>
                      <w:rFonts w:hint="default" w:ascii="Times New Roman" w:hAnsi="Times New Roman" w:eastAsia="宋体" w:cs="Times New Roman"/>
                      <w:b w:val="0"/>
                      <w:bCs w:val="0"/>
                      <w:color w:val="auto"/>
                      <w:sz w:val="21"/>
                      <w:szCs w:val="21"/>
                      <w:highlight w:val="none"/>
                      <w:lang w:val="en-US" w:eastAsia="zh-CN" w:bidi="ar"/>
                    </w:rPr>
                    <w:t>30m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D7E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A9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106B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9AE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373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碱液罐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02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容量</w:t>
                  </w:r>
                  <w:r>
                    <w:rPr>
                      <w:rStyle w:val="27"/>
                      <w:rFonts w:hint="eastAsia" w:cs="Times New Roman"/>
                      <w:b w:val="0"/>
                      <w:bCs w:val="0"/>
                      <w:color w:val="auto"/>
                      <w:sz w:val="21"/>
                      <w:szCs w:val="21"/>
                      <w:highlight w:val="none"/>
                      <w:lang w:val="en-US" w:eastAsia="zh-CN" w:bidi="ar"/>
                    </w:rPr>
                    <w:t>30</w:t>
                  </w:r>
                  <w:r>
                    <w:rPr>
                      <w:rStyle w:val="27"/>
                      <w:rFonts w:hint="default" w:ascii="Times New Roman" w:hAnsi="Times New Roman" w:eastAsia="宋体" w:cs="Times New Roman"/>
                      <w:b w:val="0"/>
                      <w:bCs w:val="0"/>
                      <w:color w:val="auto"/>
                      <w:sz w:val="21"/>
                      <w:szCs w:val="21"/>
                      <w:highlight w:val="none"/>
                      <w:lang w:val="en-US" w:eastAsia="zh-CN" w:bidi="ar"/>
                    </w:rPr>
                    <w:t>m</w:t>
                  </w:r>
                  <w:r>
                    <w:rPr>
                      <w:rStyle w:val="25"/>
                      <w:rFonts w:hint="default" w:ascii="Times New Roman" w:hAnsi="Times New Roman" w:eastAsia="宋体" w:cs="Times New Roman"/>
                      <w:b w:val="0"/>
                      <w:bCs w:val="0"/>
                      <w:color w:val="auto"/>
                      <w:sz w:val="21"/>
                      <w:szCs w:val="21"/>
                      <w:highlight w:val="none"/>
                      <w:lang w:val="en-US" w:eastAsia="zh-CN" w:bidi="ar"/>
                    </w:rPr>
                    <w:t>3</w:t>
                  </w:r>
                  <w:r>
                    <w:rPr>
                      <w:rStyle w:val="25"/>
                      <w:rFonts w:hint="eastAsia" w:cs="Times New Roman"/>
                      <w:b w:val="0"/>
                      <w:bCs w:val="0"/>
                      <w:color w:val="auto"/>
                      <w:sz w:val="21"/>
                      <w:szCs w:val="21"/>
                      <w:highlight w:val="none"/>
                      <w:vertAlign w:val="baseline"/>
                      <w:lang w:val="en-US" w:eastAsia="zh-CN" w:bidi="ar"/>
                    </w:rPr>
                    <w:t>，充装系数为0.8</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64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B25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F085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A6C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CAE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碱混合器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2F90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312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3AA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9B49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439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8F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碱反应罐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A941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43F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9F0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5102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9A9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23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2B5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卧式离心泵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0ED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E80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0D2C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FFB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3EE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脱皂离心机</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8D1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RSI220</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757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73D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1CCC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89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97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皂脚</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暂存罐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915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190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0F8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8B5B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39A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2CD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柠檬酸罐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ADB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489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DE5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EE3A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74A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A58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柠檬酸泵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A8D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螺杆泵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FDB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A24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8111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240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3AD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热水罐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899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w:t>
                  </w:r>
                  <w:r>
                    <w:rPr>
                      <w:rStyle w:val="27"/>
                      <w:rFonts w:hint="default" w:ascii="Times New Roman" w:hAnsi="Times New Roman" w:eastAsia="宋体" w:cs="Times New Roman"/>
                      <w:b w:val="0"/>
                      <w:bCs w:val="0"/>
                      <w:color w:val="auto"/>
                      <w:sz w:val="21"/>
                      <w:szCs w:val="21"/>
                      <w:highlight w:val="none"/>
                      <w:lang w:val="en-US" w:eastAsia="zh-CN" w:bidi="ar"/>
                    </w:rPr>
                    <w:t>5m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FC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B7F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25695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1F4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A96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热水泵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FF7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E74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F22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FC41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80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A8F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水洗混合器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30C1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0D3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A24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676E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DA2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744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水洗罐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169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容量</w:t>
                  </w:r>
                  <w:r>
                    <w:rPr>
                      <w:rStyle w:val="27"/>
                      <w:rFonts w:hint="default" w:ascii="Times New Roman" w:hAnsi="Times New Roman" w:eastAsia="宋体" w:cs="Times New Roman"/>
                      <w:b w:val="0"/>
                      <w:bCs w:val="0"/>
                      <w:color w:val="auto"/>
                      <w:sz w:val="21"/>
                      <w:szCs w:val="21"/>
                      <w:highlight w:val="none"/>
                      <w:lang w:val="en-US" w:eastAsia="zh-CN" w:bidi="ar"/>
                    </w:rPr>
                    <w:t>10</w:t>
                  </w:r>
                  <w:r>
                    <w:rPr>
                      <w:rStyle w:val="26"/>
                      <w:rFonts w:hint="default" w:ascii="Times New Roman" w:hAnsi="Times New Roman" w:eastAsia="宋体" w:cs="Times New Roman"/>
                      <w:b w:val="0"/>
                      <w:bCs w:val="0"/>
                      <w:color w:val="auto"/>
                      <w:sz w:val="21"/>
                      <w:szCs w:val="21"/>
                      <w:highlight w:val="none"/>
                      <w:lang w:val="en-US" w:eastAsia="zh-CN" w:bidi="ar"/>
                    </w:rPr>
                    <w:t>吨</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6BC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85D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2ED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2FE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19</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304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水洗油泵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64C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4C3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934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F0E5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23C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DB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水洗离心机</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F1B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RSI220</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773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CE2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F443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4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1A3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F21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871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6B8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6E32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FB0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51F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回收水泵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8AC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44A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303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2B5C1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E33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5FD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真空脱味塔</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F2D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容量</w:t>
                  </w:r>
                  <w:r>
                    <w:rPr>
                      <w:rStyle w:val="27"/>
                      <w:rFonts w:hint="default" w:ascii="Times New Roman" w:hAnsi="Times New Roman" w:eastAsia="宋体" w:cs="Times New Roman"/>
                      <w:b w:val="0"/>
                      <w:bCs w:val="0"/>
                      <w:color w:val="auto"/>
                      <w:sz w:val="21"/>
                      <w:szCs w:val="21"/>
                      <w:highlight w:val="none"/>
                      <w:lang w:val="en-US" w:eastAsia="zh-CN" w:bidi="ar"/>
                    </w:rPr>
                    <w:t>20</w:t>
                  </w:r>
                  <w:r>
                    <w:rPr>
                      <w:rStyle w:val="26"/>
                      <w:rFonts w:hint="default" w:ascii="Times New Roman" w:hAnsi="Times New Roman" w:eastAsia="宋体" w:cs="Times New Roman"/>
                      <w:b w:val="0"/>
                      <w:bCs w:val="0"/>
                      <w:color w:val="auto"/>
                      <w:sz w:val="21"/>
                      <w:szCs w:val="21"/>
                      <w:highlight w:val="none"/>
                      <w:lang w:val="en-US" w:eastAsia="zh-CN" w:bidi="ar"/>
                    </w:rPr>
                    <w:t>吨</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F21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D40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E959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FD3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BC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塔出油泵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13D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屏蔽电泵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115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29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C097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E50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68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布袋过滤器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BA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r>
                    <w:rPr>
                      <w:rStyle w:val="26"/>
                      <w:rFonts w:hint="default" w:ascii="Times New Roman" w:hAnsi="Times New Roman" w:eastAsia="宋体" w:cs="Times New Roman"/>
                      <w:b w:val="0"/>
                      <w:bCs w:val="0"/>
                      <w:color w:val="auto"/>
                      <w:sz w:val="21"/>
                      <w:szCs w:val="21"/>
                      <w:highlight w:val="none"/>
                      <w:lang w:val="en-US" w:eastAsia="zh-CN" w:bidi="ar"/>
                    </w:rPr>
                    <w:t>袋</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8E9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091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E005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D64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8DA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碟片清洗池</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13A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08B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D4F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4CE2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91B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5D3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中和油暂存罐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6F9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70m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D9E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1DF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cs="Times New Roman"/>
                      <w:b w:val="0"/>
                      <w:bCs w:val="0"/>
                      <w:i w:val="0"/>
                      <w:iCs w:val="0"/>
                      <w:color w:val="auto"/>
                      <w:kern w:val="0"/>
                      <w:sz w:val="21"/>
                      <w:szCs w:val="21"/>
                      <w:highlight w:val="none"/>
                      <w:u w:val="none"/>
                      <w:lang w:val="en-US" w:eastAsia="zh-CN" w:bidi="ar"/>
                    </w:rPr>
                    <w:t>利旧</w:t>
                  </w:r>
                </w:p>
              </w:tc>
            </w:tr>
            <w:tr w14:paraId="10C0E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E5D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6AC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中和油泵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76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离心泵或转子泵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6A1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83E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7115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70F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29</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0D4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皂脚</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B0FA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70m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5A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E71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3F80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CC5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4E0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皂脚泵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2C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133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0F1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8597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28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485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水洗水回用装置（含油水分离箱）</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25C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5m</w:t>
                  </w:r>
                  <w:r>
                    <w:rPr>
                      <w:rStyle w:val="26"/>
                      <w:rFonts w:hint="default" w:ascii="Times New Roman" w:hAnsi="Times New Roman" w:eastAsia="宋体" w:cs="Times New Roman"/>
                      <w:b w:val="0"/>
                      <w:bCs w:val="0"/>
                      <w:color w:val="auto"/>
                      <w:sz w:val="21"/>
                      <w:szCs w:val="21"/>
                      <w:highlight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1.5m</w:t>
                  </w:r>
                  <w:r>
                    <w:rPr>
                      <w:rStyle w:val="26"/>
                      <w:rFonts w:hint="default" w:ascii="Times New Roman" w:hAnsi="Times New Roman" w:eastAsia="宋体" w:cs="Times New Roman"/>
                      <w:b w:val="0"/>
                      <w:bCs w:val="0"/>
                      <w:color w:val="auto"/>
                      <w:sz w:val="21"/>
                      <w:szCs w:val="21"/>
                      <w:highlight w:val="none"/>
                      <w:lang w:val="en-US" w:eastAsia="zh-CN" w:bidi="ar"/>
                    </w:rPr>
                    <w:t>×</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1.5m</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A2D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1套</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7EF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新建</w:t>
                  </w:r>
                </w:p>
              </w:tc>
            </w:tr>
            <w:tr w14:paraId="19610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00E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二</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181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脱色工段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1413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6612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98DA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477AA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1F1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9DF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预脱色油缓冲罐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DC58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557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5A2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F2A1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962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AF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白土投料斗</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4C3C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745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9E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6CF2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D60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34F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脉冲除尘器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24FC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EF8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A24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F8FB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8FA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92A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白土暂存罐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520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C2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86C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DF6B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FDB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AEE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活性炭罐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29D9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D7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64C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596F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33A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81E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预混罐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CCDD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1DF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4C0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AB57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F5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D76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真空脱色塔</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895D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5D3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BD3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7D1A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D29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18E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脱色缓冲罐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1940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657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213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AD8D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04E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487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白土过滤机</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606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过滤面积</w:t>
                  </w:r>
                  <w:r>
                    <w:rPr>
                      <w:rStyle w:val="27"/>
                      <w:rFonts w:hint="default" w:ascii="Times New Roman" w:hAnsi="Times New Roman" w:eastAsia="宋体" w:cs="Times New Roman"/>
                      <w:b w:val="0"/>
                      <w:bCs w:val="0"/>
                      <w:color w:val="auto"/>
                      <w:sz w:val="21"/>
                      <w:szCs w:val="21"/>
                      <w:highlight w:val="none"/>
                      <w:lang w:val="en-US" w:eastAsia="zh-CN" w:bidi="ar"/>
                    </w:rPr>
                    <w:t>125m</w:t>
                  </w:r>
                  <w:r>
                    <w:rPr>
                      <w:rStyle w:val="25"/>
                      <w:rFonts w:hint="default" w:ascii="Times New Roman" w:hAnsi="Times New Roman" w:eastAsia="宋体" w:cs="Times New Roman"/>
                      <w:b w:val="0"/>
                      <w:bCs w:val="0"/>
                      <w:color w:val="auto"/>
                      <w:sz w:val="21"/>
                      <w:szCs w:val="21"/>
                      <w:highlight w:val="none"/>
                      <w:lang w:val="en-US" w:eastAsia="zh-CN" w:bidi="ar"/>
                    </w:rPr>
                    <w:t>2</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4F3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261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144F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77D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E60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废白土暂存料箱</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CA62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253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580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2736D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5A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4A9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污油油罐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9FB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Ø2000</w:t>
                  </w:r>
                  <w:r>
                    <w:rPr>
                      <w:rStyle w:val="26"/>
                      <w:rFonts w:hint="default" w:ascii="Times New Roman" w:hAnsi="Times New Roman" w:eastAsia="宋体" w:cs="Times New Roman"/>
                      <w:b w:val="0"/>
                      <w:bCs w:val="0"/>
                      <w:color w:val="auto"/>
                      <w:sz w:val="21"/>
                      <w:szCs w:val="21"/>
                      <w:highlight w:val="none"/>
                      <w:lang w:val="en-US" w:eastAsia="zh-CN" w:bidi="ar"/>
                    </w:rPr>
                    <w:t>×</w:t>
                  </w:r>
                  <w:r>
                    <w:rPr>
                      <w:rStyle w:val="27"/>
                      <w:rFonts w:hint="default" w:ascii="Times New Roman" w:hAnsi="Times New Roman" w:eastAsia="宋体" w:cs="Times New Roman"/>
                      <w:b w:val="0"/>
                      <w:bCs w:val="0"/>
                      <w:color w:val="auto"/>
                      <w:sz w:val="21"/>
                      <w:szCs w:val="21"/>
                      <w:highlight w:val="none"/>
                      <w:lang w:val="en-US" w:eastAsia="zh-CN" w:bidi="ar"/>
                    </w:rPr>
                    <w:t>3000</w:t>
                  </w:r>
                  <w:r>
                    <w:rPr>
                      <w:rStyle w:val="26"/>
                      <w:rFonts w:hint="default" w:ascii="Times New Roman" w:hAnsi="Times New Roman" w:eastAsia="宋体" w:cs="Times New Roman"/>
                      <w:b w:val="0"/>
                      <w:bCs w:val="0"/>
                      <w:color w:val="auto"/>
                      <w:sz w:val="21"/>
                      <w:szCs w:val="21"/>
                      <w:highlight w:val="none"/>
                      <w:lang w:val="en-US" w:eastAsia="zh-CN" w:bidi="ar"/>
                    </w:rPr>
                    <w:t>×</w:t>
                  </w:r>
                  <w:r>
                    <w:rPr>
                      <w:rStyle w:val="27"/>
                      <w:rFonts w:hint="default" w:ascii="Times New Roman" w:hAnsi="Times New Roman" w:eastAsia="宋体" w:cs="Times New Roman"/>
                      <w:b w:val="0"/>
                      <w:bCs w:val="0"/>
                      <w:color w:val="auto"/>
                      <w:sz w:val="21"/>
                      <w:szCs w:val="21"/>
                      <w:highlight w:val="none"/>
                      <w:lang w:val="en-US" w:eastAsia="zh-CN" w:bidi="ar"/>
                    </w:rPr>
                    <w:t>5.0</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CB7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E9D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0E91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ED7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1D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A83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卧式离心泵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57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213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5981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2EB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99A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滤板清洗池</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D4FA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B9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9A6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AD35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D35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0B0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热能回收罐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147C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4C4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A78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8495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51D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063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热能回收泵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F7D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多级离心泵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FF6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D6F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1413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2B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三</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9A5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脱臭工段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5FD3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0EA5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2FAA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1C7EB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973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1AB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析气器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DF8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容量</w:t>
                  </w:r>
                  <w:r>
                    <w:rPr>
                      <w:rStyle w:val="27"/>
                      <w:rFonts w:hint="default" w:ascii="Times New Roman" w:hAnsi="Times New Roman" w:eastAsia="宋体" w:cs="Times New Roman"/>
                      <w:b w:val="0"/>
                      <w:bCs w:val="0"/>
                      <w:color w:val="auto"/>
                      <w:sz w:val="21"/>
                      <w:szCs w:val="21"/>
                      <w:highlight w:val="none"/>
                      <w:lang w:val="en-US" w:eastAsia="zh-CN" w:bidi="ar"/>
                    </w:rPr>
                    <w:t>17</w:t>
                  </w:r>
                  <w:r>
                    <w:rPr>
                      <w:rStyle w:val="26"/>
                      <w:rFonts w:hint="default" w:ascii="Times New Roman" w:hAnsi="Times New Roman" w:eastAsia="宋体" w:cs="Times New Roman"/>
                      <w:b w:val="0"/>
                      <w:bCs w:val="0"/>
                      <w:color w:val="auto"/>
                      <w:sz w:val="21"/>
                      <w:szCs w:val="21"/>
                      <w:highlight w:val="none"/>
                      <w:lang w:val="en-US" w:eastAsia="zh-CN" w:bidi="ar"/>
                    </w:rPr>
                    <w:t>吨</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10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F2C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3A49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7F2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A5C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析气油泵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13F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屏蔽泵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575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7A4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237A5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B5A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F93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安全过滤机</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216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袋式</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040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AB3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8377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EC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EED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油油换热器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349E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10F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96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A87C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3D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221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真空节能器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DE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降膜</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E7A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6CC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B53C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03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A27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冰冻真空冷凝器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6EA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7C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套</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15F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28524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10C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6CE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真空节能器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7C4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降膜</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9FF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EA4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B361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A4F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D7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最终加热器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3B5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列管式</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0A0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8EA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1F2D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9D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EDF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脱臭塔</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ED60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D1F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E33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7759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B5B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5B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出油泵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17E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屏蔽泵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F4D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D21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3B50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F9A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247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后脱酸塔</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D19E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209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381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4017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A50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931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后脱酸油泵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370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屏蔽泵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AB8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F8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855F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5D1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03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后汽提出油泵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8D7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屏蔽泵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F46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536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CB21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DA5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6EF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成品油冷却器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ABE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板式</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1F8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FE2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2E5B2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AFB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265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成品油过滤器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568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袋式</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C91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29C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3FBD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8D9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FCD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脂肪酸蒸汽捕集器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B8E9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373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680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B5B8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319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69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脂肪酸收集罐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9C7E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DA5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BB9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A5C9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87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BFB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脂肪酸泵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5CF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屏蔽泵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5C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2CD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99D6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F3D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19</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250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脂肪酸冷却器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E7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板式</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9C4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5072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5B9E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E1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四</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9EA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脱溶、脱味、脱色、脱臭供应系统</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BB38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1C51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A8E8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45F5D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624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8FA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液封罐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61D7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CCC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218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CEF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A68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F1A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冷冻液循环罐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B95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43E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78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C1D2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D1B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42F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冷冻液供应泵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9BA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A4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49F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0DC5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9B8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D78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冷冻机</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CBD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66RT</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9EF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4C5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315A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F4A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13C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冷却塔</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667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清水塔</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10B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780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66C9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30F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544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冷却塔循环水泵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006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710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93A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8022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0E8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965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水环泵补水罐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7652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A0C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61E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F479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631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B52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罗茨泵组</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BC8F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BC4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套</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268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56BC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55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1B4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除冰罐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B278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97E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A36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7A70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DEF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68C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化冰泵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158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卧式离心泵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35F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2C5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78E5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238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ED5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液封水罐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2DF3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3AD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8A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B357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718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392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喷淋水泵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004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卧式离心泵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C03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540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C1E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926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E8D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低温水泵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F99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卧式离心泵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440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97F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81E6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B8C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五</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CA4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脱蜡结晶工序</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971D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8E01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E62F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7178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79D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543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进料油泵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B37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离心泵或转子泵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743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998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B59C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17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C15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助滤剂投料斗</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DFDB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34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B43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7648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14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3DE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预混罐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C50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20</w:t>
                  </w:r>
                  <w:r>
                    <w:rPr>
                      <w:rStyle w:val="27"/>
                      <w:rFonts w:hint="default" w:ascii="Times New Roman" w:hAnsi="Times New Roman" w:eastAsia="宋体" w:cs="Times New Roman"/>
                      <w:b w:val="0"/>
                      <w:bCs w:val="0"/>
                      <w:color w:val="auto"/>
                      <w:sz w:val="21"/>
                      <w:szCs w:val="21"/>
                      <w:highlight w:val="none"/>
                      <w:lang w:val="en-US" w:eastAsia="zh-CN" w:bidi="ar"/>
                    </w:rPr>
                    <w:t>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020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987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5E2B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DF9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55A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结晶罐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EA3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70</w:t>
                  </w:r>
                  <w:r>
                    <w:rPr>
                      <w:rStyle w:val="27"/>
                      <w:rFonts w:hint="default" w:ascii="Times New Roman" w:hAnsi="Times New Roman" w:eastAsia="宋体" w:cs="Times New Roman"/>
                      <w:b w:val="0"/>
                      <w:bCs w:val="0"/>
                      <w:color w:val="auto"/>
                      <w:sz w:val="21"/>
                      <w:szCs w:val="21"/>
                      <w:highlight w:val="none"/>
                      <w:lang w:val="en-US" w:eastAsia="zh-CN" w:bidi="ar"/>
                    </w:rPr>
                    <w:t>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AB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35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E03C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196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BA9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养晶罐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8D4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70</w:t>
                  </w:r>
                  <w:r>
                    <w:rPr>
                      <w:rStyle w:val="27"/>
                      <w:rFonts w:hint="default" w:ascii="Times New Roman" w:hAnsi="Times New Roman" w:eastAsia="宋体" w:cs="Times New Roman"/>
                      <w:b w:val="0"/>
                      <w:bCs w:val="0"/>
                      <w:color w:val="auto"/>
                      <w:sz w:val="21"/>
                      <w:szCs w:val="21"/>
                      <w:highlight w:val="none"/>
                      <w:lang w:val="en-US" w:eastAsia="zh-CN" w:bidi="ar"/>
                    </w:rPr>
                    <w:t>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EE6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28C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2E48B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956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DB3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换热器供水泵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204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卧式离心泵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895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7E6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42E0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BD7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3B7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脱蜡油输送泵</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820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容积式泵</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1DD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381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DAD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6D0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8</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1D5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高压离心风机</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7E47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76C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F23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5C4A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4E3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4F2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预涂罐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76F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容积</w:t>
                  </w:r>
                  <w:r>
                    <w:rPr>
                      <w:rStyle w:val="27"/>
                      <w:rFonts w:hint="default" w:ascii="Times New Roman" w:hAnsi="Times New Roman" w:eastAsia="宋体" w:cs="Times New Roman"/>
                      <w:b w:val="0"/>
                      <w:bCs w:val="0"/>
                      <w:color w:val="auto"/>
                      <w:sz w:val="21"/>
                      <w:szCs w:val="21"/>
                      <w:highlight w:val="none"/>
                      <w:lang w:val="en-US" w:eastAsia="zh-CN" w:bidi="ar"/>
                    </w:rPr>
                    <w:t>30m</w:t>
                  </w:r>
                  <w:r>
                    <w:rPr>
                      <w:rStyle w:val="25"/>
                      <w:rFonts w:hint="default" w:ascii="Times New Roman" w:hAnsi="Times New Roman" w:eastAsia="宋体" w:cs="Times New Roman"/>
                      <w:b w:val="0"/>
                      <w:bCs w:val="0"/>
                      <w:color w:val="auto"/>
                      <w:sz w:val="21"/>
                      <w:szCs w:val="21"/>
                      <w:highlight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E1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2CC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F398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8F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C7B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脱蜡过滤机</w:t>
                  </w:r>
                  <w:r>
                    <w:rPr>
                      <w:rStyle w:val="27"/>
                      <w:rFonts w:hint="default" w:ascii="Times New Roman" w:hAnsi="Times New Roman" w:eastAsia="宋体" w:cs="Times New Roman"/>
                      <w:b w:val="0"/>
                      <w:bCs w:val="0"/>
                      <w:color w:val="auto"/>
                      <w:sz w:val="21"/>
                      <w:szCs w:val="21"/>
                      <w:highlight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w:t>
                  </w:r>
                  <w:r>
                    <w:rPr>
                      <w:rStyle w:val="27"/>
                      <w:rFonts w:hint="default" w:ascii="Times New Roman" w:hAnsi="Times New Roman" w:eastAsia="宋体" w:cs="Times New Roman"/>
                      <w:b w:val="0"/>
                      <w:bCs w:val="0"/>
                      <w:color w:val="auto"/>
                      <w:sz w:val="21"/>
                      <w:szCs w:val="21"/>
                      <w:highlight w:val="none"/>
                      <w:lang w:val="en-US" w:eastAsia="zh-CN" w:bidi="ar"/>
                    </w:rPr>
                    <w:t>2</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706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150m</w:t>
                  </w:r>
                  <w:r>
                    <w:rPr>
                      <w:rStyle w:val="25"/>
                      <w:rFonts w:hint="default" w:ascii="Times New Roman" w:hAnsi="Times New Roman" w:eastAsia="宋体" w:cs="Times New Roman"/>
                      <w:b w:val="0"/>
                      <w:bCs w:val="0"/>
                      <w:color w:val="auto"/>
                      <w:sz w:val="21"/>
                      <w:szCs w:val="21"/>
                      <w:highlight w:val="none"/>
                      <w:lang w:val="en-US" w:eastAsia="zh-CN" w:bidi="ar"/>
                    </w:rPr>
                    <w:t>2</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017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C20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2683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E1E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02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滤板清洗池</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58F9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32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B5A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E098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A0E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BE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旋风分离器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0528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CD8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CB9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C06A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25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D7D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过滤机下料斗</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4C5D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43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套</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59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3B16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185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A58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吹扫污油罐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0FAD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D42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6BE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6F856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D63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B6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脱蜡油暂存罐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F3F9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EDC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617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11E2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0FE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684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冷冻液储罐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6A9B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945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E3D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1350B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1A8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六</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D32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尾气处理系统</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723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A5E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50C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r>
            <w:tr w14:paraId="51358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BA9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885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吸收塔</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180F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D2D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9C6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75104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E7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110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次氯酸钠储罐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07FC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1m</w:t>
                  </w:r>
                  <w:r>
                    <w:rPr>
                      <w:rFonts w:hint="default" w:ascii="Times New Roman" w:hAnsi="Times New Roman" w:cs="Times New Roman"/>
                      <w:b w:val="0"/>
                      <w:bCs w:val="0"/>
                      <w:i w:val="0"/>
                      <w:iCs w:val="0"/>
                      <w:color w:val="auto"/>
                      <w:sz w:val="21"/>
                      <w:szCs w:val="21"/>
                      <w:highlight w:val="none"/>
                      <w:u w:val="none"/>
                      <w:vertAlign w:val="superscript"/>
                      <w:lang w:val="en-US" w:eastAsia="zh-CN"/>
                    </w:rPr>
                    <w:t>3</w:t>
                  </w:r>
                  <w:r>
                    <w:rPr>
                      <w:rStyle w:val="25"/>
                      <w:rFonts w:hint="eastAsia" w:cs="Times New Roman"/>
                      <w:b w:val="0"/>
                      <w:bCs w:val="0"/>
                      <w:color w:val="auto"/>
                      <w:sz w:val="21"/>
                      <w:szCs w:val="21"/>
                      <w:highlight w:val="none"/>
                      <w:vertAlign w:val="baseline"/>
                      <w:lang w:val="en-US" w:eastAsia="zh-CN" w:bidi="ar"/>
                    </w:rPr>
                    <w:t>，充装系数为0.8</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9BC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DB3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C005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855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C03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活性炭吸附</w:t>
                  </w:r>
                  <w:r>
                    <w:rPr>
                      <w:rStyle w:val="26"/>
                      <w:rFonts w:hint="default" w:ascii="Times New Roman" w:hAnsi="Times New Roman" w:eastAsia="宋体" w:cs="Times New Roman"/>
                      <w:b w:val="0"/>
                      <w:bCs w:val="0"/>
                      <w:color w:val="auto"/>
                      <w:sz w:val="21"/>
                      <w:szCs w:val="21"/>
                      <w:highlight w:val="none"/>
                      <w:lang w:val="en-US" w:eastAsia="zh-CN" w:bidi="ar"/>
                    </w:rPr>
                    <w:t>装置</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86FE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237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418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234B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3F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709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排放烟囱</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2CC8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25</w:t>
                  </w:r>
                  <w:r>
                    <w:rPr>
                      <w:rFonts w:hint="default" w:ascii="Times New Roman" w:hAnsi="Times New Roman" w:eastAsia="宋体" w:cs="Times New Roman"/>
                      <w:b w:val="0"/>
                      <w:bCs w:val="0"/>
                      <w:i w:val="0"/>
                      <w:iCs w:val="0"/>
                      <w:color w:val="auto"/>
                      <w:sz w:val="21"/>
                      <w:szCs w:val="21"/>
                      <w:highlight w:val="none"/>
                      <w:u w:val="none"/>
                      <w:lang w:val="en-US" w:eastAsia="zh-CN"/>
                    </w:rPr>
                    <w:t>m</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9D8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C2AB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5ACE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6AC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七</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86F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公用工程</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9496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BB4C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130C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51719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5F4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251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低氮燃气卧式锅炉</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41F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额定蒸发量：</w:t>
                  </w:r>
                  <w:r>
                    <w:rPr>
                      <w:rStyle w:val="27"/>
                      <w:rFonts w:hint="default" w:ascii="Times New Roman" w:hAnsi="Times New Roman" w:eastAsia="宋体" w:cs="Times New Roman"/>
                      <w:b w:val="0"/>
                      <w:bCs w:val="0"/>
                      <w:color w:val="auto"/>
                      <w:sz w:val="21"/>
                      <w:szCs w:val="21"/>
                      <w:highlight w:val="none"/>
                      <w:lang w:val="en-US" w:eastAsia="zh-CN" w:bidi="ar"/>
                    </w:rPr>
                    <w:t>2000</w:t>
                  </w:r>
                  <w:r>
                    <w:rPr>
                      <w:rStyle w:val="27"/>
                      <w:rFonts w:hint="default" w:ascii="Times New Roman" w:hAnsi="Times New Roman" w:cs="Times New Roman"/>
                      <w:b w:val="0"/>
                      <w:bCs w:val="0"/>
                      <w:color w:val="auto"/>
                      <w:sz w:val="21"/>
                      <w:szCs w:val="21"/>
                      <w:highlight w:val="none"/>
                      <w:lang w:val="en-US" w:eastAsia="zh-CN" w:bidi="ar"/>
                    </w:rPr>
                    <w:t>kg</w:t>
                  </w:r>
                  <w:r>
                    <w:rPr>
                      <w:rStyle w:val="27"/>
                      <w:rFonts w:hint="default" w:ascii="Times New Roman" w:hAnsi="Times New Roman" w:eastAsia="宋体" w:cs="Times New Roman"/>
                      <w:b w:val="0"/>
                      <w:bCs w:val="0"/>
                      <w:color w:val="auto"/>
                      <w:sz w:val="21"/>
                      <w:szCs w:val="21"/>
                      <w:highlight w:val="none"/>
                      <w:lang w:val="en-US" w:eastAsia="zh-CN" w:bidi="ar"/>
                    </w:rPr>
                    <w:t>/h</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BC4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3C4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A111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E3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23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蒸汽发生器</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C49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蒸发量</w:t>
                  </w:r>
                  <w:r>
                    <w:rPr>
                      <w:rStyle w:val="27"/>
                      <w:rFonts w:hint="default" w:ascii="Times New Roman" w:hAnsi="Times New Roman" w:eastAsia="宋体" w:cs="Times New Roman"/>
                      <w:b w:val="0"/>
                      <w:bCs w:val="0"/>
                      <w:color w:val="auto"/>
                      <w:sz w:val="21"/>
                      <w:szCs w:val="21"/>
                      <w:highlight w:val="none"/>
                      <w:lang w:val="en-US" w:eastAsia="zh-CN" w:bidi="ar"/>
                    </w:rPr>
                    <w:t>1000kg/h</w:t>
                  </w:r>
                  <w:r>
                    <w:rPr>
                      <w:rStyle w:val="26"/>
                      <w:rFonts w:hint="default" w:ascii="Times New Roman" w:hAnsi="Times New Roman" w:eastAsia="宋体" w:cs="Times New Roman"/>
                      <w:b w:val="0"/>
                      <w:bCs w:val="0"/>
                      <w:color w:val="auto"/>
                      <w:sz w:val="21"/>
                      <w:szCs w:val="21"/>
                      <w:highlight w:val="none"/>
                      <w:lang w:val="en-US" w:eastAsia="zh-CN" w:bidi="ar"/>
                    </w:rPr>
                    <w:t>，</w:t>
                  </w:r>
                  <w:r>
                    <w:rPr>
                      <w:rStyle w:val="27"/>
                      <w:rFonts w:hint="default" w:ascii="Times New Roman" w:hAnsi="Times New Roman" w:eastAsia="宋体" w:cs="Times New Roman"/>
                      <w:b w:val="0"/>
                      <w:bCs w:val="0"/>
                      <w:color w:val="auto"/>
                      <w:sz w:val="21"/>
                      <w:szCs w:val="21"/>
                      <w:highlight w:val="none"/>
                      <w:lang w:val="en-US" w:eastAsia="zh-CN" w:bidi="ar"/>
                    </w:rPr>
                    <w:t>12.5bar</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30E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E86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065D4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699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BC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高压锅炉</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EC2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额定蒸发量：</w:t>
                  </w:r>
                  <w:r>
                    <w:rPr>
                      <w:rStyle w:val="27"/>
                      <w:rFonts w:hint="eastAsia" w:cs="Times New Roman"/>
                      <w:b w:val="0"/>
                      <w:bCs w:val="0"/>
                      <w:color w:val="auto"/>
                      <w:sz w:val="21"/>
                      <w:szCs w:val="21"/>
                      <w:highlight w:val="none"/>
                      <w:lang w:val="en-US" w:eastAsia="zh-CN" w:bidi="ar"/>
                    </w:rPr>
                    <w:t>3</w:t>
                  </w:r>
                  <w:r>
                    <w:rPr>
                      <w:rStyle w:val="27"/>
                      <w:rFonts w:hint="default" w:ascii="Times New Roman" w:hAnsi="Times New Roman" w:eastAsia="宋体" w:cs="Times New Roman"/>
                      <w:b w:val="0"/>
                      <w:bCs w:val="0"/>
                      <w:color w:val="auto"/>
                      <w:sz w:val="21"/>
                      <w:szCs w:val="21"/>
                      <w:highlight w:val="none"/>
                      <w:lang w:val="en-US" w:eastAsia="zh-CN" w:bidi="ar"/>
                    </w:rPr>
                    <w:t>000</w:t>
                  </w:r>
                  <w:r>
                    <w:rPr>
                      <w:rStyle w:val="27"/>
                      <w:rFonts w:hint="default" w:ascii="Times New Roman" w:hAnsi="Times New Roman" w:cs="Times New Roman"/>
                      <w:b w:val="0"/>
                      <w:bCs w:val="0"/>
                      <w:color w:val="auto"/>
                      <w:sz w:val="21"/>
                      <w:szCs w:val="21"/>
                      <w:highlight w:val="none"/>
                      <w:lang w:val="en-US" w:eastAsia="zh-CN" w:bidi="ar"/>
                    </w:rPr>
                    <w:t>kg</w:t>
                  </w:r>
                  <w:r>
                    <w:rPr>
                      <w:rStyle w:val="27"/>
                      <w:rFonts w:hint="default" w:ascii="Times New Roman" w:hAnsi="Times New Roman" w:eastAsia="宋体" w:cs="Times New Roman"/>
                      <w:b w:val="0"/>
                      <w:bCs w:val="0"/>
                      <w:color w:val="auto"/>
                      <w:sz w:val="21"/>
                      <w:szCs w:val="21"/>
                      <w:highlight w:val="none"/>
                      <w:lang w:val="en-US" w:eastAsia="zh-CN" w:bidi="ar"/>
                    </w:rPr>
                    <w:t>/h</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2DD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91C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4220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E21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4</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37F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锅炉纯水处理系统</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704A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olor w:val="auto"/>
                      <w:highlight w:val="none"/>
                      <w:lang w:val="en-US" w:eastAsia="zh-CN"/>
                    </w:rPr>
                    <w:t>3t/h</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E39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套</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04C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hAnsi="Times New Roman" w:cs="Times New Roman"/>
                      <w:b w:val="0"/>
                      <w:bCs w:val="0"/>
                      <w:i w:val="0"/>
                      <w:iCs w:val="0"/>
                      <w:color w:val="auto"/>
                      <w:kern w:val="0"/>
                      <w:sz w:val="21"/>
                      <w:szCs w:val="21"/>
                      <w:highlight w:val="none"/>
                      <w:u w:val="none"/>
                      <w:lang w:val="en-US" w:eastAsia="zh-CN" w:bidi="ar"/>
                    </w:rPr>
                    <w:t>新建</w:t>
                  </w:r>
                </w:p>
              </w:tc>
            </w:tr>
            <w:tr w14:paraId="7CA69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AAE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9D4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空压系统</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DF63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E8B9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CB4E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4C17A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A06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D2F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空压机</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D41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单螺杆</w:t>
                  </w: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97E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67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24ED6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4B1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5.2</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19F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冷干机</w:t>
                  </w:r>
                </w:p>
              </w:tc>
              <w:tc>
                <w:tcPr>
                  <w:tcW w:w="11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BCA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6m</w:t>
                  </w:r>
                  <w:r>
                    <w:rPr>
                      <w:rStyle w:val="25"/>
                      <w:rFonts w:hint="default" w:ascii="Times New Roman" w:hAnsi="Times New Roman" w:eastAsia="宋体" w:cs="Times New Roman"/>
                      <w:b w:val="0"/>
                      <w:bCs w:val="0"/>
                      <w:color w:val="auto"/>
                      <w:sz w:val="21"/>
                      <w:szCs w:val="21"/>
                      <w:highlight w:val="none"/>
                      <w:lang w:val="en-US" w:eastAsia="zh-CN" w:bidi="ar"/>
                    </w:rPr>
                    <w:t>3</w:t>
                  </w:r>
                  <w:r>
                    <w:rPr>
                      <w:rStyle w:val="27"/>
                      <w:rFonts w:hint="default" w:ascii="Times New Roman" w:hAnsi="Times New Roman" w:eastAsia="宋体" w:cs="Times New Roman"/>
                      <w:b w:val="0"/>
                      <w:bCs w:val="0"/>
                      <w:color w:val="auto"/>
                      <w:sz w:val="21"/>
                      <w:szCs w:val="21"/>
                      <w:highlight w:val="none"/>
                      <w:lang w:val="en-US" w:eastAsia="zh-CN" w:bidi="ar"/>
                    </w:rPr>
                    <w:t>/min</w:t>
                  </w:r>
                </w:p>
              </w:tc>
              <w:tc>
                <w:tcPr>
                  <w:tcW w:w="1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049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2</w:t>
                  </w:r>
                  <w:r>
                    <w:rPr>
                      <w:rStyle w:val="26"/>
                      <w:rFonts w:hint="default" w:ascii="Times New Roman" w:hAnsi="Times New Roman" w:eastAsia="宋体" w:cs="Times New Roman"/>
                      <w:b w:val="0"/>
                      <w:bCs w:val="0"/>
                      <w:color w:val="auto"/>
                      <w:sz w:val="21"/>
                      <w:szCs w:val="21"/>
                      <w:highlight w:val="none"/>
                      <w:lang w:val="en-US" w:eastAsia="zh-CN" w:bidi="ar"/>
                    </w:rPr>
                    <w:t>台</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B88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r w14:paraId="4B3D9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FBE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kern w:val="0"/>
                      <w:sz w:val="21"/>
                      <w:szCs w:val="21"/>
                      <w:highlight w:val="none"/>
                      <w:u w:val="none"/>
                      <w:lang w:val="en-US" w:eastAsia="zh-CN" w:bidi="ar"/>
                    </w:rPr>
                    <w:t>5.3</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C39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空气储罐</w:t>
                  </w:r>
                </w:p>
              </w:tc>
              <w:tc>
                <w:tcPr>
                  <w:tcW w:w="11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25DF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1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D82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r>
                    <w:rPr>
                      <w:rStyle w:val="26"/>
                      <w:rFonts w:hint="default" w:ascii="Times New Roman" w:hAnsi="Times New Roman" w:eastAsia="宋体" w:cs="Times New Roman"/>
                      <w:b w:val="0"/>
                      <w:bCs w:val="0"/>
                      <w:color w:val="auto"/>
                      <w:sz w:val="21"/>
                      <w:szCs w:val="21"/>
                      <w:highlight w:val="none"/>
                      <w:lang w:val="en-US" w:eastAsia="zh-CN" w:bidi="ar"/>
                    </w:rPr>
                    <w:t>个</w:t>
                  </w:r>
                </w:p>
              </w:tc>
              <w:tc>
                <w:tcPr>
                  <w:tcW w:w="8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A5F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新建</w:t>
                  </w:r>
                </w:p>
              </w:tc>
            </w:tr>
          </w:tbl>
          <w:p w14:paraId="498BB7AE">
            <w:pPr>
              <w:keepNext w:val="0"/>
              <w:keepLines w:val="0"/>
              <w:pageBreakBefore w:val="0"/>
              <w:kinsoku/>
              <w:wordWrap/>
              <w:overflowPunct w:val="0"/>
              <w:topLinePunct/>
              <w:autoSpaceDE/>
              <w:autoSpaceDN/>
              <w:bidi w:val="0"/>
              <w:adjustRightInd/>
              <w:snapToGrid/>
              <w:spacing w:line="240" w:lineRule="auto"/>
              <w:ind w:firstLine="420" w:firstLineChars="200"/>
              <w:jc w:val="both"/>
              <w:textAlignment w:val="auto"/>
              <w:outlineLvl w:val="1"/>
              <w:rPr>
                <w:rFonts w:hint="default" w:ascii="Times New Roman" w:hAnsi="Times New Roman" w:eastAsia="宋体" w:cs="Times New Roman"/>
                <w:b/>
                <w:bCs/>
                <w:color w:val="auto"/>
                <w:spacing w:val="-1"/>
                <w:kern w:val="2"/>
                <w:sz w:val="21"/>
                <w:szCs w:val="21"/>
                <w:highlight w:val="none"/>
                <w:lang w:val="en-US" w:eastAsia="zh-CN" w:bidi="ar-SA"/>
              </w:rPr>
            </w:pPr>
            <w:r>
              <w:rPr>
                <w:rFonts w:hint="eastAsia" w:cs="Times New Roman"/>
                <w:color w:val="auto"/>
                <w:kern w:val="2"/>
                <w:sz w:val="21"/>
                <w:szCs w:val="21"/>
                <w:highlight w:val="none"/>
                <w:lang w:eastAsia="zh-CN"/>
              </w:rPr>
              <w:t>本项目</w:t>
            </w:r>
            <w:r>
              <w:rPr>
                <w:rFonts w:hint="default" w:ascii="Times New Roman" w:hAnsi="Times New Roman" w:eastAsia="宋体" w:cs="Times New Roman"/>
                <w:color w:val="auto"/>
                <w:kern w:val="2"/>
                <w:sz w:val="21"/>
                <w:szCs w:val="21"/>
                <w:highlight w:val="none"/>
              </w:rPr>
              <w:t>利旧生产设备和新增生产设备均不属于《产业结构调整指导目录（2019年本）》和《高耗能落后机电设备（产品）淘汰目录（第一批、第二批、第三批、第四批）》中明令禁止使用的淘汰、落后生产装备。</w:t>
            </w:r>
          </w:p>
          <w:p w14:paraId="5DC11249">
            <w:pPr>
              <w:keepNext w:val="0"/>
              <w:keepLines w:val="0"/>
              <w:pageBreakBefore w:val="0"/>
              <w:kinsoku/>
              <w:wordWrap/>
              <w:overflowPunct w:val="0"/>
              <w:topLinePunct/>
              <w:autoSpaceDE/>
              <w:autoSpaceDN/>
              <w:bidi w:val="0"/>
              <w:adjustRightInd/>
              <w:snapToGrid/>
              <w:spacing w:line="360" w:lineRule="auto"/>
              <w:ind w:firstLine="478" w:firstLineChars="200"/>
              <w:jc w:val="both"/>
              <w:textAlignment w:val="auto"/>
              <w:outlineLvl w:val="1"/>
              <w:rPr>
                <w:rFonts w:hint="default" w:ascii="Times New Roman" w:hAnsi="Times New Roman" w:eastAsia="宋体" w:cs="Times New Roman"/>
                <w:b/>
                <w:bCs/>
                <w:color w:val="auto"/>
                <w:spacing w:val="-1"/>
                <w:kern w:val="2"/>
                <w:sz w:val="24"/>
                <w:szCs w:val="24"/>
                <w:highlight w:val="none"/>
                <w:lang w:val="en-US" w:eastAsia="zh-CN" w:bidi="ar-SA"/>
              </w:rPr>
            </w:pPr>
            <w:r>
              <w:rPr>
                <w:rFonts w:hint="default" w:ascii="Times New Roman" w:hAnsi="Times New Roman" w:eastAsia="宋体" w:cs="Times New Roman"/>
                <w:b/>
                <w:bCs/>
                <w:color w:val="auto"/>
                <w:spacing w:val="-1"/>
                <w:kern w:val="2"/>
                <w:sz w:val="24"/>
                <w:szCs w:val="24"/>
                <w:highlight w:val="none"/>
                <w:lang w:val="en-US" w:eastAsia="zh-CN" w:bidi="ar-SA"/>
              </w:rPr>
              <w:t>2.3.6原辅料及</w:t>
            </w:r>
            <w:r>
              <w:rPr>
                <w:rFonts w:hint="default" w:ascii="Times New Roman" w:hAnsi="Times New Roman" w:eastAsia="宋体" w:cs="Times New Roman"/>
                <w:b/>
                <w:bCs/>
                <w:color w:val="auto"/>
                <w:kern w:val="0"/>
                <w:sz w:val="24"/>
                <w:szCs w:val="24"/>
                <w:highlight w:val="none"/>
                <w:lang w:val="en-US" w:eastAsia="zh-CN" w:bidi="ar"/>
              </w:rPr>
              <w:t>能源消耗量</w:t>
            </w:r>
          </w:p>
          <w:p w14:paraId="50126A67">
            <w:pPr>
              <w:keepNext w:val="0"/>
              <w:keepLines w:val="0"/>
              <w:pageBreakBefore w:val="0"/>
              <w:widowControl/>
              <w:numPr>
                <w:ilvl w:val="0"/>
                <w:numId w:val="0"/>
              </w:numPr>
              <w:suppressLineNumbers w:val="0"/>
              <w:kinsoku/>
              <w:wordWrap/>
              <w:overflowPunct w:val="0"/>
              <w:topLinePunct/>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cs="Times New Roman"/>
                <w:b w:val="0"/>
                <w:bCs w:val="0"/>
                <w:color w:val="auto"/>
                <w:kern w:val="0"/>
                <w:sz w:val="24"/>
                <w:szCs w:val="24"/>
                <w:highlight w:val="none"/>
                <w:lang w:val="en-US" w:eastAsia="zh-CN" w:bidi="ar"/>
              </w:rPr>
              <w:t>（1）</w:t>
            </w:r>
            <w:r>
              <w:rPr>
                <w:rFonts w:hint="default" w:ascii="Times New Roman" w:hAnsi="Times New Roman" w:eastAsia="宋体" w:cs="Times New Roman"/>
                <w:b w:val="0"/>
                <w:bCs w:val="0"/>
                <w:color w:val="auto"/>
                <w:kern w:val="0"/>
                <w:sz w:val="24"/>
                <w:szCs w:val="24"/>
                <w:highlight w:val="none"/>
                <w:lang w:val="en-US" w:eastAsia="zh-CN" w:bidi="ar"/>
              </w:rPr>
              <w:t>原辅料消耗情况</w:t>
            </w:r>
          </w:p>
          <w:p w14:paraId="0C2FB6E6">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val="0"/>
                <w:strike w:val="0"/>
                <w:dstrike w:val="0"/>
                <w:color w:val="auto"/>
                <w:sz w:val="24"/>
                <w:szCs w:val="24"/>
                <w:highlight w:val="none"/>
                <w:vertAlign w:val="baseline"/>
                <w:lang w:val="en-US" w:eastAsia="zh-CN"/>
              </w:rPr>
            </w:pPr>
          </w:p>
          <w:p w14:paraId="576DE220">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val="0"/>
                <w:strike w:val="0"/>
                <w:dstrike w:val="0"/>
                <w:color w:val="auto"/>
                <w:sz w:val="24"/>
                <w:szCs w:val="24"/>
                <w:highlight w:val="none"/>
                <w:vertAlign w:val="baseline"/>
                <w:lang w:val="en-US" w:eastAsia="zh-CN"/>
              </w:rPr>
            </w:pPr>
          </w:p>
          <w:p w14:paraId="7ECE8F92">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val="0"/>
                <w:strike w:val="0"/>
                <w:dstrike w:val="0"/>
                <w:color w:val="auto"/>
                <w:sz w:val="24"/>
                <w:szCs w:val="24"/>
                <w:highlight w:val="none"/>
                <w:vertAlign w:val="baseline"/>
                <w:lang w:val="en-US" w:eastAsia="zh-CN"/>
              </w:rPr>
            </w:pPr>
          </w:p>
          <w:p w14:paraId="74891FC9">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val="0"/>
                <w:strike w:val="0"/>
                <w:dstrike w:val="0"/>
                <w:color w:val="auto"/>
                <w:sz w:val="24"/>
                <w:szCs w:val="24"/>
                <w:highlight w:val="none"/>
                <w:vertAlign w:val="baseline"/>
                <w:lang w:val="en-US" w:eastAsia="zh-CN"/>
              </w:rPr>
            </w:pPr>
          </w:p>
          <w:p w14:paraId="44A2D353">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val="0"/>
                <w:strike w:val="0"/>
                <w:dstrike w:val="0"/>
                <w:color w:val="auto"/>
                <w:sz w:val="24"/>
                <w:szCs w:val="24"/>
                <w:highlight w:val="none"/>
                <w:vertAlign w:val="baseline"/>
                <w:lang w:val="en-US" w:eastAsia="zh-CN"/>
              </w:rPr>
            </w:pPr>
          </w:p>
          <w:p w14:paraId="70585792">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val="0"/>
                <w:strike w:val="0"/>
                <w:dstrike w:val="0"/>
                <w:color w:val="auto"/>
                <w:sz w:val="24"/>
                <w:szCs w:val="24"/>
                <w:highlight w:val="none"/>
                <w:vertAlign w:val="baseline"/>
                <w:lang w:val="en-US" w:eastAsia="zh-CN"/>
              </w:rPr>
            </w:pPr>
          </w:p>
          <w:p w14:paraId="66A4995E">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trike w:val="0"/>
                <w:dstrike w:val="0"/>
                <w:color w:val="auto"/>
                <w:sz w:val="24"/>
                <w:szCs w:val="24"/>
                <w:highlight w:val="none"/>
                <w:vertAlign w:val="baseline"/>
                <w:lang w:val="en-US" w:eastAsia="zh-CN"/>
              </w:rPr>
            </w:pPr>
            <w:r>
              <w:rPr>
                <w:rFonts w:hint="default" w:ascii="Times New Roman" w:hAnsi="Times New Roman" w:cs="Times New Roman"/>
                <w:b/>
                <w:bCs w:val="0"/>
                <w:strike w:val="0"/>
                <w:dstrike w:val="0"/>
                <w:color w:val="auto"/>
                <w:sz w:val="24"/>
                <w:szCs w:val="24"/>
                <w:highlight w:val="none"/>
                <w:vertAlign w:val="baseline"/>
                <w:lang w:val="en-US" w:eastAsia="zh-CN"/>
              </w:rPr>
              <w:t>表2.3-</w:t>
            </w:r>
            <w:r>
              <w:rPr>
                <w:rFonts w:hint="eastAsia" w:cs="Times New Roman"/>
                <w:b/>
                <w:bCs w:val="0"/>
                <w:strike w:val="0"/>
                <w:dstrike w:val="0"/>
                <w:color w:val="auto"/>
                <w:sz w:val="24"/>
                <w:szCs w:val="24"/>
                <w:highlight w:val="none"/>
                <w:vertAlign w:val="baseline"/>
                <w:lang w:val="en-US" w:eastAsia="zh-CN"/>
              </w:rPr>
              <w:t>9本项目</w:t>
            </w:r>
            <w:r>
              <w:rPr>
                <w:rFonts w:hint="default" w:ascii="Times New Roman" w:hAnsi="Times New Roman" w:cs="Times New Roman"/>
                <w:b/>
                <w:bCs w:val="0"/>
                <w:strike w:val="0"/>
                <w:dstrike w:val="0"/>
                <w:color w:val="auto"/>
                <w:sz w:val="24"/>
                <w:szCs w:val="24"/>
                <w:highlight w:val="none"/>
                <w:vertAlign w:val="baseline"/>
                <w:lang w:val="en-US" w:eastAsia="zh-CN"/>
              </w:rPr>
              <w:t>原辅料用量表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49"/>
              <w:gridCol w:w="866"/>
              <w:gridCol w:w="894"/>
              <w:gridCol w:w="834"/>
              <w:gridCol w:w="835"/>
              <w:gridCol w:w="682"/>
              <w:gridCol w:w="598"/>
              <w:gridCol w:w="766"/>
              <w:gridCol w:w="603"/>
            </w:tblGrid>
            <w:tr w14:paraId="7263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6A8B77">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54631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w:t>
                  </w:r>
                  <w:r>
                    <w:rPr>
                      <w:rFonts w:hint="default" w:ascii="Times New Roman" w:hAnsi="Times New Roman" w:cs="Times New Roman"/>
                      <w:color w:val="auto"/>
                      <w:sz w:val="21"/>
                      <w:szCs w:val="21"/>
                      <w:highlight w:val="none"/>
                      <w:lang w:val="en-US" w:eastAsia="zh-CN"/>
                    </w:rPr>
                    <w:t>辅料</w:t>
                  </w:r>
                  <w:r>
                    <w:rPr>
                      <w:rFonts w:hint="default" w:ascii="Times New Roman" w:hAnsi="Times New Roman" w:cs="Times New Roman"/>
                      <w:color w:val="auto"/>
                      <w:sz w:val="21"/>
                      <w:szCs w:val="21"/>
                      <w:highlight w:val="none"/>
                    </w:rPr>
                    <w:t>名称</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A351BA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年用量</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t/a</w:t>
                  </w:r>
                  <w:r>
                    <w:rPr>
                      <w:rFonts w:hint="default" w:ascii="Times New Roman" w:hAnsi="Times New Roman" w:cs="Times New Roman"/>
                      <w:color w:val="auto"/>
                      <w:sz w:val="21"/>
                      <w:szCs w:val="21"/>
                      <w:highlight w:val="none"/>
                      <w:lang w:eastAsia="zh-CN"/>
                    </w:rPr>
                    <w:t>）</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C1DAA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w:t>
                  </w:r>
                  <w:r>
                    <w:rPr>
                      <w:rFonts w:hint="default" w:ascii="Times New Roman" w:hAnsi="Times New Roman" w:cs="Times New Roman"/>
                      <w:color w:val="auto"/>
                      <w:sz w:val="21"/>
                      <w:szCs w:val="21"/>
                      <w:highlight w:val="none"/>
                      <w:lang w:val="en-US" w:eastAsia="zh-CN"/>
                    </w:rPr>
                    <w:t>贮存</w:t>
                  </w:r>
                  <w:r>
                    <w:rPr>
                      <w:rFonts w:hint="default" w:ascii="Times New Roman" w:hAnsi="Times New Roman" w:cs="Times New Roman"/>
                      <w:color w:val="auto"/>
                      <w:sz w:val="21"/>
                      <w:szCs w:val="21"/>
                      <w:highlight w:val="none"/>
                    </w:rPr>
                    <w:t>量</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w:t>
                  </w:r>
                  <w:r>
                    <w:rPr>
                      <w:rFonts w:hint="default" w:ascii="Times New Roman" w:hAnsi="Times New Roman" w:cs="Times New Roman"/>
                      <w:color w:val="auto"/>
                      <w:sz w:val="21"/>
                      <w:szCs w:val="21"/>
                      <w:highlight w:val="none"/>
                      <w:lang w:eastAsia="zh-CN"/>
                    </w:rPr>
                    <w:t>）</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A1C479">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单位产品耗量（t/万t产品）</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6B008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原辅料形态</w:t>
                  </w: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47707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贮存地点</w:t>
                  </w: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F2416A">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贮存方式</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1DBDC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来源</w:t>
                  </w: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62E60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运输方式</w:t>
                  </w:r>
                </w:p>
              </w:tc>
            </w:tr>
            <w:tr w14:paraId="4D5E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55408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D5B00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原辅料用量</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E61F95">
                  <w:pPr>
                    <w:jc w:val="center"/>
                    <w:rPr>
                      <w:rFonts w:hint="default" w:ascii="Times New Roman" w:hAnsi="Times New Roman" w:cs="Times New Roman"/>
                      <w:color w:val="auto"/>
                      <w:sz w:val="21"/>
                      <w:szCs w:val="21"/>
                      <w:highlight w:val="none"/>
                    </w:rPr>
                  </w:pP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2211F55">
                  <w:pPr>
                    <w:jc w:val="center"/>
                    <w:rPr>
                      <w:rFonts w:hint="default" w:ascii="Times New Roman" w:hAnsi="Times New Roman" w:cs="Times New Roman"/>
                      <w:color w:val="auto"/>
                      <w:sz w:val="21"/>
                      <w:szCs w:val="21"/>
                      <w:highlight w:val="none"/>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1E3DA6">
                  <w:pPr>
                    <w:jc w:val="center"/>
                    <w:rPr>
                      <w:rFonts w:hint="default" w:ascii="Times New Roman" w:hAnsi="Times New Roman" w:cs="Times New Roman"/>
                      <w:color w:val="auto"/>
                      <w:sz w:val="21"/>
                      <w:szCs w:val="21"/>
                      <w:highlight w:val="none"/>
                      <w:lang w:val="en-US"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2978A3">
                  <w:pPr>
                    <w:jc w:val="center"/>
                    <w:rPr>
                      <w:rFonts w:hint="default" w:ascii="Times New Roman" w:hAnsi="Times New Roman" w:cs="Times New Roman"/>
                      <w:color w:val="auto"/>
                      <w:sz w:val="21"/>
                      <w:szCs w:val="21"/>
                      <w:highlight w:val="none"/>
                      <w:lang w:val="en-US" w:eastAsia="zh-CN"/>
                    </w:rPr>
                  </w:pP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6E3000">
                  <w:pPr>
                    <w:jc w:val="center"/>
                    <w:rPr>
                      <w:rFonts w:hint="default" w:ascii="Times New Roman" w:hAnsi="Times New Roman" w:cs="Times New Roman"/>
                      <w:color w:val="auto"/>
                      <w:sz w:val="21"/>
                      <w:szCs w:val="21"/>
                      <w:highlight w:val="none"/>
                      <w:lang w:val="en-US" w:eastAsia="zh-CN"/>
                    </w:rPr>
                  </w:pP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CE969F">
                  <w:pPr>
                    <w:jc w:val="center"/>
                    <w:rPr>
                      <w:rFonts w:hint="default" w:ascii="Times New Roman" w:hAnsi="Times New Roman" w:cs="Times New Roman"/>
                      <w:color w:val="auto"/>
                      <w:sz w:val="21"/>
                      <w:szCs w:val="21"/>
                      <w:highlight w:val="none"/>
                      <w:lang w:val="en-US" w:eastAsia="zh-CN"/>
                    </w:rPr>
                  </w:pP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EE0879">
                  <w:pPr>
                    <w:jc w:val="center"/>
                    <w:rPr>
                      <w:rFonts w:hint="default" w:ascii="Times New Roman" w:hAnsi="Times New Roman" w:cs="Times New Roman"/>
                      <w:color w:val="auto"/>
                      <w:sz w:val="21"/>
                      <w:szCs w:val="21"/>
                      <w:highlight w:val="none"/>
                      <w:lang w:val="en-US" w:eastAsia="zh-CN"/>
                    </w:rPr>
                  </w:pP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05A255">
                  <w:pPr>
                    <w:jc w:val="center"/>
                    <w:rPr>
                      <w:rFonts w:hint="default" w:ascii="Times New Roman" w:hAnsi="Times New Roman" w:cs="Times New Roman"/>
                      <w:color w:val="auto"/>
                      <w:sz w:val="21"/>
                      <w:szCs w:val="21"/>
                      <w:highlight w:val="none"/>
                      <w:lang w:val="en-US" w:eastAsia="zh-CN"/>
                    </w:rPr>
                  </w:pPr>
                </w:p>
              </w:tc>
            </w:tr>
            <w:tr w14:paraId="0776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9B25A2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68"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F470C0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毛油</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菜籽油、大豆油、葵花籽油、玉米油</w:t>
                  </w:r>
                  <w:r>
                    <w:rPr>
                      <w:rFonts w:hint="eastAsia" w:cs="Times New Roman"/>
                      <w:color w:val="auto"/>
                      <w:sz w:val="21"/>
                      <w:szCs w:val="21"/>
                      <w:highlight w:val="none"/>
                      <w:vertAlign w:val="baseline"/>
                      <w:lang w:val="en-US" w:eastAsia="zh-CN"/>
                    </w:rPr>
                    <w:t>）</w:t>
                  </w:r>
                </w:p>
              </w:tc>
              <w:tc>
                <w:tcPr>
                  <w:tcW w:w="52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14C7D93">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r>
                    <w:rPr>
                      <w:rFonts w:hint="eastAsia" w:ascii="Times New Roman" w:hAnsi="Times New Roman" w:cs="Times New Roman"/>
                      <w:color w:val="auto"/>
                      <w:sz w:val="21"/>
                      <w:szCs w:val="21"/>
                      <w:highlight w:val="none"/>
                      <w:lang w:val="en-US" w:eastAsia="zh-CN"/>
                    </w:rPr>
                    <w:t>5567</w:t>
                  </w:r>
                </w:p>
              </w:tc>
              <w:tc>
                <w:tcPr>
                  <w:tcW w:w="537"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E136026">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16000</w:t>
                  </w:r>
                </w:p>
              </w:tc>
              <w:tc>
                <w:tcPr>
                  <w:tcW w:w="50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D109013">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1.03</w:t>
                  </w:r>
                </w:p>
              </w:tc>
              <w:tc>
                <w:tcPr>
                  <w:tcW w:w="501"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96680E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液态</w:t>
                  </w:r>
                </w:p>
              </w:tc>
              <w:tc>
                <w:tcPr>
                  <w:tcW w:w="41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33663F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储罐区</w:t>
                  </w:r>
                </w:p>
              </w:tc>
              <w:tc>
                <w:tcPr>
                  <w:tcW w:w="36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826C9C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储罐</w:t>
                  </w:r>
                </w:p>
              </w:tc>
              <w:tc>
                <w:tcPr>
                  <w:tcW w:w="460"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33815D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储罐区</w:t>
                  </w:r>
                </w:p>
              </w:tc>
              <w:tc>
                <w:tcPr>
                  <w:tcW w:w="36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ADD53E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管输</w:t>
                  </w:r>
                </w:p>
              </w:tc>
            </w:tr>
            <w:tr w14:paraId="08B5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16089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0CAF67">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活性白土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食品级</w:t>
                  </w:r>
                  <w:r>
                    <w:rPr>
                      <w:rFonts w:hint="eastAsia" w:cs="Times New Roman"/>
                      <w:color w:val="auto"/>
                      <w:sz w:val="21"/>
                      <w:szCs w:val="21"/>
                      <w:highlight w:val="none"/>
                      <w:lang w:eastAsia="zh-CN"/>
                    </w:rPr>
                    <w:t>）</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30D22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570</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392C0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8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B74460">
                  <w:pPr>
                    <w:keepNext w:val="0"/>
                    <w:keepLines w:val="0"/>
                    <w:widowControl/>
                    <w:suppressLineNumbers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69C84F">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固态</w:t>
                  </w: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1E1EAC">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白土库房</w:t>
                  </w: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E244E0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袋装</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FC7B77D">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外单位采购</w:t>
                  </w: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B1875C">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货车运输</w:t>
                  </w:r>
                </w:p>
              </w:tc>
            </w:tr>
            <w:tr w14:paraId="25D1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43B4F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A7D9F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磷酸</w:t>
                  </w:r>
                  <w:r>
                    <w:rPr>
                      <w:rFonts w:hint="eastAsia" w:cs="Times New Roman"/>
                      <w:color w:val="auto"/>
                      <w:sz w:val="21"/>
                      <w:szCs w:val="21"/>
                      <w:highlight w:val="none"/>
                      <w:lang w:eastAsia="zh-CN"/>
                    </w:rPr>
                    <w:t>（</w:t>
                  </w:r>
                  <w:r>
                    <w:rPr>
                      <w:rFonts w:hint="eastAsia" w:eastAsia="Helvetica" w:cs="Times New Roman"/>
                      <w:i w:val="0"/>
                      <w:iCs w:val="0"/>
                      <w:caps w:val="0"/>
                      <w:color w:val="auto"/>
                      <w:spacing w:val="0"/>
                      <w:kern w:val="0"/>
                      <w:sz w:val="24"/>
                      <w:szCs w:val="24"/>
                      <w:highlight w:val="none"/>
                      <w:shd w:val="clear" w:fill="FFFFFF"/>
                      <w:lang w:val="en-US" w:eastAsia="zh-CN" w:bidi="ar"/>
                    </w:rPr>
                    <w:t>50%</w:t>
                  </w:r>
                  <w:r>
                    <w:rPr>
                      <w:rFonts w:hint="eastAsia" w:cs="Times New Roman"/>
                      <w:color w:val="auto"/>
                      <w:sz w:val="21"/>
                      <w:szCs w:val="21"/>
                      <w:highlight w:val="none"/>
                      <w:lang w:val="en-US" w:eastAsia="zh-CN"/>
                    </w:rPr>
                    <w:t>食品级</w:t>
                  </w:r>
                  <w:r>
                    <w:rPr>
                      <w:rFonts w:hint="eastAsia" w:cs="Times New Roman"/>
                      <w:color w:val="auto"/>
                      <w:sz w:val="21"/>
                      <w:szCs w:val="21"/>
                      <w:highlight w:val="none"/>
                      <w:lang w:eastAsia="zh-CN"/>
                    </w:rPr>
                    <w:t>）</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1AE83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641211">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5.98</w:t>
                  </w:r>
                </w:p>
              </w:tc>
              <w:tc>
                <w:tcPr>
                  <w:tcW w:w="8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D4472D">
                  <w:pPr>
                    <w:keepNext w:val="0"/>
                    <w:keepLines w:val="0"/>
                    <w:widowControl/>
                    <w:suppressLineNumbers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01A6D4">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液态</w:t>
                  </w: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AB016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储罐区</w:t>
                  </w: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40B8C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罐装</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751FF2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外单位采购</w:t>
                  </w: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E9ACD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货车运输</w:t>
                  </w:r>
                </w:p>
              </w:tc>
            </w:tr>
            <w:tr w14:paraId="6700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ACB6A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507C70">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氢氧化钠</w:t>
                  </w:r>
                  <w:r>
                    <w:rPr>
                      <w:rFonts w:hint="eastAsia" w:cs="Times New Roman"/>
                      <w:color w:val="auto"/>
                      <w:sz w:val="21"/>
                      <w:szCs w:val="21"/>
                      <w:highlight w:val="none"/>
                      <w:lang w:eastAsia="zh-CN"/>
                    </w:rPr>
                    <w:t>（</w:t>
                  </w:r>
                  <w:r>
                    <w:rPr>
                      <w:rFonts w:hint="eastAsia" w:eastAsia="Helvetica" w:cs="Times New Roman"/>
                      <w:i w:val="0"/>
                      <w:iCs w:val="0"/>
                      <w:caps w:val="0"/>
                      <w:color w:val="auto"/>
                      <w:spacing w:val="0"/>
                      <w:kern w:val="0"/>
                      <w:sz w:val="24"/>
                      <w:szCs w:val="24"/>
                      <w:highlight w:val="none"/>
                      <w:shd w:val="clear" w:fill="FFFFFF"/>
                      <w:lang w:val="en-US" w:eastAsia="zh-CN" w:bidi="ar"/>
                    </w:rPr>
                    <w:t>30%</w:t>
                  </w:r>
                  <w:r>
                    <w:rPr>
                      <w:rFonts w:hint="eastAsia" w:cs="Times New Roman"/>
                      <w:color w:val="auto"/>
                      <w:sz w:val="21"/>
                      <w:szCs w:val="21"/>
                      <w:highlight w:val="none"/>
                      <w:lang w:val="en-US" w:eastAsia="zh-CN"/>
                    </w:rPr>
                    <w:t>食品级</w:t>
                  </w:r>
                  <w:r>
                    <w:rPr>
                      <w:rFonts w:hint="eastAsia" w:cs="Times New Roman"/>
                      <w:color w:val="auto"/>
                      <w:sz w:val="21"/>
                      <w:szCs w:val="21"/>
                      <w:highlight w:val="none"/>
                      <w:lang w:eastAsia="zh-CN"/>
                    </w:rPr>
                    <w:t>）</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9890E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696DF1">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15.26</w:t>
                  </w:r>
                </w:p>
              </w:tc>
              <w:tc>
                <w:tcPr>
                  <w:tcW w:w="8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3F87E9">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362A99">
                  <w:pPr>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固态</w:t>
                  </w: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41E5F4">
                  <w:pPr>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库房</w:t>
                  </w: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31C5D0">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袋装</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9C19F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外单位采购</w:t>
                  </w: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0F878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货车运输</w:t>
                  </w:r>
                </w:p>
              </w:tc>
            </w:tr>
            <w:tr w14:paraId="744C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B7D24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3277E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助滤剂</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食品级</w:t>
                  </w:r>
                  <w:r>
                    <w:rPr>
                      <w:rFonts w:hint="eastAsia" w:cs="Times New Roman"/>
                      <w:color w:val="auto"/>
                      <w:sz w:val="21"/>
                      <w:szCs w:val="21"/>
                      <w:highlight w:val="none"/>
                      <w:lang w:eastAsia="zh-CN"/>
                    </w:rPr>
                    <w:t>）</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BE207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F475FA">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8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72A1D6">
                  <w:pPr>
                    <w:keepNext w:val="0"/>
                    <w:keepLines w:val="0"/>
                    <w:widowControl/>
                    <w:suppressLineNumbers w:val="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DD1074">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固态</w:t>
                  </w: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4E4DE0">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库房</w:t>
                  </w: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FE1E4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袋装</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CD621E">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外单位采购</w:t>
                  </w: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ED53F9">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货车运输</w:t>
                  </w:r>
                </w:p>
              </w:tc>
            </w:tr>
            <w:tr w14:paraId="2988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5507A1">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EC49D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柠檬酸</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食品级</w:t>
                  </w:r>
                  <w:r>
                    <w:rPr>
                      <w:rFonts w:hint="eastAsia" w:cs="Times New Roman"/>
                      <w:color w:val="auto"/>
                      <w:sz w:val="21"/>
                      <w:szCs w:val="21"/>
                      <w:highlight w:val="none"/>
                      <w:lang w:eastAsia="zh-CN"/>
                    </w:rPr>
                    <w:t>）</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7FF24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1B468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w:t>
                  </w:r>
                </w:p>
              </w:tc>
              <w:tc>
                <w:tcPr>
                  <w:tcW w:w="8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0DD5E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5686C6">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固态</w:t>
                  </w: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4451E">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柠檬酸库房</w:t>
                  </w: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6DF2B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袋装</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921205">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外单位采购</w:t>
                  </w: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A5E0D8">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货车运输</w:t>
                  </w:r>
                </w:p>
              </w:tc>
            </w:tr>
            <w:tr w14:paraId="1C2F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9D5B8D">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A745BE">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次氯酸钠</w:t>
                  </w:r>
                  <w:r>
                    <w:rPr>
                      <w:rFonts w:hint="eastAsia" w:cs="Times New Roman"/>
                      <w:color w:val="auto"/>
                      <w:sz w:val="21"/>
                      <w:szCs w:val="21"/>
                      <w:highlight w:val="none"/>
                      <w:lang w:eastAsia="zh-CN"/>
                    </w:rPr>
                    <w:t>（</w:t>
                  </w:r>
                  <w:r>
                    <w:rPr>
                      <w:rFonts w:hint="eastAsia" w:eastAsia="Helvetica" w:cs="Times New Roman"/>
                      <w:i w:val="0"/>
                      <w:iCs w:val="0"/>
                      <w:caps w:val="0"/>
                      <w:color w:val="auto"/>
                      <w:spacing w:val="0"/>
                      <w:kern w:val="0"/>
                      <w:sz w:val="24"/>
                      <w:szCs w:val="24"/>
                      <w:highlight w:val="none"/>
                      <w:shd w:val="clear" w:fill="FFFFFF"/>
                      <w:lang w:val="en-US" w:eastAsia="zh-CN" w:bidi="ar"/>
                    </w:rPr>
                    <w:t>10%</w:t>
                  </w:r>
                  <w:r>
                    <w:rPr>
                      <w:rFonts w:hint="eastAsia" w:cs="Times New Roman"/>
                      <w:color w:val="auto"/>
                      <w:sz w:val="21"/>
                      <w:szCs w:val="21"/>
                      <w:highlight w:val="none"/>
                      <w:lang w:eastAsia="zh-CN"/>
                    </w:rPr>
                    <w:t>）</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FE429C">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219145">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0.09</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829293">
                  <w:pPr>
                    <w:jc w:val="center"/>
                    <w:rPr>
                      <w:rFonts w:hint="default" w:ascii="Times New Roman" w:hAnsi="Times New Roman" w:cs="Times New Roman"/>
                      <w:color w:val="auto"/>
                      <w:sz w:val="21"/>
                      <w:szCs w:val="21"/>
                      <w:highlight w:val="none"/>
                      <w:lang w:val="en-US"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F212A7">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液态</w:t>
                  </w: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1DCBCB">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储罐区</w:t>
                  </w: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D8D4D5">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罐装</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865F16">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外单位采购</w:t>
                  </w: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1102EE">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货车运输</w:t>
                  </w:r>
                </w:p>
              </w:tc>
            </w:tr>
            <w:tr w14:paraId="5F69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405629">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5EF639">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乙二醇（制冷）</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6608E5">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235153">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1B6339">
                  <w:pPr>
                    <w:jc w:val="center"/>
                    <w:rPr>
                      <w:rFonts w:hint="default" w:ascii="Times New Roman" w:hAnsi="Times New Roman" w:cs="Times New Roman"/>
                      <w:color w:val="auto"/>
                      <w:sz w:val="21"/>
                      <w:szCs w:val="21"/>
                      <w:highlight w:val="none"/>
                      <w:lang w:val="en-US"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5A083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液态</w:t>
                  </w: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8738F8">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储罐区</w:t>
                  </w: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6030AA">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罐装</w:t>
                  </w: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3E98C4">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外单位采购</w:t>
                  </w: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59A7EA">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货车运输</w:t>
                  </w:r>
                </w:p>
              </w:tc>
            </w:tr>
            <w:tr w14:paraId="3595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9384FD">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2594A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能源</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E18BC0">
                  <w:pPr>
                    <w:jc w:val="center"/>
                    <w:rPr>
                      <w:rFonts w:hint="default" w:ascii="Times New Roman" w:hAnsi="Times New Roman" w:cs="Times New Roman"/>
                      <w:color w:val="auto"/>
                      <w:sz w:val="21"/>
                      <w:szCs w:val="21"/>
                      <w:highlight w:val="none"/>
                      <w:lang w:val="en-US" w:eastAsia="zh-CN"/>
                    </w:rPr>
                  </w:pP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70D3C2">
                  <w:pPr>
                    <w:jc w:val="center"/>
                    <w:rPr>
                      <w:rFonts w:hint="default" w:ascii="Times New Roman" w:hAnsi="Times New Roman" w:cs="Times New Roman"/>
                      <w:color w:val="auto"/>
                      <w:sz w:val="21"/>
                      <w:szCs w:val="21"/>
                      <w:highlight w:val="none"/>
                      <w:lang w:val="en-US"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92CFC8">
                  <w:pPr>
                    <w:jc w:val="center"/>
                    <w:rPr>
                      <w:rFonts w:hint="default" w:ascii="Times New Roman" w:hAnsi="Times New Roman" w:cs="Times New Roman"/>
                      <w:color w:val="auto"/>
                      <w:sz w:val="21"/>
                      <w:szCs w:val="21"/>
                      <w:highlight w:val="none"/>
                      <w:lang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9EEF22">
                  <w:pPr>
                    <w:jc w:val="center"/>
                    <w:rPr>
                      <w:rFonts w:hint="default" w:ascii="Times New Roman" w:hAnsi="Times New Roman" w:cs="Times New Roman"/>
                      <w:color w:val="auto"/>
                      <w:sz w:val="21"/>
                      <w:szCs w:val="21"/>
                      <w:highlight w:val="none"/>
                      <w:lang w:eastAsia="zh-CN"/>
                    </w:rPr>
                  </w:pP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98402D">
                  <w:pPr>
                    <w:jc w:val="center"/>
                    <w:rPr>
                      <w:rFonts w:hint="default" w:ascii="Times New Roman" w:hAnsi="Times New Roman" w:cs="Times New Roman"/>
                      <w:color w:val="auto"/>
                      <w:sz w:val="21"/>
                      <w:szCs w:val="21"/>
                      <w:highlight w:val="none"/>
                      <w:lang w:eastAsia="zh-CN"/>
                    </w:rPr>
                  </w:pP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BD9B88">
                  <w:pPr>
                    <w:jc w:val="center"/>
                    <w:rPr>
                      <w:rFonts w:hint="default" w:ascii="Times New Roman" w:hAnsi="Times New Roman" w:cs="Times New Roman"/>
                      <w:color w:val="auto"/>
                      <w:sz w:val="21"/>
                      <w:szCs w:val="21"/>
                      <w:highlight w:val="none"/>
                      <w:lang w:eastAsia="zh-CN"/>
                    </w:rPr>
                  </w:pP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12C380">
                  <w:pPr>
                    <w:jc w:val="center"/>
                    <w:rPr>
                      <w:rFonts w:hint="default" w:ascii="Times New Roman" w:hAnsi="Times New Roman" w:cs="Times New Roman"/>
                      <w:color w:val="auto"/>
                      <w:sz w:val="21"/>
                      <w:szCs w:val="21"/>
                      <w:highlight w:val="none"/>
                      <w:lang w:eastAsia="zh-CN"/>
                    </w:rPr>
                  </w:pP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EA67D">
                  <w:pPr>
                    <w:jc w:val="center"/>
                    <w:rPr>
                      <w:rFonts w:hint="default" w:ascii="Times New Roman" w:hAnsi="Times New Roman" w:cs="Times New Roman"/>
                      <w:color w:val="auto"/>
                      <w:sz w:val="21"/>
                      <w:szCs w:val="21"/>
                      <w:highlight w:val="none"/>
                      <w:lang w:eastAsia="zh-CN"/>
                    </w:rPr>
                  </w:pPr>
                </w:p>
              </w:tc>
            </w:tr>
            <w:tr w14:paraId="12A1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98D16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416D5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天然气</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E4EDE8">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345.6</w:t>
                  </w:r>
                  <w:r>
                    <w:rPr>
                      <w:rFonts w:hint="default" w:ascii="Times New Roman" w:hAnsi="Times New Roman" w:cs="Times New Roman"/>
                      <w:color w:val="auto"/>
                      <w:sz w:val="21"/>
                      <w:szCs w:val="21"/>
                      <w:highlight w:val="none"/>
                      <w:lang w:val="en-US" w:eastAsia="zh-CN"/>
                    </w:rPr>
                    <w:t>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BBB23A">
                  <w:pPr>
                    <w:jc w:val="center"/>
                    <w:rPr>
                      <w:rFonts w:hint="default" w:ascii="Times New Roman" w:hAnsi="Times New Roman" w:cs="Times New Roman"/>
                      <w:color w:val="auto"/>
                      <w:sz w:val="21"/>
                      <w:szCs w:val="21"/>
                      <w:highlight w:val="none"/>
                      <w:lang w:val="en-US"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7BDD6F">
                  <w:pPr>
                    <w:jc w:val="center"/>
                    <w:rPr>
                      <w:rFonts w:hint="default" w:ascii="Times New Roman" w:hAnsi="Times New Roman" w:cs="Times New Roman"/>
                      <w:color w:val="auto"/>
                      <w:sz w:val="21"/>
                      <w:szCs w:val="21"/>
                      <w:highlight w:val="none"/>
                      <w:lang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3F8404">
                  <w:pPr>
                    <w:jc w:val="center"/>
                    <w:rPr>
                      <w:rFonts w:hint="default" w:ascii="Times New Roman" w:hAnsi="Times New Roman" w:cs="Times New Roman"/>
                      <w:color w:val="auto"/>
                      <w:sz w:val="21"/>
                      <w:szCs w:val="21"/>
                      <w:highlight w:val="none"/>
                      <w:lang w:eastAsia="zh-CN"/>
                    </w:rPr>
                  </w:pP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7F240E">
                  <w:pPr>
                    <w:jc w:val="center"/>
                    <w:rPr>
                      <w:rFonts w:hint="default" w:ascii="Times New Roman" w:hAnsi="Times New Roman" w:cs="Times New Roman"/>
                      <w:color w:val="auto"/>
                      <w:sz w:val="21"/>
                      <w:szCs w:val="21"/>
                      <w:highlight w:val="none"/>
                      <w:lang w:eastAsia="zh-CN"/>
                    </w:rPr>
                  </w:pP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138CE8">
                  <w:pPr>
                    <w:jc w:val="center"/>
                    <w:rPr>
                      <w:rFonts w:hint="default" w:ascii="Times New Roman" w:hAnsi="Times New Roman" w:cs="Times New Roman"/>
                      <w:color w:val="auto"/>
                      <w:sz w:val="21"/>
                      <w:szCs w:val="21"/>
                      <w:highlight w:val="none"/>
                      <w:lang w:eastAsia="zh-CN"/>
                    </w:rPr>
                  </w:pP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D8C011">
                  <w:pPr>
                    <w:jc w:val="center"/>
                    <w:rPr>
                      <w:rFonts w:hint="default" w:ascii="Times New Roman" w:hAnsi="Times New Roman" w:cs="Times New Roman"/>
                      <w:color w:val="auto"/>
                      <w:sz w:val="21"/>
                      <w:szCs w:val="21"/>
                      <w:highlight w:val="none"/>
                      <w:lang w:eastAsia="zh-CN"/>
                    </w:rPr>
                  </w:pP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41671D">
                  <w:pPr>
                    <w:jc w:val="center"/>
                    <w:rPr>
                      <w:rFonts w:hint="default" w:ascii="Times New Roman" w:hAnsi="Times New Roman" w:cs="Times New Roman"/>
                      <w:color w:val="auto"/>
                      <w:sz w:val="21"/>
                      <w:szCs w:val="21"/>
                      <w:highlight w:val="none"/>
                      <w:lang w:eastAsia="zh-CN"/>
                    </w:rPr>
                  </w:pPr>
                </w:p>
              </w:tc>
            </w:tr>
            <w:tr w14:paraId="7DC9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E8DB08">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C53CDC">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40CBC0">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2.67</w:t>
                  </w:r>
                  <w:r>
                    <w:rPr>
                      <w:rFonts w:hint="default" w:ascii="Times New Roman" w:hAnsi="Times New Roman" w:cs="Times New Roman"/>
                      <w:color w:val="auto"/>
                      <w:sz w:val="21"/>
                      <w:szCs w:val="21"/>
                      <w:highlight w:val="none"/>
                      <w:lang w:val="en-US" w:eastAsia="zh-CN"/>
                    </w:rPr>
                    <w:t>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DD4714">
                  <w:pPr>
                    <w:jc w:val="center"/>
                    <w:rPr>
                      <w:rFonts w:hint="default" w:ascii="Times New Roman" w:hAnsi="Times New Roman" w:cs="Times New Roman"/>
                      <w:color w:val="auto"/>
                      <w:sz w:val="21"/>
                      <w:szCs w:val="21"/>
                      <w:highlight w:val="none"/>
                      <w:lang w:val="en-US"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F979CE">
                  <w:pPr>
                    <w:jc w:val="center"/>
                    <w:rPr>
                      <w:rFonts w:hint="default" w:ascii="Times New Roman" w:hAnsi="Times New Roman" w:cs="Times New Roman"/>
                      <w:color w:val="auto"/>
                      <w:sz w:val="21"/>
                      <w:szCs w:val="21"/>
                      <w:highlight w:val="none"/>
                      <w:lang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E3DFA2">
                  <w:pPr>
                    <w:jc w:val="center"/>
                    <w:rPr>
                      <w:rFonts w:hint="default" w:ascii="Times New Roman" w:hAnsi="Times New Roman" w:cs="Times New Roman"/>
                      <w:color w:val="auto"/>
                      <w:sz w:val="21"/>
                      <w:szCs w:val="21"/>
                      <w:highlight w:val="none"/>
                      <w:lang w:eastAsia="zh-CN"/>
                    </w:rPr>
                  </w:pP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177135">
                  <w:pPr>
                    <w:jc w:val="center"/>
                    <w:rPr>
                      <w:rFonts w:hint="default" w:ascii="Times New Roman" w:hAnsi="Times New Roman" w:cs="Times New Roman"/>
                      <w:color w:val="auto"/>
                      <w:sz w:val="21"/>
                      <w:szCs w:val="21"/>
                      <w:highlight w:val="none"/>
                      <w:lang w:eastAsia="zh-CN"/>
                    </w:rPr>
                  </w:pP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01B6F0">
                  <w:pPr>
                    <w:jc w:val="center"/>
                    <w:rPr>
                      <w:rFonts w:hint="default" w:ascii="Times New Roman" w:hAnsi="Times New Roman" w:cs="Times New Roman"/>
                      <w:color w:val="auto"/>
                      <w:sz w:val="21"/>
                      <w:szCs w:val="21"/>
                      <w:highlight w:val="none"/>
                      <w:lang w:eastAsia="zh-CN"/>
                    </w:rPr>
                  </w:pP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1FD9D4">
                  <w:pPr>
                    <w:jc w:val="center"/>
                    <w:rPr>
                      <w:rFonts w:hint="default" w:ascii="Times New Roman" w:hAnsi="Times New Roman" w:cs="Times New Roman"/>
                      <w:color w:val="auto"/>
                      <w:sz w:val="21"/>
                      <w:szCs w:val="21"/>
                      <w:highlight w:val="none"/>
                      <w:lang w:eastAsia="zh-CN"/>
                    </w:rPr>
                  </w:pP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9F3722">
                  <w:pPr>
                    <w:jc w:val="center"/>
                    <w:rPr>
                      <w:rFonts w:hint="default" w:ascii="Times New Roman" w:hAnsi="Times New Roman" w:cs="Times New Roman"/>
                      <w:color w:val="auto"/>
                      <w:sz w:val="21"/>
                      <w:szCs w:val="21"/>
                      <w:highlight w:val="none"/>
                      <w:lang w:eastAsia="zh-CN"/>
                    </w:rPr>
                  </w:pPr>
                </w:p>
              </w:tc>
            </w:tr>
            <w:tr w14:paraId="1F66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BCEB85">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8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5F6A2F">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电</w:t>
                  </w:r>
                </w:p>
              </w:tc>
              <w:tc>
                <w:tcPr>
                  <w:tcW w:w="52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85E302">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396万kW.h</w:t>
                  </w:r>
                </w:p>
              </w:tc>
              <w:tc>
                <w:tcPr>
                  <w:tcW w:w="5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2FB203">
                  <w:pPr>
                    <w:jc w:val="center"/>
                    <w:rPr>
                      <w:rFonts w:hint="default" w:ascii="Times New Roman" w:hAnsi="Times New Roman" w:cs="Times New Roman"/>
                      <w:color w:val="auto"/>
                      <w:sz w:val="21"/>
                      <w:szCs w:val="21"/>
                      <w:highlight w:val="none"/>
                      <w:lang w:val="en-US"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815F4B">
                  <w:pPr>
                    <w:jc w:val="center"/>
                    <w:rPr>
                      <w:rFonts w:hint="default" w:ascii="Times New Roman" w:hAnsi="Times New Roman" w:cs="Times New Roman"/>
                      <w:color w:val="auto"/>
                      <w:sz w:val="21"/>
                      <w:szCs w:val="21"/>
                      <w:highlight w:val="none"/>
                      <w:lang w:eastAsia="zh-CN"/>
                    </w:rPr>
                  </w:pPr>
                </w:p>
              </w:tc>
              <w:tc>
                <w:tcPr>
                  <w:tcW w:w="50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2CFE7C">
                  <w:pPr>
                    <w:jc w:val="center"/>
                    <w:rPr>
                      <w:rFonts w:hint="default" w:ascii="Times New Roman" w:hAnsi="Times New Roman" w:cs="Times New Roman"/>
                      <w:color w:val="auto"/>
                      <w:sz w:val="21"/>
                      <w:szCs w:val="21"/>
                      <w:highlight w:val="none"/>
                      <w:lang w:eastAsia="zh-CN"/>
                    </w:rPr>
                  </w:pPr>
                </w:p>
              </w:tc>
              <w:tc>
                <w:tcPr>
                  <w:tcW w:w="4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8824F3">
                  <w:pPr>
                    <w:jc w:val="center"/>
                    <w:rPr>
                      <w:rFonts w:hint="default" w:ascii="Times New Roman" w:hAnsi="Times New Roman" w:cs="Times New Roman"/>
                      <w:color w:val="auto"/>
                      <w:sz w:val="21"/>
                      <w:szCs w:val="21"/>
                      <w:highlight w:val="none"/>
                      <w:lang w:eastAsia="zh-CN"/>
                    </w:rPr>
                  </w:pPr>
                </w:p>
              </w:tc>
              <w:tc>
                <w:tcPr>
                  <w:tcW w:w="3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5722E1">
                  <w:pPr>
                    <w:jc w:val="center"/>
                    <w:rPr>
                      <w:rFonts w:hint="default" w:ascii="Times New Roman" w:hAnsi="Times New Roman" w:cs="Times New Roman"/>
                      <w:color w:val="auto"/>
                      <w:sz w:val="21"/>
                      <w:szCs w:val="21"/>
                      <w:highlight w:val="none"/>
                      <w:lang w:eastAsia="zh-CN"/>
                    </w:rPr>
                  </w:pPr>
                </w:p>
              </w:tc>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6E2DAC">
                  <w:pPr>
                    <w:jc w:val="center"/>
                    <w:rPr>
                      <w:rFonts w:hint="default" w:ascii="Times New Roman" w:hAnsi="Times New Roman" w:cs="Times New Roman"/>
                      <w:color w:val="auto"/>
                      <w:sz w:val="21"/>
                      <w:szCs w:val="21"/>
                      <w:highlight w:val="none"/>
                      <w:lang w:eastAsia="zh-CN"/>
                    </w:rPr>
                  </w:pPr>
                </w:p>
              </w:tc>
              <w:tc>
                <w:tcPr>
                  <w:tcW w:w="36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76B550">
                  <w:pPr>
                    <w:jc w:val="center"/>
                    <w:rPr>
                      <w:rFonts w:hint="default" w:ascii="Times New Roman" w:hAnsi="Times New Roman" w:cs="Times New Roman"/>
                      <w:color w:val="auto"/>
                      <w:sz w:val="21"/>
                      <w:szCs w:val="21"/>
                      <w:highlight w:val="none"/>
                      <w:lang w:eastAsia="zh-CN"/>
                    </w:rPr>
                  </w:pPr>
                </w:p>
              </w:tc>
            </w:tr>
          </w:tbl>
          <w:p w14:paraId="16B2643B">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vertAlign w:val="baseline"/>
                <w:lang w:val="en-US" w:eastAsia="zh-CN"/>
              </w:rPr>
            </w:pPr>
            <w:r>
              <w:rPr>
                <w:rFonts w:hint="default" w:ascii="Times New Roman" w:hAnsi="Times New Roman" w:eastAsia="宋体" w:cs="Times New Roman"/>
                <w:b w:val="0"/>
                <w:bCs/>
                <w:strike w:val="0"/>
                <w:dstrike w:val="0"/>
                <w:color w:val="auto"/>
                <w:sz w:val="24"/>
                <w:szCs w:val="24"/>
                <w:highlight w:val="none"/>
                <w:vertAlign w:val="baseline"/>
                <w:lang w:val="en-US" w:eastAsia="zh-CN"/>
              </w:rPr>
              <w:t>活性白土：活性白土是用粘土</w:t>
            </w:r>
            <w:r>
              <w:rPr>
                <w:rFonts w:hint="default" w:ascii="Times New Roman" w:hAnsi="Times New Roman" w:cs="Times New Roman"/>
                <w:b w:val="0"/>
                <w:bCs/>
                <w:strike w:val="0"/>
                <w:dstrike w:val="0"/>
                <w:color w:val="auto"/>
                <w:sz w:val="24"/>
                <w:szCs w:val="24"/>
                <w:highlight w:val="none"/>
                <w:vertAlign w:val="baseline"/>
                <w:lang w:val="en-US" w:eastAsia="zh-CN"/>
              </w:rPr>
              <w:t>（</w:t>
            </w:r>
            <w:r>
              <w:rPr>
                <w:rFonts w:hint="default" w:ascii="Times New Roman" w:hAnsi="Times New Roman" w:eastAsia="宋体" w:cs="Times New Roman"/>
                <w:b w:val="0"/>
                <w:bCs/>
                <w:strike w:val="0"/>
                <w:dstrike w:val="0"/>
                <w:color w:val="auto"/>
                <w:sz w:val="24"/>
                <w:szCs w:val="24"/>
                <w:highlight w:val="none"/>
                <w:vertAlign w:val="baseline"/>
                <w:lang w:val="en-US" w:eastAsia="zh-CN"/>
              </w:rPr>
              <w:t>主要是膨润土</w:t>
            </w:r>
            <w:r>
              <w:rPr>
                <w:rFonts w:hint="default" w:ascii="Times New Roman" w:hAnsi="Times New Roman" w:cs="Times New Roman"/>
                <w:b w:val="0"/>
                <w:bCs/>
                <w:strike w:val="0"/>
                <w:dstrike w:val="0"/>
                <w:color w:val="auto"/>
                <w:sz w:val="24"/>
                <w:szCs w:val="24"/>
                <w:highlight w:val="none"/>
                <w:vertAlign w:val="baseline"/>
                <w:lang w:val="en-US" w:eastAsia="zh-CN"/>
              </w:rPr>
              <w:t>）</w:t>
            </w:r>
            <w:r>
              <w:rPr>
                <w:rFonts w:hint="default" w:ascii="Times New Roman" w:hAnsi="Times New Roman" w:eastAsia="宋体" w:cs="Times New Roman"/>
                <w:b w:val="0"/>
                <w:bCs/>
                <w:strike w:val="0"/>
                <w:dstrike w:val="0"/>
                <w:color w:val="auto"/>
                <w:sz w:val="24"/>
                <w:szCs w:val="24"/>
                <w:highlight w:val="none"/>
                <w:vertAlign w:val="baseline"/>
                <w:lang w:val="en-US" w:eastAsia="zh-CN"/>
              </w:rPr>
              <w:t>为原料，经无机酸化或盐或其他方法处理，再经水漂洗、干燥制成的吸附剂，外观为乳白色粉末，无臭，无味，无毒，吸附性能很强，能吸附有色物质、有机物质。在空气中易吸潮，放置过久会降低吸附性能。使用时宜加热</w:t>
            </w:r>
            <w:r>
              <w:rPr>
                <w:rFonts w:hint="default" w:ascii="Times New Roman" w:hAnsi="Times New Roman" w:cs="Times New Roman"/>
                <w:b w:val="0"/>
                <w:bCs/>
                <w:strike w:val="0"/>
                <w:dstrike w:val="0"/>
                <w:color w:val="auto"/>
                <w:sz w:val="24"/>
                <w:szCs w:val="24"/>
                <w:highlight w:val="none"/>
                <w:vertAlign w:val="baseline"/>
                <w:lang w:val="en-US" w:eastAsia="zh-CN"/>
              </w:rPr>
              <w:t>（</w:t>
            </w:r>
            <w:r>
              <w:rPr>
                <w:rFonts w:hint="default" w:ascii="Times New Roman" w:hAnsi="Times New Roman" w:eastAsia="宋体" w:cs="Times New Roman"/>
                <w:b w:val="0"/>
                <w:bCs/>
                <w:strike w:val="0"/>
                <w:dstrike w:val="0"/>
                <w:color w:val="auto"/>
                <w:sz w:val="24"/>
                <w:szCs w:val="24"/>
                <w:highlight w:val="none"/>
                <w:vertAlign w:val="baseline"/>
                <w:lang w:val="en-US" w:eastAsia="zh-CN"/>
              </w:rPr>
              <w:t>以80-100℃为宜</w:t>
            </w:r>
            <w:r>
              <w:rPr>
                <w:rFonts w:hint="default" w:ascii="Times New Roman" w:hAnsi="Times New Roman" w:cs="Times New Roman"/>
                <w:b w:val="0"/>
                <w:bCs/>
                <w:strike w:val="0"/>
                <w:dstrike w:val="0"/>
                <w:color w:val="auto"/>
                <w:sz w:val="24"/>
                <w:szCs w:val="24"/>
                <w:highlight w:val="none"/>
                <w:vertAlign w:val="baseline"/>
                <w:lang w:val="en-US" w:eastAsia="zh-CN"/>
              </w:rPr>
              <w:t>）</w:t>
            </w:r>
            <w:r>
              <w:rPr>
                <w:rFonts w:hint="default" w:ascii="Times New Roman" w:hAnsi="Times New Roman" w:eastAsia="宋体" w:cs="Times New Roman"/>
                <w:b w:val="0"/>
                <w:bCs/>
                <w:strike w:val="0"/>
                <w:dstrike w:val="0"/>
                <w:color w:val="auto"/>
                <w:sz w:val="24"/>
                <w:szCs w:val="24"/>
                <w:highlight w:val="none"/>
                <w:vertAlign w:val="baseline"/>
                <w:lang w:val="en-US" w:eastAsia="zh-CN"/>
              </w:rPr>
              <w:t>复活，但是，加热至300℃以上便开始失去结晶水，使结构发生变化，影响褪色效果。活性白土不溶于水、有机溶剂和各种油类中，几乎完全溶于热烧碱和盐酸中，相对密度2.3~2.5，在水及油中膨润极小。广泛用于矿物油、动植物油脂、制蜡及有机液体的脱色精制。</w:t>
            </w:r>
          </w:p>
          <w:p w14:paraId="4C9DD5FA">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cs="Times New Roman"/>
                <w:b w:val="0"/>
                <w:bCs/>
                <w:strike w:val="0"/>
                <w:dstrike w:val="0"/>
                <w:color w:val="auto"/>
                <w:sz w:val="24"/>
                <w:szCs w:val="24"/>
                <w:highlight w:val="none"/>
                <w:vertAlign w:val="baseline"/>
                <w:lang w:val="en-US" w:eastAsia="zh-CN"/>
              </w:rPr>
            </w:pPr>
            <w:r>
              <w:rPr>
                <w:rFonts w:hint="default" w:ascii="Times New Roman" w:hAnsi="Times New Roman" w:cs="Times New Roman"/>
                <w:b w:val="0"/>
                <w:bCs/>
                <w:strike w:val="0"/>
                <w:dstrike w:val="0"/>
                <w:color w:val="auto"/>
                <w:sz w:val="24"/>
                <w:szCs w:val="24"/>
                <w:highlight w:val="none"/>
                <w:vertAlign w:val="baseline"/>
                <w:lang w:val="en-US" w:eastAsia="zh-CN"/>
              </w:rPr>
              <w:t>助滤剂：又叫硅藻土，是古代单细胞硅藻遗骸沉积物。其特点：质轻、多孔、高强、耐磨、绝缘、绝热、吸附及填充等</w:t>
            </w:r>
            <w:r>
              <w:rPr>
                <w:rFonts w:hint="eastAsia" w:cs="Times New Roman"/>
                <w:b w:val="0"/>
                <w:bCs/>
                <w:strike w:val="0"/>
                <w:dstrike w:val="0"/>
                <w:color w:val="auto"/>
                <w:sz w:val="24"/>
                <w:szCs w:val="24"/>
                <w:highlight w:val="none"/>
                <w:vertAlign w:val="baseline"/>
                <w:lang w:val="en-US" w:eastAsia="zh-CN"/>
              </w:rPr>
              <w:t>一系</w:t>
            </w:r>
            <w:r>
              <w:rPr>
                <w:rFonts w:hint="default" w:ascii="Times New Roman" w:hAnsi="Times New Roman" w:cs="Times New Roman"/>
                <w:b w:val="0"/>
                <w:bCs/>
                <w:strike w:val="0"/>
                <w:dstrike w:val="0"/>
                <w:color w:val="auto"/>
                <w:sz w:val="24"/>
                <w:szCs w:val="24"/>
                <w:highlight w:val="none"/>
                <w:vertAlign w:val="baseline"/>
                <w:lang w:val="en-US" w:eastAsia="zh-CN"/>
              </w:rPr>
              <w:t>列优良性能。具有良好的化学稳定性。是隔热、研磨、过滤、吸附、抗凝、脱模、填充、载体等重要工业材料。可广泛应用于冶金、化工、电力、农业、化肥、建材保温制品等行业。也可作塑料、橡胶、陶瓷、造纸等工业功能性填料。</w:t>
            </w:r>
          </w:p>
          <w:p w14:paraId="47D75F8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360" w:lineRule="auto"/>
              <w:ind w:left="0" w:right="0" w:firstLine="480" w:firstLineChars="200"/>
              <w:jc w:val="left"/>
              <w:textAlignment w:val="auto"/>
              <w:rPr>
                <w:rFonts w:hint="default" w:ascii="Times New Roman" w:hAnsi="Times New Roman" w:eastAsia="Helvetica" w:cs="Times New Roman"/>
                <w:i w:val="0"/>
                <w:iCs w:val="0"/>
                <w:caps w:val="0"/>
                <w:color w:val="auto"/>
                <w:spacing w:val="0"/>
                <w:sz w:val="21"/>
                <w:szCs w:val="21"/>
                <w:highlight w:val="none"/>
                <w:lang w:val="en-US"/>
              </w:rPr>
            </w:pPr>
            <w:r>
              <w:rPr>
                <w:rFonts w:hint="default" w:ascii="Times New Roman" w:hAnsi="Times New Roman" w:cs="Times New Roman"/>
                <w:b w:val="0"/>
                <w:bCs/>
                <w:strike w:val="0"/>
                <w:dstrike w:val="0"/>
                <w:color w:val="auto"/>
                <w:sz w:val="24"/>
                <w:szCs w:val="24"/>
                <w:highlight w:val="none"/>
                <w:vertAlign w:val="baseline"/>
                <w:lang w:val="en-US" w:eastAsia="zh-CN"/>
              </w:rPr>
              <w:t>磷酸：</w:t>
            </w:r>
            <w:r>
              <w:rPr>
                <w:rFonts w:hint="default" w:ascii="Times New Roman" w:hAnsi="Times New Roman" w:eastAsia="Helvetica" w:cs="Times New Roman"/>
                <w:i w:val="0"/>
                <w:iCs w:val="0"/>
                <w:caps w:val="0"/>
                <w:color w:val="auto"/>
                <w:spacing w:val="0"/>
                <w:kern w:val="0"/>
                <w:sz w:val="24"/>
                <w:szCs w:val="24"/>
                <w:highlight w:val="none"/>
                <w:shd w:val="clear" w:fill="FFFFFF"/>
                <w:lang w:val="en-US" w:eastAsia="zh-CN" w:bidi="ar"/>
              </w:rPr>
              <w:t>磷酸（H₃PO₄）</w:t>
            </w:r>
            <w:r>
              <w:rPr>
                <w:rFonts w:hint="eastAsia" w:eastAsia="Helvetica" w:cs="Times New Roman"/>
                <w:i w:val="0"/>
                <w:iCs w:val="0"/>
                <w:caps w:val="0"/>
                <w:color w:val="auto"/>
                <w:spacing w:val="0"/>
                <w:kern w:val="0"/>
                <w:sz w:val="24"/>
                <w:szCs w:val="24"/>
                <w:highlight w:val="none"/>
                <w:shd w:val="clear" w:fill="FFFFFF"/>
                <w:lang w:val="en-US" w:eastAsia="zh-CN" w:bidi="ar"/>
              </w:rPr>
              <w:t>，</w:t>
            </w:r>
            <w:r>
              <w:rPr>
                <w:rFonts w:ascii="Times New Roman" w:cs="Times New Roman"/>
                <w:color w:val="auto"/>
                <w:sz w:val="24"/>
                <w:szCs w:val="24"/>
                <w:highlight w:val="none"/>
              </w:rPr>
              <w:t>化学式为</w:t>
            </w:r>
            <w:r>
              <w:rPr>
                <w:rFonts w:ascii="Times New Roman" w:cs="Times New Roman"/>
                <w:color w:val="auto"/>
                <w:sz w:val="24"/>
                <w:szCs w:val="24"/>
                <w:highlight w:val="none"/>
                <w:shd w:val="clear" w:color="auto" w:fill="FFFFFF"/>
              </w:rPr>
              <w:t>H₃PO₄</w:t>
            </w:r>
            <w:r>
              <w:rPr>
                <w:rFonts w:ascii="Times New Roman" w:cs="Times New Roman"/>
                <w:color w:val="auto"/>
                <w:sz w:val="24"/>
                <w:szCs w:val="24"/>
                <w:highlight w:val="none"/>
              </w:rPr>
              <w:t>，</w:t>
            </w:r>
            <w:r>
              <w:rPr>
                <w:rFonts w:ascii="Times New Roman" w:cs="Times New Roman"/>
                <w:bCs/>
                <w:color w:val="auto"/>
                <w:sz w:val="24"/>
                <w:szCs w:val="24"/>
                <w:highlight w:val="none"/>
              </w:rPr>
              <w:t>CAS号：</w:t>
            </w:r>
            <w:r>
              <w:rPr>
                <w:rFonts w:ascii="Times New Roman" w:cs="Times New Roman"/>
                <w:color w:val="auto"/>
                <w:sz w:val="24"/>
                <w:szCs w:val="24"/>
                <w:highlight w:val="none"/>
                <w:shd w:val="clear" w:color="auto" w:fill="FFFFFF"/>
              </w:rPr>
              <w:t>7664-38-2</w:t>
            </w:r>
            <w:r>
              <w:rPr>
                <w:rFonts w:ascii="Times New Roman" w:cs="Times New Roman"/>
                <w:color w:val="auto"/>
                <w:sz w:val="24"/>
                <w:szCs w:val="24"/>
                <w:highlight w:val="none"/>
              </w:rPr>
              <w:t>，分子量</w:t>
            </w:r>
            <w:r>
              <w:rPr>
                <w:rFonts w:ascii="Times New Roman" w:cs="Times New Roman"/>
                <w:color w:val="auto"/>
                <w:sz w:val="24"/>
                <w:szCs w:val="24"/>
                <w:highlight w:val="none"/>
                <w:shd w:val="clear" w:color="auto" w:fill="FFFFFF"/>
              </w:rPr>
              <w:t>97.994</w:t>
            </w:r>
            <w:r>
              <w:rPr>
                <w:rFonts w:ascii="Times New Roman" w:cs="Times New Roman"/>
                <w:color w:val="auto"/>
                <w:sz w:val="24"/>
                <w:szCs w:val="24"/>
                <w:highlight w:val="none"/>
              </w:rPr>
              <w:t>，熔点</w:t>
            </w:r>
            <w:r>
              <w:rPr>
                <w:rFonts w:ascii="Times New Roman" w:cs="Times New Roman"/>
                <w:color w:val="auto"/>
                <w:sz w:val="24"/>
                <w:szCs w:val="24"/>
                <w:highlight w:val="none"/>
                <w:shd w:val="clear" w:color="auto" w:fill="FFFFFF"/>
              </w:rPr>
              <w:t>42</w:t>
            </w:r>
            <w:r>
              <w:rPr>
                <w:rFonts w:ascii="Times New Roman" w:cs="Times New Roman"/>
                <w:color w:val="auto"/>
                <w:sz w:val="24"/>
                <w:szCs w:val="24"/>
                <w:highlight w:val="none"/>
              </w:rPr>
              <w:t>℃，沸点</w:t>
            </w:r>
            <w:r>
              <w:rPr>
                <w:rFonts w:ascii="Times New Roman" w:cs="Times New Roman"/>
                <w:color w:val="auto"/>
                <w:sz w:val="24"/>
                <w:szCs w:val="24"/>
                <w:highlight w:val="none"/>
                <w:shd w:val="clear" w:color="auto" w:fill="FFFFFF"/>
              </w:rPr>
              <w:t>261</w:t>
            </w:r>
            <w:r>
              <w:rPr>
                <w:rFonts w:ascii="Times New Roman" w:cs="Times New Roman"/>
                <w:color w:val="auto"/>
                <w:sz w:val="24"/>
                <w:szCs w:val="24"/>
                <w:highlight w:val="none"/>
              </w:rPr>
              <w:t>℃，</w:t>
            </w:r>
            <w:r>
              <w:rPr>
                <w:rFonts w:ascii="Times New Roman" w:cs="Times New Roman"/>
                <w:color w:val="auto"/>
                <w:sz w:val="24"/>
                <w:szCs w:val="24"/>
                <w:highlight w:val="none"/>
                <w:shd w:val="clear" w:color="auto" w:fill="FFFFFF"/>
              </w:rPr>
              <w:t>密度1.87g/mL</w:t>
            </w:r>
            <w:r>
              <w:rPr>
                <w:rFonts w:ascii="Times New Roman" w:cs="Times New Roman"/>
                <w:color w:val="auto"/>
                <w:sz w:val="24"/>
                <w:szCs w:val="24"/>
                <w:highlight w:val="none"/>
              </w:rPr>
              <w:t>。</w:t>
            </w:r>
            <w:r>
              <w:rPr>
                <w:rFonts w:hint="default" w:ascii="Times New Roman" w:hAnsi="Times New Roman" w:eastAsia="Helvetica" w:cs="Times New Roman"/>
                <w:i w:val="0"/>
                <w:iCs w:val="0"/>
                <w:caps w:val="0"/>
                <w:color w:val="auto"/>
                <w:spacing w:val="0"/>
                <w:kern w:val="0"/>
                <w:sz w:val="24"/>
                <w:szCs w:val="24"/>
                <w:highlight w:val="none"/>
                <w:shd w:val="clear" w:fill="FFFFFF"/>
                <w:lang w:val="en-US" w:eastAsia="zh-CN" w:bidi="ar"/>
              </w:rPr>
              <w:t>在常温下为无色透明的固体晶体。当温度超过熔点时，它会变为无色透明的黏稠液体。在工业和实验室中，这种溶液为无色、无味、非挥发性的黏稠液体，是一种重要的化学试剂。</w:t>
            </w:r>
            <w:r>
              <w:rPr>
                <w:rFonts w:hint="eastAsia" w:ascii="Times New Roman" w:hAnsi="Times New Roman" w:eastAsia="Helvetica" w:cs="Times New Roman"/>
                <w:i w:val="0"/>
                <w:iCs w:val="0"/>
                <w:caps w:val="0"/>
                <w:color w:val="auto"/>
                <w:spacing w:val="0"/>
                <w:kern w:val="0"/>
                <w:sz w:val="24"/>
                <w:szCs w:val="24"/>
                <w:highlight w:val="none"/>
                <w:shd w:val="clear" w:fill="FFFFFF"/>
                <w:lang w:val="en-US" w:eastAsia="zh-CN" w:bidi="ar"/>
              </w:rPr>
              <w:t>根据业主单位提供资料，</w:t>
            </w:r>
            <w:r>
              <w:rPr>
                <w:rFonts w:hint="eastAsia" w:eastAsia="Helvetica" w:cs="Times New Roman"/>
                <w:i w:val="0"/>
                <w:iCs w:val="0"/>
                <w:caps w:val="0"/>
                <w:color w:val="auto"/>
                <w:spacing w:val="0"/>
                <w:kern w:val="0"/>
                <w:sz w:val="24"/>
                <w:szCs w:val="24"/>
                <w:highlight w:val="none"/>
                <w:shd w:val="clear" w:fill="FFFFFF"/>
                <w:lang w:val="en-US" w:eastAsia="zh-CN" w:bidi="ar"/>
              </w:rPr>
              <w:t>本项目磷酸为食品级磷酸，使用浓度为50%，是</w:t>
            </w:r>
            <w:r>
              <w:rPr>
                <w:rFonts w:hint="default" w:ascii="Times New Roman" w:hAnsi="Times New Roman" w:eastAsia="Helvetica" w:cs="Times New Roman"/>
                <w:i w:val="0"/>
                <w:iCs w:val="0"/>
                <w:caps w:val="0"/>
                <w:color w:val="auto"/>
                <w:spacing w:val="0"/>
                <w:kern w:val="0"/>
                <w:sz w:val="24"/>
                <w:szCs w:val="24"/>
                <w:highlight w:val="none"/>
                <w:shd w:val="clear" w:fill="FFFFFF"/>
                <w:lang w:val="en-US" w:eastAsia="zh-CN" w:bidi="ar"/>
              </w:rPr>
              <w:t>一种中等强度的三元酸，磷酸能够逐步释放三个质子，分别形成H₂PO₄⁻、HPO₄²⁻和PO₄³⁻三种不同的质子化形式。这种特性使其在化学反应中具有显著的多样性</w:t>
            </w:r>
            <w:r>
              <w:rPr>
                <w:rFonts w:hint="default" w:ascii="Times New Roman" w:hAnsi="Times New Roman" w:eastAsia="Helvetica" w:cs="Times New Roman"/>
                <w:b/>
                <w:bCs/>
                <w:i w:val="0"/>
                <w:iCs w:val="0"/>
                <w:caps w:val="0"/>
                <w:color w:val="auto"/>
                <w:spacing w:val="0"/>
                <w:kern w:val="0"/>
                <w:sz w:val="24"/>
                <w:szCs w:val="24"/>
                <w:highlight w:val="none"/>
                <w:shd w:val="clear" w:fill="FFFFFF"/>
                <w:lang w:val="en-US" w:eastAsia="zh-CN" w:bidi="ar"/>
              </w:rPr>
              <w:t>。</w:t>
            </w:r>
            <w:r>
              <w:rPr>
                <w:rFonts w:hint="default" w:ascii="Times New Roman" w:hAnsi="Times New Roman" w:eastAsia="Helvetica" w:cs="Times New Roman"/>
                <w:i w:val="0"/>
                <w:iCs w:val="0"/>
                <w:caps w:val="0"/>
                <w:color w:val="auto"/>
                <w:spacing w:val="0"/>
                <w:kern w:val="0"/>
                <w:sz w:val="24"/>
                <w:szCs w:val="24"/>
                <w:highlight w:val="none"/>
                <w:shd w:val="clear" w:fill="FFFFFF"/>
                <w:lang w:val="en-US" w:eastAsia="zh-CN" w:bidi="ar"/>
              </w:rPr>
              <w:t>磷酸在工业中具有广泛用途，是生产肥料、洗涤剂和食品添加剂等产品的重要原料</w:t>
            </w:r>
            <w:r>
              <w:rPr>
                <w:rFonts w:hint="eastAsia" w:eastAsia="Helvetica" w:cs="Times New Roman"/>
                <w:i w:val="0"/>
                <w:iCs w:val="0"/>
                <w:caps w:val="0"/>
                <w:color w:val="auto"/>
                <w:spacing w:val="0"/>
                <w:kern w:val="0"/>
                <w:sz w:val="24"/>
                <w:szCs w:val="24"/>
                <w:highlight w:val="none"/>
                <w:shd w:val="clear" w:fill="FFFFFF"/>
                <w:lang w:val="en-US" w:eastAsia="zh-CN" w:bidi="ar"/>
              </w:rPr>
              <w:t>，具有强腐蚀特性。</w:t>
            </w:r>
          </w:p>
          <w:p w14:paraId="09CF20BA">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i w:val="0"/>
                <w:iCs w:val="0"/>
                <w:caps w:val="0"/>
                <w:color w:val="auto"/>
                <w:spacing w:val="0"/>
                <w:sz w:val="24"/>
                <w:szCs w:val="24"/>
                <w:highlight w:val="none"/>
                <w:shd w:val="clear" w:fill="FFFFFF"/>
              </w:rPr>
            </w:pPr>
            <w:r>
              <w:rPr>
                <w:rFonts w:hint="default" w:ascii="Times New Roman" w:hAnsi="Times New Roman" w:cs="Times New Roman"/>
                <w:b w:val="0"/>
                <w:bCs/>
                <w:strike w:val="0"/>
                <w:dstrike w:val="0"/>
                <w:color w:val="auto"/>
                <w:sz w:val="24"/>
                <w:szCs w:val="24"/>
                <w:highlight w:val="none"/>
                <w:vertAlign w:val="baseline"/>
                <w:lang w:val="en-US" w:eastAsia="zh-CN"/>
              </w:rPr>
              <w:t>柠檬酸：</w:t>
            </w:r>
            <w:r>
              <w:rPr>
                <w:rFonts w:hint="default" w:ascii="Times New Roman" w:hAnsi="Times New Roman" w:eastAsia="宋体" w:cs="Times New Roman"/>
                <w:i w:val="0"/>
                <w:iCs w:val="0"/>
                <w:caps w:val="0"/>
                <w:color w:val="auto"/>
                <w:spacing w:val="0"/>
                <w:sz w:val="24"/>
                <w:szCs w:val="24"/>
                <w:highlight w:val="none"/>
                <w:shd w:val="clear" w:fill="FFFFFF"/>
              </w:rPr>
              <w:t>又名</w:t>
            </w:r>
            <w:r>
              <w:rPr>
                <w:rFonts w:hint="default" w:ascii="Times New Roman" w:hAnsi="Times New Roman" w:eastAsia="宋体" w:cs="Times New Roman"/>
                <w:i w:val="0"/>
                <w:iCs w:val="0"/>
                <w:caps w:val="0"/>
                <w:color w:val="auto"/>
                <w:spacing w:val="0"/>
                <w:sz w:val="24"/>
                <w:szCs w:val="24"/>
                <w:highlight w:val="none"/>
                <w:shd w:val="clear" w:fill="FFFFFF"/>
              </w:rPr>
              <w:fldChar w:fldCharType="begin"/>
            </w:r>
            <w:r>
              <w:rPr>
                <w:rFonts w:hint="default" w:ascii="Times New Roman" w:hAnsi="Times New Roman" w:eastAsia="宋体" w:cs="Times New Roman"/>
                <w:i w:val="0"/>
                <w:iCs w:val="0"/>
                <w:caps w:val="0"/>
                <w:color w:val="auto"/>
                <w:spacing w:val="0"/>
                <w:sz w:val="24"/>
                <w:szCs w:val="24"/>
                <w:highlight w:val="none"/>
                <w:shd w:val="clear" w:fill="FFFFFF"/>
              </w:rPr>
              <w:instrText xml:space="preserve"> HYPERLINK "https://baike.baidu.com/item/%E6%9E%B8%E6%A9%BC%E9%85%B8/1188933?fromModule=lemma_inlink" \t "https://baike.baidu.com/item/%E6%9F%A0%E6%AA%AC%E9%85%B8/_blank" </w:instrText>
            </w:r>
            <w:r>
              <w:rPr>
                <w:rFonts w:hint="default" w:ascii="Times New Roman" w:hAnsi="Times New Roman" w:eastAsia="宋体" w:cs="Times New Roman"/>
                <w:i w:val="0"/>
                <w:iCs w:val="0"/>
                <w:caps w:val="0"/>
                <w:color w:val="auto"/>
                <w:spacing w:val="0"/>
                <w:sz w:val="24"/>
                <w:szCs w:val="24"/>
                <w:highlight w:val="none"/>
                <w:shd w:val="clear" w:fill="FFFFFF"/>
              </w:rPr>
              <w:fldChar w:fldCharType="separate"/>
            </w:r>
            <w:r>
              <w:rPr>
                <w:rFonts w:hint="default" w:ascii="Times New Roman" w:hAnsi="Times New Roman" w:eastAsia="宋体" w:cs="Times New Roman"/>
                <w:i w:val="0"/>
                <w:iCs w:val="0"/>
                <w:caps w:val="0"/>
                <w:color w:val="auto"/>
                <w:spacing w:val="0"/>
                <w:sz w:val="24"/>
                <w:szCs w:val="24"/>
                <w:highlight w:val="none"/>
                <w:shd w:val="clear" w:fill="FFFFFF"/>
              </w:rPr>
              <w:t>枸橼酸</w:t>
            </w:r>
            <w:r>
              <w:rPr>
                <w:rFonts w:hint="default" w:ascii="Times New Roman" w:hAnsi="Times New Roman" w:eastAsia="宋体" w:cs="Times New Roman"/>
                <w:i w:val="0"/>
                <w:iCs w:val="0"/>
                <w:caps w:val="0"/>
                <w:color w:val="auto"/>
                <w:spacing w:val="0"/>
                <w:sz w:val="24"/>
                <w:szCs w:val="24"/>
                <w:highlight w:val="none"/>
                <w:shd w:val="clear" w:fill="FFFFFF"/>
              </w:rPr>
              <w:fldChar w:fldCharType="end"/>
            </w:r>
            <w:r>
              <w:rPr>
                <w:rFonts w:hint="default" w:ascii="Times New Roman" w:hAnsi="Times New Roman" w:eastAsia="宋体" w:cs="Times New Roman"/>
                <w:i w:val="0"/>
                <w:iCs w:val="0"/>
                <w:caps w:val="0"/>
                <w:color w:val="auto"/>
                <w:spacing w:val="0"/>
                <w:sz w:val="24"/>
                <w:szCs w:val="24"/>
                <w:highlight w:val="none"/>
                <w:shd w:val="clear" w:fill="FFFFFF"/>
              </w:rPr>
              <w:t>，分子式为C₆H₈O₇，是一种重要的有机弱酸，为无色晶体，无臭，易溶于水，溶液显酸性。</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熔点：153-159 </w:t>
            </w:r>
            <w:r>
              <w:rPr>
                <w:rFonts w:hint="default" w:ascii="Times New Roman" w:hAnsi="Times New Roman" w:eastAsia="宋体" w:cs="Times New Roman"/>
                <w:i w:val="0"/>
                <w:iCs w:val="0"/>
                <w:caps w:val="0"/>
                <w:color w:val="auto"/>
                <w:spacing w:val="0"/>
                <w:kern w:val="0"/>
                <w:sz w:val="24"/>
                <w:szCs w:val="24"/>
                <w:highlight w:val="none"/>
                <w:shd w:val="clear" w:fill="FFFFFF"/>
                <w:vertAlign w:val="baseline"/>
                <w:lang w:val="en-US" w:eastAsia="zh-CN" w:bidi="ar"/>
              </w:rPr>
              <w:t>o</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C；沸点：309.6±42.0 C（760mmHg）；蒸气密度：7.26（vs空气）；蒸气压：&lt;0.1hPa（20 C）；折射率：1.493~1.509；闪点：155.2±24.4 C；溶解性：溶于水、乙醇、乙醚，不溶于苯，微溶于氯仿，</w:t>
            </w:r>
            <w:r>
              <w:rPr>
                <w:rFonts w:hint="default" w:ascii="Times New Roman" w:hAnsi="Times New Roman" w:eastAsia="宋体" w:cs="Times New Roman"/>
                <w:i w:val="0"/>
                <w:iCs w:val="0"/>
                <w:caps w:val="0"/>
                <w:color w:val="auto"/>
                <w:spacing w:val="0"/>
                <w:sz w:val="24"/>
                <w:szCs w:val="24"/>
                <w:highlight w:val="none"/>
                <w:shd w:val="clear" w:fill="FFFFFF"/>
              </w:rPr>
              <w:t>在生物化学中，它是柠檬酸循环（三羧酸循环）的中间体，柠檬酸循环发生在所有需氧生物的新陈代谢中。</w:t>
            </w:r>
          </w:p>
          <w:p w14:paraId="15ACAF40">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i w:val="0"/>
                <w:iCs w:val="0"/>
                <w:caps w:val="0"/>
                <w:color w:val="auto"/>
                <w:spacing w:val="0"/>
                <w:sz w:val="24"/>
                <w:szCs w:val="24"/>
                <w:highlight w:val="none"/>
                <w:shd w:val="clear" w:fill="FFFFFF"/>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次氯酸钠：化学式为NaClO，分子量为74.441，CAS登录号：</w:t>
            </w:r>
            <w:r>
              <w:rPr>
                <w:rFonts w:hint="default" w:ascii="Times New Roman" w:hAnsi="Times New Roman" w:eastAsia="宋体" w:cs="Times New Roman"/>
                <w:i w:val="0"/>
                <w:iCs w:val="0"/>
                <w:caps w:val="0"/>
                <w:color w:val="auto"/>
                <w:spacing w:val="0"/>
                <w:sz w:val="24"/>
                <w:szCs w:val="24"/>
                <w:highlight w:val="none"/>
                <w:shd w:val="clear" w:fill="FFFFFF"/>
              </w:rPr>
              <w:t>7681-52-9</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熔点-16℃，</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是一种常见且应用广泛的</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"https://baike.baidu.com/item/%E6%AC%A1%E6%B0%AF%E9%85%B8%E7%9B%90/6289780?fromModule=lemma_inlink" \t "https://baike.baidu.com/item/%E6%AC%A1%E6%B0%AF%E9%85%B8%E9%92%A0/_blank"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次氯酸盐</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，易溶于水。由于在酸性环境下具有强</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"https://baike.baidu.com/item/%E6%B0%A7%E5%8C%96%E6%80%A7/4826093?fromModule=lemma_inlink" \t "https://baike.baidu.com/item/%E6%AC%A1%E6%B0%AF%E9%85%B8%E9%92%A0/_blank"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氧化性</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，因此被普遍用于洗涤产品中</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"https://baike.baidu.com/item/%E6%BC%82%E7%99%BD%E5%89%82/2531107?fromModule=lemma_inlink" \t "https://baike.baidu.com/item/%E6%AC%A1%E6%B0%AF%E9%85%B8%E9%92%A0/_blank"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漂白剂</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或</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"https://baike.baidu.com/item/%E6%B6%88%E6%AF%92%E5%89%82/7903794?fromModule=lemma_inlink" \t "https://baike.baidu.com/item/%E6%AC%A1%E6%B0%AF%E9%85%B8%E9%92%A0/_blank"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消毒剂</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的生产，还可用于污水处理（净化）、杀菌和</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"https://baike.baidu.com/item/%E6%9F%93%E7%BB%87/6403754?fromModule=lemma_inlink" \t "https://baike.baidu.com/item/%E6%AC%A1%E6%B0%AF%E9%85%B8%E9%92%A0/_blank"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染织</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等领域。密度为1.</w:t>
            </w:r>
            <w:r>
              <w:rPr>
                <w:rFonts w:hint="eastAsia" w:cs="Times New Roman"/>
                <w:i w:val="0"/>
                <w:iCs w:val="0"/>
                <w:caps w:val="0"/>
                <w:color w:val="auto"/>
                <w:spacing w:val="0"/>
                <w:kern w:val="2"/>
                <w:sz w:val="24"/>
                <w:szCs w:val="24"/>
                <w:highlight w:val="none"/>
                <w:shd w:val="clear" w:fill="FFFFFF"/>
                <w:lang w:val="en-US" w:eastAsia="zh-CN" w:bidi="ar-SA"/>
              </w:rPr>
              <w:t>11</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g/cm</w:t>
            </w:r>
            <w:r>
              <w:rPr>
                <w:rFonts w:hint="default" w:ascii="Times New Roman" w:hAnsi="Times New Roman" w:eastAsia="宋体" w:cs="Times New Roman"/>
                <w:i w:val="0"/>
                <w:iCs w:val="0"/>
                <w:caps w:val="0"/>
                <w:color w:val="auto"/>
                <w:spacing w:val="0"/>
                <w:kern w:val="2"/>
                <w:sz w:val="24"/>
                <w:szCs w:val="24"/>
                <w:highlight w:val="none"/>
                <w:shd w:val="clear" w:fill="FFFFFF"/>
                <w:vertAlign w:val="superscript"/>
                <w:lang w:val="en-US" w:eastAsia="zh-CN" w:bidi="ar-SA"/>
              </w:rPr>
              <w:t>3</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fill="FFFFFF"/>
              </w:rPr>
              <w:t>有刺激性气味的白色（纯固体）、浅黄色（溶液）</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具有弱碱性。</w:t>
            </w:r>
          </w:p>
          <w:p w14:paraId="7E43693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Autospacing="0" w:line="360" w:lineRule="auto"/>
              <w:ind w:left="0" w:right="0" w:firstLine="480" w:firstLineChars="200"/>
              <w:jc w:val="left"/>
              <w:textAlignment w:val="auto"/>
              <w:rPr>
                <w:rFonts w:hint="eastAsia" w:eastAsia="宋体" w:cs="Times New Roman"/>
                <w:i w:val="0"/>
                <w:iCs w:val="0"/>
                <w:caps w:val="0"/>
                <w:color w:val="auto"/>
                <w:spacing w:val="0"/>
                <w:kern w:val="2"/>
                <w:sz w:val="24"/>
                <w:szCs w:val="24"/>
                <w:highlight w:val="none"/>
                <w:shd w:val="clear" w:fill="FFFFFF"/>
                <w:lang w:val="en-US" w:eastAsia="zh-CN" w:bidi="ar-SA"/>
              </w:rPr>
            </w:pPr>
            <w:r>
              <w:rPr>
                <w:rFonts w:hint="eastAsia" w:ascii="Times New Roman" w:hAnsi="Times New Roman" w:eastAsia="宋体" w:cs="Times New Roman"/>
                <w:i w:val="0"/>
                <w:iCs w:val="0"/>
                <w:caps w:val="0"/>
                <w:color w:val="auto"/>
                <w:spacing w:val="0"/>
                <w:kern w:val="2"/>
                <w:sz w:val="24"/>
                <w:szCs w:val="24"/>
                <w:highlight w:val="none"/>
                <w:shd w:val="clear" w:fill="FFFFFF"/>
                <w:lang w:val="en-US" w:eastAsia="zh-CN" w:bidi="ar-SA"/>
              </w:rPr>
              <w:t>氢氧化钠：</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也称</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"https://baike.baidu.com/item/%E8%8B%9B%E6%80%A7%E9%92%A0/3926819?fromModule=lemma_inlink" \t "https://baike.baidu.com/item/_blank"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苛性钠</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"https://baike.baidu.com/item/%E7%83%A7%E7%A2%B1/1400538?fromModule=lemma_inlink" \t "https://baike.baidu.com/item/_blank"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烧碱</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"https://baike.baidu.com/item/%E7%81%AB%E7%A2%B1/2751638?fromModule=lemma_inlink" \t "https://baike.baidu.com/item/_blank"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火碱</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"https://baike.baidu.com/item/%E7%89%87%E7%A2%B1/10779075?fromModule=lemma_inlink" \t "https://baike.baidu.com/item/_blank"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片碱</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，是一种无机化合物，化学式NaOH，相对分子量为39.9970。氢氧化钠具有强碱性，腐蚀性极强，可作酸中和剂、配合掩蔽剂、沉淀剂、沉淀掩蔽剂、显色剂、皂化剂、去皮剂、洗涤剂等，用途非常广泛。密度：</w:t>
            </w:r>
            <w:r>
              <w:rPr>
                <w:rFonts w:hint="eastAsia" w:cs="Times New Roman"/>
                <w:i w:val="0"/>
                <w:iCs w:val="0"/>
                <w:caps w:val="0"/>
                <w:color w:val="auto"/>
                <w:spacing w:val="0"/>
                <w:kern w:val="2"/>
                <w:sz w:val="24"/>
                <w:szCs w:val="24"/>
                <w:highlight w:val="none"/>
                <w:shd w:val="clear" w:fill="FFFFFF"/>
                <w:lang w:val="en-US" w:eastAsia="zh-CN" w:bidi="ar-SA"/>
              </w:rPr>
              <w:t>2.12</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g/cm³</w:t>
            </w:r>
            <w:r>
              <w:rPr>
                <w:rFonts w:hint="eastAsia"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熔点：318.4℃(591K)</w:t>
            </w:r>
            <w:r>
              <w:rPr>
                <w:rFonts w:hint="eastAsia"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沸点：1390℃(1663K)</w:t>
            </w:r>
            <w:r>
              <w:rPr>
                <w:rFonts w:hint="eastAsia"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蒸气压：24.5mmHg(25°C)</w:t>
            </w:r>
            <w:r>
              <w:rPr>
                <w:rFonts w:hint="eastAsia"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eastAsia" w:cs="Times New Roman"/>
                <w:i w:val="0"/>
                <w:iCs w:val="0"/>
                <w:caps w:val="0"/>
                <w:color w:val="auto"/>
                <w:spacing w:val="0"/>
                <w:kern w:val="2"/>
                <w:sz w:val="24"/>
                <w:szCs w:val="24"/>
                <w:highlight w:val="none"/>
                <w:shd w:val="clear" w:fill="FFFFFF"/>
                <w:lang w:val="en-US" w:eastAsia="zh-CN" w:bidi="ar-SA"/>
              </w:rPr>
              <w:t>饱和蒸汽</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压：0.13Kpa（739℃）</w:t>
            </w:r>
            <w:r>
              <w:rPr>
                <w:rFonts w:hint="eastAsia"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外观：白色结晶性粉末</w:t>
            </w:r>
            <w:r>
              <w:rPr>
                <w:rFonts w:hint="eastAsia" w:ascii="Times New Roman" w:hAnsi="Times New Roman" w:eastAsia="宋体" w:cs="Times New Roman"/>
                <w:i w:val="0"/>
                <w:iCs w:val="0"/>
                <w:caps w:val="0"/>
                <w:color w:val="auto"/>
                <w:spacing w:val="0"/>
                <w:kern w:val="2"/>
                <w:sz w:val="24"/>
                <w:szCs w:val="24"/>
                <w:highlight w:val="none"/>
                <w:shd w:val="clear" w:fill="FFFFFF"/>
                <w:lang w:val="en-US" w:eastAsia="zh-CN" w:bidi="ar-SA"/>
              </w:rPr>
              <w:t>；</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溶解性：易溶于水、乙醇、甘油，不溶于丙酮、乙醚</w:t>
            </w:r>
            <w:r>
              <w:rPr>
                <w:rFonts w:hint="eastAsia" w:eastAsia="宋体" w:cs="Times New Roman"/>
                <w:i w:val="0"/>
                <w:iCs w:val="0"/>
                <w:caps w:val="0"/>
                <w:color w:val="auto"/>
                <w:spacing w:val="0"/>
                <w:kern w:val="2"/>
                <w:sz w:val="24"/>
                <w:szCs w:val="24"/>
                <w:highlight w:val="none"/>
                <w:shd w:val="clear" w:fill="FFFFFF"/>
                <w:lang w:val="en-US" w:eastAsia="zh-CN" w:bidi="ar-SA"/>
              </w:rPr>
              <w:t>。具有强腐蚀性。</w:t>
            </w:r>
          </w:p>
          <w:p w14:paraId="49FAF4DC">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i w:val="0"/>
                <w:iCs w:val="0"/>
                <w:caps w:val="0"/>
                <w:color w:val="auto"/>
                <w:spacing w:val="0"/>
                <w:sz w:val="24"/>
                <w:szCs w:val="24"/>
                <w:highlight w:val="none"/>
              </w:rPr>
            </w:pP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乙二醇：乙二醇，俗称甘醇，又称为1，2-亚乙基二醇、乙撑二醇，是最简单的脂肪族二元醇，化学式为C</w:t>
            </w:r>
            <w:r>
              <w:rPr>
                <w:rFonts w:hint="default" w:ascii="Times New Roman" w:hAnsi="Times New Roman" w:eastAsia="宋体" w:cs="Times New Roman"/>
                <w:i w:val="0"/>
                <w:iCs w:val="0"/>
                <w:caps w:val="0"/>
                <w:color w:val="auto"/>
                <w:spacing w:val="0"/>
                <w:kern w:val="2"/>
                <w:sz w:val="24"/>
                <w:szCs w:val="24"/>
                <w:highlight w:val="none"/>
                <w:shd w:val="clear" w:fill="FFFFFF"/>
                <w:vertAlign w:val="subscript"/>
                <w:lang w:val="en-US" w:eastAsia="zh-CN" w:bidi="ar-SA"/>
              </w:rPr>
              <w:t>2</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H</w:t>
            </w:r>
            <w:r>
              <w:rPr>
                <w:rFonts w:hint="default" w:ascii="Times New Roman" w:hAnsi="Times New Roman" w:eastAsia="宋体" w:cs="Times New Roman"/>
                <w:i w:val="0"/>
                <w:iCs w:val="0"/>
                <w:caps w:val="0"/>
                <w:color w:val="auto"/>
                <w:spacing w:val="0"/>
                <w:kern w:val="2"/>
                <w:sz w:val="24"/>
                <w:szCs w:val="24"/>
                <w:highlight w:val="none"/>
                <w:shd w:val="clear" w:fill="FFFFFF"/>
                <w:vertAlign w:val="subscript"/>
                <w:lang w:val="en-US" w:eastAsia="zh-CN" w:bidi="ar-SA"/>
              </w:rPr>
              <w:t>6</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O</w:t>
            </w:r>
            <w:r>
              <w:rPr>
                <w:rFonts w:hint="default" w:ascii="Times New Roman" w:hAnsi="Times New Roman" w:eastAsia="宋体" w:cs="Times New Roman"/>
                <w:i w:val="0"/>
                <w:iCs w:val="0"/>
                <w:caps w:val="0"/>
                <w:color w:val="auto"/>
                <w:spacing w:val="0"/>
                <w:kern w:val="2"/>
                <w:sz w:val="24"/>
                <w:szCs w:val="24"/>
                <w:highlight w:val="none"/>
                <w:shd w:val="clear" w:fill="FFFFFF"/>
                <w:vertAlign w:val="subscript"/>
                <w:lang w:val="en-US" w:eastAsia="zh-CN" w:bidi="ar-SA"/>
              </w:rPr>
              <w:t>2</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，分子量为62.07。其通常情况下是一种无色透明黏稠液体，味甜，具有吸湿性。熔点为-12.9℃，沸点为197.3℃，闪点为111℃，密度是1.13g/mL。微溶于乙醚，几乎不溶于苯及其同系物、</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"https://baike.baidu.com/item/%E6%B0%AF%E4%BB%A3%E7%83%83/1489506?fromModule=lemma_inlink" \t "https://baike.baidu.com/item/%E4%B9%99%E4%BA%8C%E9%86%87/_blank"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氯代烃</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和</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begin"/>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instrText xml:space="preserve"> HYPERLINK "https://baike.baidu.com/item/%E7%9F%B3%E6%B2%B9%E9%86%9A/2519986?fromModule=lemma_inlink" \t "https://baike.baidu.com/item/%E4%B9%99%E4%BA%8C%E9%86%87/_blank" </w:instrTex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separate"/>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石油醚</w:t>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fldChar w:fldCharType="end"/>
            </w:r>
            <w:r>
              <w:rPr>
                <w:rFonts w:hint="default" w:ascii="Times New Roman" w:hAnsi="Times New Roman" w:eastAsia="宋体" w:cs="Times New Roman"/>
                <w:i w:val="0"/>
                <w:iCs w:val="0"/>
                <w:caps w:val="0"/>
                <w:color w:val="auto"/>
                <w:spacing w:val="0"/>
                <w:kern w:val="2"/>
                <w:sz w:val="24"/>
                <w:szCs w:val="24"/>
                <w:highlight w:val="none"/>
                <w:shd w:val="clear" w:fill="FFFFFF"/>
                <w:lang w:val="en-US" w:eastAsia="zh-CN" w:bidi="ar-SA"/>
              </w:rPr>
              <w:t>，与水、低级脂肪族醇、甘油、乙酸、丙酮及其他类似酮类、醛类、吡啶等混溶。遇到较强的氧化剂可氧化成酸。在催化剂（二氧化锰、氧化铝、氧化锌或硫酸）作用下加热，可发生分子内或分子间失水生成乙醛、乙二醇缩乙醛或二氧六环。能与碱金属或者碱土金属作用形成醇盐。</w:t>
            </w:r>
            <w:r>
              <w:rPr>
                <w:rFonts w:hint="default" w:ascii="Times New Roman" w:hAnsi="Times New Roman" w:eastAsia="宋体" w:cs="Times New Roman"/>
                <w:i w:val="0"/>
                <w:iCs w:val="0"/>
                <w:caps w:val="0"/>
                <w:color w:val="auto"/>
                <w:spacing w:val="0"/>
                <w:sz w:val="24"/>
                <w:szCs w:val="24"/>
                <w:highlight w:val="none"/>
              </w:rPr>
              <w:t>乙二醇作为一种有机化合物，具有较低的冰点和较高的沸点，这使得它在制冷设备中扮演了至关重要的角色。在低温环境下，乙二醇能有效防止制冷剂凝固，确保制冷系统顺畅运行。同时，在高温条件下，它又能保持液态，不易蒸发，从而提高了制冷剂的稳定性和效率。</w:t>
            </w:r>
          </w:p>
          <w:p w14:paraId="1FCC2359">
            <w:pPr>
              <w:pStyle w:val="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cs="Times New Roman"/>
                <w:i w:val="0"/>
                <w:iCs w:val="0"/>
                <w:caps w:val="0"/>
                <w:color w:val="auto"/>
                <w:spacing w:val="0"/>
                <w:sz w:val="24"/>
                <w:szCs w:val="24"/>
                <w:highlight w:val="none"/>
                <w:lang w:val="en-US" w:eastAsia="zh-CN"/>
              </w:rPr>
            </w:pPr>
            <w:r>
              <w:rPr>
                <w:rFonts w:hint="eastAsia" w:ascii="Times New Roman" w:cs="Times New Roman"/>
                <w:i w:val="0"/>
                <w:iCs w:val="0"/>
                <w:caps w:val="0"/>
                <w:color w:val="auto"/>
                <w:spacing w:val="0"/>
                <w:sz w:val="24"/>
                <w:szCs w:val="24"/>
                <w:highlight w:val="none"/>
                <w:lang w:val="en-US" w:eastAsia="zh-CN"/>
              </w:rPr>
              <w:t>（2）原辅料进场质量控制</w:t>
            </w:r>
          </w:p>
          <w:p w14:paraId="248C91D0">
            <w:pPr>
              <w:pStyle w:val="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i w:val="0"/>
                <w:iCs w:val="0"/>
                <w:caps w:val="0"/>
                <w:color w:val="auto"/>
                <w:spacing w:val="0"/>
                <w:sz w:val="24"/>
                <w:szCs w:val="24"/>
                <w:highlight w:val="none"/>
                <w:lang w:val="en-US" w:eastAsia="zh-CN"/>
              </w:rPr>
            </w:pPr>
            <w:r>
              <w:rPr>
                <w:rFonts w:hint="eastAsia" w:ascii="Times New Roman" w:cs="Times New Roman"/>
                <w:i w:val="0"/>
                <w:iCs w:val="0"/>
                <w:caps w:val="0"/>
                <w:color w:val="auto"/>
                <w:spacing w:val="0"/>
                <w:sz w:val="24"/>
                <w:szCs w:val="24"/>
                <w:highlight w:val="none"/>
                <w:lang w:val="en-US" w:eastAsia="zh-CN"/>
              </w:rPr>
              <w:t>本项目原辅材料都属于食品级，其原辅料进料质量指标如下：</w:t>
            </w:r>
          </w:p>
          <w:p w14:paraId="7DFBBF38">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表2.3-10毛油进厂质量标准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9"/>
              <w:gridCol w:w="4666"/>
            </w:tblGrid>
            <w:tr w14:paraId="2409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214" w:type="pct"/>
                </w:tcPr>
                <w:p w14:paraId="4102396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2785" w:type="pct"/>
                </w:tcPr>
                <w:p w14:paraId="5B7F383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05FD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79302BB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2785" w:type="pct"/>
                </w:tcPr>
                <w:p w14:paraId="581AB07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黄色至棕</w:t>
                  </w:r>
                  <w:r>
                    <w:rPr>
                      <w:rFonts w:hint="eastAsia" w:cs="Times New Roman" w:eastAsiaTheme="minorEastAsia"/>
                      <w:b w:val="0"/>
                      <w:bCs/>
                      <w:color w:val="auto"/>
                      <w:sz w:val="21"/>
                      <w:szCs w:val="21"/>
                      <w:highlight w:val="none"/>
                      <w:vertAlign w:val="baseline"/>
                      <w:lang w:val="en-US" w:eastAsia="zh-CN"/>
                    </w:rPr>
                    <w:t>红</w:t>
                  </w:r>
                  <w:r>
                    <w:rPr>
                      <w:rFonts w:hint="eastAsia" w:ascii="Times New Roman" w:hAnsi="Times New Roman" w:cs="Times New Roman" w:eastAsiaTheme="minorEastAsia"/>
                      <w:b w:val="0"/>
                      <w:bCs/>
                      <w:color w:val="auto"/>
                      <w:sz w:val="21"/>
                      <w:szCs w:val="21"/>
                      <w:highlight w:val="none"/>
                      <w:vertAlign w:val="baseline"/>
                      <w:lang w:val="en-US" w:eastAsia="zh-CN"/>
                    </w:rPr>
                    <w:t>色</w:t>
                  </w:r>
                </w:p>
              </w:tc>
            </w:tr>
            <w:tr w14:paraId="4E6C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000187E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气味、滋味</w:t>
                  </w:r>
                </w:p>
              </w:tc>
              <w:tc>
                <w:tcPr>
                  <w:tcW w:w="2785" w:type="pct"/>
                </w:tcPr>
                <w:p w14:paraId="3BE1733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具有菜籽油固有气味和滋味、无异味</w:t>
                  </w:r>
                </w:p>
              </w:tc>
            </w:tr>
            <w:tr w14:paraId="13E5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4C6C70C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水分及挥发物含量/%≤</w:t>
                  </w:r>
                </w:p>
              </w:tc>
              <w:tc>
                <w:tcPr>
                  <w:tcW w:w="2785" w:type="pct"/>
                </w:tcPr>
                <w:p w14:paraId="3DEEDB5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0.2</w:t>
                  </w:r>
                </w:p>
              </w:tc>
            </w:tr>
            <w:tr w14:paraId="7F29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153CE80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不溶性杂质含量/%≤</w:t>
                  </w:r>
                </w:p>
              </w:tc>
              <w:tc>
                <w:tcPr>
                  <w:tcW w:w="2785" w:type="pct"/>
                </w:tcPr>
                <w:p w14:paraId="2E9B788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ascii="Times New Roman" w:hAnsi="Times New Roman" w:cs="Times New Roman" w:eastAsiaTheme="minorEastAsia"/>
                      <w:b w:val="0"/>
                      <w:bCs/>
                      <w:color w:val="auto"/>
                      <w:sz w:val="21"/>
                      <w:szCs w:val="21"/>
                      <w:highlight w:val="none"/>
                      <w:vertAlign w:val="baseline"/>
                      <w:lang w:val="en-US" w:eastAsia="zh-CN"/>
                    </w:rPr>
                    <w:t>0.</w:t>
                  </w:r>
                  <w:r>
                    <w:rPr>
                      <w:rFonts w:hint="eastAsia" w:cs="Times New Roman" w:eastAsiaTheme="minorEastAsia"/>
                      <w:b w:val="0"/>
                      <w:bCs/>
                      <w:color w:val="auto"/>
                      <w:sz w:val="21"/>
                      <w:szCs w:val="21"/>
                      <w:highlight w:val="none"/>
                      <w:vertAlign w:val="baseline"/>
                      <w:lang w:val="en-US" w:eastAsia="zh-CN"/>
                    </w:rPr>
                    <w:t>20</w:t>
                  </w:r>
                </w:p>
              </w:tc>
            </w:tr>
            <w:tr w14:paraId="62A3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19B0795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酸价（以KOH计）（mg/g）≤</w:t>
                  </w:r>
                </w:p>
              </w:tc>
              <w:tc>
                <w:tcPr>
                  <w:tcW w:w="2785" w:type="pct"/>
                </w:tcPr>
                <w:p w14:paraId="59C467E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4.0</w:t>
                  </w:r>
                </w:p>
              </w:tc>
            </w:tr>
            <w:tr w14:paraId="5E8F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64122D8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过氧化值（g/100g）≤</w:t>
                  </w:r>
                </w:p>
              </w:tc>
              <w:tc>
                <w:tcPr>
                  <w:tcW w:w="2785" w:type="pct"/>
                </w:tcPr>
                <w:p w14:paraId="14E4CE1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0.25</w:t>
                  </w:r>
                </w:p>
              </w:tc>
            </w:tr>
            <w:tr w14:paraId="6D22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36345E8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脂肪酸组成</w:t>
                  </w:r>
                </w:p>
              </w:tc>
              <w:tc>
                <w:tcPr>
                  <w:tcW w:w="2785" w:type="pct"/>
                </w:tcPr>
                <w:p w14:paraId="55B594D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见GB/T1536-2021</w:t>
                  </w:r>
                </w:p>
              </w:tc>
            </w:tr>
            <w:tr w14:paraId="0F7C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6E00C0E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溶剂残留量/（mg/kg）</w:t>
                  </w:r>
                </w:p>
              </w:tc>
              <w:tc>
                <w:tcPr>
                  <w:tcW w:w="2785" w:type="pct"/>
                </w:tcPr>
                <w:p w14:paraId="693C034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w:t>
                  </w:r>
                </w:p>
              </w:tc>
            </w:tr>
          </w:tbl>
          <w:p w14:paraId="4FE5C91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表2.3-11活性白土质量标准（GB25571-2011）</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9"/>
              <w:gridCol w:w="4666"/>
            </w:tblGrid>
            <w:tr w14:paraId="3294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214" w:type="pct"/>
                </w:tcPr>
                <w:p w14:paraId="044671D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2785" w:type="pct"/>
                </w:tcPr>
                <w:p w14:paraId="737B632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554B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2825145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2785" w:type="pct"/>
                </w:tcPr>
                <w:p w14:paraId="7520304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白色或灰色、浅粉色</w:t>
                  </w:r>
                </w:p>
              </w:tc>
            </w:tr>
            <w:tr w14:paraId="56AA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25C01C0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组织状态</w:t>
                  </w:r>
                </w:p>
              </w:tc>
              <w:tc>
                <w:tcPr>
                  <w:tcW w:w="2785" w:type="pct"/>
                </w:tcPr>
                <w:p w14:paraId="5C18674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粉末</w:t>
                  </w:r>
                </w:p>
              </w:tc>
            </w:tr>
            <w:tr w14:paraId="0DEB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4F30733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比表面积，m</w:t>
                  </w:r>
                  <w:r>
                    <w:rPr>
                      <w:rFonts w:hint="default" w:ascii="Times New Roman" w:hAnsi="Times New Roman" w:cs="Times New Roman" w:eastAsiaTheme="minorEastAsia"/>
                      <w:b w:val="0"/>
                      <w:bCs w:val="0"/>
                      <w:color w:val="auto"/>
                      <w:sz w:val="21"/>
                      <w:szCs w:val="21"/>
                      <w:highlight w:val="none"/>
                      <w:vertAlign w:val="superscript"/>
                    </w:rPr>
                    <w:t>2</w:t>
                  </w:r>
                  <w:r>
                    <w:rPr>
                      <w:rFonts w:hint="default" w:ascii="Times New Roman" w:hAnsi="Times New Roman" w:cs="Times New Roman" w:eastAsiaTheme="minorEastAsia"/>
                      <w:b w:val="0"/>
                      <w:bCs w:val="0"/>
                      <w:color w:val="auto"/>
                      <w:sz w:val="21"/>
                      <w:szCs w:val="21"/>
                      <w:highlight w:val="none"/>
                    </w:rPr>
                    <w:t>/g≥</w:t>
                  </w:r>
                </w:p>
              </w:tc>
              <w:tc>
                <w:tcPr>
                  <w:tcW w:w="2785" w:type="pct"/>
                </w:tcPr>
                <w:p w14:paraId="43B7C75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130</w:t>
                  </w:r>
                </w:p>
              </w:tc>
            </w:tr>
            <w:tr w14:paraId="4957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440F7B9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游离酸（以H</w:t>
                  </w:r>
                  <w:r>
                    <w:rPr>
                      <w:rFonts w:hint="default" w:ascii="Times New Roman" w:hAnsi="Times New Roman" w:cs="Times New Roman" w:eastAsiaTheme="minorEastAsia"/>
                      <w:b w:val="0"/>
                      <w:bCs w:val="0"/>
                      <w:color w:val="auto"/>
                      <w:sz w:val="21"/>
                      <w:szCs w:val="21"/>
                      <w:highlight w:val="none"/>
                      <w:vertAlign w:val="subscript"/>
                    </w:rPr>
                    <w:t>2</w:t>
                  </w:r>
                  <w:r>
                    <w:rPr>
                      <w:rFonts w:hint="default" w:ascii="Times New Roman" w:hAnsi="Times New Roman" w:cs="Times New Roman" w:eastAsiaTheme="minorEastAsia"/>
                      <w:b w:val="0"/>
                      <w:bCs w:val="0"/>
                      <w:color w:val="auto"/>
                      <w:sz w:val="21"/>
                      <w:szCs w:val="21"/>
                      <w:highlight w:val="none"/>
                    </w:rPr>
                    <w:t>SO</w:t>
                  </w:r>
                  <w:r>
                    <w:rPr>
                      <w:rFonts w:hint="default" w:ascii="Times New Roman" w:hAnsi="Times New Roman" w:cs="Times New Roman" w:eastAsiaTheme="minorEastAsia"/>
                      <w:b w:val="0"/>
                      <w:bCs w:val="0"/>
                      <w:color w:val="auto"/>
                      <w:sz w:val="21"/>
                      <w:szCs w:val="21"/>
                      <w:highlight w:val="none"/>
                      <w:vertAlign w:val="subscript"/>
                    </w:rPr>
                    <w:t>4</w:t>
                  </w:r>
                  <w:r>
                    <w:rPr>
                      <w:rFonts w:hint="default" w:ascii="Times New Roman" w:hAnsi="Times New Roman" w:cs="Times New Roman" w:eastAsiaTheme="minorEastAsia"/>
                      <w:b w:val="0"/>
                      <w:bCs w:val="0"/>
                      <w:color w:val="auto"/>
                      <w:sz w:val="21"/>
                      <w:szCs w:val="21"/>
                      <w:highlight w:val="none"/>
                    </w:rPr>
                    <w:t>计），</w:t>
                  </w:r>
                  <w:r>
                    <w:rPr>
                      <w:rFonts w:hint="default" w:ascii="Times New Roman" w:hAnsi="Times New Roman" w:cs="Times New Roman" w:eastAsiaTheme="minorEastAsia"/>
                      <w:b w:val="0"/>
                      <w:bCs/>
                      <w:color w:val="auto"/>
                      <w:sz w:val="21"/>
                      <w:szCs w:val="21"/>
                      <w:highlight w:val="none"/>
                      <w:vertAlign w:val="baseline"/>
                      <w:lang w:val="en-US" w:eastAsia="zh-CN"/>
                    </w:rPr>
                    <w:t>w</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tcPr>
                <w:p w14:paraId="3FE2FE5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0.30</w:t>
                  </w:r>
                </w:p>
              </w:tc>
            </w:tr>
            <w:tr w14:paraId="1A08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0411F17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水分，</w:t>
                  </w:r>
                  <w:r>
                    <w:rPr>
                      <w:rFonts w:hint="default" w:ascii="Times New Roman" w:hAnsi="Times New Roman" w:cs="Times New Roman" w:eastAsiaTheme="minorEastAsia"/>
                      <w:b w:val="0"/>
                      <w:bCs/>
                      <w:color w:val="auto"/>
                      <w:sz w:val="21"/>
                      <w:szCs w:val="21"/>
                      <w:highlight w:val="none"/>
                      <w:vertAlign w:val="baseline"/>
                      <w:lang w:val="en-US" w:eastAsia="zh-CN"/>
                    </w:rPr>
                    <w:t>w</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tcPr>
                <w:p w14:paraId="4D112D2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12.0</w:t>
                  </w:r>
                </w:p>
              </w:tc>
            </w:tr>
            <w:tr w14:paraId="48E1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5C1C90B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细度（通过0.075mm试验筛），</w:t>
                  </w:r>
                  <w:r>
                    <w:rPr>
                      <w:rFonts w:hint="default" w:ascii="Times New Roman" w:hAnsi="Times New Roman" w:cs="Times New Roman" w:eastAsiaTheme="minorEastAsia"/>
                      <w:b w:val="0"/>
                      <w:bCs/>
                      <w:color w:val="auto"/>
                      <w:sz w:val="21"/>
                      <w:szCs w:val="21"/>
                      <w:highlight w:val="none"/>
                      <w:vertAlign w:val="baseline"/>
                      <w:lang w:val="en-US" w:eastAsia="zh-CN"/>
                    </w:rPr>
                    <w:t>w</w:t>
                  </w:r>
                  <w:r>
                    <w:rPr>
                      <w:rFonts w:hint="default" w:ascii="Times New Roman" w:hAnsi="Times New Roman" w:cs="Times New Roman" w:eastAsiaTheme="minorEastAsia"/>
                      <w:b w:val="0"/>
                      <w:bCs w:val="0"/>
                      <w:color w:val="auto"/>
                      <w:sz w:val="21"/>
                      <w:szCs w:val="21"/>
                      <w:highlight w:val="none"/>
                    </w:rPr>
                    <w:t>/%≥</w:t>
                  </w:r>
                </w:p>
              </w:tc>
              <w:tc>
                <w:tcPr>
                  <w:tcW w:w="2785" w:type="pct"/>
                </w:tcPr>
                <w:p w14:paraId="5F69569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90</w:t>
                  </w:r>
                </w:p>
              </w:tc>
            </w:tr>
            <w:tr w14:paraId="3636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4510CD6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过滤速度</w:t>
                  </w:r>
                </w:p>
              </w:tc>
              <w:tc>
                <w:tcPr>
                  <w:tcW w:w="2785" w:type="pct"/>
                </w:tcPr>
                <w:p w14:paraId="2A1C032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通过试验</w:t>
                  </w:r>
                </w:p>
              </w:tc>
            </w:tr>
            <w:tr w14:paraId="4E58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67FD831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堆积密度，g/mL</w:t>
                  </w:r>
                </w:p>
              </w:tc>
              <w:tc>
                <w:tcPr>
                  <w:tcW w:w="2785" w:type="pct"/>
                </w:tcPr>
                <w:p w14:paraId="7C23340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0.55±0.10</w:t>
                  </w:r>
                </w:p>
              </w:tc>
            </w:tr>
            <w:tr w14:paraId="7341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73E250C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pH（50g/L悬浮液）</w:t>
                  </w:r>
                </w:p>
              </w:tc>
              <w:tc>
                <w:tcPr>
                  <w:tcW w:w="2785" w:type="pct"/>
                </w:tcPr>
                <w:p w14:paraId="25E94F3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2.2～4.8</w:t>
                  </w:r>
                </w:p>
              </w:tc>
            </w:tr>
            <w:tr w14:paraId="083C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63674C5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重金属（以Pb计）/（mg/kg）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tcPr>
                <w:p w14:paraId="4525E5F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40</w:t>
                  </w:r>
                </w:p>
              </w:tc>
            </w:tr>
            <w:tr w14:paraId="2822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38A4AD5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砷（As）/（mg/kg）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tcPr>
                <w:p w14:paraId="2478B0E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w:t>
                  </w:r>
                </w:p>
              </w:tc>
            </w:tr>
          </w:tbl>
          <w:p w14:paraId="2D8724C1">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表2.3-12磷酸质量标准（GB1886.15-2015）</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9"/>
              <w:gridCol w:w="4666"/>
            </w:tblGrid>
            <w:tr w14:paraId="0A44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214" w:type="pct"/>
                </w:tcPr>
                <w:p w14:paraId="3E358D4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2785" w:type="pct"/>
                </w:tcPr>
                <w:p w14:paraId="195C79C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28E6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27C7DBC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2785" w:type="pct"/>
                </w:tcPr>
                <w:p w14:paraId="058D61E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无色透明或略带浅色</w:t>
                  </w:r>
                </w:p>
              </w:tc>
            </w:tr>
            <w:tr w14:paraId="4AA8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5A7E8D9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状态</w:t>
                  </w:r>
                </w:p>
              </w:tc>
              <w:tc>
                <w:tcPr>
                  <w:tcW w:w="2785" w:type="pct"/>
                </w:tcPr>
                <w:p w14:paraId="7C4F97C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稠状液体</w:t>
                  </w:r>
                </w:p>
              </w:tc>
            </w:tr>
            <w:tr w14:paraId="3EAB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6540A26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磷酸（H</w:t>
                  </w:r>
                  <w:r>
                    <w:rPr>
                      <w:rFonts w:hint="eastAsia" w:cs="Times New Roman" w:eastAsiaTheme="minorEastAsia"/>
                      <w:b w:val="0"/>
                      <w:bCs w:val="0"/>
                      <w:color w:val="auto"/>
                      <w:sz w:val="21"/>
                      <w:szCs w:val="21"/>
                      <w:highlight w:val="none"/>
                      <w:vertAlign w:val="subscript"/>
                      <w:lang w:val="en-US" w:eastAsia="zh-CN"/>
                    </w:rPr>
                    <w:t>3</w:t>
                  </w:r>
                  <w:r>
                    <w:rPr>
                      <w:rFonts w:hint="eastAsia" w:cs="Times New Roman" w:eastAsiaTheme="minorEastAsia"/>
                      <w:b w:val="0"/>
                      <w:bCs w:val="0"/>
                      <w:color w:val="auto"/>
                      <w:sz w:val="21"/>
                      <w:szCs w:val="21"/>
                      <w:highlight w:val="none"/>
                      <w:lang w:val="en-US" w:eastAsia="zh-CN"/>
                    </w:rPr>
                    <w:t>PO</w:t>
                  </w:r>
                  <w:r>
                    <w:rPr>
                      <w:rFonts w:hint="eastAsia" w:cs="Times New Roman" w:eastAsiaTheme="minorEastAsia"/>
                      <w:b w:val="0"/>
                      <w:bCs w:val="0"/>
                      <w:color w:val="auto"/>
                      <w:sz w:val="21"/>
                      <w:szCs w:val="21"/>
                      <w:highlight w:val="none"/>
                      <w:vertAlign w:val="subscript"/>
                      <w:lang w:val="en-US" w:eastAsia="zh-CN"/>
                    </w:rPr>
                    <w:t>4</w:t>
                  </w:r>
                  <w:r>
                    <w:rPr>
                      <w:rFonts w:hint="eastAsia" w:cs="Times New Roman" w:eastAsiaTheme="minorEastAsia"/>
                      <w:b w:val="0"/>
                      <w:bCs w:val="0"/>
                      <w:color w:val="auto"/>
                      <w:sz w:val="21"/>
                      <w:szCs w:val="21"/>
                      <w:highlight w:val="none"/>
                      <w:lang w:val="en-US" w:eastAsia="zh-CN"/>
                    </w:rPr>
                    <w:t>）含量</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color w:val="auto"/>
                      <w:sz w:val="21"/>
                      <w:szCs w:val="21"/>
                      <w:highlight w:val="none"/>
                      <w:vertAlign w:val="baseline"/>
                      <w:lang w:val="en-US" w:eastAsia="zh-CN"/>
                    </w:rPr>
                    <w:t>w</w:t>
                  </w:r>
                  <w:r>
                    <w:rPr>
                      <w:rFonts w:hint="default" w:ascii="Times New Roman" w:hAnsi="Times New Roman" w:cs="Times New Roman" w:eastAsiaTheme="minorEastAsia"/>
                      <w:b w:val="0"/>
                      <w:bCs w:val="0"/>
                      <w:color w:val="auto"/>
                      <w:sz w:val="21"/>
                      <w:szCs w:val="21"/>
                      <w:highlight w:val="none"/>
                    </w:rPr>
                    <w:t>%</w:t>
                  </w:r>
                </w:p>
              </w:tc>
              <w:tc>
                <w:tcPr>
                  <w:tcW w:w="2785" w:type="pct"/>
                </w:tcPr>
                <w:p w14:paraId="48AF093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75.0~86.0</w:t>
                  </w:r>
                </w:p>
              </w:tc>
            </w:tr>
            <w:tr w14:paraId="7B83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5FF5F8C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氟化物</w:t>
                  </w:r>
                  <w:r>
                    <w:rPr>
                      <w:rFonts w:hint="default" w:ascii="Times New Roman" w:hAnsi="Times New Roman" w:cs="Times New Roman" w:eastAsiaTheme="minorEastAsia"/>
                      <w:b w:val="0"/>
                      <w:bCs w:val="0"/>
                      <w:color w:val="auto"/>
                      <w:sz w:val="21"/>
                      <w:szCs w:val="21"/>
                      <w:highlight w:val="none"/>
                    </w:rPr>
                    <w:t>（以</w:t>
                  </w:r>
                  <w:r>
                    <w:rPr>
                      <w:rFonts w:hint="eastAsia" w:cs="Times New Roman" w:eastAsiaTheme="minorEastAsia"/>
                      <w:b w:val="0"/>
                      <w:bCs w:val="0"/>
                      <w:color w:val="auto"/>
                      <w:sz w:val="21"/>
                      <w:szCs w:val="21"/>
                      <w:highlight w:val="none"/>
                      <w:lang w:val="en-US" w:eastAsia="zh-CN"/>
                    </w:rPr>
                    <w:t>F</w:t>
                  </w:r>
                  <w:r>
                    <w:rPr>
                      <w:rFonts w:hint="default" w:ascii="Times New Roman" w:hAnsi="Times New Roman" w:cs="Times New Roman" w:eastAsiaTheme="minorEastAsia"/>
                      <w:b w:val="0"/>
                      <w:bCs w:val="0"/>
                      <w:color w:val="auto"/>
                      <w:sz w:val="21"/>
                      <w:szCs w:val="21"/>
                      <w:highlight w:val="none"/>
                    </w:rPr>
                    <w:t>计），（mg/kg）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tcPr>
                <w:p w14:paraId="79B16C3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10</w:t>
                  </w:r>
                </w:p>
              </w:tc>
            </w:tr>
            <w:tr w14:paraId="4518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1E6A76F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易氧化物（以H</w:t>
                  </w:r>
                  <w:r>
                    <w:rPr>
                      <w:rFonts w:hint="eastAsia" w:cs="Times New Roman" w:eastAsiaTheme="minorEastAsia"/>
                      <w:b w:val="0"/>
                      <w:bCs w:val="0"/>
                      <w:color w:val="auto"/>
                      <w:sz w:val="21"/>
                      <w:szCs w:val="21"/>
                      <w:highlight w:val="none"/>
                      <w:vertAlign w:val="subscript"/>
                      <w:lang w:val="en-US" w:eastAsia="zh-CN"/>
                    </w:rPr>
                    <w:t>3</w:t>
                  </w:r>
                  <w:r>
                    <w:rPr>
                      <w:rFonts w:hint="eastAsia" w:cs="Times New Roman" w:eastAsiaTheme="minorEastAsia"/>
                      <w:b w:val="0"/>
                      <w:bCs w:val="0"/>
                      <w:color w:val="auto"/>
                      <w:sz w:val="21"/>
                      <w:szCs w:val="21"/>
                      <w:highlight w:val="none"/>
                      <w:lang w:val="en-US" w:eastAsia="zh-CN"/>
                    </w:rPr>
                    <w:t>PO</w:t>
                  </w:r>
                  <w:r>
                    <w:rPr>
                      <w:rFonts w:hint="eastAsia" w:cs="Times New Roman" w:eastAsiaTheme="minorEastAsia"/>
                      <w:b w:val="0"/>
                      <w:bCs w:val="0"/>
                      <w:color w:val="auto"/>
                      <w:sz w:val="21"/>
                      <w:szCs w:val="21"/>
                      <w:highlight w:val="none"/>
                      <w:vertAlign w:val="subscript"/>
                      <w:lang w:val="en-US" w:eastAsia="zh-CN"/>
                    </w:rPr>
                    <w:t>4</w:t>
                  </w:r>
                  <w:r>
                    <w:rPr>
                      <w:rFonts w:hint="default" w:ascii="Times New Roman" w:hAnsi="Times New Roman" w:cs="Times New Roman" w:eastAsiaTheme="minorEastAsia"/>
                      <w:b w:val="0"/>
                      <w:bCs w:val="0"/>
                      <w:color w:val="auto"/>
                      <w:sz w:val="21"/>
                      <w:szCs w:val="21"/>
                      <w:highlight w:val="none"/>
                    </w:rPr>
                    <w:t>计</w:t>
                  </w:r>
                  <w:r>
                    <w:rPr>
                      <w:rFonts w:hint="eastAsia"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color w:val="auto"/>
                      <w:sz w:val="21"/>
                      <w:szCs w:val="21"/>
                      <w:highlight w:val="none"/>
                      <w:vertAlign w:val="baseline"/>
                      <w:lang w:val="en-US" w:eastAsia="zh-CN"/>
                    </w:rPr>
                    <w:t>w</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tcPr>
                <w:p w14:paraId="70AD353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0.012</w:t>
                  </w:r>
                </w:p>
              </w:tc>
            </w:tr>
            <w:tr w14:paraId="500A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07E6ECE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重金属（以Pb计）/（mg/kg）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tcPr>
                <w:p w14:paraId="6FC4D1E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5.0</w:t>
                  </w:r>
                </w:p>
              </w:tc>
            </w:tr>
            <w:tr w14:paraId="6803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05ABAD0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砷（As）/（mg/kg）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tcPr>
                <w:p w14:paraId="3B9ECD9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0.5</w:t>
                  </w:r>
                </w:p>
              </w:tc>
            </w:tr>
          </w:tbl>
          <w:p w14:paraId="74C5DE39">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表2.3-13氢氧化钠质量标准（GB1886.20-2016）</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9"/>
              <w:gridCol w:w="2332"/>
              <w:gridCol w:w="2334"/>
            </w:tblGrid>
            <w:tr w14:paraId="2028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214" w:type="pct"/>
                  <w:vMerge w:val="restart"/>
                </w:tcPr>
                <w:p w14:paraId="6A57FB6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2785" w:type="pct"/>
                  <w:gridSpan w:val="2"/>
                </w:tcPr>
                <w:p w14:paraId="48E2E8F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6931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214" w:type="pct"/>
                  <w:vMerge w:val="continue"/>
                </w:tcPr>
                <w:p w14:paraId="2017242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color w:val="auto"/>
                      <w:highlight w:val="none"/>
                    </w:rPr>
                  </w:pPr>
                </w:p>
              </w:tc>
              <w:tc>
                <w:tcPr>
                  <w:tcW w:w="1392" w:type="pct"/>
                </w:tcPr>
                <w:p w14:paraId="0C2F9DA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eastAsia="宋体"/>
                      <w:color w:val="auto"/>
                      <w:highlight w:val="none"/>
                      <w:lang w:val="en-US" w:eastAsia="zh-CN"/>
                    </w:rPr>
                  </w:pPr>
                  <w:r>
                    <w:rPr>
                      <w:rFonts w:hint="eastAsia"/>
                      <w:color w:val="auto"/>
                      <w:highlight w:val="none"/>
                      <w:lang w:val="en-US" w:eastAsia="zh-CN"/>
                    </w:rPr>
                    <w:t>固体</w:t>
                  </w:r>
                </w:p>
              </w:tc>
              <w:tc>
                <w:tcPr>
                  <w:tcW w:w="1393" w:type="pct"/>
                </w:tcPr>
                <w:p w14:paraId="248DB977">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液体</w:t>
                  </w:r>
                </w:p>
              </w:tc>
            </w:tr>
            <w:tr w14:paraId="7FFB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261CFA1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1392" w:type="pct"/>
                </w:tcPr>
                <w:p w14:paraId="1A4CCE2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白色或近乎白色</w:t>
                  </w:r>
                </w:p>
              </w:tc>
              <w:tc>
                <w:tcPr>
                  <w:tcW w:w="1393" w:type="pct"/>
                </w:tcPr>
                <w:p w14:paraId="481C405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清亮的或略有浑浊，无色或带粉颜色</w:t>
                  </w:r>
                </w:p>
              </w:tc>
            </w:tr>
            <w:tr w14:paraId="26AF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559EBEF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状态</w:t>
                  </w:r>
                </w:p>
              </w:tc>
              <w:tc>
                <w:tcPr>
                  <w:tcW w:w="1392" w:type="pct"/>
                </w:tcPr>
                <w:p w14:paraId="14B7B2F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固体</w:t>
                  </w:r>
                </w:p>
              </w:tc>
              <w:tc>
                <w:tcPr>
                  <w:tcW w:w="1393" w:type="pct"/>
                </w:tcPr>
                <w:p w14:paraId="3CA2ABCF">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液体</w:t>
                  </w:r>
                </w:p>
              </w:tc>
            </w:tr>
            <w:tr w14:paraId="45EF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37B9697C">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总碱量(</w:t>
                  </w:r>
                  <w:r>
                    <w:rPr>
                      <w:rFonts w:hint="default" w:cs="Times New Roman" w:eastAsiaTheme="minorEastAsia"/>
                      <w:b w:val="0"/>
                      <w:bCs w:val="0"/>
                      <w:color w:val="auto"/>
                      <w:sz w:val="21"/>
                      <w:szCs w:val="21"/>
                      <w:highlight w:val="none"/>
                      <w:lang w:val="en-US" w:eastAsia="zh-CN"/>
                    </w:rPr>
                    <w:t>以</w:t>
                  </w:r>
                  <w:r>
                    <w:rPr>
                      <w:rFonts w:hint="eastAsia" w:cs="Times New Roman" w:eastAsiaTheme="minorEastAsia"/>
                      <w:b w:val="0"/>
                      <w:bCs w:val="0"/>
                      <w:color w:val="auto"/>
                      <w:sz w:val="21"/>
                      <w:szCs w:val="21"/>
                      <w:highlight w:val="none"/>
                      <w:lang w:val="en-US" w:eastAsia="zh-CN"/>
                    </w:rPr>
                    <w:t>Na</w:t>
                  </w:r>
                  <w:r>
                    <w:rPr>
                      <w:rFonts w:hint="default" w:cs="Times New Roman" w:eastAsiaTheme="minorEastAsia"/>
                      <w:b w:val="0"/>
                      <w:bCs w:val="0"/>
                      <w:color w:val="auto"/>
                      <w:sz w:val="21"/>
                      <w:szCs w:val="21"/>
                      <w:highlight w:val="none"/>
                      <w:lang w:val="en-US" w:eastAsia="zh-CN"/>
                    </w:rPr>
                    <w:t>OH计),</w:t>
                  </w:r>
                  <w:r>
                    <w:rPr>
                      <w:rFonts w:hint="eastAsia" w:cs="Times New Roman" w:eastAsiaTheme="minorEastAsia"/>
                      <w:b w:val="0"/>
                      <w:bCs w:val="0"/>
                      <w:color w:val="auto"/>
                      <w:sz w:val="21"/>
                      <w:szCs w:val="21"/>
                      <w:highlight w:val="none"/>
                      <w:lang w:val="en-US" w:eastAsia="zh-CN"/>
                    </w:rPr>
                    <w:t>w</w:t>
                  </w:r>
                  <w:r>
                    <w:rPr>
                      <w:rFonts w:hint="default" w:cs="Times New Roman" w:eastAsiaTheme="minorEastAsia"/>
                      <w:b w:val="0"/>
                      <w:bCs w:val="0"/>
                      <w:color w:val="auto"/>
                      <w:sz w:val="21"/>
                      <w:szCs w:val="21"/>
                      <w:highlight w:val="none"/>
                      <w:lang w:val="en-US" w:eastAsia="zh-CN"/>
                    </w:rPr>
                    <w:t>/%</w:t>
                  </w:r>
                </w:p>
              </w:tc>
              <w:tc>
                <w:tcPr>
                  <w:tcW w:w="1392" w:type="pct"/>
                </w:tcPr>
                <w:p w14:paraId="7A8E278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98~100.5</w:t>
                  </w:r>
                </w:p>
              </w:tc>
              <w:tc>
                <w:tcPr>
                  <w:tcW w:w="1393" w:type="pct"/>
                </w:tcPr>
                <w:p w14:paraId="52C30AC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98.0~103.5</w:t>
                  </w:r>
                </w:p>
              </w:tc>
            </w:tr>
            <w:tr w14:paraId="3AEE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1132134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碳酸钠</w:t>
                  </w:r>
                  <w:r>
                    <w:rPr>
                      <w:rFonts w:hint="default" w:ascii="Times New Roman" w:hAnsi="Times New Roman" w:cs="Times New Roman" w:eastAsiaTheme="minorEastAsia"/>
                      <w:b w:val="0"/>
                      <w:bCs w:val="0"/>
                      <w:color w:val="auto"/>
                      <w:sz w:val="21"/>
                      <w:szCs w:val="21"/>
                      <w:highlight w:val="none"/>
                    </w:rPr>
                    <w:t>（以</w:t>
                  </w:r>
                  <w:r>
                    <w:rPr>
                      <w:rFonts w:hint="eastAsia" w:cs="Times New Roman" w:eastAsiaTheme="minorEastAsia"/>
                      <w:b w:val="0"/>
                      <w:bCs w:val="0"/>
                      <w:color w:val="auto"/>
                      <w:sz w:val="21"/>
                      <w:szCs w:val="21"/>
                      <w:highlight w:val="none"/>
                      <w:lang w:val="en-US" w:eastAsia="zh-CN"/>
                    </w:rPr>
                    <w:t>Na</w:t>
                  </w:r>
                  <w:r>
                    <w:rPr>
                      <w:rFonts w:hint="eastAsia" w:cs="Times New Roman" w:eastAsiaTheme="minorEastAsia"/>
                      <w:b w:val="0"/>
                      <w:bCs w:val="0"/>
                      <w:color w:val="auto"/>
                      <w:sz w:val="21"/>
                      <w:szCs w:val="21"/>
                      <w:highlight w:val="none"/>
                      <w:vertAlign w:val="subscript"/>
                      <w:lang w:val="en-US" w:eastAsia="zh-CN"/>
                    </w:rPr>
                    <w:t>3</w:t>
                  </w:r>
                  <w:r>
                    <w:rPr>
                      <w:rFonts w:hint="eastAsia" w:cs="Times New Roman" w:eastAsiaTheme="minorEastAsia"/>
                      <w:b w:val="0"/>
                      <w:bCs w:val="0"/>
                      <w:color w:val="auto"/>
                      <w:sz w:val="21"/>
                      <w:szCs w:val="21"/>
                      <w:highlight w:val="none"/>
                      <w:lang w:val="en-US" w:eastAsia="zh-CN"/>
                    </w:rPr>
                    <w:t>CO</w:t>
                  </w:r>
                  <w:r>
                    <w:rPr>
                      <w:rFonts w:hint="eastAsia" w:cs="Times New Roman" w:eastAsiaTheme="minorEastAsia"/>
                      <w:b w:val="0"/>
                      <w:bCs w:val="0"/>
                      <w:color w:val="auto"/>
                      <w:sz w:val="21"/>
                      <w:szCs w:val="21"/>
                      <w:highlight w:val="none"/>
                      <w:vertAlign w:val="subscript"/>
                      <w:lang w:val="en-US" w:eastAsia="zh-CN"/>
                    </w:rPr>
                    <w:t>3</w:t>
                  </w:r>
                  <w:r>
                    <w:rPr>
                      <w:rFonts w:hint="default" w:ascii="Times New Roman" w:hAnsi="Times New Roman" w:cs="Times New Roman" w:eastAsiaTheme="minorEastAsia"/>
                      <w:b w:val="0"/>
                      <w:bCs w:val="0"/>
                      <w:color w:val="auto"/>
                      <w:sz w:val="21"/>
                      <w:szCs w:val="21"/>
                      <w:highlight w:val="none"/>
                    </w:rPr>
                    <w:t>计），</w:t>
                  </w:r>
                  <w:r>
                    <w:rPr>
                      <w:rFonts w:hint="eastAsia" w:cs="Times New Roman" w:eastAsiaTheme="minorEastAsia"/>
                      <w:b w:val="0"/>
                      <w:bCs w:val="0"/>
                      <w:color w:val="auto"/>
                      <w:sz w:val="21"/>
                      <w:szCs w:val="21"/>
                      <w:highlight w:val="none"/>
                      <w:lang w:val="en-US" w:eastAsia="zh-CN"/>
                    </w:rPr>
                    <w:t>w</w:t>
                  </w:r>
                  <w:r>
                    <w:rPr>
                      <w:rFonts w:hint="default"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gridSpan w:val="2"/>
                </w:tcPr>
                <w:p w14:paraId="0CA6AA3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2.0</w:t>
                  </w:r>
                </w:p>
              </w:tc>
            </w:tr>
            <w:tr w14:paraId="6028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2722929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不溶物及有机杂质</w:t>
                  </w:r>
                </w:p>
              </w:tc>
              <w:tc>
                <w:tcPr>
                  <w:tcW w:w="2785" w:type="pct"/>
                  <w:gridSpan w:val="2"/>
                </w:tcPr>
                <w:p w14:paraId="2CC6CFC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通过试验</w:t>
                  </w:r>
                </w:p>
              </w:tc>
            </w:tr>
            <w:tr w14:paraId="3D06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1FB58B7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重金属（以Pb计）/（mg/kg）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gridSpan w:val="2"/>
                </w:tcPr>
                <w:p w14:paraId="5738806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5.0</w:t>
                  </w:r>
                </w:p>
              </w:tc>
            </w:tr>
            <w:tr w14:paraId="3750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tcPr>
                <w:p w14:paraId="1F7E4246">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砷（As）/（mg/kg）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gridSpan w:val="2"/>
                </w:tcPr>
                <w:p w14:paraId="69735AE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3.0</w:t>
                  </w:r>
                </w:p>
              </w:tc>
            </w:tr>
            <w:tr w14:paraId="7EB9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pct"/>
                  <w:shd w:val="clear" w:color="auto" w:fill="auto"/>
                  <w:vAlign w:val="top"/>
                </w:tcPr>
                <w:p w14:paraId="0296492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汞</w:t>
                  </w:r>
                  <w:r>
                    <w:rPr>
                      <w:rFonts w:hint="default" w:ascii="Times New Roman" w:hAnsi="Times New Roman" w:cs="Times New Roman" w:eastAsiaTheme="minorEastAsia"/>
                      <w:b w:val="0"/>
                      <w:bCs w:val="0"/>
                      <w:color w:val="auto"/>
                      <w:sz w:val="21"/>
                      <w:szCs w:val="21"/>
                      <w:highlight w:val="none"/>
                    </w:rPr>
                    <w:t>（</w:t>
                  </w:r>
                  <w:r>
                    <w:rPr>
                      <w:rFonts w:hint="eastAsia" w:cs="Times New Roman" w:eastAsiaTheme="minorEastAsia"/>
                      <w:b w:val="0"/>
                      <w:bCs w:val="0"/>
                      <w:color w:val="auto"/>
                      <w:sz w:val="21"/>
                      <w:szCs w:val="21"/>
                      <w:highlight w:val="none"/>
                      <w:lang w:val="en-US" w:eastAsia="zh-CN"/>
                    </w:rPr>
                    <w:t>Hg</w:t>
                  </w:r>
                  <w:r>
                    <w:rPr>
                      <w:rFonts w:hint="default" w:ascii="Times New Roman" w:hAnsi="Times New Roman" w:cs="Times New Roman" w:eastAsiaTheme="minorEastAsia"/>
                      <w:b w:val="0"/>
                      <w:bCs w:val="0"/>
                      <w:color w:val="auto"/>
                      <w:sz w:val="21"/>
                      <w:szCs w:val="21"/>
                      <w:highlight w:val="none"/>
                    </w:rPr>
                    <w:t>）/（mg/kg）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2785" w:type="pct"/>
                  <w:gridSpan w:val="2"/>
                  <w:shd w:val="clear" w:color="auto" w:fill="auto"/>
                  <w:vAlign w:val="top"/>
                </w:tcPr>
                <w:p w14:paraId="609A42A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00.1</w:t>
                  </w:r>
                </w:p>
              </w:tc>
            </w:tr>
          </w:tbl>
          <w:p w14:paraId="5D08566A">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bidi="ar-SA"/>
              </w:rPr>
              <w:t>表2.3-14柠檬酸质量标准（GB1886.235-2016）</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1"/>
              <w:gridCol w:w="3234"/>
            </w:tblGrid>
            <w:tr w14:paraId="3980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069" w:type="pct"/>
                  <w:vMerge w:val="restart"/>
                </w:tcPr>
                <w:p w14:paraId="7443D4E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项目</w:t>
                  </w:r>
                </w:p>
              </w:tc>
              <w:tc>
                <w:tcPr>
                  <w:tcW w:w="1930" w:type="pct"/>
                </w:tcPr>
                <w:p w14:paraId="1DBB5C4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质量指标</w:t>
                  </w:r>
                </w:p>
              </w:tc>
            </w:tr>
            <w:tr w14:paraId="5B3F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069" w:type="pct"/>
                  <w:vMerge w:val="continue"/>
                </w:tcPr>
                <w:p w14:paraId="43D0B42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color w:val="auto"/>
                      <w:highlight w:val="none"/>
                    </w:rPr>
                  </w:pPr>
                </w:p>
              </w:tc>
              <w:tc>
                <w:tcPr>
                  <w:tcW w:w="1930" w:type="pct"/>
                </w:tcPr>
                <w:p w14:paraId="68F4C38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eastAsia="宋体"/>
                      <w:color w:val="auto"/>
                      <w:highlight w:val="none"/>
                      <w:lang w:val="en-US" w:eastAsia="zh-CN"/>
                    </w:rPr>
                  </w:pPr>
                  <w:r>
                    <w:rPr>
                      <w:rFonts w:hint="eastAsia"/>
                      <w:color w:val="auto"/>
                      <w:highlight w:val="none"/>
                      <w:lang w:val="en-US" w:eastAsia="zh-CN"/>
                    </w:rPr>
                    <w:t>固体</w:t>
                  </w:r>
                </w:p>
              </w:tc>
            </w:tr>
            <w:tr w14:paraId="166C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5D99F02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色泽</w:t>
                  </w:r>
                </w:p>
              </w:tc>
              <w:tc>
                <w:tcPr>
                  <w:tcW w:w="1930" w:type="pct"/>
                </w:tcPr>
                <w:p w14:paraId="6B5EF4D4">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白色或无色</w:t>
                  </w:r>
                </w:p>
              </w:tc>
            </w:tr>
            <w:tr w14:paraId="1DA0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7FFE05B2">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sz w:val="21"/>
                      <w:szCs w:val="21"/>
                      <w:highlight w:val="none"/>
                    </w:rPr>
                    <w:t>状态</w:t>
                  </w:r>
                </w:p>
              </w:tc>
              <w:tc>
                <w:tcPr>
                  <w:tcW w:w="1930" w:type="pct"/>
                </w:tcPr>
                <w:p w14:paraId="4B6E66C8">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结晶状颗粒或粉末，无臭，味极酸</w:t>
                  </w:r>
                </w:p>
              </w:tc>
            </w:tr>
            <w:tr w14:paraId="1B94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6EF3FD6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柠檬酸含量</w:t>
                  </w:r>
                  <w:r>
                    <w:rPr>
                      <w:rFonts w:hint="default" w:cs="Times New Roman" w:eastAsiaTheme="minorEastAsia"/>
                      <w:b w:val="0"/>
                      <w:bCs w:val="0"/>
                      <w:color w:val="auto"/>
                      <w:sz w:val="21"/>
                      <w:szCs w:val="21"/>
                      <w:highlight w:val="none"/>
                      <w:lang w:val="en-US" w:eastAsia="zh-CN"/>
                    </w:rPr>
                    <w:t>,</w:t>
                  </w:r>
                  <w:r>
                    <w:rPr>
                      <w:rFonts w:hint="eastAsia" w:cs="Times New Roman" w:eastAsiaTheme="minorEastAsia"/>
                      <w:b w:val="0"/>
                      <w:bCs w:val="0"/>
                      <w:color w:val="auto"/>
                      <w:sz w:val="21"/>
                      <w:szCs w:val="21"/>
                      <w:highlight w:val="none"/>
                      <w:lang w:val="en-US" w:eastAsia="zh-CN"/>
                    </w:rPr>
                    <w:t>w</w:t>
                  </w:r>
                  <w:r>
                    <w:rPr>
                      <w:rFonts w:hint="default" w:cs="Times New Roman" w:eastAsiaTheme="minorEastAsia"/>
                      <w:b w:val="0"/>
                      <w:bCs w:val="0"/>
                      <w:color w:val="auto"/>
                      <w:sz w:val="21"/>
                      <w:szCs w:val="21"/>
                      <w:highlight w:val="none"/>
                      <w:lang w:val="en-US" w:eastAsia="zh-CN"/>
                    </w:rPr>
                    <w:t>/%</w:t>
                  </w:r>
                </w:p>
              </w:tc>
              <w:tc>
                <w:tcPr>
                  <w:tcW w:w="1930" w:type="pct"/>
                </w:tcPr>
                <w:p w14:paraId="466EE00E">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99.5~100.5</w:t>
                  </w:r>
                </w:p>
              </w:tc>
            </w:tr>
            <w:tr w14:paraId="2965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66148235">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水分</w:t>
                  </w:r>
                  <w:r>
                    <w:rPr>
                      <w:rFonts w:hint="default" w:ascii="Times New Roman" w:hAnsi="Times New Roman" w:cs="Times New Roman" w:eastAsiaTheme="minorEastAsia"/>
                      <w:b w:val="0"/>
                      <w:bCs w:val="0"/>
                      <w:color w:val="auto"/>
                      <w:sz w:val="21"/>
                      <w:szCs w:val="21"/>
                      <w:highlight w:val="none"/>
                    </w:rPr>
                    <w:t>，</w:t>
                  </w:r>
                  <w:r>
                    <w:rPr>
                      <w:rFonts w:hint="eastAsia" w:cs="Times New Roman" w:eastAsiaTheme="minorEastAsia"/>
                      <w:b w:val="0"/>
                      <w:bCs w:val="0"/>
                      <w:color w:val="auto"/>
                      <w:sz w:val="21"/>
                      <w:szCs w:val="21"/>
                      <w:highlight w:val="none"/>
                      <w:lang w:val="en-US" w:eastAsia="zh-CN"/>
                    </w:rPr>
                    <w:t>w</w:t>
                  </w:r>
                  <w:r>
                    <w:rPr>
                      <w:rFonts w:hint="default"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1930" w:type="pct"/>
                </w:tcPr>
                <w:p w14:paraId="2E9C325B">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0.5</w:t>
                  </w:r>
                </w:p>
              </w:tc>
            </w:tr>
            <w:tr w14:paraId="3BF8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0FDC49A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color w:val="auto"/>
                      <w:sz w:val="21"/>
                      <w:szCs w:val="21"/>
                      <w:highlight w:val="none"/>
                      <w:vertAlign w:val="baseline"/>
                      <w:lang w:val="en-US" w:eastAsia="zh-CN"/>
                    </w:rPr>
                  </w:pPr>
                  <w:r>
                    <w:rPr>
                      <w:rFonts w:hint="eastAsia" w:cs="Times New Roman" w:eastAsiaTheme="minorEastAsia"/>
                      <w:b w:val="0"/>
                      <w:bCs w:val="0"/>
                      <w:color w:val="auto"/>
                      <w:sz w:val="21"/>
                      <w:szCs w:val="21"/>
                      <w:highlight w:val="none"/>
                      <w:lang w:val="en-US" w:eastAsia="zh-CN"/>
                    </w:rPr>
                    <w:t>易炭化物</w:t>
                  </w:r>
                </w:p>
              </w:tc>
              <w:tc>
                <w:tcPr>
                  <w:tcW w:w="1930" w:type="pct"/>
                </w:tcPr>
                <w:p w14:paraId="6548846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1.0</w:t>
                  </w:r>
                </w:p>
              </w:tc>
            </w:tr>
            <w:tr w14:paraId="07FA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32F034E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硫酸灰分w</w:t>
                  </w:r>
                  <w:r>
                    <w:rPr>
                      <w:rFonts w:hint="default"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1930" w:type="pct"/>
                </w:tcPr>
                <w:p w14:paraId="0692263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0.05</w:t>
                  </w:r>
                </w:p>
              </w:tc>
            </w:tr>
            <w:tr w14:paraId="072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6ADD6C3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硫酸盐w</w:t>
                  </w:r>
                  <w:r>
                    <w:rPr>
                      <w:rFonts w:hint="default"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1930" w:type="pct"/>
                </w:tcPr>
                <w:p w14:paraId="04D708A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0.010</w:t>
                  </w:r>
                </w:p>
              </w:tc>
            </w:tr>
            <w:tr w14:paraId="4451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357CDB3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氯化物w</w:t>
                  </w:r>
                  <w:r>
                    <w:rPr>
                      <w:rFonts w:hint="default"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1930" w:type="pct"/>
                </w:tcPr>
                <w:p w14:paraId="0C40B9C0">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0.005</w:t>
                  </w:r>
                </w:p>
              </w:tc>
            </w:tr>
            <w:tr w14:paraId="2FBE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12061623">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草酸盐w</w:t>
                  </w:r>
                  <w:r>
                    <w:rPr>
                      <w:rFonts w:hint="default"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1930" w:type="pct"/>
                </w:tcPr>
                <w:p w14:paraId="465DD95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color w:val="auto"/>
                      <w:sz w:val="21"/>
                      <w:szCs w:val="21"/>
                      <w:highlight w:val="none"/>
                      <w:vertAlign w:val="baseline"/>
                      <w:lang w:val="en-US" w:eastAsia="zh-CN"/>
                    </w:rPr>
                  </w:pPr>
                  <w:r>
                    <w:rPr>
                      <w:rFonts w:hint="eastAsia" w:cs="Times New Roman" w:eastAsiaTheme="minorEastAsia"/>
                      <w:b w:val="0"/>
                      <w:bCs/>
                      <w:color w:val="auto"/>
                      <w:sz w:val="21"/>
                      <w:szCs w:val="21"/>
                      <w:highlight w:val="none"/>
                      <w:vertAlign w:val="baseline"/>
                      <w:lang w:val="en-US" w:eastAsia="zh-CN"/>
                    </w:rPr>
                    <w:t>0.01</w:t>
                  </w:r>
                </w:p>
              </w:tc>
            </w:tr>
            <w:tr w14:paraId="0F78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shd w:val="clear" w:color="auto" w:fill="auto"/>
                  <w:vAlign w:val="top"/>
                </w:tcPr>
                <w:p w14:paraId="1034DFB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ascii="Times New Roman" w:hAnsi="Times New Roman" w:cs="Times New Roman" w:eastAsiaTheme="minorEastAsia"/>
                      <w:b w:val="0"/>
                      <w:bCs w:val="0"/>
                      <w:color w:val="auto"/>
                      <w:kern w:val="2"/>
                      <w:sz w:val="21"/>
                      <w:szCs w:val="21"/>
                      <w:highlight w:val="none"/>
                      <w:lang w:val="en-US" w:eastAsia="zh-CN" w:bidi="ar-SA"/>
                    </w:rPr>
                  </w:pPr>
                  <w:r>
                    <w:rPr>
                      <w:rFonts w:hint="eastAsia" w:cs="Times New Roman" w:eastAsiaTheme="minorEastAsia"/>
                      <w:b w:val="0"/>
                      <w:bCs w:val="0"/>
                      <w:color w:val="auto"/>
                      <w:sz w:val="21"/>
                      <w:szCs w:val="21"/>
                      <w:highlight w:val="none"/>
                      <w:lang w:val="en-US" w:eastAsia="zh-CN"/>
                    </w:rPr>
                    <w:t>钙盐w</w:t>
                  </w:r>
                  <w:r>
                    <w:rPr>
                      <w:rFonts w:hint="default"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1930" w:type="pct"/>
                  <w:shd w:val="clear" w:color="auto" w:fill="auto"/>
                  <w:vAlign w:val="top"/>
                </w:tcPr>
                <w:p w14:paraId="5097ECE1">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eastAsia" w:ascii="Times New Roman" w:hAnsi="Times New Roman" w:cs="Times New Roman" w:eastAsiaTheme="minorEastAsia"/>
                      <w:b w:val="0"/>
                      <w:bCs/>
                      <w:color w:val="auto"/>
                      <w:kern w:val="2"/>
                      <w:sz w:val="21"/>
                      <w:szCs w:val="21"/>
                      <w:highlight w:val="none"/>
                      <w:vertAlign w:val="baseline"/>
                      <w:lang w:val="en-US" w:eastAsia="zh-CN" w:bidi="ar-SA"/>
                    </w:rPr>
                  </w:pPr>
                  <w:r>
                    <w:rPr>
                      <w:rFonts w:hint="eastAsia" w:cs="Times New Roman" w:eastAsiaTheme="minorEastAsia"/>
                      <w:b w:val="0"/>
                      <w:bCs/>
                      <w:color w:val="auto"/>
                      <w:sz w:val="21"/>
                      <w:szCs w:val="21"/>
                      <w:highlight w:val="none"/>
                      <w:vertAlign w:val="baseline"/>
                      <w:lang w:val="en-US" w:eastAsia="zh-CN"/>
                    </w:rPr>
                    <w:t>0.02</w:t>
                  </w:r>
                </w:p>
              </w:tc>
            </w:tr>
            <w:tr w14:paraId="0E40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26A78F39">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eastAsia" w:cs="Times New Roman" w:eastAsiaTheme="minorEastAsia"/>
                      <w:b w:val="0"/>
                      <w:bCs w:val="0"/>
                      <w:color w:val="auto"/>
                      <w:sz w:val="21"/>
                      <w:szCs w:val="21"/>
                      <w:highlight w:val="none"/>
                      <w:lang w:val="en-US" w:eastAsia="zh-CN"/>
                    </w:rPr>
                    <w:t>铅</w:t>
                  </w:r>
                  <w:r>
                    <w:rPr>
                      <w:rFonts w:hint="default" w:ascii="Times New Roman" w:hAnsi="Times New Roman" w:cs="Times New Roman" w:eastAsiaTheme="minorEastAsia"/>
                      <w:b w:val="0"/>
                      <w:bCs w:val="0"/>
                      <w:color w:val="auto"/>
                      <w:sz w:val="21"/>
                      <w:szCs w:val="21"/>
                      <w:highlight w:val="none"/>
                    </w:rPr>
                    <w:t>（以Pb计）/（mg/kg）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1930" w:type="pct"/>
                </w:tcPr>
                <w:p w14:paraId="7406A3E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0.5</w:t>
                  </w:r>
                </w:p>
              </w:tc>
            </w:tr>
            <w:tr w14:paraId="097E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9" w:type="pct"/>
                </w:tcPr>
                <w:p w14:paraId="7CBA728D">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ascii="Times New Roman" w:hAnsi="Times New Roman" w:cs="Times New Roman" w:eastAsiaTheme="minorEastAsia"/>
                      <w:b w:val="0"/>
                      <w:bCs w:val="0"/>
                      <w:color w:val="auto"/>
                      <w:sz w:val="21"/>
                      <w:szCs w:val="21"/>
                      <w:highlight w:val="none"/>
                    </w:rPr>
                  </w:pPr>
                  <w:r>
                    <w:rPr>
                      <w:rFonts w:hint="eastAsia" w:cs="Times New Roman" w:eastAsiaTheme="minorEastAsia"/>
                      <w:b w:val="0"/>
                      <w:bCs w:val="0"/>
                      <w:color w:val="auto"/>
                      <w:sz w:val="21"/>
                      <w:szCs w:val="21"/>
                      <w:highlight w:val="none"/>
                      <w:lang w:val="en-US" w:eastAsia="zh-CN"/>
                    </w:rPr>
                    <w:t>总</w:t>
                  </w:r>
                  <w:r>
                    <w:rPr>
                      <w:rFonts w:hint="default" w:ascii="Times New Roman" w:hAnsi="Times New Roman" w:cs="Times New Roman" w:eastAsiaTheme="minorEastAsia"/>
                      <w:b w:val="0"/>
                      <w:bCs w:val="0"/>
                      <w:color w:val="auto"/>
                      <w:sz w:val="21"/>
                      <w:szCs w:val="21"/>
                      <w:highlight w:val="none"/>
                    </w:rPr>
                    <w:t>砷（As）/（mg/kg）</w:t>
                  </w:r>
                  <w:r>
                    <w:rPr>
                      <w:rFonts w:hint="default" w:ascii="Times New Roman" w:hAnsi="Times New Roman" w:cs="Times New Roman" w:eastAsiaTheme="minorEastAsia"/>
                      <w:b w:val="0"/>
                      <w:bCs/>
                      <w:color w:val="auto"/>
                      <w:sz w:val="21"/>
                      <w:szCs w:val="21"/>
                      <w:highlight w:val="none"/>
                      <w:vertAlign w:val="baseline"/>
                      <w:lang w:val="en-US" w:eastAsia="zh-CN"/>
                    </w:rPr>
                    <w:t>≤</w:t>
                  </w:r>
                </w:p>
              </w:tc>
              <w:tc>
                <w:tcPr>
                  <w:tcW w:w="1930" w:type="pct"/>
                </w:tcPr>
                <w:p w14:paraId="3E3A4B2A">
                  <w:pPr>
                    <w:keepNext w:val="0"/>
                    <w:keepLines w:val="0"/>
                    <w:pageBreakBefore w:val="0"/>
                    <w:widowControl w:val="0"/>
                    <w:kinsoku/>
                    <w:wordWrap/>
                    <w:overflowPunct w:val="0"/>
                    <w:topLinePunct/>
                    <w:autoSpaceDE/>
                    <w:autoSpaceDN/>
                    <w:bidi w:val="0"/>
                    <w:adjustRightInd/>
                    <w:snapToGrid/>
                    <w:spacing w:line="240" w:lineRule="auto"/>
                    <w:jc w:val="center"/>
                    <w:textAlignment w:val="auto"/>
                    <w:outlineLvl w:val="1"/>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1.0</w:t>
                  </w:r>
                </w:p>
              </w:tc>
            </w:tr>
          </w:tbl>
          <w:p w14:paraId="1EE2BB62">
            <w:pPr>
              <w:pStyle w:val="24"/>
              <w:keepNext w:val="0"/>
              <w:keepLines w:val="0"/>
              <w:pageBreakBefore w:val="0"/>
              <w:widowControl w:val="0"/>
              <w:kinsoku/>
              <w:wordWrap/>
              <w:overflowPunct w:val="0"/>
              <w:topLinePunct/>
              <w:autoSpaceDE/>
              <w:autoSpaceDN/>
              <w:bidi w:val="0"/>
              <w:adjustRightInd/>
              <w:snapToGrid/>
              <w:spacing w:line="460" w:lineRule="exact"/>
              <w:ind w:left="0" w:firstLine="482" w:firstLineChars="200"/>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2.3.</w:t>
            </w:r>
            <w:r>
              <w:rPr>
                <w:rFonts w:hint="eastAsia" w:ascii="Times New Roman" w:hAnsi="Times New Roman" w:cs="Times New Roman"/>
                <w:b/>
                <w:color w:val="auto"/>
                <w:kern w:val="2"/>
                <w:sz w:val="24"/>
                <w:szCs w:val="24"/>
                <w:highlight w:val="none"/>
                <w:lang w:val="en-US" w:eastAsia="zh-CN" w:bidi="ar-SA"/>
              </w:rPr>
              <w:t>7</w:t>
            </w:r>
            <w:r>
              <w:rPr>
                <w:rFonts w:hint="default" w:ascii="Times New Roman" w:hAnsi="Times New Roman" w:eastAsia="宋体" w:cs="Times New Roman"/>
                <w:b/>
                <w:color w:val="auto"/>
                <w:kern w:val="2"/>
                <w:sz w:val="24"/>
                <w:szCs w:val="24"/>
                <w:highlight w:val="none"/>
                <w:lang w:val="en-US" w:eastAsia="zh-CN" w:bidi="ar-SA"/>
              </w:rPr>
              <w:t>劳动定员及生产时间</w:t>
            </w:r>
          </w:p>
          <w:p w14:paraId="4FA2BC16">
            <w:pPr>
              <w:pStyle w:val="24"/>
              <w:keepNext w:val="0"/>
              <w:keepLines w:val="0"/>
              <w:pageBreakBefore w:val="0"/>
              <w:widowControl w:val="0"/>
              <w:kinsoku/>
              <w:wordWrap/>
              <w:overflowPunct w:val="0"/>
              <w:topLinePunct/>
              <w:autoSpaceDE/>
              <w:autoSpaceDN/>
              <w:bidi w:val="0"/>
              <w:spacing w:line="460" w:lineRule="exact"/>
              <w:ind w:left="0" w:firstLine="476" w:firstLineChars="200"/>
              <w:textAlignment w:val="auto"/>
              <w:rPr>
                <w:rFonts w:hint="default" w:ascii="Times New Roman" w:hAnsi="Times New Roman" w:eastAsia="宋体" w:cs="Times New Roman"/>
                <w:color w:val="auto"/>
                <w:spacing w:val="-1"/>
                <w:sz w:val="24"/>
                <w:szCs w:val="24"/>
                <w:highlight w:val="none"/>
                <w:lang w:val="en-US" w:eastAsia="zh-CN"/>
              </w:rPr>
            </w:pPr>
            <w:r>
              <w:rPr>
                <w:rFonts w:hint="eastAsia" w:ascii="Times New Roman" w:hAnsi="Times New Roman" w:cs="Times New Roman"/>
                <w:color w:val="auto"/>
                <w:spacing w:val="-1"/>
                <w:sz w:val="24"/>
                <w:szCs w:val="24"/>
                <w:highlight w:val="none"/>
                <w:lang w:val="en-US" w:eastAsia="zh-CN"/>
              </w:rPr>
              <w:t>本项目</w:t>
            </w:r>
            <w:r>
              <w:rPr>
                <w:rFonts w:hint="default" w:ascii="Times New Roman" w:hAnsi="Times New Roman" w:eastAsia="宋体" w:cs="Times New Roman"/>
                <w:color w:val="auto"/>
                <w:spacing w:val="-1"/>
                <w:sz w:val="24"/>
                <w:szCs w:val="24"/>
                <w:highlight w:val="none"/>
                <w:lang w:val="en-US" w:eastAsia="zh-CN"/>
              </w:rPr>
              <w:t>不新增劳动定员，由现有项目人员进行调度</w:t>
            </w:r>
            <w:r>
              <w:rPr>
                <w:rFonts w:hint="eastAsia" w:ascii="Times New Roman" w:hAnsi="Times New Roman" w:cs="Times New Roman"/>
                <w:color w:val="auto"/>
                <w:spacing w:val="-1"/>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现有员工180人</w:t>
            </w:r>
            <w:r>
              <w:rPr>
                <w:rFonts w:hint="default" w:ascii="Times New Roman" w:hAnsi="Times New Roman" w:eastAsia="宋体" w:cs="Times New Roman"/>
                <w:color w:val="auto"/>
                <w:spacing w:val="-1"/>
                <w:sz w:val="24"/>
                <w:szCs w:val="24"/>
                <w:highlight w:val="none"/>
                <w:lang w:val="en-US" w:eastAsia="zh-CN"/>
              </w:rPr>
              <w:t>；</w:t>
            </w:r>
            <w:r>
              <w:rPr>
                <w:rFonts w:hint="eastAsia" w:ascii="Times New Roman" w:hAnsi="Times New Roman" w:cs="Times New Roman"/>
                <w:color w:val="auto"/>
                <w:spacing w:val="-1"/>
                <w:sz w:val="24"/>
                <w:szCs w:val="24"/>
                <w:highlight w:val="none"/>
                <w:lang w:val="en-US" w:eastAsia="zh-CN"/>
              </w:rPr>
              <w:t>本项目</w:t>
            </w:r>
            <w:r>
              <w:rPr>
                <w:rFonts w:hint="default" w:ascii="Times New Roman" w:hAnsi="Times New Roman" w:eastAsia="宋体" w:cs="Times New Roman"/>
                <w:color w:val="auto"/>
                <w:spacing w:val="-1"/>
                <w:sz w:val="24"/>
                <w:szCs w:val="24"/>
                <w:highlight w:val="none"/>
                <w:lang w:val="en-US" w:eastAsia="zh-CN"/>
              </w:rPr>
              <w:t>日运行24h，</w:t>
            </w:r>
            <w:r>
              <w:rPr>
                <w:rFonts w:hint="default" w:ascii="Times New Roman" w:hAnsi="Times New Roman" w:cs="Times New Roman"/>
                <w:color w:val="auto"/>
                <w:spacing w:val="-1"/>
                <w:sz w:val="24"/>
                <w:szCs w:val="24"/>
                <w:highlight w:val="none"/>
                <w:lang w:val="en-US" w:eastAsia="zh-CN"/>
              </w:rPr>
              <w:t>3班制，</w:t>
            </w:r>
            <w:r>
              <w:rPr>
                <w:rFonts w:hint="eastAsia" w:ascii="Times New Roman" w:hAnsi="Times New Roman" w:cs="Times New Roman"/>
                <w:color w:val="auto"/>
                <w:spacing w:val="-1"/>
                <w:sz w:val="24"/>
                <w:szCs w:val="24"/>
                <w:highlight w:val="none"/>
                <w:lang w:val="en-US" w:eastAsia="zh-CN"/>
              </w:rPr>
              <w:t>8h/班，</w:t>
            </w:r>
            <w:r>
              <w:rPr>
                <w:rFonts w:hint="default" w:ascii="Times New Roman" w:hAnsi="Times New Roman" w:eastAsia="宋体" w:cs="Times New Roman"/>
                <w:color w:val="auto"/>
                <w:spacing w:val="-1"/>
                <w:sz w:val="24"/>
                <w:szCs w:val="24"/>
                <w:highlight w:val="none"/>
                <w:lang w:val="en-US" w:eastAsia="zh-CN"/>
              </w:rPr>
              <w:t>年运行</w:t>
            </w:r>
            <w:r>
              <w:rPr>
                <w:rFonts w:hint="default" w:ascii="Times New Roman" w:hAnsi="Times New Roman" w:cs="Times New Roman"/>
                <w:color w:val="auto"/>
                <w:spacing w:val="-1"/>
                <w:sz w:val="24"/>
                <w:szCs w:val="24"/>
                <w:highlight w:val="none"/>
                <w:lang w:val="en-US" w:eastAsia="zh-CN"/>
              </w:rPr>
              <w:t>300</w:t>
            </w:r>
            <w:r>
              <w:rPr>
                <w:rFonts w:hint="default" w:ascii="Times New Roman" w:hAnsi="Times New Roman" w:eastAsia="宋体" w:cs="Times New Roman"/>
                <w:color w:val="auto"/>
                <w:spacing w:val="-1"/>
                <w:sz w:val="24"/>
                <w:szCs w:val="24"/>
                <w:highlight w:val="none"/>
                <w:lang w:val="en-US" w:eastAsia="zh-CN"/>
              </w:rPr>
              <w:t>d。</w:t>
            </w:r>
          </w:p>
          <w:p w14:paraId="2FE53288">
            <w:pPr>
              <w:pStyle w:val="24"/>
              <w:keepNext w:val="0"/>
              <w:keepLines w:val="0"/>
              <w:pageBreakBefore w:val="0"/>
              <w:widowControl w:val="0"/>
              <w:kinsoku/>
              <w:wordWrap/>
              <w:overflowPunct w:val="0"/>
              <w:topLinePunct/>
              <w:autoSpaceDE/>
              <w:autoSpaceDN/>
              <w:bidi w:val="0"/>
              <w:adjustRightInd/>
              <w:snapToGrid/>
              <w:spacing w:line="460" w:lineRule="exact"/>
              <w:ind w:left="0" w:firstLine="482" w:firstLineChars="200"/>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w:t>
            </w:r>
            <w:r>
              <w:rPr>
                <w:rFonts w:hint="default" w:ascii="Times New Roman" w:hAnsi="Times New Roman" w:cs="Times New Roman"/>
                <w:b/>
                <w:color w:val="auto"/>
                <w:kern w:val="2"/>
                <w:sz w:val="24"/>
                <w:szCs w:val="24"/>
                <w:highlight w:val="none"/>
                <w:lang w:val="en-US" w:eastAsia="zh-CN" w:bidi="ar-SA"/>
              </w:rPr>
              <w:t>3</w:t>
            </w:r>
            <w:r>
              <w:rPr>
                <w:rFonts w:hint="default" w:ascii="Times New Roman" w:hAnsi="Times New Roman" w:eastAsia="宋体" w:cs="Times New Roman"/>
                <w:b/>
                <w:color w:val="auto"/>
                <w:kern w:val="2"/>
                <w:sz w:val="24"/>
                <w:szCs w:val="24"/>
                <w:highlight w:val="none"/>
                <w:lang w:val="en-US" w:eastAsia="zh-CN" w:bidi="ar-SA"/>
              </w:rPr>
              <w:t>.</w:t>
            </w:r>
            <w:r>
              <w:rPr>
                <w:rFonts w:hint="eastAsia" w:ascii="Times New Roman" w:hAnsi="Times New Roman" w:cs="Times New Roman"/>
                <w:b/>
                <w:color w:val="auto"/>
                <w:kern w:val="2"/>
                <w:sz w:val="24"/>
                <w:szCs w:val="24"/>
                <w:highlight w:val="none"/>
                <w:lang w:val="en-US" w:eastAsia="zh-CN" w:bidi="ar-SA"/>
              </w:rPr>
              <w:t>8</w:t>
            </w:r>
            <w:r>
              <w:rPr>
                <w:rFonts w:hint="default" w:ascii="Times New Roman" w:hAnsi="Times New Roman" w:eastAsia="宋体" w:cs="Times New Roman"/>
                <w:b/>
                <w:color w:val="auto"/>
                <w:kern w:val="2"/>
                <w:sz w:val="24"/>
                <w:szCs w:val="24"/>
                <w:highlight w:val="none"/>
                <w:lang w:val="en-US" w:eastAsia="zh-CN" w:bidi="ar-SA"/>
              </w:rPr>
              <w:t>公用工程</w:t>
            </w:r>
          </w:p>
          <w:p w14:paraId="417A9BB6">
            <w:pPr>
              <w:pStyle w:val="24"/>
              <w:keepNext w:val="0"/>
              <w:keepLines w:val="0"/>
              <w:pageBreakBefore w:val="0"/>
              <w:widowControl w:val="0"/>
              <w:kinsoku/>
              <w:wordWrap/>
              <w:overflowPunct w:val="0"/>
              <w:topLinePunct/>
              <w:autoSpaceDE/>
              <w:autoSpaceDN/>
              <w:bidi w:val="0"/>
              <w:spacing w:line="460" w:lineRule="exact"/>
              <w:ind w:lef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（1）</w:t>
            </w:r>
            <w:r>
              <w:rPr>
                <w:rFonts w:hint="eastAsia" w:ascii="Times New Roman" w:hAnsi="Times New Roman" w:cs="Times New Roman"/>
                <w:color w:val="auto"/>
                <w:spacing w:val="-1"/>
                <w:sz w:val="24"/>
                <w:szCs w:val="24"/>
                <w:highlight w:val="none"/>
                <w:lang w:val="en-US" w:eastAsia="zh-CN"/>
              </w:rPr>
              <w:t>供排水</w:t>
            </w:r>
          </w:p>
          <w:p w14:paraId="580C79F5">
            <w:pPr>
              <w:pStyle w:val="24"/>
              <w:keepNext w:val="0"/>
              <w:keepLines w:val="0"/>
              <w:pageBreakBefore w:val="0"/>
              <w:widowControl w:val="0"/>
              <w:kinsoku/>
              <w:wordWrap/>
              <w:overflowPunct w:val="0"/>
              <w:topLinePunct/>
              <w:autoSpaceDE/>
              <w:autoSpaceDN/>
              <w:bidi w:val="0"/>
              <w:spacing w:line="460" w:lineRule="exact"/>
              <w:ind w:lef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eastAsia" w:ascii="Times New Roman" w:hAnsi="Times New Roman" w:cs="Times New Roman"/>
                <w:color w:val="auto"/>
                <w:spacing w:val="-1"/>
                <w:sz w:val="24"/>
                <w:szCs w:val="24"/>
                <w:highlight w:val="none"/>
                <w:lang w:val="en-US" w:eastAsia="zh-CN"/>
              </w:rPr>
              <w:t>本项目</w:t>
            </w:r>
            <w:r>
              <w:rPr>
                <w:rFonts w:hint="default" w:ascii="Times New Roman" w:hAnsi="Times New Roman" w:eastAsia="宋体" w:cs="Times New Roman"/>
                <w:color w:val="auto"/>
                <w:spacing w:val="-1"/>
                <w:sz w:val="24"/>
                <w:szCs w:val="24"/>
                <w:highlight w:val="none"/>
                <w:lang w:val="en-US" w:eastAsia="zh-CN"/>
              </w:rPr>
              <w:t>营运期不新增人员，故无新增生活用水；生产用水主要为</w:t>
            </w:r>
            <w:r>
              <w:rPr>
                <w:rFonts w:hint="default" w:ascii="Times New Roman" w:hAnsi="Times New Roman" w:cs="Times New Roman"/>
                <w:color w:val="auto"/>
                <w:spacing w:val="-1"/>
                <w:sz w:val="24"/>
                <w:szCs w:val="24"/>
                <w:highlight w:val="none"/>
                <w:lang w:val="en-US" w:eastAsia="zh-CN"/>
              </w:rPr>
              <w:t>精炼</w:t>
            </w:r>
            <w:r>
              <w:rPr>
                <w:rFonts w:hint="default" w:ascii="Times New Roman" w:hAnsi="Times New Roman" w:eastAsia="宋体" w:cs="Times New Roman"/>
                <w:color w:val="auto"/>
                <w:spacing w:val="-1"/>
                <w:sz w:val="24"/>
                <w:szCs w:val="24"/>
                <w:highlight w:val="none"/>
                <w:lang w:val="en-US" w:eastAsia="zh-CN"/>
              </w:rPr>
              <w:t>用水、蒸汽锅炉用水、车间清洗用水等</w:t>
            </w:r>
            <w:r>
              <w:rPr>
                <w:rFonts w:hint="eastAsia" w:ascii="Times New Roman" w:hAnsi="Times New Roman" w:cs="Times New Roman"/>
                <w:color w:val="auto"/>
                <w:spacing w:val="-1"/>
                <w:sz w:val="24"/>
                <w:szCs w:val="24"/>
                <w:highlight w:val="none"/>
                <w:lang w:val="en-US" w:eastAsia="zh-CN"/>
              </w:rPr>
              <w:t>，供水依托厂区现有供水管网</w:t>
            </w:r>
            <w:r>
              <w:rPr>
                <w:rFonts w:hint="default" w:ascii="Times New Roman" w:hAnsi="Times New Roman" w:eastAsia="宋体" w:cs="Times New Roman"/>
                <w:color w:val="auto"/>
                <w:spacing w:val="-1"/>
                <w:sz w:val="24"/>
                <w:szCs w:val="24"/>
                <w:highlight w:val="none"/>
                <w:lang w:val="en-US" w:eastAsia="zh-CN"/>
              </w:rPr>
              <w:t>。</w:t>
            </w:r>
          </w:p>
          <w:p w14:paraId="6C9EEF2F">
            <w:pPr>
              <w:keepNext w:val="0"/>
              <w:keepLines w:val="0"/>
              <w:pageBreakBefore w:val="0"/>
              <w:widowControl w:val="0"/>
              <w:numPr>
                <w:ilvl w:val="0"/>
                <w:numId w:val="0"/>
              </w:numPr>
              <w:suppressLineNumbers w:val="0"/>
              <w:kinsoku/>
              <w:wordWrap/>
              <w:overflowPunct w:val="0"/>
              <w:topLinePunct/>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1）精炼</w:t>
            </w:r>
            <w:r>
              <w:rPr>
                <w:rFonts w:hint="default" w:ascii="Times New Roman" w:hAnsi="Times New Roman" w:eastAsia="宋体" w:cs="Times New Roman"/>
                <w:color w:val="auto"/>
                <w:sz w:val="24"/>
                <w:highlight w:val="none"/>
                <w:lang w:eastAsia="zh-CN"/>
              </w:rPr>
              <w:t>用水</w:t>
            </w:r>
          </w:p>
          <w:p w14:paraId="2E909836">
            <w:pPr>
              <w:keepNext w:val="0"/>
              <w:keepLines w:val="0"/>
              <w:pageBreakBefore w:val="0"/>
              <w:widowControl/>
              <w:suppressLineNumbers w:val="0"/>
              <w:kinsoku/>
              <w:wordWrap/>
              <w:overflowPunct w:val="0"/>
              <w:topLinePunct/>
              <w:autoSpaceDE/>
              <w:autoSpaceDN/>
              <w:bidi w:val="0"/>
              <w:spacing w:line="460" w:lineRule="exact"/>
              <w:ind w:firstLine="476" w:firstLineChars="200"/>
              <w:jc w:val="both"/>
              <w:textAlignment w:val="auto"/>
              <w:rPr>
                <w:rFonts w:hint="default" w:ascii="Times New Roman" w:hAnsi="Times New Roman" w:cs="Times New Roman"/>
                <w:color w:val="auto"/>
                <w:spacing w:val="-1"/>
                <w:kern w:val="2"/>
                <w:sz w:val="24"/>
                <w:szCs w:val="24"/>
                <w:highlight w:val="none"/>
                <w:lang w:val="en-US" w:eastAsia="zh-CN" w:bidi="ar-SA"/>
              </w:rPr>
            </w:pPr>
            <w:r>
              <w:rPr>
                <w:rFonts w:hint="default" w:ascii="Times New Roman" w:hAnsi="Times New Roman" w:cs="Times New Roman"/>
                <w:color w:val="auto"/>
                <w:spacing w:val="-1"/>
                <w:kern w:val="2"/>
                <w:sz w:val="24"/>
                <w:szCs w:val="24"/>
                <w:highlight w:val="none"/>
                <w:lang w:val="en-US" w:eastAsia="zh-CN" w:bidi="ar-SA"/>
              </w:rPr>
              <w:t>①水洗工段用水</w:t>
            </w:r>
          </w:p>
          <w:p w14:paraId="30F4365A">
            <w:pPr>
              <w:keepNext w:val="0"/>
              <w:keepLines w:val="0"/>
              <w:pageBreakBefore w:val="0"/>
              <w:widowControl/>
              <w:suppressLineNumbers w:val="0"/>
              <w:kinsoku/>
              <w:wordWrap/>
              <w:overflowPunct w:val="0"/>
              <w:topLinePunct/>
              <w:autoSpaceDE/>
              <w:autoSpaceDN/>
              <w:bidi w:val="0"/>
              <w:spacing w:line="460" w:lineRule="exact"/>
              <w:ind w:firstLine="476" w:firstLineChars="200"/>
              <w:jc w:val="both"/>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eastAsia" w:cs="Times New Roman"/>
                <w:color w:val="auto"/>
                <w:spacing w:val="-1"/>
                <w:kern w:val="2"/>
                <w:sz w:val="24"/>
                <w:szCs w:val="24"/>
                <w:highlight w:val="none"/>
                <w:lang w:val="en-US" w:eastAsia="zh-CN" w:bidi="ar-SA"/>
              </w:rPr>
              <w:t>本项目</w:t>
            </w:r>
            <w:r>
              <w:rPr>
                <w:rFonts w:hint="default" w:ascii="Times New Roman" w:hAnsi="Times New Roman" w:cs="Times New Roman"/>
                <w:color w:val="auto"/>
                <w:spacing w:val="-1"/>
                <w:kern w:val="2"/>
                <w:sz w:val="24"/>
                <w:szCs w:val="24"/>
                <w:highlight w:val="none"/>
                <w:lang w:val="en-US" w:eastAsia="zh-CN" w:bidi="ar-SA"/>
              </w:rPr>
              <w:t>精炼车间工艺用水主要为水洗工段，水洗工段使用</w:t>
            </w:r>
            <w:r>
              <w:rPr>
                <w:rFonts w:hint="eastAsia" w:cs="Times New Roman"/>
                <w:color w:val="auto"/>
                <w:spacing w:val="-1"/>
                <w:kern w:val="2"/>
                <w:sz w:val="24"/>
                <w:szCs w:val="24"/>
                <w:highlight w:val="none"/>
                <w:lang w:val="en-US" w:eastAsia="zh-CN" w:bidi="ar-SA"/>
              </w:rPr>
              <w:t>纯水</w:t>
            </w:r>
            <w:r>
              <w:rPr>
                <w:rFonts w:hint="default" w:ascii="Times New Roman" w:hAnsi="Times New Roman" w:cs="Times New Roman"/>
                <w:color w:val="auto"/>
                <w:spacing w:val="-1"/>
                <w:kern w:val="2"/>
                <w:sz w:val="24"/>
                <w:szCs w:val="24"/>
                <w:highlight w:val="none"/>
                <w:lang w:val="en-US" w:eastAsia="zh-CN" w:bidi="ar-SA"/>
              </w:rPr>
              <w:t>，根据设计资料及经验数据，</w:t>
            </w:r>
            <w:r>
              <w:rPr>
                <w:rFonts w:hint="eastAsia" w:cs="Times New Roman"/>
                <w:color w:val="auto"/>
                <w:spacing w:val="-1"/>
                <w:kern w:val="2"/>
                <w:sz w:val="24"/>
                <w:szCs w:val="24"/>
                <w:highlight w:val="none"/>
                <w:lang w:val="en-US" w:eastAsia="zh-CN" w:bidi="ar-SA"/>
              </w:rPr>
              <w:t>本项目</w:t>
            </w:r>
            <w:r>
              <w:rPr>
                <w:rFonts w:hint="default" w:ascii="Times New Roman" w:hAnsi="Times New Roman" w:eastAsia="宋体" w:cs="Times New Roman"/>
                <w:color w:val="auto"/>
                <w:spacing w:val="-1"/>
                <w:kern w:val="2"/>
                <w:sz w:val="24"/>
                <w:szCs w:val="24"/>
                <w:highlight w:val="none"/>
                <w:lang w:val="en-US" w:eastAsia="zh-CN" w:bidi="ar-SA"/>
              </w:rPr>
              <w:t>水洗</w:t>
            </w:r>
            <w:r>
              <w:rPr>
                <w:rFonts w:hint="eastAsia" w:cs="Times New Roman"/>
                <w:color w:val="auto"/>
                <w:spacing w:val="-1"/>
                <w:kern w:val="2"/>
                <w:sz w:val="24"/>
                <w:szCs w:val="24"/>
                <w:highlight w:val="none"/>
                <w:lang w:val="en-US" w:eastAsia="zh-CN" w:bidi="ar-SA"/>
              </w:rPr>
              <w:t>工段升级改造可达到纯水用量减少的目的，从原0.2</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cs="Times New Roman"/>
                <w:color w:val="auto"/>
                <w:spacing w:val="-1"/>
                <w:kern w:val="2"/>
                <w:sz w:val="24"/>
                <w:szCs w:val="24"/>
                <w:highlight w:val="none"/>
                <w:lang w:val="en-US" w:eastAsia="zh-CN" w:bidi="ar-SA"/>
              </w:rPr>
              <w:t>t</w:t>
            </w:r>
            <w:r>
              <w:rPr>
                <w:rFonts w:hint="default" w:ascii="Times New Roman" w:hAnsi="Times New Roman" w:eastAsia="宋体" w:cs="Times New Roman"/>
                <w:color w:val="auto"/>
                <w:sz w:val="24"/>
                <w:szCs w:val="24"/>
                <w:highlight w:val="none"/>
                <w:lang w:val="en-US" w:eastAsia="zh-CN"/>
              </w:rPr>
              <w:t>-油</w:t>
            </w:r>
            <w:r>
              <w:rPr>
                <w:rFonts w:hint="eastAsia" w:ascii="Times New Roman" w:hAnsi="Times New Roman" w:eastAsia="宋体" w:cs="Times New Roman"/>
                <w:color w:val="auto"/>
                <w:sz w:val="24"/>
                <w:szCs w:val="24"/>
                <w:highlight w:val="none"/>
                <w:lang w:val="en-US" w:eastAsia="zh-CN"/>
              </w:rPr>
              <w:t>减少到</w:t>
            </w:r>
            <w:r>
              <w:rPr>
                <w:rFonts w:hint="default" w:ascii="Times New Roman" w:hAnsi="Times New Roman" w:cs="Times New Roman"/>
                <w:color w:val="auto"/>
                <w:spacing w:val="-1"/>
                <w:kern w:val="2"/>
                <w:sz w:val="24"/>
                <w:szCs w:val="24"/>
                <w:highlight w:val="none"/>
                <w:lang w:val="en-US" w:eastAsia="zh-CN" w:bidi="ar-SA"/>
              </w:rPr>
              <w:t>0.</w:t>
            </w:r>
            <w:r>
              <w:rPr>
                <w:rFonts w:hint="eastAsia" w:cs="Times New Roman"/>
                <w:color w:val="auto"/>
                <w:spacing w:val="-1"/>
                <w:kern w:val="2"/>
                <w:sz w:val="24"/>
                <w:szCs w:val="24"/>
                <w:highlight w:val="none"/>
                <w:lang w:val="en-US" w:eastAsia="zh-CN" w:bidi="ar-SA"/>
              </w:rPr>
              <w:t>12</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cs="Times New Roman"/>
                <w:color w:val="auto"/>
                <w:spacing w:val="-1"/>
                <w:kern w:val="2"/>
                <w:sz w:val="24"/>
                <w:szCs w:val="24"/>
                <w:highlight w:val="none"/>
                <w:lang w:val="en-US" w:eastAsia="zh-CN" w:bidi="ar-SA"/>
              </w:rPr>
              <w:t>t-</w:t>
            </w:r>
            <w:r>
              <w:rPr>
                <w:rFonts w:hint="default" w:ascii="Times New Roman" w:hAnsi="Times New Roman" w:eastAsia="宋体" w:cs="Times New Roman"/>
                <w:color w:val="auto"/>
                <w:sz w:val="24"/>
                <w:szCs w:val="24"/>
                <w:highlight w:val="none"/>
                <w:lang w:val="en-US" w:eastAsia="zh-CN"/>
              </w:rPr>
              <w:t>油</w:t>
            </w:r>
            <w:r>
              <w:rPr>
                <w:rFonts w:hint="default"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cs="Times New Roman"/>
                <w:color w:val="auto"/>
                <w:spacing w:val="-1"/>
                <w:kern w:val="2"/>
                <w:sz w:val="24"/>
                <w:szCs w:val="24"/>
                <w:highlight w:val="none"/>
                <w:lang w:val="en-US" w:eastAsia="zh-CN" w:bidi="ar-SA"/>
              </w:rPr>
              <w:t>每天水洗油量为600t/d，纯水用</w:t>
            </w:r>
            <w:r>
              <w:rPr>
                <w:rFonts w:hint="default" w:ascii="Times New Roman" w:hAnsi="Times New Roman" w:eastAsia="宋体" w:cs="Times New Roman"/>
                <w:color w:val="auto"/>
                <w:spacing w:val="-1"/>
                <w:kern w:val="2"/>
                <w:sz w:val="24"/>
                <w:szCs w:val="24"/>
                <w:highlight w:val="none"/>
                <w:lang w:val="en-US" w:eastAsia="zh-CN" w:bidi="ar-SA"/>
              </w:rPr>
              <w:t>水量为</w:t>
            </w:r>
            <w:r>
              <w:rPr>
                <w:rFonts w:hint="eastAsia" w:cs="Times New Roman"/>
                <w:color w:val="auto"/>
                <w:spacing w:val="-1"/>
                <w:kern w:val="2"/>
                <w:sz w:val="24"/>
                <w:szCs w:val="24"/>
                <w:highlight w:val="none"/>
                <w:lang w:val="en-US" w:eastAsia="zh-CN" w:bidi="ar-SA"/>
              </w:rPr>
              <w:t>72</w:t>
            </w:r>
            <w:r>
              <w:rPr>
                <w:rFonts w:hint="default" w:ascii="Times New Roman" w:hAnsi="Times New Roman" w:eastAsia="宋体" w:cs="Times New Roman"/>
                <w:color w:val="auto"/>
                <w:spacing w:val="-1"/>
                <w:kern w:val="2"/>
                <w:sz w:val="24"/>
                <w:szCs w:val="24"/>
                <w:highlight w:val="none"/>
                <w:lang w:val="en-US" w:eastAsia="zh-CN" w:bidi="ar-SA"/>
              </w:rPr>
              <w:t>m</w:t>
            </w:r>
            <w:r>
              <w:rPr>
                <w:rFonts w:hint="default" w:ascii="Times New Roman" w:hAnsi="Times New Roman" w:eastAsia="宋体"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/d</w:t>
            </w:r>
            <w:r>
              <w:rPr>
                <w:rFonts w:hint="default" w:ascii="Times New Roman" w:hAnsi="Times New Roman" w:cs="Times New Roman"/>
                <w:color w:val="auto"/>
                <w:spacing w:val="-1"/>
                <w:kern w:val="2"/>
                <w:sz w:val="24"/>
                <w:szCs w:val="24"/>
                <w:highlight w:val="none"/>
                <w:lang w:val="en-US" w:eastAsia="zh-CN" w:bidi="ar-SA"/>
              </w:rPr>
              <w:t>，</w:t>
            </w:r>
            <w:r>
              <w:rPr>
                <w:rFonts w:hint="eastAsia" w:cs="Times New Roman"/>
                <w:color w:val="auto"/>
                <w:spacing w:val="-1"/>
                <w:kern w:val="2"/>
                <w:sz w:val="24"/>
                <w:szCs w:val="24"/>
                <w:highlight w:val="none"/>
                <w:lang w:val="en-US" w:eastAsia="zh-CN" w:bidi="ar-SA"/>
              </w:rPr>
              <w:t>216</w:t>
            </w:r>
            <w:r>
              <w:rPr>
                <w:rFonts w:hint="default" w:ascii="Times New Roman" w:hAnsi="Times New Roman" w:cs="Times New Roman"/>
                <w:color w:val="auto"/>
                <w:spacing w:val="-1"/>
                <w:kern w:val="2"/>
                <w:sz w:val="24"/>
                <w:szCs w:val="24"/>
                <w:highlight w:val="none"/>
                <w:lang w:val="en-US" w:eastAsia="zh-CN" w:bidi="ar-SA"/>
              </w:rPr>
              <w:t>00m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/a，水洗过程中损耗水量约</w:t>
            </w:r>
            <w:r>
              <w:rPr>
                <w:rFonts w:hint="eastAsia" w:cs="Times New Roman"/>
                <w:color w:val="auto"/>
                <w:spacing w:val="-1"/>
                <w:kern w:val="2"/>
                <w:sz w:val="24"/>
                <w:szCs w:val="24"/>
                <w:highlight w:val="none"/>
                <w:lang w:val="en-US" w:eastAsia="zh-CN" w:bidi="ar-SA"/>
              </w:rPr>
              <w:t>4</w:t>
            </w:r>
            <w:r>
              <w:rPr>
                <w:rFonts w:hint="default" w:ascii="Times New Roman" w:hAnsi="Times New Roman" w:eastAsia="宋体" w:cs="Times New Roman"/>
                <w:color w:val="auto"/>
                <w:spacing w:val="-1"/>
                <w:kern w:val="2"/>
                <w:sz w:val="24"/>
                <w:szCs w:val="24"/>
                <w:highlight w:val="none"/>
                <w:lang w:val="en-US" w:eastAsia="zh-CN" w:bidi="ar-SA"/>
              </w:rPr>
              <w:t>m</w:t>
            </w:r>
            <w:r>
              <w:rPr>
                <w:rFonts w:hint="default" w:ascii="Times New Roman" w:hAnsi="Times New Roman" w:eastAsia="宋体"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/d。</w:t>
            </w:r>
            <w:r>
              <w:rPr>
                <w:rFonts w:hint="eastAsia" w:cs="Times New Roman"/>
                <w:color w:val="auto"/>
                <w:spacing w:val="-1"/>
                <w:kern w:val="2"/>
                <w:sz w:val="24"/>
                <w:szCs w:val="24"/>
                <w:highlight w:val="none"/>
                <w:lang w:val="en-US" w:eastAsia="zh-CN" w:bidi="ar-SA"/>
              </w:rPr>
              <w:t>水洗工段产生废水进入油水分离进行油水分离，经油水分离后的50%</w:t>
            </w:r>
            <w:r>
              <w:rPr>
                <w:rFonts w:hint="default" w:ascii="Times New Roman" w:hAnsi="Times New Roman" w:cs="Times New Roman"/>
                <w:color w:val="auto"/>
                <w:spacing w:val="-1"/>
                <w:kern w:val="2"/>
                <w:sz w:val="24"/>
                <w:szCs w:val="24"/>
                <w:highlight w:val="none"/>
                <w:lang w:val="en-US" w:eastAsia="zh-CN" w:bidi="ar-SA"/>
              </w:rPr>
              <w:t>（</w:t>
            </w:r>
            <w:r>
              <w:rPr>
                <w:rFonts w:hint="eastAsia" w:cs="Times New Roman"/>
                <w:color w:val="auto"/>
                <w:spacing w:val="-1"/>
                <w:kern w:val="2"/>
                <w:sz w:val="24"/>
                <w:szCs w:val="24"/>
                <w:highlight w:val="none"/>
                <w:lang w:val="en-US" w:eastAsia="zh-CN" w:bidi="ar-SA"/>
              </w:rPr>
              <w:t>34</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/d，</w:t>
            </w:r>
            <w:r>
              <w:rPr>
                <w:rFonts w:hint="eastAsia" w:cs="Times New Roman"/>
                <w:color w:val="auto"/>
                <w:spacing w:val="-1"/>
                <w:kern w:val="2"/>
                <w:sz w:val="24"/>
                <w:szCs w:val="24"/>
                <w:highlight w:val="none"/>
                <w:lang w:val="en-US" w:eastAsia="zh-CN" w:bidi="ar-SA"/>
              </w:rPr>
              <w:t>102</w:t>
            </w:r>
            <w:r>
              <w:rPr>
                <w:rFonts w:hint="default" w:ascii="Times New Roman" w:hAnsi="Times New Roman" w:cs="Times New Roman"/>
                <w:color w:val="auto"/>
                <w:spacing w:val="-1"/>
                <w:kern w:val="2"/>
                <w:sz w:val="24"/>
                <w:szCs w:val="24"/>
                <w:highlight w:val="none"/>
                <w:lang w:val="en-US" w:eastAsia="zh-CN" w:bidi="ar-SA"/>
              </w:rPr>
              <w:t>00m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/a）</w:t>
            </w:r>
            <w:r>
              <w:rPr>
                <w:rFonts w:hint="eastAsia" w:cs="Times New Roman"/>
                <w:color w:val="auto"/>
                <w:spacing w:val="-1"/>
                <w:kern w:val="2"/>
                <w:sz w:val="24"/>
                <w:szCs w:val="24"/>
                <w:highlight w:val="none"/>
                <w:lang w:val="en-US" w:eastAsia="zh-CN" w:bidi="ar-SA"/>
              </w:rPr>
              <w:t>回用于水洗，剩余的50%</w:t>
            </w:r>
            <w:r>
              <w:rPr>
                <w:rFonts w:hint="default" w:ascii="Times New Roman" w:hAnsi="Times New Roman" w:cs="Times New Roman"/>
                <w:color w:val="auto"/>
                <w:spacing w:val="-1"/>
                <w:kern w:val="2"/>
                <w:sz w:val="24"/>
                <w:szCs w:val="24"/>
                <w:highlight w:val="none"/>
                <w:lang w:val="en-US" w:eastAsia="zh-CN" w:bidi="ar-SA"/>
              </w:rPr>
              <w:t>（</w:t>
            </w:r>
            <w:r>
              <w:rPr>
                <w:rFonts w:hint="eastAsia" w:cs="Times New Roman"/>
                <w:color w:val="auto"/>
                <w:spacing w:val="-1"/>
                <w:kern w:val="2"/>
                <w:sz w:val="24"/>
                <w:szCs w:val="24"/>
                <w:highlight w:val="none"/>
                <w:lang w:val="en-US" w:eastAsia="zh-CN" w:bidi="ar-SA"/>
              </w:rPr>
              <w:t>34</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/d，</w:t>
            </w:r>
            <w:r>
              <w:rPr>
                <w:rFonts w:hint="eastAsia" w:cs="Times New Roman"/>
                <w:color w:val="auto"/>
                <w:spacing w:val="-1"/>
                <w:kern w:val="2"/>
                <w:sz w:val="24"/>
                <w:szCs w:val="24"/>
                <w:highlight w:val="none"/>
                <w:lang w:val="en-US" w:eastAsia="zh-CN" w:bidi="ar-SA"/>
              </w:rPr>
              <w:t>102</w:t>
            </w:r>
            <w:r>
              <w:rPr>
                <w:rFonts w:hint="default" w:ascii="Times New Roman" w:hAnsi="Times New Roman" w:cs="Times New Roman"/>
                <w:color w:val="auto"/>
                <w:spacing w:val="-1"/>
                <w:kern w:val="2"/>
                <w:sz w:val="24"/>
                <w:szCs w:val="24"/>
                <w:highlight w:val="none"/>
                <w:lang w:val="en-US" w:eastAsia="zh-CN" w:bidi="ar-SA"/>
              </w:rPr>
              <w:t>00m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/a）</w:t>
            </w:r>
            <w:r>
              <w:rPr>
                <w:rFonts w:hint="eastAsia" w:cs="Times New Roman"/>
                <w:color w:val="auto"/>
                <w:spacing w:val="-1"/>
                <w:kern w:val="2"/>
                <w:sz w:val="24"/>
                <w:szCs w:val="24"/>
                <w:highlight w:val="none"/>
                <w:lang w:val="en-US" w:eastAsia="zh-CN" w:bidi="ar-SA"/>
              </w:rPr>
              <w:t>进入污水处理站。</w:t>
            </w:r>
          </w:p>
          <w:p w14:paraId="3756E092">
            <w:pPr>
              <w:keepNext w:val="0"/>
              <w:keepLines w:val="0"/>
              <w:pageBreakBefore w:val="0"/>
              <w:widowControl/>
              <w:suppressLineNumbers w:val="0"/>
              <w:kinsoku/>
              <w:wordWrap/>
              <w:overflowPunct w:val="0"/>
              <w:topLinePunct/>
              <w:autoSpaceDE/>
              <w:autoSpaceDN/>
              <w:bidi w:val="0"/>
              <w:spacing w:line="360" w:lineRule="auto"/>
              <w:ind w:firstLine="476" w:firstLineChars="200"/>
              <w:jc w:val="both"/>
              <w:textAlignment w:val="auto"/>
              <w:rPr>
                <w:rFonts w:hint="default" w:ascii="Times New Roman" w:hAnsi="Times New Roman" w:cs="Times New Roman"/>
                <w:color w:val="auto"/>
                <w:spacing w:val="-1"/>
                <w:kern w:val="2"/>
                <w:sz w:val="24"/>
                <w:szCs w:val="24"/>
                <w:highlight w:val="none"/>
                <w:lang w:val="en-US" w:eastAsia="zh-CN" w:bidi="ar-SA"/>
              </w:rPr>
            </w:pPr>
            <w:r>
              <w:rPr>
                <w:rFonts w:hint="default" w:ascii="Times New Roman" w:hAnsi="Times New Roman" w:cs="Times New Roman"/>
                <w:color w:val="auto"/>
                <w:spacing w:val="-1"/>
                <w:kern w:val="2"/>
                <w:sz w:val="24"/>
                <w:szCs w:val="24"/>
                <w:highlight w:val="none"/>
                <w:lang w:val="en-US" w:eastAsia="zh-CN" w:bidi="ar-SA"/>
              </w:rPr>
              <w:t>②碱液配置用水</w:t>
            </w:r>
          </w:p>
          <w:p w14:paraId="132C15C2">
            <w:pPr>
              <w:keepNext w:val="0"/>
              <w:keepLines w:val="0"/>
              <w:pageBreakBefore w:val="0"/>
              <w:widowControl/>
              <w:suppressLineNumbers w:val="0"/>
              <w:kinsoku/>
              <w:wordWrap/>
              <w:overflowPunct w:val="0"/>
              <w:topLinePunct/>
              <w:autoSpaceDE/>
              <w:autoSpaceDN/>
              <w:bidi w:val="0"/>
              <w:spacing w:line="360" w:lineRule="auto"/>
              <w:ind w:firstLine="476" w:firstLineChars="200"/>
              <w:jc w:val="both"/>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eastAsia" w:cs="Times New Roman"/>
                <w:color w:val="auto"/>
                <w:spacing w:val="-1"/>
                <w:kern w:val="2"/>
                <w:sz w:val="24"/>
                <w:szCs w:val="24"/>
                <w:highlight w:val="none"/>
                <w:lang w:val="en-US" w:eastAsia="zh-CN" w:bidi="ar-SA"/>
              </w:rPr>
              <w:t>本项目</w:t>
            </w:r>
            <w:r>
              <w:rPr>
                <w:rFonts w:hint="default" w:ascii="Times New Roman" w:hAnsi="Times New Roman" w:cs="Times New Roman"/>
                <w:color w:val="auto"/>
                <w:spacing w:val="-1"/>
                <w:kern w:val="2"/>
                <w:sz w:val="24"/>
                <w:szCs w:val="24"/>
                <w:highlight w:val="none"/>
                <w:lang w:val="en-US" w:eastAsia="zh-CN" w:bidi="ar-SA"/>
              </w:rPr>
              <w:t>氢氧化钠需与水进行配置到一定浓度后使用，其配置比例为氢氧化钠：水=3：7，项目氢氧化钠用量为0.36t/d，则溶液配置用水量为0.84m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/d，252m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/a。</w:t>
            </w:r>
          </w:p>
          <w:p w14:paraId="17DF3EFD">
            <w:pPr>
              <w:keepNext w:val="0"/>
              <w:keepLines w:val="0"/>
              <w:pageBreakBefore w:val="0"/>
              <w:widowControl/>
              <w:suppressLineNumbers w:val="0"/>
              <w:kinsoku/>
              <w:wordWrap/>
              <w:overflowPunct w:val="0"/>
              <w:topLinePunct/>
              <w:autoSpaceDE/>
              <w:autoSpaceDN/>
              <w:bidi w:val="0"/>
              <w:adjustRightInd/>
              <w:spacing w:line="360" w:lineRule="auto"/>
              <w:ind w:firstLine="476" w:firstLineChars="200"/>
              <w:jc w:val="both"/>
              <w:textAlignment w:val="auto"/>
              <w:rPr>
                <w:rFonts w:hint="eastAsia" w:ascii="Times New Roman" w:hAnsi="Times New Roman" w:cs="Times New Roman"/>
                <w:color w:val="auto"/>
                <w:spacing w:val="-1"/>
                <w:kern w:val="2"/>
                <w:sz w:val="24"/>
                <w:szCs w:val="24"/>
                <w:highlight w:val="none"/>
                <w:lang w:val="en-US" w:eastAsia="zh-CN" w:bidi="ar-SA"/>
              </w:rPr>
            </w:pPr>
            <w:r>
              <w:rPr>
                <w:rFonts w:hint="default" w:ascii="Times New Roman" w:hAnsi="Times New Roman" w:cs="Times New Roman"/>
                <w:color w:val="auto"/>
                <w:spacing w:val="-1"/>
                <w:kern w:val="2"/>
                <w:sz w:val="24"/>
                <w:szCs w:val="24"/>
                <w:highlight w:val="none"/>
                <w:lang w:val="en-US" w:eastAsia="zh-CN" w:bidi="ar-SA"/>
              </w:rPr>
              <w:t>③</w:t>
            </w:r>
            <w:r>
              <w:rPr>
                <w:rFonts w:hint="eastAsia" w:ascii="Times New Roman" w:hAnsi="Times New Roman" w:cs="Times New Roman"/>
                <w:color w:val="auto"/>
                <w:spacing w:val="-1"/>
                <w:kern w:val="2"/>
                <w:sz w:val="24"/>
                <w:szCs w:val="24"/>
                <w:highlight w:val="none"/>
                <w:lang w:val="en-US" w:eastAsia="zh-CN" w:bidi="ar-SA"/>
              </w:rPr>
              <w:t>设备用水</w:t>
            </w:r>
          </w:p>
          <w:p w14:paraId="49269188">
            <w:pPr>
              <w:keepNext w:val="0"/>
              <w:keepLines w:val="0"/>
              <w:pageBreakBefore w:val="0"/>
              <w:widowControl/>
              <w:suppressLineNumbers w:val="0"/>
              <w:kinsoku/>
              <w:wordWrap/>
              <w:overflowPunct w:val="0"/>
              <w:topLinePunct/>
              <w:autoSpaceDE/>
              <w:autoSpaceDN/>
              <w:bidi w:val="0"/>
              <w:adjustRightInd/>
              <w:spacing w:line="360" w:lineRule="auto"/>
              <w:ind w:firstLine="476" w:firstLineChars="200"/>
              <w:jc w:val="both"/>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eastAsia" w:ascii="Times New Roman" w:hAnsi="Times New Roman" w:cs="Times New Roman"/>
                <w:color w:val="auto"/>
                <w:spacing w:val="-1"/>
                <w:kern w:val="2"/>
                <w:sz w:val="24"/>
                <w:szCs w:val="24"/>
                <w:highlight w:val="none"/>
                <w:lang w:val="en-US" w:eastAsia="zh-CN" w:bidi="ar-SA"/>
              </w:rPr>
              <w:t>本项目</w:t>
            </w:r>
            <w:r>
              <w:rPr>
                <w:rFonts w:hint="eastAsia" w:cs="Times New Roman"/>
                <w:color w:val="auto"/>
                <w:spacing w:val="-1"/>
                <w:kern w:val="2"/>
                <w:sz w:val="24"/>
                <w:szCs w:val="24"/>
                <w:highlight w:val="none"/>
                <w:lang w:val="en-US" w:eastAsia="zh-CN" w:bidi="ar-SA"/>
              </w:rPr>
              <w:t>改建</w:t>
            </w:r>
            <w:r>
              <w:rPr>
                <w:rFonts w:hint="eastAsia" w:ascii="Times New Roman" w:hAnsi="Times New Roman" w:cs="Times New Roman"/>
                <w:color w:val="auto"/>
                <w:spacing w:val="-1"/>
                <w:kern w:val="2"/>
                <w:sz w:val="24"/>
                <w:szCs w:val="24"/>
                <w:highlight w:val="none"/>
                <w:lang w:val="en-US" w:eastAsia="zh-CN" w:bidi="ar-SA"/>
              </w:rPr>
              <w:t>后，脱色真空系统由二级水环真空泵升级为罗茨真空机组+一级水环真空泵，</w:t>
            </w:r>
            <w:r>
              <w:rPr>
                <w:rFonts w:hint="eastAsia" w:cs="Times New Roman"/>
                <w:color w:val="auto"/>
                <w:spacing w:val="-1"/>
                <w:kern w:val="2"/>
                <w:sz w:val="24"/>
                <w:szCs w:val="24"/>
                <w:highlight w:val="none"/>
                <w:lang w:val="en-US" w:eastAsia="zh-CN" w:bidi="ar-SA"/>
              </w:rPr>
              <w:t>耗水量从原</w:t>
            </w:r>
            <w:r>
              <w:rPr>
                <w:rFonts w:hint="eastAsia" w:ascii="Times New Roman" w:hAnsi="Times New Roman" w:cs="Times New Roman"/>
                <w:color w:val="auto"/>
                <w:spacing w:val="-1"/>
                <w:kern w:val="2"/>
                <w:sz w:val="24"/>
                <w:szCs w:val="24"/>
                <w:highlight w:val="none"/>
                <w:lang w:val="en-US" w:eastAsia="zh-CN" w:bidi="ar-SA"/>
              </w:rPr>
              <w:t>2m</w:t>
            </w:r>
            <w:r>
              <w:rPr>
                <w:rFonts w:hint="eastAsia" w:ascii="Times New Roman" w:hAnsi="Times New Roman" w:cs="Times New Roman"/>
                <w:color w:val="auto"/>
                <w:spacing w:val="-1"/>
                <w:kern w:val="2"/>
                <w:sz w:val="24"/>
                <w:szCs w:val="24"/>
                <w:highlight w:val="none"/>
                <w:vertAlign w:val="superscript"/>
                <w:lang w:val="en-US" w:eastAsia="zh-CN" w:bidi="ar-SA"/>
              </w:rPr>
              <w:t>3</w:t>
            </w:r>
            <w:r>
              <w:rPr>
                <w:rFonts w:hint="eastAsia" w:ascii="Times New Roman" w:hAnsi="Times New Roman" w:cs="Times New Roman"/>
                <w:color w:val="auto"/>
                <w:spacing w:val="-1"/>
                <w:kern w:val="2"/>
                <w:sz w:val="24"/>
                <w:szCs w:val="24"/>
                <w:highlight w:val="none"/>
                <w:lang w:val="en-US" w:eastAsia="zh-CN" w:bidi="ar-SA"/>
              </w:rPr>
              <w:t>/h降低到1m</w:t>
            </w:r>
            <w:r>
              <w:rPr>
                <w:rFonts w:hint="eastAsia" w:ascii="Times New Roman" w:hAnsi="Times New Roman" w:cs="Times New Roman"/>
                <w:color w:val="auto"/>
                <w:spacing w:val="-1"/>
                <w:kern w:val="2"/>
                <w:sz w:val="24"/>
                <w:szCs w:val="24"/>
                <w:highlight w:val="none"/>
                <w:vertAlign w:val="superscript"/>
                <w:lang w:val="en-US" w:eastAsia="zh-CN" w:bidi="ar-SA"/>
              </w:rPr>
              <w:t>3</w:t>
            </w:r>
            <w:r>
              <w:rPr>
                <w:rFonts w:hint="eastAsia" w:ascii="Times New Roman" w:hAnsi="Times New Roman" w:cs="Times New Roman"/>
                <w:color w:val="auto"/>
                <w:spacing w:val="-1"/>
                <w:kern w:val="2"/>
                <w:sz w:val="24"/>
                <w:szCs w:val="24"/>
                <w:highlight w:val="none"/>
                <w:lang w:val="en-US" w:eastAsia="zh-CN" w:bidi="ar-SA"/>
              </w:rPr>
              <w:t>/h，日常补水量为1.2m</w:t>
            </w:r>
            <w:r>
              <w:rPr>
                <w:rFonts w:hint="eastAsia" w:ascii="Times New Roman" w:hAnsi="Times New Roman" w:cs="Times New Roman"/>
                <w:color w:val="auto"/>
                <w:spacing w:val="-1"/>
                <w:kern w:val="2"/>
                <w:sz w:val="24"/>
                <w:szCs w:val="24"/>
                <w:highlight w:val="none"/>
                <w:vertAlign w:val="superscript"/>
                <w:lang w:val="en-US" w:eastAsia="zh-CN" w:bidi="ar-SA"/>
              </w:rPr>
              <w:t>3</w:t>
            </w:r>
            <w:r>
              <w:rPr>
                <w:rFonts w:hint="eastAsia" w:ascii="Times New Roman" w:hAnsi="Times New Roman" w:cs="Times New Roman"/>
                <w:color w:val="auto"/>
                <w:spacing w:val="-1"/>
                <w:kern w:val="2"/>
                <w:sz w:val="24"/>
                <w:szCs w:val="24"/>
                <w:highlight w:val="none"/>
                <w:lang w:val="en-US" w:eastAsia="zh-CN" w:bidi="ar-SA"/>
              </w:rPr>
              <w:t>/d，360m</w:t>
            </w:r>
            <w:r>
              <w:rPr>
                <w:rFonts w:hint="eastAsia" w:ascii="Times New Roman" w:hAnsi="Times New Roman" w:cs="Times New Roman"/>
                <w:color w:val="auto"/>
                <w:spacing w:val="-1"/>
                <w:kern w:val="2"/>
                <w:sz w:val="24"/>
                <w:szCs w:val="24"/>
                <w:highlight w:val="none"/>
                <w:vertAlign w:val="superscript"/>
                <w:lang w:val="en-US" w:eastAsia="zh-CN" w:bidi="ar-SA"/>
              </w:rPr>
              <w:t>3</w:t>
            </w:r>
            <w:r>
              <w:rPr>
                <w:rFonts w:hint="eastAsia" w:ascii="Times New Roman" w:hAnsi="Times New Roman" w:cs="Times New Roman"/>
                <w:color w:val="auto"/>
                <w:spacing w:val="-1"/>
                <w:kern w:val="2"/>
                <w:sz w:val="24"/>
                <w:szCs w:val="24"/>
                <w:highlight w:val="none"/>
                <w:lang w:val="en-US" w:eastAsia="zh-CN" w:bidi="ar-SA"/>
              </w:rPr>
              <w:t>/a；每5天更换1次，更换水量为0.25m</w:t>
            </w:r>
            <w:r>
              <w:rPr>
                <w:rFonts w:hint="eastAsia" w:ascii="Times New Roman" w:hAnsi="Times New Roman" w:cs="Times New Roman"/>
                <w:color w:val="auto"/>
                <w:spacing w:val="-1"/>
                <w:kern w:val="2"/>
                <w:sz w:val="24"/>
                <w:szCs w:val="24"/>
                <w:highlight w:val="none"/>
                <w:vertAlign w:val="superscript"/>
                <w:lang w:val="en-US" w:eastAsia="zh-CN" w:bidi="ar-SA"/>
              </w:rPr>
              <w:t>3</w:t>
            </w:r>
            <w:r>
              <w:rPr>
                <w:rFonts w:hint="eastAsia" w:ascii="Times New Roman" w:hAnsi="Times New Roman" w:cs="Times New Roman"/>
                <w:color w:val="auto"/>
                <w:spacing w:val="-1"/>
                <w:kern w:val="2"/>
                <w:sz w:val="24"/>
                <w:szCs w:val="24"/>
                <w:highlight w:val="none"/>
                <w:lang w:val="en-US" w:eastAsia="zh-CN" w:bidi="ar-SA"/>
              </w:rPr>
              <w:t>/次，更换量为15m</w:t>
            </w:r>
            <w:r>
              <w:rPr>
                <w:rFonts w:hint="eastAsia" w:ascii="Times New Roman" w:hAnsi="Times New Roman" w:cs="Times New Roman"/>
                <w:color w:val="auto"/>
                <w:spacing w:val="-1"/>
                <w:kern w:val="2"/>
                <w:sz w:val="24"/>
                <w:szCs w:val="24"/>
                <w:highlight w:val="none"/>
                <w:vertAlign w:val="superscript"/>
                <w:lang w:val="en-US" w:eastAsia="zh-CN" w:bidi="ar-SA"/>
              </w:rPr>
              <w:t>3</w:t>
            </w:r>
            <w:r>
              <w:rPr>
                <w:rFonts w:hint="eastAsia" w:ascii="Times New Roman" w:hAnsi="Times New Roman" w:cs="Times New Roman"/>
                <w:color w:val="auto"/>
                <w:spacing w:val="-1"/>
                <w:kern w:val="2"/>
                <w:sz w:val="24"/>
                <w:szCs w:val="24"/>
                <w:highlight w:val="none"/>
                <w:lang w:val="en-US" w:eastAsia="zh-CN" w:bidi="ar-SA"/>
              </w:rPr>
              <w:t>/a。</w:t>
            </w:r>
            <w:r>
              <w:rPr>
                <w:rFonts w:hint="default" w:ascii="Times New Roman" w:hAnsi="Times New Roman" w:eastAsia="宋体" w:cs="Times New Roman"/>
                <w:color w:val="auto"/>
                <w:spacing w:val="-1"/>
                <w:kern w:val="2"/>
                <w:sz w:val="24"/>
                <w:szCs w:val="24"/>
                <w:highlight w:val="none"/>
                <w:lang w:val="en-US" w:eastAsia="zh-CN" w:bidi="ar-SA"/>
              </w:rPr>
              <w:t>废水产生系数按0.</w:t>
            </w:r>
            <w:r>
              <w:rPr>
                <w:rFonts w:hint="default" w:ascii="Times New Roman" w:hAnsi="Times New Roman" w:cs="Times New Roman"/>
                <w:color w:val="auto"/>
                <w:spacing w:val="-1"/>
                <w:kern w:val="2"/>
                <w:sz w:val="24"/>
                <w:szCs w:val="24"/>
                <w:highlight w:val="none"/>
                <w:lang w:val="en-US" w:eastAsia="zh-CN" w:bidi="ar-SA"/>
              </w:rPr>
              <w:t>9</w:t>
            </w:r>
            <w:r>
              <w:rPr>
                <w:rFonts w:hint="default" w:ascii="Times New Roman" w:hAnsi="Times New Roman" w:eastAsia="宋体" w:cs="Times New Roman"/>
                <w:color w:val="auto"/>
                <w:spacing w:val="-1"/>
                <w:kern w:val="2"/>
                <w:sz w:val="24"/>
                <w:szCs w:val="24"/>
                <w:highlight w:val="none"/>
                <w:lang w:val="en-US" w:eastAsia="zh-CN" w:bidi="ar-SA"/>
              </w:rPr>
              <w:t>，则</w:t>
            </w:r>
            <w:r>
              <w:rPr>
                <w:rFonts w:hint="eastAsia" w:cs="Times New Roman"/>
                <w:color w:val="auto"/>
                <w:spacing w:val="-1"/>
                <w:kern w:val="2"/>
                <w:sz w:val="24"/>
                <w:szCs w:val="24"/>
                <w:highlight w:val="none"/>
                <w:lang w:val="en-US" w:eastAsia="zh-CN" w:bidi="ar-SA"/>
              </w:rPr>
              <w:t>设备</w:t>
            </w:r>
            <w:r>
              <w:rPr>
                <w:rFonts w:hint="default" w:ascii="Times New Roman" w:hAnsi="Times New Roman" w:eastAsia="宋体" w:cs="Times New Roman"/>
                <w:color w:val="auto"/>
                <w:spacing w:val="-1"/>
                <w:kern w:val="2"/>
                <w:sz w:val="24"/>
                <w:szCs w:val="24"/>
                <w:highlight w:val="none"/>
                <w:lang w:val="en-US" w:eastAsia="zh-CN" w:bidi="ar-SA"/>
              </w:rPr>
              <w:t>废水产生量为</w:t>
            </w:r>
            <w:r>
              <w:rPr>
                <w:rFonts w:hint="eastAsia" w:cs="Times New Roman"/>
                <w:color w:val="auto"/>
                <w:spacing w:val="-1"/>
                <w:kern w:val="2"/>
                <w:sz w:val="24"/>
                <w:szCs w:val="24"/>
                <w:highlight w:val="none"/>
                <w:lang w:val="en-US" w:eastAsia="zh-CN" w:bidi="ar-SA"/>
              </w:rPr>
              <w:t>0.22</w:t>
            </w:r>
            <w:r>
              <w:rPr>
                <w:rFonts w:hint="default" w:ascii="Times New Roman" w:hAnsi="Times New Roman" w:eastAsia="宋体" w:cs="Times New Roman"/>
                <w:color w:val="auto"/>
                <w:spacing w:val="-1"/>
                <w:kern w:val="2"/>
                <w:sz w:val="24"/>
                <w:szCs w:val="24"/>
                <w:highlight w:val="none"/>
                <w:lang w:val="en-US" w:eastAsia="zh-CN" w:bidi="ar-SA"/>
              </w:rPr>
              <w:t>m</w:t>
            </w:r>
            <w:r>
              <w:rPr>
                <w:rFonts w:hint="default" w:ascii="Times New Roman" w:hAnsi="Times New Roman" w:eastAsia="宋体"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w:t>
            </w:r>
            <w:r>
              <w:rPr>
                <w:rFonts w:hint="eastAsia" w:ascii="Times New Roman" w:hAnsi="Times New Roman" w:eastAsia="宋体" w:cs="Times New Roman"/>
                <w:color w:val="auto"/>
                <w:spacing w:val="-1"/>
                <w:kern w:val="2"/>
                <w:sz w:val="24"/>
                <w:szCs w:val="24"/>
                <w:highlight w:val="none"/>
                <w:lang w:val="en-US" w:eastAsia="zh-CN" w:bidi="ar-SA"/>
              </w:rPr>
              <w:t>次</w:t>
            </w:r>
            <w:r>
              <w:rPr>
                <w:rFonts w:hint="default" w:ascii="Times New Roman" w:hAnsi="Times New Roman" w:cs="Times New Roman"/>
                <w:color w:val="auto"/>
                <w:spacing w:val="-1"/>
                <w:kern w:val="2"/>
                <w:sz w:val="24"/>
                <w:szCs w:val="24"/>
                <w:highlight w:val="none"/>
                <w:lang w:val="en-US" w:eastAsia="zh-CN" w:bidi="ar-SA"/>
              </w:rPr>
              <w:t>，</w:t>
            </w:r>
            <w:r>
              <w:rPr>
                <w:rFonts w:hint="eastAsia" w:cs="Times New Roman"/>
                <w:color w:val="auto"/>
                <w:spacing w:val="-1"/>
                <w:kern w:val="2"/>
                <w:sz w:val="24"/>
                <w:szCs w:val="24"/>
                <w:highlight w:val="none"/>
                <w:lang w:val="en-US" w:eastAsia="zh-CN" w:bidi="ar-SA"/>
              </w:rPr>
              <w:t>13.5</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/a</w:t>
            </w:r>
            <w:r>
              <w:rPr>
                <w:rFonts w:hint="default" w:ascii="Times New Roman" w:hAnsi="Times New Roman" w:eastAsia="宋体" w:cs="Times New Roman"/>
                <w:color w:val="auto"/>
                <w:spacing w:val="-1"/>
                <w:kern w:val="2"/>
                <w:sz w:val="24"/>
                <w:szCs w:val="24"/>
                <w:highlight w:val="none"/>
                <w:lang w:val="en-US" w:eastAsia="zh-CN" w:bidi="ar-SA"/>
              </w:rPr>
              <w:t>。</w:t>
            </w:r>
          </w:p>
          <w:p w14:paraId="5692CD5A">
            <w:pPr>
              <w:keepNext w:val="0"/>
              <w:keepLines w:val="0"/>
              <w:pageBreakBefore w:val="0"/>
              <w:widowControl/>
              <w:suppressLineNumbers w:val="0"/>
              <w:kinsoku/>
              <w:wordWrap/>
              <w:overflowPunct w:val="0"/>
              <w:topLinePunct/>
              <w:autoSpaceDE/>
              <w:autoSpaceDN/>
              <w:bidi w:val="0"/>
              <w:adjustRightInd/>
              <w:spacing w:line="360" w:lineRule="auto"/>
              <w:ind w:firstLine="476" w:firstLineChars="200"/>
              <w:jc w:val="both"/>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cs="Times New Roman"/>
                <w:color w:val="auto"/>
                <w:spacing w:val="-1"/>
                <w:kern w:val="2"/>
                <w:sz w:val="24"/>
                <w:szCs w:val="24"/>
                <w:highlight w:val="none"/>
                <w:lang w:val="en-US" w:eastAsia="zh-CN" w:bidi="ar-SA"/>
              </w:rPr>
              <w:t>2）车间地面清洗用水</w:t>
            </w:r>
          </w:p>
          <w:p w14:paraId="12D95A2A">
            <w:pPr>
              <w:keepNext w:val="0"/>
              <w:keepLines w:val="0"/>
              <w:pageBreakBefore w:val="0"/>
              <w:widowControl/>
              <w:suppressLineNumbers w:val="0"/>
              <w:kinsoku/>
              <w:wordWrap/>
              <w:overflowPunct w:val="0"/>
              <w:topLinePunct/>
              <w:autoSpaceDE/>
              <w:autoSpaceDN/>
              <w:bidi w:val="0"/>
              <w:adjustRightInd/>
              <w:spacing w:line="360" w:lineRule="auto"/>
              <w:ind w:firstLine="476" w:firstLineChars="200"/>
              <w:jc w:val="both"/>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eastAsia="宋体" w:cs="Times New Roman"/>
                <w:color w:val="auto"/>
                <w:spacing w:val="-1"/>
                <w:kern w:val="2"/>
                <w:sz w:val="24"/>
                <w:szCs w:val="24"/>
                <w:highlight w:val="none"/>
                <w:lang w:val="en-US" w:eastAsia="zh-CN" w:bidi="ar-SA"/>
              </w:rPr>
              <w:t>根据建设单位提供的资料，项目精炼车间需定期清洁，车间地面总面积为5259m</w:t>
            </w:r>
            <w:r>
              <w:rPr>
                <w:rFonts w:hint="default" w:ascii="Times New Roman" w:hAnsi="Times New Roman" w:eastAsia="宋体" w:cs="Times New Roman"/>
                <w:color w:val="auto"/>
                <w:spacing w:val="-1"/>
                <w:kern w:val="2"/>
                <w:sz w:val="24"/>
                <w:szCs w:val="24"/>
                <w:highlight w:val="none"/>
                <w:vertAlign w:val="superscript"/>
                <w:lang w:val="en-US" w:eastAsia="zh-CN" w:bidi="ar-SA"/>
              </w:rPr>
              <w:t>2</w:t>
            </w:r>
            <w:r>
              <w:rPr>
                <w:rFonts w:hint="default" w:ascii="Times New Roman" w:hAnsi="Times New Roman" w:eastAsia="宋体" w:cs="Times New Roman"/>
                <w:color w:val="auto"/>
                <w:spacing w:val="-1"/>
                <w:kern w:val="2"/>
                <w:sz w:val="24"/>
                <w:szCs w:val="24"/>
                <w:highlight w:val="none"/>
                <w:lang w:val="en-US" w:eastAsia="zh-CN" w:bidi="ar-SA"/>
              </w:rPr>
              <w:t>，地面清洗频次为每3天一次，采用拖把拖洗的方式，用水量按</w:t>
            </w:r>
            <w:r>
              <w:rPr>
                <w:rFonts w:hint="eastAsia" w:cs="Times New Roman"/>
                <w:color w:val="auto"/>
                <w:spacing w:val="-1"/>
                <w:kern w:val="2"/>
                <w:sz w:val="24"/>
                <w:szCs w:val="24"/>
                <w:highlight w:val="none"/>
                <w:lang w:val="en-US" w:eastAsia="zh-CN" w:bidi="ar-SA"/>
              </w:rPr>
              <w:t>2</w:t>
            </w:r>
            <w:r>
              <w:rPr>
                <w:rFonts w:hint="default" w:ascii="Times New Roman" w:hAnsi="Times New Roman" w:eastAsia="宋体" w:cs="Times New Roman"/>
                <w:color w:val="auto"/>
                <w:spacing w:val="-1"/>
                <w:kern w:val="2"/>
                <w:sz w:val="24"/>
                <w:szCs w:val="24"/>
                <w:highlight w:val="none"/>
                <w:lang w:val="en-US" w:eastAsia="zh-CN" w:bidi="ar-SA"/>
              </w:rPr>
              <w:t>L/m</w:t>
            </w:r>
            <w:r>
              <w:rPr>
                <w:rFonts w:hint="default" w:ascii="Times New Roman" w:hAnsi="Times New Roman" w:eastAsia="宋体" w:cs="Times New Roman"/>
                <w:color w:val="auto"/>
                <w:spacing w:val="-1"/>
                <w:kern w:val="2"/>
                <w:sz w:val="24"/>
                <w:szCs w:val="24"/>
                <w:highlight w:val="none"/>
                <w:vertAlign w:val="superscript"/>
                <w:lang w:val="en-US" w:eastAsia="zh-CN" w:bidi="ar-SA"/>
              </w:rPr>
              <w:t>2</w:t>
            </w:r>
            <w:r>
              <w:rPr>
                <w:rFonts w:hint="default" w:ascii="Times New Roman" w:hAnsi="Times New Roman" w:eastAsia="宋体" w:cs="Times New Roman"/>
                <w:color w:val="auto"/>
                <w:spacing w:val="-1"/>
                <w:kern w:val="2"/>
                <w:sz w:val="24"/>
                <w:szCs w:val="24"/>
                <w:highlight w:val="none"/>
                <w:lang w:val="en-US" w:eastAsia="zh-CN" w:bidi="ar-SA"/>
              </w:rPr>
              <w:t>计算，则车间清洗用水量为</w:t>
            </w:r>
            <w:r>
              <w:rPr>
                <w:rFonts w:hint="eastAsia" w:cs="Times New Roman"/>
                <w:color w:val="auto"/>
                <w:spacing w:val="-1"/>
                <w:kern w:val="2"/>
                <w:sz w:val="24"/>
                <w:szCs w:val="24"/>
                <w:highlight w:val="none"/>
                <w:lang w:val="en-US" w:eastAsia="zh-CN" w:bidi="ar-SA"/>
              </w:rPr>
              <w:t>3.50</w:t>
            </w:r>
            <w:r>
              <w:rPr>
                <w:rFonts w:hint="default" w:ascii="Times New Roman" w:hAnsi="Times New Roman" w:eastAsia="宋体" w:cs="Times New Roman"/>
                <w:color w:val="auto"/>
                <w:spacing w:val="-1"/>
                <w:kern w:val="2"/>
                <w:sz w:val="24"/>
                <w:szCs w:val="24"/>
                <w:highlight w:val="none"/>
                <w:lang w:val="en-US" w:eastAsia="zh-CN" w:bidi="ar-SA"/>
              </w:rPr>
              <w:t>m</w:t>
            </w:r>
            <w:r>
              <w:rPr>
                <w:rFonts w:hint="default" w:ascii="Times New Roman" w:hAnsi="Times New Roman" w:eastAsia="宋体"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/d</w:t>
            </w:r>
            <w:r>
              <w:rPr>
                <w:rFonts w:hint="default" w:ascii="Times New Roman" w:hAnsi="Times New Roman" w:cs="Times New Roman"/>
                <w:color w:val="auto"/>
                <w:spacing w:val="-1"/>
                <w:kern w:val="2"/>
                <w:sz w:val="24"/>
                <w:szCs w:val="24"/>
                <w:highlight w:val="none"/>
                <w:lang w:val="en-US" w:eastAsia="zh-CN" w:bidi="ar-SA"/>
              </w:rPr>
              <w:t>，</w:t>
            </w:r>
            <w:r>
              <w:rPr>
                <w:rFonts w:hint="eastAsia" w:cs="Times New Roman"/>
                <w:color w:val="auto"/>
                <w:spacing w:val="-1"/>
                <w:kern w:val="2"/>
                <w:sz w:val="24"/>
                <w:szCs w:val="24"/>
                <w:highlight w:val="none"/>
                <w:lang w:val="en-US" w:eastAsia="zh-CN" w:bidi="ar-SA"/>
              </w:rPr>
              <w:t>1050</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/a</w:t>
            </w:r>
            <w:r>
              <w:rPr>
                <w:rFonts w:hint="default" w:ascii="Times New Roman" w:hAnsi="Times New Roman" w:eastAsia="宋体" w:cs="Times New Roman"/>
                <w:color w:val="auto"/>
                <w:spacing w:val="-1"/>
                <w:kern w:val="2"/>
                <w:sz w:val="24"/>
                <w:szCs w:val="24"/>
                <w:highlight w:val="none"/>
                <w:lang w:val="en-US" w:eastAsia="zh-CN" w:bidi="ar-SA"/>
              </w:rPr>
              <w:t>。废水产生系数按0.</w:t>
            </w:r>
            <w:r>
              <w:rPr>
                <w:rFonts w:hint="default" w:ascii="Times New Roman" w:hAnsi="Times New Roman" w:cs="Times New Roman"/>
                <w:color w:val="auto"/>
                <w:spacing w:val="-1"/>
                <w:kern w:val="2"/>
                <w:sz w:val="24"/>
                <w:szCs w:val="24"/>
                <w:highlight w:val="none"/>
                <w:lang w:val="en-US" w:eastAsia="zh-CN" w:bidi="ar-SA"/>
              </w:rPr>
              <w:t>9</w:t>
            </w:r>
            <w:r>
              <w:rPr>
                <w:rFonts w:hint="default" w:ascii="Times New Roman" w:hAnsi="Times New Roman" w:eastAsia="宋体" w:cs="Times New Roman"/>
                <w:color w:val="auto"/>
                <w:spacing w:val="-1"/>
                <w:kern w:val="2"/>
                <w:sz w:val="24"/>
                <w:szCs w:val="24"/>
                <w:highlight w:val="none"/>
                <w:lang w:val="en-US" w:eastAsia="zh-CN" w:bidi="ar-SA"/>
              </w:rPr>
              <w:t>，则车间清洗废水产生量为</w:t>
            </w:r>
            <w:r>
              <w:rPr>
                <w:rFonts w:hint="eastAsia" w:cs="Times New Roman"/>
                <w:color w:val="auto"/>
                <w:spacing w:val="-1"/>
                <w:kern w:val="2"/>
                <w:sz w:val="24"/>
                <w:szCs w:val="24"/>
                <w:highlight w:val="none"/>
                <w:lang w:val="en-US" w:eastAsia="zh-CN" w:bidi="ar-SA"/>
              </w:rPr>
              <w:t>3.15</w:t>
            </w:r>
            <w:r>
              <w:rPr>
                <w:rFonts w:hint="default" w:ascii="Times New Roman" w:hAnsi="Times New Roman" w:eastAsia="宋体" w:cs="Times New Roman"/>
                <w:color w:val="auto"/>
                <w:spacing w:val="-1"/>
                <w:kern w:val="2"/>
                <w:sz w:val="24"/>
                <w:szCs w:val="24"/>
                <w:highlight w:val="none"/>
                <w:lang w:val="en-US" w:eastAsia="zh-CN" w:bidi="ar-SA"/>
              </w:rPr>
              <w:t>m</w:t>
            </w:r>
            <w:r>
              <w:rPr>
                <w:rFonts w:hint="default" w:ascii="Times New Roman" w:hAnsi="Times New Roman" w:eastAsia="宋体"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/d</w:t>
            </w:r>
            <w:r>
              <w:rPr>
                <w:rFonts w:hint="default" w:ascii="Times New Roman" w:hAnsi="Times New Roman" w:cs="Times New Roman"/>
                <w:color w:val="auto"/>
                <w:spacing w:val="-1"/>
                <w:kern w:val="2"/>
                <w:sz w:val="24"/>
                <w:szCs w:val="24"/>
                <w:highlight w:val="none"/>
                <w:lang w:val="en-US" w:eastAsia="zh-CN" w:bidi="ar-SA"/>
              </w:rPr>
              <w:t>，</w:t>
            </w:r>
            <w:r>
              <w:rPr>
                <w:rFonts w:hint="eastAsia" w:cs="Times New Roman"/>
                <w:color w:val="auto"/>
                <w:spacing w:val="-1"/>
                <w:kern w:val="2"/>
                <w:sz w:val="24"/>
                <w:szCs w:val="24"/>
                <w:highlight w:val="none"/>
                <w:lang w:val="en-US" w:eastAsia="zh-CN" w:bidi="ar-SA"/>
              </w:rPr>
              <w:t>945</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/a</w:t>
            </w:r>
            <w:r>
              <w:rPr>
                <w:rFonts w:hint="default" w:ascii="Times New Roman" w:hAnsi="Times New Roman" w:eastAsia="宋体" w:cs="Times New Roman"/>
                <w:color w:val="auto"/>
                <w:spacing w:val="-1"/>
                <w:kern w:val="2"/>
                <w:sz w:val="24"/>
                <w:szCs w:val="24"/>
                <w:highlight w:val="none"/>
                <w:lang w:val="en-US" w:eastAsia="zh-CN" w:bidi="ar-SA"/>
              </w:rPr>
              <w:t>。</w:t>
            </w:r>
          </w:p>
          <w:p w14:paraId="79E152C1">
            <w:pPr>
              <w:pStyle w:val="10"/>
              <w:snapToGrid w:val="0"/>
              <w:spacing w:line="360" w:lineRule="auto"/>
              <w:ind w:firstLine="480"/>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3）废气处理装置喷淋用水</w:t>
            </w:r>
          </w:p>
          <w:p w14:paraId="07B93EF1">
            <w:pPr>
              <w:pStyle w:val="10"/>
              <w:snapToGrid w:val="0"/>
              <w:spacing w:line="360" w:lineRule="auto"/>
              <w:ind w:firstLine="480"/>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eastAsia="宋体" w:cs="Times New Roman"/>
                <w:color w:val="auto"/>
                <w:spacing w:val="0"/>
                <w:kern w:val="2"/>
                <w:sz w:val="24"/>
                <w:szCs w:val="24"/>
                <w:highlight w:val="none"/>
                <w:lang w:val="en-US" w:eastAsia="zh-CN" w:bidi="ar-SA"/>
              </w:rPr>
              <w:t>本项目</w:t>
            </w:r>
            <w:r>
              <w:rPr>
                <w:rFonts w:hint="default" w:ascii="Times New Roman" w:hAnsi="Times New Roman" w:eastAsia="宋体" w:cs="Times New Roman"/>
                <w:color w:val="auto"/>
                <w:spacing w:val="0"/>
                <w:kern w:val="2"/>
                <w:sz w:val="24"/>
                <w:szCs w:val="24"/>
                <w:highlight w:val="none"/>
                <w:lang w:val="en-US" w:eastAsia="zh-CN" w:bidi="ar-SA"/>
              </w:rPr>
              <w:t>精炼脱臭废气采用二级碱液喷淋塔进行处理，碱液喷淋用水循环使用，定期补充，定期排污。补充水全部损耗，碱液每月更换一次</w:t>
            </w:r>
            <w:r>
              <w:rPr>
                <w:rFonts w:hint="eastAsia" w:ascii="Times New Roman" w:eastAsia="宋体" w:cs="Times New Roman"/>
                <w:color w:val="auto"/>
                <w:spacing w:val="0"/>
                <w:kern w:val="2"/>
                <w:sz w:val="24"/>
                <w:szCs w:val="24"/>
                <w:highlight w:val="none"/>
                <w:lang w:val="en-US" w:eastAsia="zh-CN" w:bidi="ar-SA"/>
              </w:rPr>
              <w:t>；补充水量为0.5m</w:t>
            </w:r>
            <w:r>
              <w:rPr>
                <w:rFonts w:hint="eastAsia" w:ascii="Times New Roman" w:eastAsia="宋体" w:cs="Times New Roman"/>
                <w:color w:val="auto"/>
                <w:spacing w:val="0"/>
                <w:kern w:val="2"/>
                <w:sz w:val="24"/>
                <w:szCs w:val="24"/>
                <w:highlight w:val="none"/>
                <w:vertAlign w:val="superscript"/>
                <w:lang w:val="en-US" w:eastAsia="zh-CN" w:bidi="ar-SA"/>
              </w:rPr>
              <w:t>3</w:t>
            </w:r>
            <w:r>
              <w:rPr>
                <w:rFonts w:hint="eastAsia" w:ascii="Times New Roman" w:eastAsia="宋体" w:cs="Times New Roman"/>
                <w:color w:val="auto"/>
                <w:spacing w:val="0"/>
                <w:kern w:val="2"/>
                <w:sz w:val="24"/>
                <w:szCs w:val="24"/>
                <w:highlight w:val="none"/>
                <w:lang w:val="en-US" w:eastAsia="zh-CN" w:bidi="ar-SA"/>
              </w:rPr>
              <w:t>/d，150m</w:t>
            </w:r>
            <w:r>
              <w:rPr>
                <w:rFonts w:hint="eastAsia" w:ascii="Times New Roman" w:eastAsia="宋体" w:cs="Times New Roman"/>
                <w:color w:val="auto"/>
                <w:spacing w:val="0"/>
                <w:kern w:val="2"/>
                <w:sz w:val="24"/>
                <w:szCs w:val="24"/>
                <w:highlight w:val="none"/>
                <w:vertAlign w:val="superscript"/>
                <w:lang w:val="en-US" w:eastAsia="zh-CN" w:bidi="ar-SA"/>
              </w:rPr>
              <w:t>3</w:t>
            </w:r>
            <w:r>
              <w:rPr>
                <w:rFonts w:hint="eastAsia" w:ascii="Times New Roman" w:eastAsia="宋体" w:cs="Times New Roman"/>
                <w:color w:val="auto"/>
                <w:spacing w:val="0"/>
                <w:kern w:val="2"/>
                <w:sz w:val="24"/>
                <w:szCs w:val="24"/>
                <w:highlight w:val="none"/>
                <w:lang w:val="en-US" w:eastAsia="zh-CN" w:bidi="ar-SA"/>
              </w:rPr>
              <w:t>/a；</w:t>
            </w:r>
            <w:r>
              <w:rPr>
                <w:rFonts w:hint="default" w:ascii="Times New Roman" w:hAnsi="Times New Roman" w:eastAsia="宋体" w:cs="Times New Roman"/>
                <w:color w:val="auto"/>
                <w:spacing w:val="0"/>
                <w:kern w:val="2"/>
                <w:sz w:val="24"/>
                <w:szCs w:val="24"/>
                <w:highlight w:val="none"/>
                <w:lang w:val="en-US" w:eastAsia="zh-CN" w:bidi="ar-SA"/>
              </w:rPr>
              <w:t>每个碱液喷淋塔每次更换量为3m</w:t>
            </w:r>
            <w:r>
              <w:rPr>
                <w:rFonts w:hint="default" w:ascii="Times New Roman" w:hAnsi="Times New Roman" w:eastAsia="宋体" w:cs="Times New Roman"/>
                <w:color w:val="auto"/>
                <w:spacing w:val="0"/>
                <w:kern w:val="2"/>
                <w:sz w:val="24"/>
                <w:szCs w:val="24"/>
                <w:highlight w:val="none"/>
                <w:vertAlign w:val="superscript"/>
                <w:lang w:val="en-US" w:eastAsia="zh-CN" w:bidi="ar-SA"/>
              </w:rPr>
              <w:t>3</w:t>
            </w:r>
            <w:r>
              <w:rPr>
                <w:rFonts w:hint="default" w:ascii="Times New Roman" w:hAnsi="Times New Roman" w:eastAsia="宋体" w:cs="Times New Roman"/>
                <w:color w:val="auto"/>
                <w:spacing w:val="0"/>
                <w:kern w:val="2"/>
                <w:sz w:val="24"/>
                <w:szCs w:val="24"/>
                <w:highlight w:val="none"/>
                <w:lang w:val="en-US" w:eastAsia="zh-CN" w:bidi="ar-SA"/>
              </w:rPr>
              <w:t>，</w:t>
            </w:r>
            <w:r>
              <w:rPr>
                <w:rFonts w:hint="eastAsia" w:ascii="Times New Roman" w:eastAsia="宋体" w:cs="Times New Roman"/>
                <w:color w:val="auto"/>
                <w:spacing w:val="0"/>
                <w:kern w:val="2"/>
                <w:sz w:val="24"/>
                <w:szCs w:val="24"/>
                <w:highlight w:val="none"/>
                <w:lang w:val="en-US" w:eastAsia="zh-CN" w:bidi="ar-SA"/>
              </w:rPr>
              <w:t>本项目采用二级碱喷淋，每次更换量为6m</w:t>
            </w:r>
            <w:r>
              <w:rPr>
                <w:rFonts w:hint="eastAsia" w:ascii="Times New Roman" w:eastAsia="宋体" w:cs="Times New Roman"/>
                <w:color w:val="auto"/>
                <w:spacing w:val="0"/>
                <w:kern w:val="2"/>
                <w:sz w:val="24"/>
                <w:szCs w:val="24"/>
                <w:highlight w:val="none"/>
                <w:vertAlign w:val="superscript"/>
                <w:lang w:val="en-US" w:eastAsia="zh-CN" w:bidi="ar-SA"/>
              </w:rPr>
              <w:t>3</w:t>
            </w:r>
            <w:r>
              <w:rPr>
                <w:rFonts w:hint="eastAsia" w:ascii="Times New Roman" w:eastAsia="宋体" w:cs="Times New Roman"/>
                <w:color w:val="auto"/>
                <w:spacing w:val="0"/>
                <w:kern w:val="2"/>
                <w:sz w:val="24"/>
                <w:szCs w:val="24"/>
                <w:highlight w:val="none"/>
                <w:lang w:val="en-US" w:eastAsia="zh-CN" w:bidi="ar-SA"/>
              </w:rPr>
              <w:t>/次，</w:t>
            </w:r>
            <w:r>
              <w:rPr>
                <w:rFonts w:hint="default" w:ascii="Times New Roman" w:hAnsi="Times New Roman" w:eastAsia="宋体" w:cs="Times New Roman"/>
                <w:color w:val="auto"/>
                <w:spacing w:val="0"/>
                <w:kern w:val="2"/>
                <w:sz w:val="24"/>
                <w:szCs w:val="24"/>
                <w:highlight w:val="none"/>
                <w:lang w:val="en-US" w:eastAsia="zh-CN" w:bidi="ar-SA"/>
              </w:rPr>
              <w:t>72m</w:t>
            </w:r>
            <w:r>
              <w:rPr>
                <w:rFonts w:hint="default" w:ascii="Times New Roman" w:hAnsi="Times New Roman" w:eastAsia="宋体" w:cs="Times New Roman"/>
                <w:color w:val="auto"/>
                <w:spacing w:val="0"/>
                <w:kern w:val="2"/>
                <w:sz w:val="24"/>
                <w:szCs w:val="24"/>
                <w:highlight w:val="none"/>
                <w:vertAlign w:val="superscript"/>
                <w:lang w:val="en-US" w:eastAsia="zh-CN" w:bidi="ar-SA"/>
              </w:rPr>
              <w:t>3</w:t>
            </w:r>
            <w:r>
              <w:rPr>
                <w:rFonts w:hint="default" w:ascii="Times New Roman" w:hAnsi="Times New Roman" w:eastAsia="宋体" w:cs="Times New Roman"/>
                <w:color w:val="auto"/>
                <w:spacing w:val="0"/>
                <w:kern w:val="2"/>
                <w:sz w:val="24"/>
                <w:szCs w:val="24"/>
                <w:highlight w:val="none"/>
                <w:lang w:val="en-US" w:eastAsia="zh-CN" w:bidi="ar-SA"/>
              </w:rPr>
              <w:t>/a；排放系数为0.9，</w:t>
            </w:r>
            <w:r>
              <w:rPr>
                <w:rFonts w:hint="eastAsia" w:ascii="Times New Roman" w:eastAsia="宋体" w:cs="Times New Roman"/>
                <w:color w:val="auto"/>
                <w:spacing w:val="0"/>
                <w:kern w:val="2"/>
                <w:sz w:val="24"/>
                <w:szCs w:val="24"/>
                <w:highlight w:val="none"/>
                <w:lang w:val="en-US" w:eastAsia="zh-CN" w:bidi="ar-SA"/>
              </w:rPr>
              <w:t>本项目</w:t>
            </w:r>
            <w:r>
              <w:rPr>
                <w:rFonts w:hint="default" w:ascii="Times New Roman" w:hAnsi="Times New Roman" w:eastAsia="宋体" w:cs="Times New Roman"/>
                <w:color w:val="auto"/>
                <w:spacing w:val="0"/>
                <w:kern w:val="2"/>
                <w:sz w:val="24"/>
                <w:szCs w:val="24"/>
                <w:highlight w:val="none"/>
                <w:lang w:val="en-US" w:eastAsia="zh-CN" w:bidi="ar-SA"/>
              </w:rPr>
              <w:t>碱液喷淋</w:t>
            </w:r>
            <w:r>
              <w:rPr>
                <w:rFonts w:hint="eastAsia" w:ascii="Times New Roman" w:eastAsia="宋体" w:cs="Times New Roman"/>
                <w:color w:val="auto"/>
                <w:spacing w:val="0"/>
                <w:kern w:val="2"/>
                <w:sz w:val="24"/>
                <w:szCs w:val="24"/>
                <w:highlight w:val="none"/>
                <w:lang w:val="en-US" w:eastAsia="zh-CN" w:bidi="ar-SA"/>
              </w:rPr>
              <w:t>废水为5.4</w:t>
            </w:r>
            <w:r>
              <w:rPr>
                <w:rFonts w:hint="default" w:ascii="Times New Roman" w:hAnsi="Times New Roman" w:eastAsia="宋体" w:cs="Times New Roman"/>
                <w:color w:val="auto"/>
                <w:spacing w:val="0"/>
                <w:kern w:val="2"/>
                <w:sz w:val="24"/>
                <w:szCs w:val="24"/>
                <w:highlight w:val="none"/>
                <w:lang w:val="en-US" w:eastAsia="zh-CN" w:bidi="ar-SA"/>
              </w:rPr>
              <w:t>m</w:t>
            </w:r>
            <w:r>
              <w:rPr>
                <w:rFonts w:hint="default" w:ascii="Times New Roman" w:hAnsi="Times New Roman" w:eastAsia="宋体" w:cs="Times New Roman"/>
                <w:color w:val="auto"/>
                <w:spacing w:val="0"/>
                <w:kern w:val="2"/>
                <w:sz w:val="24"/>
                <w:szCs w:val="24"/>
                <w:highlight w:val="none"/>
                <w:vertAlign w:val="superscript"/>
                <w:lang w:val="en-US" w:eastAsia="zh-CN" w:bidi="ar-SA"/>
              </w:rPr>
              <w:t>3</w:t>
            </w:r>
            <w:r>
              <w:rPr>
                <w:rFonts w:hint="default" w:ascii="Times New Roman" w:hAnsi="Times New Roman" w:eastAsia="宋体" w:cs="Times New Roman"/>
                <w:color w:val="auto"/>
                <w:spacing w:val="0"/>
                <w:kern w:val="2"/>
                <w:sz w:val="24"/>
                <w:szCs w:val="24"/>
                <w:highlight w:val="none"/>
                <w:lang w:val="en-US" w:eastAsia="zh-CN" w:bidi="ar-SA"/>
              </w:rPr>
              <w:t>/</w:t>
            </w:r>
            <w:r>
              <w:rPr>
                <w:rFonts w:hint="eastAsia" w:ascii="Times New Roman" w:eastAsia="宋体" w:cs="Times New Roman"/>
                <w:color w:val="auto"/>
                <w:spacing w:val="0"/>
                <w:kern w:val="2"/>
                <w:sz w:val="24"/>
                <w:szCs w:val="24"/>
                <w:highlight w:val="none"/>
                <w:lang w:val="en-US" w:eastAsia="zh-CN" w:bidi="ar-SA"/>
              </w:rPr>
              <w:t>次</w:t>
            </w:r>
            <w:r>
              <w:rPr>
                <w:rFonts w:hint="default" w:ascii="Times New Roman" w:hAnsi="Times New Roman" w:eastAsia="宋体" w:cs="Times New Roman"/>
                <w:color w:val="auto"/>
                <w:spacing w:val="0"/>
                <w:kern w:val="2"/>
                <w:sz w:val="24"/>
                <w:szCs w:val="24"/>
                <w:highlight w:val="none"/>
                <w:lang w:val="en-US" w:eastAsia="zh-CN" w:bidi="ar-SA"/>
              </w:rPr>
              <w:t>，64.8m</w:t>
            </w:r>
            <w:r>
              <w:rPr>
                <w:rFonts w:hint="default" w:ascii="Times New Roman" w:hAnsi="Times New Roman" w:eastAsia="宋体" w:cs="Times New Roman"/>
                <w:color w:val="auto"/>
                <w:spacing w:val="0"/>
                <w:kern w:val="2"/>
                <w:sz w:val="24"/>
                <w:szCs w:val="24"/>
                <w:highlight w:val="none"/>
                <w:vertAlign w:val="superscript"/>
                <w:lang w:val="en-US" w:eastAsia="zh-CN" w:bidi="ar-SA"/>
              </w:rPr>
              <w:t>3</w:t>
            </w:r>
            <w:r>
              <w:rPr>
                <w:rFonts w:hint="default" w:ascii="Times New Roman" w:hAnsi="Times New Roman" w:eastAsia="宋体" w:cs="Times New Roman"/>
                <w:color w:val="auto"/>
                <w:spacing w:val="0"/>
                <w:kern w:val="2"/>
                <w:sz w:val="24"/>
                <w:szCs w:val="24"/>
                <w:highlight w:val="none"/>
                <w:lang w:val="en-US" w:eastAsia="zh-CN" w:bidi="ar-SA"/>
              </w:rPr>
              <w:t>/a。</w:t>
            </w:r>
          </w:p>
          <w:p w14:paraId="502F1EEE">
            <w:pPr>
              <w:keepNext w:val="0"/>
              <w:keepLines w:val="0"/>
              <w:pageBreakBefore w:val="0"/>
              <w:widowControl/>
              <w:suppressLineNumbers w:val="0"/>
              <w:kinsoku/>
              <w:wordWrap/>
              <w:overflowPunct w:val="0"/>
              <w:topLinePunct/>
              <w:autoSpaceDE/>
              <w:autoSpaceDN/>
              <w:bidi w:val="0"/>
              <w:adjustRightInd/>
              <w:spacing w:line="360" w:lineRule="auto"/>
              <w:ind w:firstLine="476" w:firstLineChars="200"/>
              <w:jc w:val="both"/>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cs="Times New Roman"/>
                <w:color w:val="auto"/>
                <w:spacing w:val="-1"/>
                <w:kern w:val="2"/>
                <w:sz w:val="24"/>
                <w:szCs w:val="24"/>
                <w:highlight w:val="none"/>
                <w:lang w:val="en-US" w:eastAsia="zh-CN" w:bidi="ar-SA"/>
              </w:rPr>
              <w:t>4</w:t>
            </w:r>
            <w:r>
              <w:rPr>
                <w:rFonts w:hint="default"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cs="Times New Roman"/>
                <w:color w:val="auto"/>
                <w:spacing w:val="-1"/>
                <w:kern w:val="2"/>
                <w:sz w:val="24"/>
                <w:szCs w:val="24"/>
                <w:highlight w:val="none"/>
                <w:lang w:val="en-US" w:eastAsia="zh-CN" w:bidi="ar-SA"/>
              </w:rPr>
              <w:t>纯水制备</w:t>
            </w:r>
            <w:r>
              <w:rPr>
                <w:rFonts w:hint="default" w:ascii="Times New Roman" w:hAnsi="Times New Roman" w:eastAsia="宋体" w:cs="Times New Roman"/>
                <w:color w:val="auto"/>
                <w:spacing w:val="-1"/>
                <w:kern w:val="2"/>
                <w:sz w:val="24"/>
                <w:szCs w:val="24"/>
                <w:highlight w:val="none"/>
                <w:lang w:val="en-US" w:eastAsia="zh-CN" w:bidi="ar-SA"/>
              </w:rPr>
              <w:t>用水</w:t>
            </w:r>
          </w:p>
          <w:p w14:paraId="174350B6">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76" w:firstLineChars="200"/>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eastAsia" w:cs="Times New Roman"/>
                <w:color w:val="auto"/>
                <w:spacing w:val="-1"/>
                <w:kern w:val="2"/>
                <w:sz w:val="24"/>
                <w:szCs w:val="24"/>
                <w:highlight w:val="none"/>
                <w:lang w:val="en-US" w:eastAsia="zh-CN" w:bidi="ar-SA"/>
              </w:rPr>
              <w:t>本项目</w:t>
            </w:r>
            <w:r>
              <w:rPr>
                <w:rFonts w:hint="default" w:ascii="Times New Roman" w:hAnsi="Times New Roman" w:cs="Times New Roman"/>
                <w:color w:val="auto"/>
                <w:spacing w:val="-1"/>
                <w:kern w:val="2"/>
                <w:sz w:val="24"/>
                <w:szCs w:val="24"/>
                <w:highlight w:val="none"/>
                <w:lang w:val="en-US" w:eastAsia="zh-CN" w:bidi="ar-SA"/>
              </w:rPr>
              <w:t>设纯水制备系统1套，</w:t>
            </w:r>
            <w:r>
              <w:rPr>
                <w:rFonts w:hint="default" w:ascii="Times New Roman" w:hAnsi="Times New Roman" w:eastAsia="宋体" w:cs="Times New Roman"/>
                <w:color w:val="auto"/>
                <w:spacing w:val="-1"/>
                <w:kern w:val="2"/>
                <w:sz w:val="24"/>
                <w:szCs w:val="24"/>
                <w:highlight w:val="none"/>
                <w:lang w:val="en-US" w:eastAsia="zh-CN" w:bidi="ar-SA"/>
              </w:rPr>
              <w:t>自来水经纯水制备系统处理后形成纯水，主要用于锅炉制备蒸汽、精炼水洗工段</w:t>
            </w:r>
            <w:r>
              <w:rPr>
                <w:rFonts w:hint="default" w:ascii="Times New Roman" w:hAnsi="Times New Roman" w:cs="Times New Roman"/>
                <w:color w:val="auto"/>
                <w:spacing w:val="-1"/>
                <w:kern w:val="2"/>
                <w:sz w:val="24"/>
                <w:szCs w:val="24"/>
                <w:highlight w:val="none"/>
                <w:lang w:val="en-US" w:eastAsia="zh-CN" w:bidi="ar-SA"/>
              </w:rPr>
              <w:t>、</w:t>
            </w:r>
            <w:r>
              <w:rPr>
                <w:rFonts w:hint="eastAsia" w:ascii="Times New Roman" w:hAnsi="Times New Roman" w:cs="Times New Roman"/>
                <w:color w:val="auto"/>
                <w:spacing w:val="-1"/>
                <w:kern w:val="2"/>
                <w:sz w:val="24"/>
                <w:szCs w:val="24"/>
                <w:highlight w:val="none"/>
                <w:lang w:val="en-US" w:eastAsia="zh-CN" w:bidi="ar-SA"/>
              </w:rPr>
              <w:t>水环真空泵补水、</w:t>
            </w:r>
            <w:r>
              <w:rPr>
                <w:rFonts w:hint="default" w:ascii="Times New Roman" w:hAnsi="Times New Roman" w:cs="Times New Roman"/>
                <w:color w:val="auto"/>
                <w:spacing w:val="-1"/>
                <w:kern w:val="2"/>
                <w:sz w:val="24"/>
                <w:szCs w:val="24"/>
                <w:highlight w:val="none"/>
                <w:lang w:val="en-US" w:eastAsia="zh-CN" w:bidi="ar-SA"/>
              </w:rPr>
              <w:t>碱液配置等工序</w:t>
            </w:r>
            <w:r>
              <w:rPr>
                <w:rFonts w:hint="default" w:ascii="Times New Roman" w:hAnsi="Times New Roman" w:eastAsia="宋体" w:cs="Times New Roman"/>
                <w:color w:val="auto"/>
                <w:spacing w:val="-1"/>
                <w:kern w:val="2"/>
                <w:sz w:val="24"/>
                <w:szCs w:val="24"/>
                <w:highlight w:val="none"/>
                <w:lang w:val="en-US" w:eastAsia="zh-CN" w:bidi="ar-SA"/>
              </w:rPr>
              <w:t>，</w:t>
            </w:r>
            <w:r>
              <w:rPr>
                <w:rFonts w:hint="default" w:ascii="Times New Roman" w:hAnsi="Times New Roman" w:cs="Times New Roman"/>
                <w:color w:val="auto"/>
                <w:spacing w:val="-1"/>
                <w:kern w:val="2"/>
                <w:sz w:val="24"/>
                <w:szCs w:val="24"/>
                <w:highlight w:val="none"/>
                <w:lang w:val="en-US" w:eastAsia="zh-CN" w:bidi="ar-SA"/>
              </w:rPr>
              <w:t>项目</w:t>
            </w:r>
            <w:r>
              <w:rPr>
                <w:rFonts w:hint="default" w:ascii="Times New Roman" w:hAnsi="Times New Roman" w:eastAsia="宋体" w:cs="Times New Roman"/>
                <w:color w:val="auto"/>
                <w:spacing w:val="-1"/>
                <w:kern w:val="2"/>
                <w:sz w:val="24"/>
                <w:szCs w:val="24"/>
                <w:highlight w:val="none"/>
                <w:lang w:val="en-US" w:eastAsia="zh-CN" w:bidi="ar-SA"/>
              </w:rPr>
              <w:t>蒸汽用</w:t>
            </w:r>
            <w:r>
              <w:rPr>
                <w:rFonts w:hint="default" w:ascii="Times New Roman" w:hAnsi="Times New Roman" w:cs="Times New Roman"/>
                <w:color w:val="auto"/>
                <w:spacing w:val="-1"/>
                <w:kern w:val="2"/>
                <w:sz w:val="24"/>
                <w:szCs w:val="24"/>
                <w:highlight w:val="none"/>
                <w:lang w:val="en-US" w:eastAsia="zh-CN" w:bidi="ar-SA"/>
              </w:rPr>
              <w:t>纯水</w:t>
            </w:r>
            <w:r>
              <w:rPr>
                <w:rFonts w:hint="default" w:ascii="Times New Roman" w:hAnsi="Times New Roman" w:eastAsia="宋体" w:cs="Times New Roman"/>
                <w:color w:val="auto"/>
                <w:spacing w:val="-1"/>
                <w:kern w:val="2"/>
                <w:sz w:val="24"/>
                <w:szCs w:val="24"/>
                <w:highlight w:val="none"/>
                <w:lang w:val="en-US" w:eastAsia="zh-CN" w:bidi="ar-SA"/>
              </w:rPr>
              <w:t>量约</w:t>
            </w:r>
            <w:r>
              <w:rPr>
                <w:rFonts w:hint="default" w:ascii="Times New Roman" w:hAnsi="Times New Roman" w:cs="Times New Roman"/>
                <w:color w:val="auto"/>
                <w:spacing w:val="-1"/>
                <w:kern w:val="2"/>
                <w:sz w:val="24"/>
                <w:szCs w:val="24"/>
                <w:highlight w:val="none"/>
                <w:lang w:val="en-US" w:eastAsia="zh-CN" w:bidi="ar-SA"/>
              </w:rPr>
              <w:t>15m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/d</w:t>
            </w:r>
            <w:r>
              <w:rPr>
                <w:rFonts w:hint="default" w:ascii="Times New Roman" w:hAnsi="Times New Roman" w:eastAsia="宋体" w:cs="Times New Roman"/>
                <w:color w:val="auto"/>
                <w:spacing w:val="-1"/>
                <w:kern w:val="2"/>
                <w:sz w:val="24"/>
                <w:szCs w:val="24"/>
                <w:highlight w:val="none"/>
                <w:lang w:val="en-US" w:eastAsia="zh-CN" w:bidi="ar-SA"/>
              </w:rPr>
              <w:t>，水洗用水</w:t>
            </w:r>
            <w:r>
              <w:rPr>
                <w:rFonts w:hint="eastAsia" w:cs="Times New Roman"/>
                <w:color w:val="auto"/>
                <w:spacing w:val="-1"/>
                <w:kern w:val="2"/>
                <w:sz w:val="24"/>
                <w:szCs w:val="24"/>
                <w:highlight w:val="none"/>
                <w:lang w:val="en-US" w:eastAsia="zh-CN" w:bidi="ar-SA"/>
              </w:rPr>
              <w:t>38</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/d，</w:t>
            </w:r>
            <w:r>
              <w:rPr>
                <w:rFonts w:hint="default" w:ascii="Times New Roman" w:hAnsi="Times New Roman" w:cs="Times New Roman"/>
                <w:color w:val="auto"/>
                <w:spacing w:val="-1"/>
                <w:kern w:val="2"/>
                <w:sz w:val="24"/>
                <w:szCs w:val="24"/>
                <w:highlight w:val="none"/>
                <w:lang w:val="en-US" w:eastAsia="zh-CN" w:bidi="ar-SA"/>
              </w:rPr>
              <w:t>碱液配置用水量为0.84m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/d，</w:t>
            </w:r>
            <w:r>
              <w:rPr>
                <w:rFonts w:hint="eastAsia" w:ascii="Times New Roman" w:hAnsi="Times New Roman" w:cs="Times New Roman"/>
                <w:color w:val="auto"/>
                <w:spacing w:val="-1"/>
                <w:kern w:val="2"/>
                <w:sz w:val="24"/>
                <w:szCs w:val="24"/>
                <w:highlight w:val="none"/>
                <w:lang w:val="en-US" w:eastAsia="zh-CN" w:bidi="ar-SA"/>
              </w:rPr>
              <w:t>水环真空泵用水为1.25</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/d</w:t>
            </w:r>
            <w:r>
              <w:rPr>
                <w:rFonts w:hint="default" w:ascii="Times New Roman" w:hAnsi="Times New Roman" w:eastAsia="宋体" w:cs="Times New Roman"/>
                <w:color w:val="auto"/>
                <w:spacing w:val="-1"/>
                <w:kern w:val="2"/>
                <w:sz w:val="24"/>
                <w:szCs w:val="24"/>
                <w:highlight w:val="none"/>
                <w:lang w:val="en-US" w:eastAsia="zh-CN" w:bidi="ar-SA"/>
              </w:rPr>
              <w:t>，则所需纯水量为</w:t>
            </w:r>
            <w:r>
              <w:rPr>
                <w:rFonts w:hint="eastAsia" w:cs="Times New Roman"/>
                <w:color w:val="auto"/>
                <w:spacing w:val="-1"/>
                <w:kern w:val="2"/>
                <w:sz w:val="24"/>
                <w:szCs w:val="24"/>
                <w:highlight w:val="none"/>
                <w:lang w:val="en-US" w:eastAsia="zh-CN" w:bidi="ar-SA"/>
              </w:rPr>
              <w:t>55.09</w:t>
            </w:r>
            <w:r>
              <w:rPr>
                <w:rFonts w:hint="default" w:ascii="Times New Roman" w:hAnsi="Times New Roman" w:eastAsia="宋体" w:cs="Times New Roman"/>
                <w:color w:val="auto"/>
                <w:spacing w:val="-1"/>
                <w:kern w:val="2"/>
                <w:sz w:val="24"/>
                <w:szCs w:val="24"/>
                <w:highlight w:val="none"/>
                <w:lang w:val="en-US" w:eastAsia="zh-CN" w:bidi="ar-SA"/>
              </w:rPr>
              <w:t>m</w:t>
            </w:r>
            <w:r>
              <w:rPr>
                <w:rFonts w:hint="default" w:ascii="Times New Roman" w:hAnsi="Times New Roman" w:eastAsia="宋体"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/d，纯水制备效率</w:t>
            </w:r>
            <w:r>
              <w:rPr>
                <w:rFonts w:hint="eastAsia" w:cs="Times New Roman"/>
                <w:color w:val="auto"/>
                <w:spacing w:val="-1"/>
                <w:kern w:val="2"/>
                <w:sz w:val="24"/>
                <w:szCs w:val="24"/>
                <w:highlight w:val="none"/>
                <w:lang w:val="en-US" w:eastAsia="zh-CN" w:bidi="ar-SA"/>
              </w:rPr>
              <w:t>7</w:t>
            </w:r>
            <w:r>
              <w:rPr>
                <w:rFonts w:hint="default" w:ascii="Times New Roman" w:hAnsi="Times New Roman" w:eastAsia="宋体" w:cs="Times New Roman"/>
                <w:color w:val="auto"/>
                <w:spacing w:val="-1"/>
                <w:kern w:val="2"/>
                <w:sz w:val="24"/>
                <w:szCs w:val="24"/>
                <w:highlight w:val="none"/>
                <w:lang w:val="en-US" w:eastAsia="zh-CN" w:bidi="ar-SA"/>
              </w:rPr>
              <w:t>0%</w:t>
            </w:r>
            <w:r>
              <w:rPr>
                <w:rFonts w:hint="default" w:ascii="Times New Roman" w:hAnsi="Times New Roman" w:cs="Times New Roman"/>
                <w:color w:val="auto"/>
                <w:spacing w:val="-1"/>
                <w:kern w:val="2"/>
                <w:sz w:val="24"/>
                <w:szCs w:val="24"/>
                <w:highlight w:val="none"/>
                <w:lang w:val="en-US" w:eastAsia="zh-CN" w:bidi="ar-SA"/>
              </w:rPr>
              <w:t>，</w:t>
            </w:r>
            <w:r>
              <w:rPr>
                <w:rFonts w:hint="eastAsia" w:ascii="Times New Roman" w:hAnsi="Times New Roman" w:cs="Times New Roman"/>
                <w:color w:val="auto"/>
                <w:spacing w:val="-1"/>
                <w:kern w:val="2"/>
                <w:sz w:val="24"/>
                <w:szCs w:val="24"/>
                <w:highlight w:val="none"/>
                <w:lang w:val="en-US" w:eastAsia="zh-CN" w:bidi="ar-SA"/>
              </w:rPr>
              <w:t>则</w:t>
            </w:r>
            <w:r>
              <w:rPr>
                <w:rFonts w:hint="default" w:ascii="Times New Roman" w:hAnsi="Times New Roman" w:cs="Times New Roman"/>
                <w:color w:val="auto"/>
                <w:spacing w:val="-1"/>
                <w:kern w:val="2"/>
                <w:sz w:val="24"/>
                <w:szCs w:val="24"/>
                <w:highlight w:val="none"/>
                <w:lang w:val="en-US" w:eastAsia="zh-CN" w:bidi="ar-SA"/>
              </w:rPr>
              <w:t>纯水制备用水量为</w:t>
            </w:r>
            <w:r>
              <w:rPr>
                <w:rFonts w:hint="eastAsia" w:cs="Times New Roman"/>
                <w:color w:val="auto"/>
                <w:spacing w:val="-1"/>
                <w:kern w:val="2"/>
                <w:sz w:val="24"/>
                <w:szCs w:val="24"/>
                <w:highlight w:val="none"/>
                <w:lang w:val="en-US" w:eastAsia="zh-CN" w:bidi="ar-SA"/>
              </w:rPr>
              <w:t>92.9</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/d，纯水制备产生浓水约</w:t>
            </w:r>
            <w:r>
              <w:rPr>
                <w:rFonts w:hint="eastAsia" w:cs="Times New Roman"/>
                <w:color w:val="auto"/>
                <w:spacing w:val="-1"/>
                <w:kern w:val="2"/>
                <w:sz w:val="24"/>
                <w:szCs w:val="24"/>
                <w:highlight w:val="none"/>
                <w:lang w:val="en-US" w:eastAsia="zh-CN" w:bidi="ar-SA"/>
              </w:rPr>
              <w:t>27.87</w:t>
            </w:r>
            <w:r>
              <w:rPr>
                <w:rFonts w:hint="default" w:ascii="Times New Roman" w:hAnsi="Times New Roman" w:cs="Times New Roman"/>
                <w:color w:val="auto"/>
                <w:spacing w:val="-1"/>
                <w:kern w:val="2"/>
                <w:sz w:val="24"/>
                <w:szCs w:val="24"/>
                <w:highlight w:val="none"/>
                <w:lang w:val="en-US" w:eastAsia="zh-CN" w:bidi="ar-SA"/>
              </w:rPr>
              <w:t>m</w:t>
            </w:r>
            <w:r>
              <w:rPr>
                <w:rFonts w:hint="default" w:ascii="Times New Roman" w:hAnsi="Times New Roman" w:cs="Times New Roman"/>
                <w:color w:val="auto"/>
                <w:spacing w:val="-1"/>
                <w:kern w:val="2"/>
                <w:sz w:val="24"/>
                <w:szCs w:val="24"/>
                <w:highlight w:val="none"/>
                <w:vertAlign w:val="superscript"/>
                <w:lang w:val="en-US" w:eastAsia="zh-CN" w:bidi="ar-SA"/>
              </w:rPr>
              <w:t>3</w:t>
            </w:r>
            <w:r>
              <w:rPr>
                <w:rFonts w:hint="default" w:ascii="Times New Roman" w:hAnsi="Times New Roman" w:cs="Times New Roman"/>
                <w:color w:val="auto"/>
                <w:spacing w:val="-1"/>
                <w:kern w:val="2"/>
                <w:sz w:val="24"/>
                <w:szCs w:val="24"/>
                <w:highlight w:val="none"/>
                <w:lang w:val="en-US" w:eastAsia="zh-CN" w:bidi="ar-SA"/>
              </w:rPr>
              <w:t>/d，</w:t>
            </w:r>
            <w:r>
              <w:rPr>
                <w:rFonts w:hint="eastAsia" w:ascii="Times New Roman" w:hAnsi="Times New Roman" w:cs="Times New Roman"/>
                <w:color w:val="auto"/>
                <w:spacing w:val="-1"/>
                <w:kern w:val="2"/>
                <w:sz w:val="24"/>
                <w:szCs w:val="24"/>
                <w:highlight w:val="none"/>
                <w:lang w:val="en-US" w:eastAsia="zh-CN" w:bidi="ar-SA"/>
              </w:rPr>
              <w:t>排入污水处理站</w:t>
            </w:r>
            <w:r>
              <w:rPr>
                <w:rFonts w:hint="default" w:ascii="Times New Roman" w:hAnsi="Times New Roman" w:eastAsia="宋体" w:cs="Times New Roman"/>
                <w:color w:val="auto"/>
                <w:spacing w:val="-1"/>
                <w:kern w:val="2"/>
                <w:sz w:val="24"/>
                <w:szCs w:val="24"/>
                <w:highlight w:val="none"/>
                <w:lang w:val="en-US" w:eastAsia="zh-CN" w:bidi="ar-SA"/>
              </w:rPr>
              <w:t>。</w:t>
            </w:r>
          </w:p>
          <w:p w14:paraId="1B214616">
            <w:pPr>
              <w:keepNext w:val="0"/>
              <w:keepLines w:val="0"/>
              <w:pageBreakBefore w:val="0"/>
              <w:widowControl/>
              <w:suppressLineNumbers w:val="0"/>
              <w:kinsoku/>
              <w:wordWrap/>
              <w:overflowPunct w:val="0"/>
              <w:topLinePunct/>
              <w:autoSpaceDE/>
              <w:autoSpaceDN/>
              <w:bidi w:val="0"/>
              <w:adjustRightInd/>
              <w:spacing w:line="360" w:lineRule="auto"/>
              <w:ind w:firstLine="476" w:firstLineChars="200"/>
              <w:jc w:val="both"/>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eastAsia="宋体" w:cs="Times New Roman"/>
                <w:color w:val="auto"/>
                <w:spacing w:val="-1"/>
                <w:kern w:val="2"/>
                <w:sz w:val="24"/>
                <w:szCs w:val="24"/>
                <w:highlight w:val="none"/>
                <w:lang w:val="en-US" w:eastAsia="zh-CN" w:bidi="ar-SA"/>
              </w:rPr>
              <w:t>5）冷却用水</w:t>
            </w:r>
          </w:p>
          <w:p w14:paraId="61424750">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76" w:firstLineChars="200"/>
              <w:jc w:val="both"/>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eastAsia="宋体" w:cs="Times New Roman"/>
                <w:color w:val="auto"/>
                <w:spacing w:val="-1"/>
                <w:kern w:val="2"/>
                <w:sz w:val="24"/>
                <w:szCs w:val="24"/>
                <w:highlight w:val="none"/>
                <w:lang w:val="en-US" w:eastAsia="zh-CN" w:bidi="ar-SA"/>
              </w:rPr>
              <w:t>为保障精炼生产线正常运转，生产线运行过程中使用</w:t>
            </w:r>
            <w:r>
              <w:rPr>
                <w:rFonts w:hint="eastAsia" w:cs="Times New Roman"/>
                <w:color w:val="auto"/>
                <w:spacing w:val="-1"/>
                <w:kern w:val="2"/>
                <w:sz w:val="24"/>
                <w:szCs w:val="24"/>
                <w:highlight w:val="none"/>
                <w:lang w:val="en-US" w:eastAsia="zh-CN" w:bidi="ar-SA"/>
              </w:rPr>
              <w:t>循环冷却水</w:t>
            </w:r>
            <w:r>
              <w:rPr>
                <w:rFonts w:hint="default" w:ascii="Times New Roman" w:hAnsi="Times New Roman" w:eastAsia="宋体" w:cs="Times New Roman"/>
                <w:color w:val="auto"/>
                <w:spacing w:val="-1"/>
                <w:kern w:val="2"/>
                <w:sz w:val="24"/>
                <w:szCs w:val="24"/>
                <w:highlight w:val="none"/>
                <w:lang w:val="en-US" w:eastAsia="zh-CN" w:bidi="ar-SA"/>
              </w:rPr>
              <w:t>对</w:t>
            </w:r>
            <w:r>
              <w:rPr>
                <w:rFonts w:hint="eastAsia" w:cs="Times New Roman"/>
                <w:color w:val="auto"/>
                <w:spacing w:val="-1"/>
                <w:kern w:val="2"/>
                <w:sz w:val="24"/>
                <w:szCs w:val="24"/>
                <w:highlight w:val="none"/>
                <w:lang w:val="en-US" w:eastAsia="zh-CN" w:bidi="ar-SA"/>
              </w:rPr>
              <w:t>冷冻机、蒸发器、喷淋、低温水泵、冷冻水泵、水环真空泵等</w:t>
            </w:r>
            <w:r>
              <w:rPr>
                <w:rFonts w:hint="default" w:ascii="Times New Roman" w:hAnsi="Times New Roman" w:eastAsia="宋体" w:cs="Times New Roman"/>
                <w:color w:val="auto"/>
                <w:spacing w:val="-1"/>
                <w:kern w:val="2"/>
                <w:sz w:val="24"/>
                <w:szCs w:val="24"/>
                <w:highlight w:val="none"/>
                <w:lang w:val="en-US" w:eastAsia="zh-CN" w:bidi="ar-SA"/>
              </w:rPr>
              <w:t>设备进行冷却，采用间接循环冷却方式，冷却水经冷却系统降温后循环使用。</w:t>
            </w:r>
          </w:p>
          <w:p w14:paraId="3181AC92">
            <w:pPr>
              <w:keepNext w:val="0"/>
              <w:keepLines w:val="0"/>
              <w:pageBreakBefore w:val="0"/>
              <w:kinsoku/>
              <w:wordWrap/>
              <w:overflowPunct w:val="0"/>
              <w:topLinePunct/>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rPr>
              <w:t>冷却系统循环水量约</w:t>
            </w:r>
            <w:r>
              <w:rPr>
                <w:rFonts w:hint="eastAsia"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/h，冷却水有一定的损耗（约为循环水量的</w:t>
            </w:r>
            <w:r>
              <w:rPr>
                <w:rFonts w:hint="default" w:ascii="Times New Roman" w:hAnsi="Times New Roman" w:cs="Times New Roman"/>
                <w:color w:val="auto"/>
                <w:sz w:val="24"/>
                <w:szCs w:val="24"/>
                <w:highlight w:val="none"/>
                <w:lang w:val="en-US" w:eastAsia="zh-CN"/>
              </w:rPr>
              <w:t>0.43</w:t>
            </w:r>
            <w:r>
              <w:rPr>
                <w:rFonts w:hint="default" w:ascii="Times New Roman" w:hAnsi="Times New Roman" w:cs="Times New Roman"/>
                <w:color w:val="auto"/>
                <w:sz w:val="24"/>
                <w:szCs w:val="24"/>
                <w:highlight w:val="none"/>
              </w:rPr>
              <w:t>%），损耗后定期补充，补充水量约为</w:t>
            </w:r>
            <w:r>
              <w:rPr>
                <w:rFonts w:hint="default" w:ascii="Times New Roman" w:hAnsi="Times New Roman" w:cs="Times New Roman"/>
                <w:color w:val="auto"/>
                <w:sz w:val="24"/>
                <w:szCs w:val="24"/>
                <w:highlight w:val="none"/>
                <w:lang w:val="en-US" w:eastAsia="zh-CN"/>
              </w:rPr>
              <w:t>6.2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1860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cs="Times New Roman"/>
                <w:color w:val="auto"/>
                <w:sz w:val="24"/>
                <w:szCs w:val="24"/>
                <w:highlight w:val="none"/>
                <w:lang w:val="en-US" w:eastAsia="zh-CN"/>
              </w:rPr>
              <w:t>冷却水循环系统需定期更换（3个月1次）冷却水循环系统水，更换水量为8m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/次，32m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/a，排水排入污水处理站排放口进入市政污水管网。</w:t>
            </w:r>
          </w:p>
          <w:p w14:paraId="1B5D682C">
            <w:pPr>
              <w:pStyle w:val="10"/>
              <w:snapToGrid w:val="0"/>
              <w:spacing w:line="360" w:lineRule="auto"/>
              <w:ind w:firstLine="480"/>
              <w:jc w:val="both"/>
              <w:rPr>
                <w:rFonts w:hint="default" w:ascii="Times New Roman" w:eastAsia="宋体" w:cs="Times New Roman"/>
                <w:color w:val="auto"/>
                <w:spacing w:val="0"/>
                <w:kern w:val="2"/>
                <w:sz w:val="24"/>
                <w:szCs w:val="24"/>
                <w:highlight w:val="none"/>
                <w:lang w:val="en-US" w:eastAsia="zh-CN" w:bidi="ar-SA"/>
              </w:rPr>
            </w:pPr>
            <w:r>
              <w:rPr>
                <w:rFonts w:hint="eastAsia" w:ascii="Times New Roman" w:eastAsia="宋体" w:cs="Times New Roman"/>
                <w:color w:val="auto"/>
                <w:spacing w:val="0"/>
                <w:kern w:val="2"/>
                <w:sz w:val="24"/>
                <w:szCs w:val="24"/>
                <w:highlight w:val="none"/>
                <w:lang w:val="en-US" w:eastAsia="zh-CN" w:bidi="ar-SA"/>
              </w:rPr>
              <w:t>根据核算，项目精炼规模为600t/d，改建后全厂最大排水量为103.37m</w:t>
            </w:r>
            <w:r>
              <w:rPr>
                <w:rFonts w:hint="eastAsia" w:ascii="Times New Roman" w:eastAsia="宋体" w:cs="Times New Roman"/>
                <w:color w:val="auto"/>
                <w:spacing w:val="0"/>
                <w:kern w:val="2"/>
                <w:sz w:val="24"/>
                <w:szCs w:val="24"/>
                <w:highlight w:val="none"/>
                <w:vertAlign w:val="superscript"/>
                <w:lang w:val="en-US" w:eastAsia="zh-CN" w:bidi="ar-SA"/>
              </w:rPr>
              <w:t>3</w:t>
            </w:r>
            <w:r>
              <w:rPr>
                <w:rFonts w:hint="eastAsia" w:ascii="Times New Roman" w:eastAsia="宋体" w:cs="Times New Roman"/>
                <w:color w:val="auto"/>
                <w:spacing w:val="0"/>
                <w:kern w:val="2"/>
                <w:sz w:val="24"/>
                <w:szCs w:val="24"/>
                <w:highlight w:val="none"/>
                <w:lang w:val="en-US" w:eastAsia="zh-CN" w:bidi="ar-SA"/>
              </w:rPr>
              <w:t>/d，计算出单位产品最大排水量为0.17m</w:t>
            </w:r>
            <w:r>
              <w:rPr>
                <w:rFonts w:hint="eastAsia" w:ascii="Times New Roman" w:eastAsia="宋体" w:cs="Times New Roman"/>
                <w:color w:val="auto"/>
                <w:spacing w:val="0"/>
                <w:kern w:val="2"/>
                <w:sz w:val="24"/>
                <w:szCs w:val="24"/>
                <w:highlight w:val="none"/>
                <w:vertAlign w:val="superscript"/>
                <w:lang w:val="en-US" w:eastAsia="zh-CN" w:bidi="ar-SA"/>
              </w:rPr>
              <w:t>3</w:t>
            </w:r>
            <w:r>
              <w:rPr>
                <w:rFonts w:hint="eastAsia" w:ascii="Times New Roman" w:eastAsia="宋体" w:cs="Times New Roman"/>
                <w:color w:val="auto"/>
                <w:spacing w:val="0"/>
                <w:kern w:val="2"/>
                <w:sz w:val="24"/>
                <w:szCs w:val="24"/>
                <w:highlight w:val="none"/>
                <w:lang w:val="en-US" w:eastAsia="zh-CN" w:bidi="ar-SA"/>
              </w:rPr>
              <w:t>/t-产品，小于</w:t>
            </w:r>
            <w:r>
              <w:rPr>
                <w:rFonts w:hint="default" w:ascii="Times New Roman" w:eastAsia="宋体" w:cs="Times New Roman"/>
                <w:color w:val="auto"/>
                <w:spacing w:val="0"/>
                <w:kern w:val="2"/>
                <w:sz w:val="24"/>
                <w:szCs w:val="24"/>
                <w:highlight w:val="none"/>
                <w:lang w:val="en-US" w:eastAsia="zh-CN" w:bidi="ar-SA"/>
              </w:rPr>
              <w:t>《</w:t>
            </w:r>
            <w:r>
              <w:rPr>
                <w:rFonts w:hint="eastAsia" w:ascii="Times New Roman" w:eastAsia="宋体" w:cs="Times New Roman"/>
                <w:color w:val="auto"/>
                <w:spacing w:val="0"/>
                <w:kern w:val="2"/>
                <w:sz w:val="24"/>
                <w:szCs w:val="24"/>
                <w:highlight w:val="none"/>
                <w:lang w:val="en-US" w:eastAsia="zh-CN" w:bidi="ar-SA"/>
              </w:rPr>
              <w:t>食品加工制造业水污染物排放标准</w:t>
            </w:r>
            <w:r>
              <w:rPr>
                <w:rFonts w:hint="default" w:ascii="Times New Roman" w:eastAsia="宋体" w:cs="Times New Roman"/>
                <w:color w:val="auto"/>
                <w:spacing w:val="0"/>
                <w:kern w:val="2"/>
                <w:sz w:val="24"/>
                <w:szCs w:val="24"/>
                <w:highlight w:val="none"/>
                <w:lang w:val="en-US" w:eastAsia="zh-CN" w:bidi="ar-SA"/>
              </w:rPr>
              <w:t>》（GB</w:t>
            </w:r>
            <w:r>
              <w:rPr>
                <w:rFonts w:hint="eastAsia" w:ascii="Times New Roman" w:eastAsia="宋体" w:cs="Times New Roman"/>
                <w:color w:val="auto"/>
                <w:spacing w:val="0"/>
                <w:kern w:val="2"/>
                <w:sz w:val="24"/>
                <w:szCs w:val="24"/>
                <w:highlight w:val="none"/>
                <w:lang w:val="en-US" w:eastAsia="zh-CN" w:bidi="ar-SA"/>
              </w:rPr>
              <w:t>46817</w:t>
            </w:r>
            <w:r>
              <w:rPr>
                <w:rFonts w:hint="default" w:ascii="Times New Roman" w:eastAsia="宋体" w:cs="Times New Roman"/>
                <w:color w:val="auto"/>
                <w:spacing w:val="0"/>
                <w:kern w:val="2"/>
                <w:sz w:val="24"/>
                <w:szCs w:val="24"/>
                <w:highlight w:val="none"/>
                <w:lang w:val="en-US" w:eastAsia="zh-CN" w:bidi="ar-SA"/>
              </w:rPr>
              <w:t>-</w:t>
            </w:r>
            <w:r>
              <w:rPr>
                <w:rFonts w:hint="eastAsia" w:ascii="Times New Roman" w:eastAsia="宋体" w:cs="Times New Roman"/>
                <w:color w:val="auto"/>
                <w:spacing w:val="0"/>
                <w:kern w:val="2"/>
                <w:sz w:val="24"/>
                <w:szCs w:val="24"/>
                <w:highlight w:val="none"/>
                <w:lang w:val="en-US" w:eastAsia="zh-CN" w:bidi="ar-SA"/>
              </w:rPr>
              <w:t>2025</w:t>
            </w:r>
            <w:r>
              <w:rPr>
                <w:rFonts w:hint="default" w:ascii="Times New Roman" w:eastAsia="宋体" w:cs="Times New Roman"/>
                <w:color w:val="auto"/>
                <w:spacing w:val="0"/>
                <w:kern w:val="2"/>
                <w:sz w:val="24"/>
                <w:szCs w:val="24"/>
                <w:highlight w:val="none"/>
                <w:lang w:val="en-US" w:eastAsia="zh-CN" w:bidi="ar-SA"/>
              </w:rPr>
              <w:t>）</w:t>
            </w:r>
            <w:r>
              <w:rPr>
                <w:rFonts w:hint="eastAsia" w:ascii="Times New Roman" w:eastAsia="宋体" w:cs="Times New Roman"/>
                <w:color w:val="auto"/>
                <w:spacing w:val="0"/>
                <w:kern w:val="2"/>
                <w:sz w:val="24"/>
                <w:szCs w:val="24"/>
                <w:highlight w:val="none"/>
                <w:lang w:val="en-US" w:eastAsia="zh-CN" w:bidi="ar-SA"/>
              </w:rPr>
              <w:t>表2中植物油加工“以植物原油为原料精制制得的植物油”0.8m</w:t>
            </w:r>
            <w:r>
              <w:rPr>
                <w:rFonts w:hint="eastAsia" w:ascii="Times New Roman" w:eastAsia="宋体" w:cs="Times New Roman"/>
                <w:color w:val="auto"/>
                <w:spacing w:val="0"/>
                <w:kern w:val="2"/>
                <w:sz w:val="24"/>
                <w:szCs w:val="24"/>
                <w:highlight w:val="none"/>
                <w:vertAlign w:val="superscript"/>
                <w:lang w:val="en-US" w:eastAsia="zh-CN" w:bidi="ar-SA"/>
              </w:rPr>
              <w:t>3</w:t>
            </w:r>
            <w:r>
              <w:rPr>
                <w:rFonts w:hint="eastAsia" w:ascii="Times New Roman" w:eastAsia="宋体" w:cs="Times New Roman"/>
                <w:color w:val="auto"/>
                <w:spacing w:val="0"/>
                <w:kern w:val="2"/>
                <w:sz w:val="24"/>
                <w:szCs w:val="24"/>
                <w:highlight w:val="none"/>
                <w:lang w:val="en-US" w:eastAsia="zh-CN" w:bidi="ar-SA"/>
              </w:rPr>
              <w:t>/t-产品，满足标准要求。</w:t>
            </w:r>
          </w:p>
          <w:p w14:paraId="1A6B8383">
            <w:pPr>
              <w:pStyle w:val="10"/>
              <w:snapToGrid w:val="0"/>
              <w:spacing w:line="360" w:lineRule="auto"/>
              <w:ind w:firstLine="480"/>
              <w:jc w:val="both"/>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eastAsia="宋体" w:cs="Times New Roman"/>
                <w:color w:val="auto"/>
                <w:spacing w:val="0"/>
                <w:kern w:val="2"/>
                <w:sz w:val="24"/>
                <w:szCs w:val="24"/>
                <w:highlight w:val="none"/>
                <w:lang w:val="en-US" w:eastAsia="zh-CN" w:bidi="ar-SA"/>
              </w:rPr>
              <w:t>本项目</w:t>
            </w:r>
            <w:r>
              <w:rPr>
                <w:rFonts w:hint="default" w:ascii="Times New Roman" w:hAnsi="Times New Roman" w:eastAsia="宋体" w:cs="Times New Roman"/>
                <w:color w:val="auto"/>
                <w:spacing w:val="0"/>
                <w:kern w:val="2"/>
                <w:sz w:val="24"/>
                <w:szCs w:val="24"/>
                <w:highlight w:val="none"/>
                <w:lang w:val="en-US" w:eastAsia="zh-CN" w:bidi="ar-SA"/>
              </w:rPr>
              <w:t>用水情况见表2.3-1</w:t>
            </w:r>
            <w:r>
              <w:rPr>
                <w:rFonts w:hint="eastAsia" w:ascii="Times New Roman" w:eastAsia="宋体" w:cs="Times New Roman"/>
                <w:color w:val="auto"/>
                <w:spacing w:val="0"/>
                <w:kern w:val="2"/>
                <w:sz w:val="24"/>
                <w:szCs w:val="24"/>
                <w:highlight w:val="none"/>
                <w:lang w:val="en-US" w:eastAsia="zh-CN" w:bidi="ar-SA"/>
              </w:rPr>
              <w:t>5</w:t>
            </w:r>
            <w:r>
              <w:rPr>
                <w:rFonts w:hint="default" w:ascii="Times New Roman" w:hAnsi="Times New Roman" w:eastAsia="宋体" w:cs="Times New Roman"/>
                <w:color w:val="auto"/>
                <w:spacing w:val="0"/>
                <w:kern w:val="2"/>
                <w:sz w:val="24"/>
                <w:szCs w:val="24"/>
                <w:highlight w:val="none"/>
                <w:lang w:val="en-US" w:eastAsia="zh-CN" w:bidi="ar-SA"/>
              </w:rPr>
              <w:t>。</w:t>
            </w:r>
          </w:p>
          <w:p w14:paraId="0CD72B96">
            <w:pPr>
              <w:rPr>
                <w:rFonts w:hint="default" w:ascii="Times New Roman" w:hAnsi="Times New Roman" w:eastAsia="宋体" w:cs="Times New Roman"/>
                <w:color w:val="auto"/>
                <w:spacing w:val="0"/>
                <w:kern w:val="2"/>
                <w:sz w:val="24"/>
                <w:szCs w:val="24"/>
                <w:highlight w:val="none"/>
                <w:lang w:val="en-US" w:eastAsia="zh-CN" w:bidi="ar-SA"/>
              </w:rPr>
            </w:pPr>
          </w:p>
          <w:p w14:paraId="38C2B554">
            <w:pPr>
              <w:pStyle w:val="2"/>
              <w:rPr>
                <w:rFonts w:hint="default" w:ascii="Times New Roman" w:hAnsi="Times New Roman" w:eastAsia="宋体" w:cs="Times New Roman"/>
                <w:color w:val="auto"/>
                <w:spacing w:val="0"/>
                <w:kern w:val="2"/>
                <w:sz w:val="24"/>
                <w:szCs w:val="24"/>
                <w:highlight w:val="none"/>
                <w:lang w:val="en-US" w:eastAsia="zh-CN" w:bidi="ar-SA"/>
              </w:rPr>
            </w:pPr>
          </w:p>
          <w:p w14:paraId="287F3513">
            <w:pPr>
              <w:pStyle w:val="3"/>
              <w:rPr>
                <w:rFonts w:hint="default" w:ascii="Times New Roman" w:hAnsi="Times New Roman" w:eastAsia="宋体" w:cs="Times New Roman"/>
                <w:color w:val="auto"/>
                <w:spacing w:val="0"/>
                <w:kern w:val="2"/>
                <w:sz w:val="24"/>
                <w:szCs w:val="24"/>
                <w:highlight w:val="none"/>
                <w:lang w:val="en-US" w:eastAsia="zh-CN" w:bidi="ar-SA"/>
              </w:rPr>
            </w:pPr>
          </w:p>
          <w:p w14:paraId="178DDC53">
            <w:pPr>
              <w:rPr>
                <w:rFonts w:hint="default" w:ascii="Times New Roman" w:hAnsi="Times New Roman" w:eastAsia="宋体" w:cs="Times New Roman"/>
                <w:color w:val="auto"/>
                <w:spacing w:val="0"/>
                <w:kern w:val="2"/>
                <w:sz w:val="24"/>
                <w:szCs w:val="24"/>
                <w:highlight w:val="none"/>
                <w:lang w:val="en-US" w:eastAsia="zh-CN" w:bidi="ar-SA"/>
              </w:rPr>
            </w:pPr>
          </w:p>
          <w:p w14:paraId="28087577">
            <w:pPr>
              <w:pStyle w:val="2"/>
              <w:rPr>
                <w:rFonts w:hint="default" w:ascii="Times New Roman" w:hAnsi="Times New Roman" w:eastAsia="宋体" w:cs="Times New Roman"/>
                <w:color w:val="auto"/>
                <w:spacing w:val="0"/>
                <w:kern w:val="2"/>
                <w:sz w:val="24"/>
                <w:szCs w:val="24"/>
                <w:highlight w:val="none"/>
                <w:lang w:val="en-US" w:eastAsia="zh-CN" w:bidi="ar-SA"/>
              </w:rPr>
            </w:pPr>
          </w:p>
          <w:p w14:paraId="08F63FC6">
            <w:pPr>
              <w:pStyle w:val="3"/>
              <w:rPr>
                <w:rFonts w:hint="default" w:ascii="Times New Roman" w:hAnsi="Times New Roman" w:eastAsia="宋体" w:cs="Times New Roman"/>
                <w:color w:val="auto"/>
                <w:spacing w:val="0"/>
                <w:kern w:val="2"/>
                <w:sz w:val="24"/>
                <w:szCs w:val="24"/>
                <w:highlight w:val="none"/>
                <w:lang w:val="en-US" w:eastAsia="zh-CN" w:bidi="ar-SA"/>
              </w:rPr>
            </w:pPr>
          </w:p>
          <w:p w14:paraId="05080C41">
            <w:pPr>
              <w:rPr>
                <w:rFonts w:hint="default" w:ascii="Times New Roman" w:hAnsi="Times New Roman" w:eastAsia="宋体" w:cs="Times New Roman"/>
                <w:color w:val="auto"/>
                <w:spacing w:val="0"/>
                <w:kern w:val="2"/>
                <w:sz w:val="24"/>
                <w:szCs w:val="24"/>
                <w:highlight w:val="none"/>
                <w:lang w:val="en-US" w:eastAsia="zh-CN" w:bidi="ar-SA"/>
              </w:rPr>
            </w:pPr>
          </w:p>
          <w:p w14:paraId="49146F02">
            <w:pPr>
              <w:pStyle w:val="2"/>
              <w:rPr>
                <w:rFonts w:hint="default" w:ascii="Times New Roman" w:hAnsi="Times New Roman" w:eastAsia="宋体" w:cs="Times New Roman"/>
                <w:color w:val="auto"/>
                <w:spacing w:val="0"/>
                <w:kern w:val="2"/>
                <w:sz w:val="24"/>
                <w:szCs w:val="24"/>
                <w:highlight w:val="none"/>
                <w:lang w:val="en-US" w:eastAsia="zh-CN" w:bidi="ar-SA"/>
              </w:rPr>
            </w:pPr>
          </w:p>
          <w:p w14:paraId="3E764727">
            <w:pPr>
              <w:pStyle w:val="3"/>
              <w:rPr>
                <w:rFonts w:hint="default" w:ascii="Times New Roman" w:hAnsi="Times New Roman" w:eastAsia="宋体" w:cs="Times New Roman"/>
                <w:color w:val="auto"/>
                <w:spacing w:val="0"/>
                <w:kern w:val="2"/>
                <w:sz w:val="24"/>
                <w:szCs w:val="24"/>
                <w:highlight w:val="none"/>
                <w:lang w:val="en-US" w:eastAsia="zh-CN" w:bidi="ar-SA"/>
              </w:rPr>
            </w:pPr>
          </w:p>
          <w:p w14:paraId="087AD9FD">
            <w:pPr>
              <w:rPr>
                <w:rFonts w:hint="default" w:ascii="Times New Roman" w:hAnsi="Times New Roman" w:eastAsia="宋体" w:cs="Times New Roman"/>
                <w:color w:val="auto"/>
                <w:spacing w:val="0"/>
                <w:kern w:val="2"/>
                <w:sz w:val="24"/>
                <w:szCs w:val="24"/>
                <w:highlight w:val="none"/>
                <w:lang w:val="en-US" w:eastAsia="zh-CN" w:bidi="ar-SA"/>
              </w:rPr>
            </w:pPr>
          </w:p>
          <w:p w14:paraId="0D329165">
            <w:pPr>
              <w:pStyle w:val="2"/>
              <w:rPr>
                <w:rFonts w:hint="default" w:ascii="Times New Roman" w:hAnsi="Times New Roman" w:eastAsia="宋体" w:cs="Times New Roman"/>
                <w:color w:val="auto"/>
                <w:spacing w:val="0"/>
                <w:kern w:val="2"/>
                <w:sz w:val="24"/>
                <w:szCs w:val="24"/>
                <w:highlight w:val="none"/>
                <w:lang w:val="en-US" w:eastAsia="zh-CN" w:bidi="ar-SA"/>
              </w:rPr>
            </w:pPr>
          </w:p>
          <w:p w14:paraId="19749FFC">
            <w:pPr>
              <w:pStyle w:val="3"/>
              <w:rPr>
                <w:rFonts w:hint="default" w:ascii="Times New Roman" w:hAnsi="Times New Roman" w:eastAsia="宋体" w:cs="Times New Roman"/>
                <w:color w:val="auto"/>
                <w:spacing w:val="0"/>
                <w:kern w:val="2"/>
                <w:sz w:val="24"/>
                <w:szCs w:val="24"/>
                <w:highlight w:val="none"/>
                <w:lang w:val="en-US" w:eastAsia="zh-CN" w:bidi="ar-SA"/>
              </w:rPr>
            </w:pPr>
          </w:p>
          <w:p w14:paraId="50AE0CFE">
            <w:pPr>
              <w:rPr>
                <w:rFonts w:hint="default" w:ascii="Times New Roman" w:hAnsi="Times New Roman" w:eastAsia="宋体" w:cs="Times New Roman"/>
                <w:color w:val="auto"/>
                <w:spacing w:val="0"/>
                <w:kern w:val="2"/>
                <w:sz w:val="24"/>
                <w:szCs w:val="24"/>
                <w:highlight w:val="none"/>
                <w:lang w:val="en-US" w:eastAsia="zh-CN" w:bidi="ar-SA"/>
              </w:rPr>
            </w:pPr>
          </w:p>
          <w:p w14:paraId="3AD68A20">
            <w:pPr>
              <w:pStyle w:val="2"/>
              <w:rPr>
                <w:rFonts w:hint="default" w:ascii="Times New Roman" w:hAnsi="Times New Roman" w:eastAsia="宋体" w:cs="Times New Roman"/>
                <w:color w:val="auto"/>
                <w:spacing w:val="0"/>
                <w:kern w:val="2"/>
                <w:sz w:val="24"/>
                <w:szCs w:val="24"/>
                <w:highlight w:val="none"/>
                <w:lang w:val="en-US" w:eastAsia="zh-CN" w:bidi="ar-SA"/>
              </w:rPr>
            </w:pPr>
          </w:p>
          <w:p w14:paraId="4DE58A7D">
            <w:pPr>
              <w:pStyle w:val="3"/>
              <w:rPr>
                <w:rFonts w:hint="default" w:ascii="Times New Roman" w:hAnsi="Times New Roman" w:eastAsia="宋体" w:cs="Times New Roman"/>
                <w:color w:val="auto"/>
                <w:spacing w:val="0"/>
                <w:kern w:val="2"/>
                <w:sz w:val="24"/>
                <w:szCs w:val="24"/>
                <w:highlight w:val="none"/>
                <w:lang w:val="en-US" w:eastAsia="zh-CN" w:bidi="ar-SA"/>
              </w:rPr>
            </w:pPr>
          </w:p>
          <w:p w14:paraId="62E5537B">
            <w:pPr>
              <w:rPr>
                <w:rFonts w:hint="default" w:ascii="Times New Roman" w:hAnsi="Times New Roman" w:eastAsia="宋体" w:cs="Times New Roman"/>
                <w:color w:val="auto"/>
                <w:spacing w:val="0"/>
                <w:kern w:val="2"/>
                <w:sz w:val="24"/>
                <w:szCs w:val="24"/>
                <w:highlight w:val="none"/>
                <w:lang w:val="en-US" w:eastAsia="zh-CN" w:bidi="ar-SA"/>
              </w:rPr>
            </w:pPr>
          </w:p>
          <w:p w14:paraId="48F0620D">
            <w:pPr>
              <w:pStyle w:val="2"/>
              <w:rPr>
                <w:rFonts w:hint="default" w:ascii="Times New Roman" w:hAnsi="Times New Roman" w:eastAsia="宋体" w:cs="Times New Roman"/>
                <w:color w:val="auto"/>
                <w:spacing w:val="0"/>
                <w:kern w:val="2"/>
                <w:sz w:val="24"/>
                <w:szCs w:val="24"/>
                <w:highlight w:val="none"/>
                <w:lang w:val="en-US" w:eastAsia="zh-CN" w:bidi="ar-SA"/>
              </w:rPr>
            </w:pPr>
          </w:p>
          <w:p w14:paraId="67C590B3">
            <w:pPr>
              <w:pStyle w:val="3"/>
              <w:rPr>
                <w:rFonts w:hint="default" w:ascii="Times New Roman" w:hAnsi="Times New Roman" w:eastAsia="宋体" w:cs="Times New Roman"/>
                <w:color w:val="auto"/>
                <w:spacing w:val="0"/>
                <w:kern w:val="2"/>
                <w:sz w:val="24"/>
                <w:szCs w:val="24"/>
                <w:highlight w:val="none"/>
                <w:lang w:val="en-US" w:eastAsia="zh-CN" w:bidi="ar-SA"/>
              </w:rPr>
            </w:pPr>
          </w:p>
          <w:p w14:paraId="1EF980B2">
            <w:pPr>
              <w:rPr>
                <w:rFonts w:hint="default" w:ascii="Times New Roman" w:hAnsi="Times New Roman" w:eastAsia="宋体" w:cs="Times New Roman"/>
                <w:color w:val="auto"/>
                <w:spacing w:val="0"/>
                <w:kern w:val="2"/>
                <w:sz w:val="24"/>
                <w:szCs w:val="24"/>
                <w:highlight w:val="none"/>
                <w:lang w:val="en-US" w:eastAsia="zh-CN" w:bidi="ar-SA"/>
              </w:rPr>
            </w:pPr>
          </w:p>
          <w:p w14:paraId="36C65EFE">
            <w:pPr>
              <w:pStyle w:val="2"/>
              <w:rPr>
                <w:rFonts w:hint="eastAsia"/>
                <w:lang w:val="en-US" w:eastAsia="zh-CN"/>
              </w:rPr>
            </w:pPr>
          </w:p>
        </w:tc>
      </w:tr>
      <w:tr w14:paraId="30487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noWrap w:val="0"/>
            <w:vAlign w:val="center"/>
          </w:tcPr>
          <w:p w14:paraId="3AE23EE4">
            <w:pPr>
              <w:pStyle w:val="16"/>
              <w:pageBreakBefore w:val="0"/>
              <w:kinsoku/>
              <w:wordWrap/>
              <w:overflowPunct w:val="0"/>
              <w:topLinePunct/>
              <w:bidi w:val="0"/>
              <w:adjustRightInd w:val="0"/>
              <w:snapToGrid w:val="0"/>
              <w:spacing w:before="0" w:beforeAutospacing="0" w:after="0" w:afterAutospacing="0"/>
              <w:jc w:val="center"/>
              <w:rPr>
                <w:rFonts w:hint="default" w:ascii="Times New Roman" w:hAnsi="Times New Roman" w:eastAsia="宋体" w:cs="Times New Roman"/>
                <w:b/>
                <w:bCs/>
                <w:color w:val="auto"/>
                <w:sz w:val="24"/>
                <w:szCs w:val="24"/>
                <w:highlight w:val="none"/>
              </w:rPr>
            </w:pPr>
          </w:p>
        </w:tc>
        <w:tc>
          <w:tcPr>
            <w:tcW w:w="4747" w:type="pct"/>
            <w:vMerge w:val="continue"/>
            <w:noWrap w:val="0"/>
            <w:vAlign w:val="center"/>
          </w:tcPr>
          <w:p w14:paraId="1EA7A460">
            <w:pPr>
              <w:pStyle w:val="10"/>
              <w:snapToGrid w:val="0"/>
              <w:spacing w:line="360" w:lineRule="auto"/>
              <w:ind w:firstLine="480"/>
              <w:jc w:val="both"/>
              <w:rPr>
                <w:rFonts w:hint="eastAsia" w:ascii="Times New Roman" w:eastAsia="宋体" w:cs="Times New Roman"/>
                <w:color w:val="auto"/>
                <w:spacing w:val="0"/>
                <w:kern w:val="2"/>
                <w:sz w:val="24"/>
                <w:szCs w:val="24"/>
                <w:highlight w:val="none"/>
                <w:lang w:val="en-US" w:eastAsia="zh-CN" w:bidi="ar-SA"/>
              </w:rPr>
            </w:pPr>
          </w:p>
        </w:tc>
      </w:tr>
    </w:tbl>
    <w:p w14:paraId="7473A85A">
      <w:pPr>
        <w:rPr>
          <w:color w:val="auto"/>
          <w:highlight w:val="none"/>
        </w:rPr>
        <w:sectPr>
          <w:pgSz w:w="11907" w:h="16840"/>
          <w:pgMar w:top="1701" w:right="1531" w:bottom="2127" w:left="1531" w:header="851" w:footer="1814"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13006"/>
      </w:tblGrid>
      <w:tr w14:paraId="42E9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dxa"/>
          </w:tcPr>
          <w:p w14:paraId="10A19CB3">
            <w:pPr>
              <w:pStyle w:val="2"/>
              <w:rPr>
                <w:color w:val="auto"/>
                <w:highlight w:val="none"/>
                <w:vertAlign w:val="baseline"/>
              </w:rPr>
            </w:pPr>
          </w:p>
        </w:tc>
        <w:tc>
          <w:tcPr>
            <w:tcW w:w="13006" w:type="dxa"/>
          </w:tcPr>
          <w:p w14:paraId="6B5B3548">
            <w:pPr>
              <w:pStyle w:val="10"/>
              <w:snapToGrid w:val="0"/>
              <w:spacing w:line="360" w:lineRule="auto"/>
              <w:ind w:left="0" w:leftChars="0" w:firstLine="0" w:firstLineChars="0"/>
              <w:jc w:val="center"/>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表2.3-1</w:t>
            </w:r>
            <w:r>
              <w:rPr>
                <w:rFonts w:hint="eastAsia" w:ascii="Times New Roman" w:eastAsia="宋体" w:cs="Times New Roman"/>
                <w:b/>
                <w:bCs/>
                <w:color w:val="auto"/>
                <w:spacing w:val="0"/>
                <w:kern w:val="2"/>
                <w:sz w:val="24"/>
                <w:szCs w:val="24"/>
                <w:highlight w:val="none"/>
                <w:lang w:val="en-US" w:eastAsia="zh-CN" w:bidi="ar-SA"/>
              </w:rPr>
              <w:t>5</w:t>
            </w:r>
            <w:r>
              <w:rPr>
                <w:rFonts w:hint="default" w:ascii="Times New Roman" w:hAnsi="Times New Roman" w:eastAsia="宋体" w:cs="Times New Roman"/>
                <w:b/>
                <w:bCs/>
                <w:color w:val="auto"/>
                <w:spacing w:val="0"/>
                <w:kern w:val="2"/>
                <w:sz w:val="24"/>
                <w:szCs w:val="24"/>
                <w:highlight w:val="none"/>
                <w:lang w:val="en-US" w:eastAsia="zh-CN" w:bidi="ar-SA"/>
              </w:rPr>
              <w:t>项目用水量一览表</w:t>
            </w:r>
          </w:p>
          <w:tbl>
            <w:tblPr>
              <w:tblStyle w:val="18"/>
              <w:tblW w:w="12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6"/>
              <w:gridCol w:w="1171"/>
              <w:gridCol w:w="79"/>
              <w:gridCol w:w="1250"/>
              <w:gridCol w:w="946"/>
              <w:gridCol w:w="1330"/>
              <w:gridCol w:w="946"/>
              <w:gridCol w:w="949"/>
              <w:gridCol w:w="987"/>
              <w:gridCol w:w="951"/>
              <w:gridCol w:w="946"/>
              <w:gridCol w:w="1332"/>
              <w:gridCol w:w="947"/>
            </w:tblGrid>
            <w:tr w14:paraId="5F3FF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78D37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978" w:type="pct"/>
                  <w:gridSpan w:val="3"/>
                  <w:vMerge w:val="restart"/>
                  <w:tcBorders>
                    <w:top w:val="single" w:color="000000" w:sz="8" w:space="0"/>
                    <w:left w:val="nil"/>
                    <w:bottom w:val="single" w:color="000000" w:sz="8" w:space="0"/>
                    <w:right w:val="single" w:color="000000" w:sz="8" w:space="0"/>
                  </w:tcBorders>
                  <w:shd w:val="clear" w:color="auto" w:fill="auto"/>
                  <w:vAlign w:val="center"/>
                </w:tcPr>
                <w:p w14:paraId="19D172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用水名称</w:t>
                  </w:r>
                </w:p>
              </w:tc>
              <w:tc>
                <w:tcPr>
                  <w:tcW w:w="370" w:type="pct"/>
                  <w:vMerge w:val="restart"/>
                  <w:tcBorders>
                    <w:top w:val="single" w:color="000000" w:sz="8" w:space="0"/>
                    <w:left w:val="nil"/>
                    <w:bottom w:val="single" w:color="000000" w:sz="8" w:space="0"/>
                    <w:right w:val="single" w:color="000000" w:sz="8" w:space="0"/>
                  </w:tcBorders>
                  <w:shd w:val="clear" w:color="auto" w:fill="auto"/>
                  <w:vAlign w:val="center"/>
                </w:tcPr>
                <w:p w14:paraId="4FDFE0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用水规模</w:t>
                  </w:r>
                </w:p>
              </w:tc>
              <w:tc>
                <w:tcPr>
                  <w:tcW w:w="520" w:type="pct"/>
                  <w:vMerge w:val="restart"/>
                  <w:tcBorders>
                    <w:top w:val="single" w:color="000000" w:sz="8" w:space="0"/>
                    <w:left w:val="nil"/>
                    <w:bottom w:val="single" w:color="000000" w:sz="8" w:space="0"/>
                    <w:right w:val="single" w:color="000000" w:sz="8" w:space="0"/>
                  </w:tcBorders>
                  <w:shd w:val="clear" w:color="auto" w:fill="auto"/>
                  <w:vAlign w:val="center"/>
                </w:tcPr>
                <w:p w14:paraId="3DD81D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用水标准</w:t>
                  </w:r>
                </w:p>
              </w:tc>
              <w:tc>
                <w:tcPr>
                  <w:tcW w:w="741" w:type="pct"/>
                  <w:gridSpan w:val="2"/>
                  <w:tcBorders>
                    <w:top w:val="single" w:color="000000" w:sz="8" w:space="0"/>
                    <w:left w:val="nil"/>
                    <w:bottom w:val="single" w:color="000000" w:sz="8" w:space="0"/>
                    <w:right w:val="single" w:color="000000" w:sz="8" w:space="0"/>
                  </w:tcBorders>
                  <w:shd w:val="clear" w:color="auto" w:fill="auto"/>
                  <w:vAlign w:val="center"/>
                </w:tcPr>
                <w:p w14:paraId="0BF4D5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新鲜水用量</w:t>
                  </w:r>
                </w:p>
              </w:tc>
              <w:tc>
                <w:tcPr>
                  <w:tcW w:w="758" w:type="pct"/>
                  <w:gridSpan w:val="2"/>
                  <w:tcBorders>
                    <w:top w:val="single" w:color="000000" w:sz="8" w:space="0"/>
                    <w:left w:val="nil"/>
                    <w:bottom w:val="single" w:color="000000" w:sz="8" w:space="0"/>
                    <w:right w:val="single" w:color="000000" w:sz="8" w:space="0"/>
                  </w:tcBorders>
                  <w:shd w:val="clear" w:color="auto" w:fill="auto"/>
                  <w:vAlign w:val="center"/>
                </w:tcPr>
                <w:p w14:paraId="14161F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日最大用水量</w:t>
                  </w:r>
                </w:p>
              </w:tc>
              <w:tc>
                <w:tcPr>
                  <w:tcW w:w="891" w:type="pct"/>
                  <w:gridSpan w:val="2"/>
                  <w:tcBorders>
                    <w:top w:val="single" w:color="000000" w:sz="8" w:space="0"/>
                    <w:left w:val="nil"/>
                    <w:bottom w:val="single" w:color="000000" w:sz="8" w:space="0"/>
                    <w:right w:val="single" w:color="000000" w:sz="8" w:space="0"/>
                  </w:tcBorders>
                  <w:shd w:val="clear" w:color="auto" w:fill="auto"/>
                  <w:vAlign w:val="center"/>
                </w:tcPr>
                <w:p w14:paraId="79C427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排水量</w:t>
                  </w:r>
                </w:p>
              </w:tc>
              <w:tc>
                <w:tcPr>
                  <w:tcW w:w="370" w:type="pct"/>
                  <w:vMerge w:val="restart"/>
                  <w:tcBorders>
                    <w:top w:val="single" w:color="000000" w:sz="8" w:space="0"/>
                    <w:left w:val="nil"/>
                    <w:bottom w:val="single" w:color="000000" w:sz="8" w:space="0"/>
                    <w:right w:val="single" w:color="000000" w:sz="8" w:space="0"/>
                  </w:tcBorders>
                  <w:shd w:val="clear" w:color="auto" w:fill="auto"/>
                  <w:vAlign w:val="center"/>
                </w:tcPr>
                <w:p w14:paraId="0147CD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循环量</w:t>
                  </w:r>
                  <w:r>
                    <w:rPr>
                      <w:rFonts w:hint="default" w:ascii="Times New Roman" w:hAnsi="Times New Roman" w:eastAsia="宋体" w:cs="Times New Roman"/>
                      <w:i w:val="0"/>
                      <w:iCs w:val="0"/>
                      <w:color w:val="auto"/>
                      <w:kern w:val="0"/>
                      <w:sz w:val="21"/>
                      <w:szCs w:val="21"/>
                      <w:highlight w:val="none"/>
                      <w:u w:val="none"/>
                      <w:lang w:val="en-US" w:eastAsia="zh-CN" w:bidi="ar"/>
                    </w:rPr>
                    <w:t>m</w:t>
                  </w:r>
                  <w:r>
                    <w:rPr>
                      <w:rStyle w:val="60"/>
                      <w:rFonts w:eastAsia="宋体"/>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/d</w:t>
                  </w:r>
                </w:p>
              </w:tc>
            </w:tr>
            <w:tr w14:paraId="5848D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8B20373">
                  <w:pPr>
                    <w:jc w:val="center"/>
                    <w:rPr>
                      <w:rFonts w:hint="eastAsia" w:ascii="宋体" w:hAnsi="宋体" w:eastAsia="宋体" w:cs="宋体"/>
                      <w:i w:val="0"/>
                      <w:iCs w:val="0"/>
                      <w:color w:val="auto"/>
                      <w:sz w:val="21"/>
                      <w:szCs w:val="21"/>
                      <w:highlight w:val="none"/>
                      <w:u w:val="none"/>
                    </w:rPr>
                  </w:pPr>
                </w:p>
              </w:tc>
              <w:tc>
                <w:tcPr>
                  <w:tcW w:w="978" w:type="pct"/>
                  <w:gridSpan w:val="3"/>
                  <w:vMerge w:val="continue"/>
                  <w:tcBorders>
                    <w:top w:val="single" w:color="000000" w:sz="8" w:space="0"/>
                    <w:left w:val="nil"/>
                    <w:bottom w:val="single" w:color="000000" w:sz="8" w:space="0"/>
                    <w:right w:val="single" w:color="000000" w:sz="8" w:space="0"/>
                  </w:tcBorders>
                  <w:shd w:val="clear" w:color="auto" w:fill="auto"/>
                  <w:vAlign w:val="center"/>
                </w:tcPr>
                <w:p w14:paraId="0DAA5484">
                  <w:pPr>
                    <w:jc w:val="center"/>
                    <w:rPr>
                      <w:rFonts w:hint="eastAsia" w:ascii="宋体" w:hAnsi="宋体" w:eastAsia="宋体" w:cs="宋体"/>
                      <w:i w:val="0"/>
                      <w:iCs w:val="0"/>
                      <w:color w:val="auto"/>
                      <w:sz w:val="21"/>
                      <w:szCs w:val="21"/>
                      <w:highlight w:val="none"/>
                      <w:u w:val="none"/>
                    </w:rPr>
                  </w:pPr>
                </w:p>
              </w:tc>
              <w:tc>
                <w:tcPr>
                  <w:tcW w:w="370" w:type="pct"/>
                  <w:vMerge w:val="continue"/>
                  <w:tcBorders>
                    <w:top w:val="single" w:color="000000" w:sz="8" w:space="0"/>
                    <w:left w:val="nil"/>
                    <w:bottom w:val="single" w:color="000000" w:sz="8" w:space="0"/>
                    <w:right w:val="single" w:color="000000" w:sz="8" w:space="0"/>
                  </w:tcBorders>
                  <w:shd w:val="clear" w:color="auto" w:fill="auto"/>
                  <w:vAlign w:val="center"/>
                </w:tcPr>
                <w:p w14:paraId="5A85BC15">
                  <w:pPr>
                    <w:jc w:val="center"/>
                    <w:rPr>
                      <w:rFonts w:hint="eastAsia" w:ascii="宋体" w:hAnsi="宋体" w:eastAsia="宋体" w:cs="宋体"/>
                      <w:i w:val="0"/>
                      <w:iCs w:val="0"/>
                      <w:color w:val="auto"/>
                      <w:sz w:val="21"/>
                      <w:szCs w:val="21"/>
                      <w:highlight w:val="none"/>
                      <w:u w:val="none"/>
                    </w:rPr>
                  </w:pPr>
                </w:p>
              </w:tc>
              <w:tc>
                <w:tcPr>
                  <w:tcW w:w="520" w:type="pct"/>
                  <w:vMerge w:val="continue"/>
                  <w:tcBorders>
                    <w:top w:val="single" w:color="000000" w:sz="8" w:space="0"/>
                    <w:left w:val="nil"/>
                    <w:bottom w:val="single" w:color="000000" w:sz="8" w:space="0"/>
                    <w:right w:val="single" w:color="000000" w:sz="8" w:space="0"/>
                  </w:tcBorders>
                  <w:shd w:val="clear" w:color="auto" w:fill="auto"/>
                  <w:vAlign w:val="center"/>
                </w:tcPr>
                <w:p w14:paraId="38154915">
                  <w:pPr>
                    <w:jc w:val="center"/>
                    <w:rPr>
                      <w:rFonts w:hint="eastAsia" w:ascii="宋体" w:hAnsi="宋体" w:eastAsia="宋体" w:cs="宋体"/>
                      <w:i w:val="0"/>
                      <w:iCs w:val="0"/>
                      <w:color w:val="auto"/>
                      <w:sz w:val="21"/>
                      <w:szCs w:val="21"/>
                      <w:highlight w:val="none"/>
                      <w:u w:val="none"/>
                    </w:rPr>
                  </w:pPr>
                </w:p>
              </w:tc>
              <w:tc>
                <w:tcPr>
                  <w:tcW w:w="370" w:type="pct"/>
                  <w:tcBorders>
                    <w:top w:val="nil"/>
                    <w:left w:val="nil"/>
                    <w:bottom w:val="single" w:color="000000" w:sz="8" w:space="0"/>
                    <w:right w:val="single" w:color="000000" w:sz="8" w:space="0"/>
                  </w:tcBorders>
                  <w:shd w:val="clear" w:color="auto" w:fill="auto"/>
                  <w:vAlign w:val="center"/>
                </w:tcPr>
                <w:p w14:paraId="2D97F8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r>
                    <w:rPr>
                      <w:rStyle w:val="60"/>
                      <w:rFonts w:eastAsia="宋体"/>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/d</w:t>
                  </w:r>
                </w:p>
              </w:tc>
              <w:tc>
                <w:tcPr>
                  <w:tcW w:w="371" w:type="pct"/>
                  <w:tcBorders>
                    <w:top w:val="nil"/>
                    <w:left w:val="nil"/>
                    <w:bottom w:val="single" w:color="000000" w:sz="8" w:space="0"/>
                    <w:right w:val="single" w:color="000000" w:sz="8" w:space="0"/>
                  </w:tcBorders>
                  <w:shd w:val="clear" w:color="auto" w:fill="auto"/>
                  <w:vAlign w:val="center"/>
                </w:tcPr>
                <w:p w14:paraId="57C16D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r>
                    <w:rPr>
                      <w:rStyle w:val="60"/>
                      <w:rFonts w:eastAsia="宋体"/>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386" w:type="pct"/>
                  <w:tcBorders>
                    <w:top w:val="nil"/>
                    <w:left w:val="nil"/>
                    <w:bottom w:val="single" w:color="000000" w:sz="8" w:space="0"/>
                    <w:right w:val="single" w:color="000000" w:sz="8" w:space="0"/>
                  </w:tcBorders>
                  <w:shd w:val="clear" w:color="auto" w:fill="auto"/>
                  <w:vAlign w:val="center"/>
                </w:tcPr>
                <w:p w14:paraId="0DC552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r>
                    <w:rPr>
                      <w:rStyle w:val="60"/>
                      <w:rFonts w:eastAsia="宋体"/>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/d</w:t>
                  </w:r>
                </w:p>
              </w:tc>
              <w:tc>
                <w:tcPr>
                  <w:tcW w:w="372" w:type="pct"/>
                  <w:tcBorders>
                    <w:top w:val="nil"/>
                    <w:left w:val="nil"/>
                    <w:bottom w:val="single" w:color="000000" w:sz="8" w:space="0"/>
                    <w:right w:val="single" w:color="000000" w:sz="8" w:space="0"/>
                  </w:tcBorders>
                  <w:shd w:val="clear" w:color="auto" w:fill="auto"/>
                  <w:vAlign w:val="center"/>
                </w:tcPr>
                <w:p w14:paraId="11C0E1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r>
                    <w:rPr>
                      <w:rStyle w:val="60"/>
                      <w:rFonts w:eastAsia="宋体"/>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370" w:type="pct"/>
                  <w:tcBorders>
                    <w:top w:val="single" w:color="000000" w:sz="8" w:space="0"/>
                    <w:left w:val="nil"/>
                    <w:bottom w:val="single" w:color="000000" w:sz="8" w:space="0"/>
                    <w:right w:val="single" w:color="000000" w:sz="8" w:space="0"/>
                  </w:tcBorders>
                  <w:shd w:val="clear" w:color="auto" w:fill="auto"/>
                  <w:vAlign w:val="center"/>
                </w:tcPr>
                <w:p w14:paraId="180452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r>
                    <w:rPr>
                      <w:rStyle w:val="60"/>
                      <w:rFonts w:eastAsia="宋体"/>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/d</w:t>
                  </w:r>
                </w:p>
              </w:tc>
              <w:tc>
                <w:tcPr>
                  <w:tcW w:w="521" w:type="pct"/>
                  <w:tcBorders>
                    <w:top w:val="single" w:color="000000" w:sz="8" w:space="0"/>
                    <w:left w:val="nil"/>
                    <w:bottom w:val="single" w:color="000000" w:sz="8" w:space="0"/>
                    <w:right w:val="single" w:color="000000" w:sz="8" w:space="0"/>
                  </w:tcBorders>
                  <w:shd w:val="clear" w:color="auto" w:fill="auto"/>
                  <w:vAlign w:val="center"/>
                </w:tcPr>
                <w:p w14:paraId="7111D5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r>
                    <w:rPr>
                      <w:rStyle w:val="60"/>
                      <w:rFonts w:eastAsia="宋体"/>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370" w:type="pct"/>
                  <w:vMerge w:val="continue"/>
                  <w:tcBorders>
                    <w:top w:val="single" w:color="000000" w:sz="8" w:space="0"/>
                    <w:left w:val="nil"/>
                    <w:bottom w:val="single" w:color="000000" w:sz="8" w:space="0"/>
                    <w:right w:val="single" w:color="000000" w:sz="8" w:space="0"/>
                  </w:tcBorders>
                  <w:shd w:val="clear" w:color="auto" w:fill="auto"/>
                  <w:vAlign w:val="center"/>
                </w:tcPr>
                <w:p w14:paraId="4A0E142C">
                  <w:pPr>
                    <w:jc w:val="center"/>
                    <w:rPr>
                      <w:rFonts w:hint="eastAsia" w:ascii="宋体" w:hAnsi="宋体" w:eastAsia="宋体" w:cs="宋体"/>
                      <w:i w:val="0"/>
                      <w:iCs w:val="0"/>
                      <w:color w:val="auto"/>
                      <w:sz w:val="21"/>
                      <w:szCs w:val="21"/>
                      <w:highlight w:val="none"/>
                      <w:u w:val="none"/>
                    </w:rPr>
                  </w:pPr>
                </w:p>
              </w:tc>
            </w:tr>
            <w:tr w14:paraId="542D1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370" w:type="pct"/>
                  <w:tcBorders>
                    <w:top w:val="nil"/>
                    <w:left w:val="single" w:color="000000" w:sz="8" w:space="0"/>
                    <w:bottom w:val="single" w:color="000000" w:sz="8" w:space="0"/>
                    <w:right w:val="single" w:color="000000" w:sz="8" w:space="0"/>
                  </w:tcBorders>
                  <w:shd w:val="clear" w:color="auto" w:fill="auto"/>
                  <w:vAlign w:val="center"/>
                </w:tcPr>
                <w:p w14:paraId="17029F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78" w:type="pct"/>
                  <w:gridSpan w:val="3"/>
                  <w:tcBorders>
                    <w:top w:val="nil"/>
                    <w:left w:val="nil"/>
                    <w:bottom w:val="single" w:color="000000" w:sz="8" w:space="0"/>
                    <w:right w:val="single" w:color="000000" w:sz="8" w:space="0"/>
                  </w:tcBorders>
                  <w:shd w:val="clear" w:color="auto" w:fill="auto"/>
                  <w:vAlign w:val="center"/>
                </w:tcPr>
                <w:p w14:paraId="1CAC8B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纯水制备用水</w:t>
                  </w:r>
                </w:p>
              </w:tc>
              <w:tc>
                <w:tcPr>
                  <w:tcW w:w="370" w:type="pct"/>
                  <w:tcBorders>
                    <w:top w:val="nil"/>
                    <w:left w:val="nil"/>
                    <w:bottom w:val="single" w:color="000000" w:sz="8" w:space="0"/>
                    <w:right w:val="single" w:color="000000" w:sz="8" w:space="0"/>
                  </w:tcBorders>
                  <w:shd w:val="clear" w:color="auto" w:fill="auto"/>
                  <w:vAlign w:val="center"/>
                </w:tcPr>
                <w:p w14:paraId="3B700D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制备效率</w:t>
                  </w:r>
                  <w:r>
                    <w:rPr>
                      <w:rFonts w:hint="eastAsia"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20" w:type="pct"/>
                  <w:tcBorders>
                    <w:top w:val="nil"/>
                    <w:left w:val="nil"/>
                    <w:bottom w:val="single" w:color="000000" w:sz="8" w:space="0"/>
                    <w:right w:val="single" w:color="000000" w:sz="8" w:space="0"/>
                  </w:tcBorders>
                  <w:shd w:val="clear" w:color="auto" w:fill="auto"/>
                  <w:vAlign w:val="center"/>
                </w:tcPr>
                <w:p w14:paraId="0EC70A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03C143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78.7</w:t>
                  </w:r>
                </w:p>
              </w:tc>
              <w:tc>
                <w:tcPr>
                  <w:tcW w:w="371" w:type="pct"/>
                  <w:tcBorders>
                    <w:top w:val="nil"/>
                    <w:left w:val="nil"/>
                    <w:bottom w:val="single" w:color="000000" w:sz="8" w:space="0"/>
                    <w:right w:val="single" w:color="000000" w:sz="8" w:space="0"/>
                  </w:tcBorders>
                  <w:shd w:val="clear" w:color="auto" w:fill="auto"/>
                  <w:vAlign w:val="center"/>
                </w:tcPr>
                <w:p w14:paraId="347A88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23610</w:t>
                  </w:r>
                </w:p>
              </w:tc>
              <w:tc>
                <w:tcPr>
                  <w:tcW w:w="386" w:type="pct"/>
                  <w:tcBorders>
                    <w:top w:val="nil"/>
                    <w:left w:val="nil"/>
                    <w:bottom w:val="single" w:color="000000" w:sz="8" w:space="0"/>
                    <w:right w:val="single" w:color="000000" w:sz="8" w:space="0"/>
                  </w:tcBorders>
                  <w:shd w:val="clear" w:color="auto" w:fill="auto"/>
                  <w:vAlign w:val="center"/>
                </w:tcPr>
                <w:p w14:paraId="2537BB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78.7</w:t>
                  </w:r>
                </w:p>
              </w:tc>
              <w:tc>
                <w:tcPr>
                  <w:tcW w:w="372" w:type="pct"/>
                  <w:tcBorders>
                    <w:top w:val="nil"/>
                    <w:left w:val="nil"/>
                    <w:bottom w:val="single" w:color="000000" w:sz="8" w:space="0"/>
                    <w:right w:val="single" w:color="000000" w:sz="8" w:space="0"/>
                  </w:tcBorders>
                  <w:shd w:val="clear" w:color="auto" w:fill="auto"/>
                  <w:vAlign w:val="center"/>
                </w:tcPr>
                <w:p w14:paraId="05C59F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23610</w:t>
                  </w:r>
                </w:p>
              </w:tc>
              <w:tc>
                <w:tcPr>
                  <w:tcW w:w="370" w:type="pct"/>
                  <w:tcBorders>
                    <w:top w:val="nil"/>
                    <w:left w:val="nil"/>
                    <w:bottom w:val="single" w:color="000000" w:sz="8" w:space="0"/>
                    <w:right w:val="single" w:color="000000" w:sz="8" w:space="0"/>
                  </w:tcBorders>
                  <w:shd w:val="clear" w:color="auto" w:fill="auto"/>
                  <w:vAlign w:val="center"/>
                </w:tcPr>
                <w:p w14:paraId="3E57830E">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521" w:type="pct"/>
                  <w:tcBorders>
                    <w:top w:val="nil"/>
                    <w:left w:val="nil"/>
                    <w:bottom w:val="single" w:color="000000" w:sz="8" w:space="0"/>
                    <w:right w:val="single" w:color="000000" w:sz="8" w:space="0"/>
                  </w:tcBorders>
                  <w:shd w:val="clear" w:color="auto" w:fill="auto"/>
                  <w:vAlign w:val="center"/>
                </w:tcPr>
                <w:p w14:paraId="6D5010FB">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370" w:type="pct"/>
                  <w:tcBorders>
                    <w:top w:val="nil"/>
                    <w:left w:val="nil"/>
                    <w:bottom w:val="single" w:color="000000" w:sz="8" w:space="0"/>
                    <w:right w:val="single" w:color="000000" w:sz="8" w:space="0"/>
                  </w:tcBorders>
                  <w:shd w:val="clear" w:color="auto" w:fill="auto"/>
                  <w:vAlign w:val="center"/>
                </w:tcPr>
                <w:p w14:paraId="433E75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w:t>
                  </w:r>
                </w:p>
              </w:tc>
            </w:tr>
            <w:tr w14:paraId="0364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tcBorders>
                    <w:top w:val="nil"/>
                    <w:left w:val="single" w:color="000000" w:sz="8" w:space="0"/>
                    <w:bottom w:val="single" w:color="000000" w:sz="8" w:space="0"/>
                    <w:right w:val="single" w:color="000000" w:sz="8" w:space="0"/>
                  </w:tcBorders>
                  <w:shd w:val="clear" w:color="auto" w:fill="auto"/>
                  <w:vAlign w:val="center"/>
                </w:tcPr>
                <w:p w14:paraId="24EA4C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978" w:type="pct"/>
                  <w:gridSpan w:val="3"/>
                  <w:tcBorders>
                    <w:top w:val="nil"/>
                    <w:left w:val="nil"/>
                    <w:bottom w:val="single" w:color="000000" w:sz="8" w:space="0"/>
                    <w:right w:val="single" w:color="000000" w:sz="8" w:space="0"/>
                  </w:tcBorders>
                  <w:shd w:val="clear" w:color="auto" w:fill="auto"/>
                  <w:vAlign w:val="center"/>
                </w:tcPr>
                <w:p w14:paraId="7502C4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水洗工序用水（纯水）</w:t>
                  </w:r>
                </w:p>
              </w:tc>
              <w:tc>
                <w:tcPr>
                  <w:tcW w:w="370" w:type="pct"/>
                  <w:tcBorders>
                    <w:top w:val="nil"/>
                    <w:left w:val="nil"/>
                    <w:bottom w:val="single" w:color="000000" w:sz="8" w:space="0"/>
                    <w:right w:val="single" w:color="000000" w:sz="8" w:space="0"/>
                  </w:tcBorders>
                  <w:shd w:val="clear" w:color="auto" w:fill="auto"/>
                  <w:vAlign w:val="center"/>
                </w:tcPr>
                <w:p w14:paraId="04BC7A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600t/d</w:t>
                  </w:r>
                </w:p>
              </w:tc>
              <w:tc>
                <w:tcPr>
                  <w:tcW w:w="520" w:type="pct"/>
                  <w:tcBorders>
                    <w:top w:val="nil"/>
                    <w:left w:val="nil"/>
                    <w:bottom w:val="single" w:color="000000" w:sz="8" w:space="0"/>
                    <w:right w:val="single" w:color="000000" w:sz="8" w:space="0"/>
                  </w:tcBorders>
                  <w:shd w:val="clear" w:color="auto" w:fill="auto"/>
                  <w:vAlign w:val="center"/>
                </w:tcPr>
                <w:p w14:paraId="473F5C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0.12m</w:t>
                  </w:r>
                  <w:r>
                    <w:rPr>
                      <w:rStyle w:val="60"/>
                      <w:rFonts w:eastAsia="宋体"/>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/t-</w:t>
                  </w:r>
                  <w:r>
                    <w:rPr>
                      <w:rFonts w:hint="eastAsia" w:ascii="宋体" w:hAnsi="宋体" w:eastAsia="宋体" w:cs="宋体"/>
                      <w:i w:val="0"/>
                      <w:iCs w:val="0"/>
                      <w:color w:val="auto"/>
                      <w:kern w:val="0"/>
                      <w:sz w:val="21"/>
                      <w:szCs w:val="21"/>
                      <w:highlight w:val="none"/>
                      <w:u w:val="none"/>
                      <w:lang w:val="en-US" w:eastAsia="zh-CN" w:bidi="ar"/>
                    </w:rPr>
                    <w:t>油</w:t>
                  </w:r>
                </w:p>
              </w:tc>
              <w:tc>
                <w:tcPr>
                  <w:tcW w:w="370" w:type="pct"/>
                  <w:tcBorders>
                    <w:top w:val="nil"/>
                    <w:left w:val="nil"/>
                    <w:bottom w:val="single" w:color="000000" w:sz="8" w:space="0"/>
                    <w:right w:val="single" w:color="000000" w:sz="8" w:space="0"/>
                  </w:tcBorders>
                  <w:shd w:val="clear" w:color="auto" w:fill="auto"/>
                  <w:vAlign w:val="center"/>
                </w:tcPr>
                <w:p w14:paraId="55C6BC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371" w:type="pct"/>
                  <w:tcBorders>
                    <w:top w:val="nil"/>
                    <w:left w:val="nil"/>
                    <w:bottom w:val="single" w:color="000000" w:sz="8" w:space="0"/>
                    <w:right w:val="single" w:color="000000" w:sz="8" w:space="0"/>
                  </w:tcBorders>
                  <w:shd w:val="clear" w:color="auto" w:fill="auto"/>
                  <w:vAlign w:val="center"/>
                </w:tcPr>
                <w:p w14:paraId="0CBCAB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11400</w:t>
                  </w:r>
                </w:p>
              </w:tc>
              <w:tc>
                <w:tcPr>
                  <w:tcW w:w="386" w:type="pct"/>
                  <w:tcBorders>
                    <w:top w:val="nil"/>
                    <w:left w:val="nil"/>
                    <w:bottom w:val="single" w:color="000000" w:sz="8" w:space="0"/>
                    <w:right w:val="single" w:color="000000" w:sz="8" w:space="0"/>
                  </w:tcBorders>
                  <w:shd w:val="clear" w:color="auto" w:fill="auto"/>
                  <w:vAlign w:val="center"/>
                </w:tcPr>
                <w:p w14:paraId="01F846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372" w:type="pct"/>
                  <w:tcBorders>
                    <w:top w:val="nil"/>
                    <w:left w:val="nil"/>
                    <w:bottom w:val="single" w:color="000000" w:sz="8" w:space="0"/>
                    <w:right w:val="single" w:color="000000" w:sz="8" w:space="0"/>
                  </w:tcBorders>
                  <w:shd w:val="clear" w:color="auto" w:fill="auto"/>
                  <w:vAlign w:val="center"/>
                </w:tcPr>
                <w:p w14:paraId="78BFBA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21600</w:t>
                  </w:r>
                </w:p>
              </w:tc>
              <w:tc>
                <w:tcPr>
                  <w:tcW w:w="370" w:type="pct"/>
                  <w:tcBorders>
                    <w:top w:val="nil"/>
                    <w:left w:val="nil"/>
                    <w:bottom w:val="single" w:color="000000" w:sz="8" w:space="0"/>
                    <w:right w:val="single" w:color="000000" w:sz="8" w:space="0"/>
                  </w:tcBorders>
                  <w:shd w:val="clear" w:color="auto" w:fill="auto"/>
                  <w:vAlign w:val="center"/>
                </w:tcPr>
                <w:p w14:paraId="1FA096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521" w:type="pct"/>
                  <w:tcBorders>
                    <w:top w:val="nil"/>
                    <w:left w:val="nil"/>
                    <w:bottom w:val="single" w:color="000000" w:sz="8" w:space="0"/>
                    <w:right w:val="single" w:color="000000" w:sz="8" w:space="0"/>
                  </w:tcBorders>
                  <w:shd w:val="clear" w:color="auto" w:fill="auto"/>
                  <w:vAlign w:val="center"/>
                </w:tcPr>
                <w:p w14:paraId="1746F0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10200</w:t>
                  </w:r>
                </w:p>
              </w:tc>
              <w:tc>
                <w:tcPr>
                  <w:tcW w:w="370" w:type="pct"/>
                  <w:tcBorders>
                    <w:top w:val="nil"/>
                    <w:left w:val="nil"/>
                    <w:bottom w:val="single" w:color="000000" w:sz="8" w:space="0"/>
                    <w:right w:val="single" w:color="000000" w:sz="8" w:space="0"/>
                  </w:tcBorders>
                  <w:shd w:val="clear" w:color="auto" w:fill="auto"/>
                  <w:vAlign w:val="center"/>
                </w:tcPr>
                <w:p w14:paraId="7D78AF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r>
            <w:tr w14:paraId="5CC42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tcBorders>
                    <w:top w:val="nil"/>
                    <w:left w:val="single" w:color="000000" w:sz="8" w:space="0"/>
                    <w:bottom w:val="single" w:color="000000" w:sz="8" w:space="0"/>
                    <w:right w:val="single" w:color="000000" w:sz="8" w:space="0"/>
                  </w:tcBorders>
                  <w:shd w:val="clear" w:color="auto" w:fill="auto"/>
                  <w:vAlign w:val="center"/>
                </w:tcPr>
                <w:p w14:paraId="6E66F4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978" w:type="pct"/>
                  <w:gridSpan w:val="3"/>
                  <w:tcBorders>
                    <w:top w:val="nil"/>
                    <w:left w:val="nil"/>
                    <w:bottom w:val="single" w:color="000000" w:sz="8" w:space="0"/>
                    <w:right w:val="single" w:color="000000" w:sz="8" w:space="0"/>
                  </w:tcBorders>
                  <w:shd w:val="clear" w:color="auto" w:fill="auto"/>
                  <w:vAlign w:val="center"/>
                </w:tcPr>
                <w:p w14:paraId="247D34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碱液配置用水（纯水）</w:t>
                  </w:r>
                </w:p>
              </w:tc>
              <w:tc>
                <w:tcPr>
                  <w:tcW w:w="370" w:type="pct"/>
                  <w:tcBorders>
                    <w:top w:val="nil"/>
                    <w:left w:val="nil"/>
                    <w:bottom w:val="single" w:color="000000" w:sz="8" w:space="0"/>
                    <w:right w:val="single" w:color="000000" w:sz="8" w:space="0"/>
                  </w:tcBorders>
                  <w:shd w:val="clear" w:color="auto" w:fill="auto"/>
                  <w:vAlign w:val="center"/>
                </w:tcPr>
                <w:p w14:paraId="7A5CA4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058891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6D1539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0.84</w:t>
                  </w:r>
                </w:p>
              </w:tc>
              <w:tc>
                <w:tcPr>
                  <w:tcW w:w="371" w:type="pct"/>
                  <w:tcBorders>
                    <w:top w:val="nil"/>
                    <w:left w:val="nil"/>
                    <w:bottom w:val="single" w:color="000000" w:sz="8" w:space="0"/>
                    <w:right w:val="single" w:color="000000" w:sz="8" w:space="0"/>
                  </w:tcBorders>
                  <w:shd w:val="clear" w:color="auto" w:fill="auto"/>
                  <w:vAlign w:val="center"/>
                </w:tcPr>
                <w:p w14:paraId="6EFAE3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252</w:t>
                  </w:r>
                </w:p>
              </w:tc>
              <w:tc>
                <w:tcPr>
                  <w:tcW w:w="386" w:type="pct"/>
                  <w:tcBorders>
                    <w:top w:val="nil"/>
                    <w:left w:val="nil"/>
                    <w:bottom w:val="single" w:color="000000" w:sz="8" w:space="0"/>
                    <w:right w:val="single" w:color="000000" w:sz="8" w:space="0"/>
                  </w:tcBorders>
                  <w:shd w:val="clear" w:color="auto" w:fill="auto"/>
                  <w:vAlign w:val="center"/>
                </w:tcPr>
                <w:p w14:paraId="3B5776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0.84</w:t>
                  </w:r>
                </w:p>
              </w:tc>
              <w:tc>
                <w:tcPr>
                  <w:tcW w:w="372" w:type="pct"/>
                  <w:tcBorders>
                    <w:top w:val="nil"/>
                    <w:left w:val="nil"/>
                    <w:bottom w:val="single" w:color="000000" w:sz="8" w:space="0"/>
                    <w:right w:val="single" w:color="000000" w:sz="8" w:space="0"/>
                  </w:tcBorders>
                  <w:shd w:val="clear" w:color="auto" w:fill="auto"/>
                  <w:vAlign w:val="center"/>
                </w:tcPr>
                <w:p w14:paraId="429C1E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252</w:t>
                  </w:r>
                </w:p>
              </w:tc>
              <w:tc>
                <w:tcPr>
                  <w:tcW w:w="370" w:type="pct"/>
                  <w:tcBorders>
                    <w:top w:val="nil"/>
                    <w:left w:val="nil"/>
                    <w:bottom w:val="single" w:color="000000" w:sz="8" w:space="0"/>
                    <w:right w:val="single" w:color="000000" w:sz="8" w:space="0"/>
                  </w:tcBorders>
                  <w:shd w:val="clear" w:color="auto" w:fill="auto"/>
                  <w:vAlign w:val="center"/>
                </w:tcPr>
                <w:p w14:paraId="71A107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1" w:type="pct"/>
                  <w:tcBorders>
                    <w:top w:val="nil"/>
                    <w:left w:val="nil"/>
                    <w:bottom w:val="single" w:color="000000" w:sz="8" w:space="0"/>
                    <w:right w:val="single" w:color="000000" w:sz="8" w:space="0"/>
                  </w:tcBorders>
                  <w:shd w:val="clear" w:color="auto" w:fill="auto"/>
                  <w:vAlign w:val="center"/>
                </w:tcPr>
                <w:p w14:paraId="62C863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7916D0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75CAD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vMerge w:val="restart"/>
                  <w:tcBorders>
                    <w:top w:val="nil"/>
                    <w:left w:val="single" w:color="000000" w:sz="8" w:space="0"/>
                    <w:right w:val="single" w:color="000000" w:sz="8" w:space="0"/>
                  </w:tcBorders>
                  <w:shd w:val="clear" w:color="auto" w:fill="auto"/>
                  <w:vAlign w:val="center"/>
                </w:tcPr>
                <w:p w14:paraId="3472C0E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489" w:type="pct"/>
                  <w:gridSpan w:val="2"/>
                  <w:vMerge w:val="restart"/>
                  <w:tcBorders>
                    <w:top w:val="nil"/>
                    <w:left w:val="nil"/>
                    <w:right w:val="single" w:color="000000" w:sz="8" w:space="0"/>
                  </w:tcBorders>
                  <w:shd w:val="clear" w:color="auto" w:fill="auto"/>
                  <w:vAlign w:val="center"/>
                </w:tcPr>
                <w:p w14:paraId="14B4B9AE">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水环真空泵</w:t>
                  </w:r>
                </w:p>
              </w:tc>
              <w:tc>
                <w:tcPr>
                  <w:tcW w:w="489" w:type="pct"/>
                  <w:tcBorders>
                    <w:top w:val="nil"/>
                    <w:left w:val="nil"/>
                    <w:bottom w:val="single" w:color="000000" w:sz="8" w:space="0"/>
                    <w:right w:val="single" w:color="000000" w:sz="8" w:space="0"/>
                  </w:tcBorders>
                  <w:shd w:val="clear" w:color="auto" w:fill="auto"/>
                  <w:vAlign w:val="center"/>
                </w:tcPr>
                <w:p w14:paraId="7F0178D3">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日常补水（纯水）</w:t>
                  </w:r>
                </w:p>
              </w:tc>
              <w:tc>
                <w:tcPr>
                  <w:tcW w:w="370" w:type="pct"/>
                  <w:tcBorders>
                    <w:top w:val="nil"/>
                    <w:left w:val="nil"/>
                    <w:bottom w:val="single" w:color="000000" w:sz="8" w:space="0"/>
                    <w:right w:val="single" w:color="000000" w:sz="8" w:space="0"/>
                  </w:tcBorders>
                  <w:shd w:val="clear" w:color="auto" w:fill="auto"/>
                  <w:vAlign w:val="center"/>
                </w:tcPr>
                <w:p w14:paraId="4FC330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33864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3A7C51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371" w:type="pct"/>
                  <w:tcBorders>
                    <w:top w:val="nil"/>
                    <w:left w:val="nil"/>
                    <w:bottom w:val="single" w:color="000000" w:sz="8" w:space="0"/>
                    <w:right w:val="single" w:color="000000" w:sz="8" w:space="0"/>
                  </w:tcBorders>
                  <w:shd w:val="clear" w:color="auto" w:fill="auto"/>
                  <w:vAlign w:val="center"/>
                </w:tcPr>
                <w:p w14:paraId="608D0C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360</w:t>
                  </w:r>
                </w:p>
              </w:tc>
              <w:tc>
                <w:tcPr>
                  <w:tcW w:w="386" w:type="pct"/>
                  <w:tcBorders>
                    <w:top w:val="nil"/>
                    <w:left w:val="nil"/>
                    <w:bottom w:val="single" w:color="000000" w:sz="8" w:space="0"/>
                    <w:right w:val="single" w:color="000000" w:sz="8" w:space="0"/>
                  </w:tcBorders>
                  <w:shd w:val="clear" w:color="auto" w:fill="auto"/>
                  <w:vAlign w:val="center"/>
                </w:tcPr>
                <w:p w14:paraId="032E40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372" w:type="pct"/>
                  <w:tcBorders>
                    <w:top w:val="nil"/>
                    <w:left w:val="nil"/>
                    <w:bottom w:val="single" w:color="000000" w:sz="8" w:space="0"/>
                    <w:right w:val="single" w:color="000000" w:sz="8" w:space="0"/>
                  </w:tcBorders>
                  <w:shd w:val="clear" w:color="auto" w:fill="auto"/>
                  <w:vAlign w:val="center"/>
                </w:tcPr>
                <w:p w14:paraId="32FA10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360</w:t>
                  </w:r>
                </w:p>
              </w:tc>
              <w:tc>
                <w:tcPr>
                  <w:tcW w:w="370" w:type="pct"/>
                  <w:tcBorders>
                    <w:top w:val="nil"/>
                    <w:left w:val="nil"/>
                    <w:bottom w:val="single" w:color="000000" w:sz="8" w:space="0"/>
                    <w:right w:val="single" w:color="000000" w:sz="8" w:space="0"/>
                  </w:tcBorders>
                  <w:shd w:val="clear" w:color="auto" w:fill="auto"/>
                  <w:vAlign w:val="center"/>
                </w:tcPr>
                <w:p w14:paraId="437C1B1A">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521" w:type="pct"/>
                  <w:tcBorders>
                    <w:top w:val="nil"/>
                    <w:left w:val="nil"/>
                    <w:bottom w:val="single" w:color="000000" w:sz="8" w:space="0"/>
                    <w:right w:val="single" w:color="000000" w:sz="8" w:space="0"/>
                  </w:tcBorders>
                  <w:shd w:val="clear" w:color="auto" w:fill="auto"/>
                  <w:vAlign w:val="center"/>
                </w:tcPr>
                <w:p w14:paraId="467E579F">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2BE692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r>
            <w:tr w14:paraId="36280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vMerge w:val="continue"/>
                  <w:tcBorders>
                    <w:left w:val="single" w:color="000000" w:sz="8" w:space="0"/>
                    <w:bottom w:val="single" w:color="000000" w:sz="8" w:space="0"/>
                    <w:right w:val="single" w:color="000000" w:sz="8" w:space="0"/>
                  </w:tcBorders>
                  <w:shd w:val="clear" w:color="auto" w:fill="auto"/>
                  <w:vAlign w:val="center"/>
                </w:tcPr>
                <w:p w14:paraId="6A74D1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89" w:type="pct"/>
                  <w:gridSpan w:val="2"/>
                  <w:vMerge w:val="continue"/>
                  <w:tcBorders>
                    <w:left w:val="nil"/>
                    <w:bottom w:val="single" w:color="000000" w:sz="8" w:space="0"/>
                    <w:right w:val="single" w:color="000000" w:sz="8" w:space="0"/>
                  </w:tcBorders>
                  <w:shd w:val="clear" w:color="auto" w:fill="auto"/>
                  <w:vAlign w:val="center"/>
                </w:tcPr>
                <w:p w14:paraId="314805AA">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489" w:type="pct"/>
                  <w:tcBorders>
                    <w:top w:val="nil"/>
                    <w:left w:val="nil"/>
                    <w:bottom w:val="single" w:color="000000" w:sz="8" w:space="0"/>
                    <w:right w:val="single" w:color="000000" w:sz="8" w:space="0"/>
                  </w:tcBorders>
                  <w:shd w:val="clear" w:color="auto" w:fill="auto"/>
                  <w:vAlign w:val="center"/>
                </w:tcPr>
                <w:p w14:paraId="110EB01C">
                  <w:pPr>
                    <w:keepNext w:val="0"/>
                    <w:keepLines w:val="0"/>
                    <w:widowControl/>
                    <w:suppressLineNumbers w:val="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更换水（纯水）</w:t>
                  </w:r>
                </w:p>
              </w:tc>
              <w:tc>
                <w:tcPr>
                  <w:tcW w:w="370" w:type="pct"/>
                  <w:tcBorders>
                    <w:top w:val="nil"/>
                    <w:left w:val="nil"/>
                    <w:bottom w:val="single" w:color="000000" w:sz="8" w:space="0"/>
                    <w:right w:val="single" w:color="000000" w:sz="8" w:space="0"/>
                  </w:tcBorders>
                  <w:shd w:val="clear" w:color="auto" w:fill="auto"/>
                  <w:vAlign w:val="center"/>
                </w:tcPr>
                <w:p w14:paraId="16F339A5">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538912B7">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778500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371" w:type="pct"/>
                  <w:tcBorders>
                    <w:top w:val="nil"/>
                    <w:left w:val="nil"/>
                    <w:bottom w:val="single" w:color="000000" w:sz="8" w:space="0"/>
                    <w:right w:val="single" w:color="000000" w:sz="8" w:space="0"/>
                  </w:tcBorders>
                  <w:shd w:val="clear" w:color="auto" w:fill="auto"/>
                  <w:vAlign w:val="center"/>
                </w:tcPr>
                <w:p w14:paraId="15D837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386" w:type="pct"/>
                  <w:tcBorders>
                    <w:top w:val="nil"/>
                    <w:left w:val="nil"/>
                    <w:bottom w:val="single" w:color="000000" w:sz="8" w:space="0"/>
                    <w:right w:val="single" w:color="000000" w:sz="8" w:space="0"/>
                  </w:tcBorders>
                  <w:shd w:val="clear" w:color="auto" w:fill="auto"/>
                  <w:vAlign w:val="center"/>
                </w:tcPr>
                <w:p w14:paraId="7D0CDB09">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0.25</w:t>
                  </w:r>
                </w:p>
              </w:tc>
              <w:tc>
                <w:tcPr>
                  <w:tcW w:w="372" w:type="pct"/>
                  <w:tcBorders>
                    <w:top w:val="nil"/>
                    <w:left w:val="nil"/>
                    <w:bottom w:val="single" w:color="000000" w:sz="8" w:space="0"/>
                    <w:right w:val="single" w:color="000000" w:sz="8" w:space="0"/>
                  </w:tcBorders>
                  <w:shd w:val="clear" w:color="auto" w:fill="auto"/>
                  <w:vAlign w:val="center"/>
                </w:tcPr>
                <w:p w14:paraId="6CF75D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370" w:type="pct"/>
                  <w:tcBorders>
                    <w:top w:val="nil"/>
                    <w:left w:val="nil"/>
                    <w:bottom w:val="single" w:color="000000" w:sz="8" w:space="0"/>
                    <w:right w:val="single" w:color="000000" w:sz="8" w:space="0"/>
                  </w:tcBorders>
                  <w:shd w:val="clear" w:color="auto" w:fill="auto"/>
                  <w:vAlign w:val="center"/>
                </w:tcPr>
                <w:p w14:paraId="446464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04</w:t>
                  </w:r>
                </w:p>
              </w:tc>
              <w:tc>
                <w:tcPr>
                  <w:tcW w:w="521" w:type="pct"/>
                  <w:tcBorders>
                    <w:top w:val="nil"/>
                    <w:left w:val="nil"/>
                    <w:bottom w:val="single" w:color="000000" w:sz="8" w:space="0"/>
                    <w:right w:val="single" w:color="000000" w:sz="8" w:space="0"/>
                  </w:tcBorders>
                  <w:shd w:val="clear" w:color="auto" w:fill="auto"/>
                  <w:vAlign w:val="center"/>
                </w:tcPr>
                <w:p w14:paraId="01332E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370" w:type="pct"/>
                  <w:tcBorders>
                    <w:top w:val="nil"/>
                    <w:left w:val="nil"/>
                    <w:bottom w:val="single" w:color="000000" w:sz="8" w:space="0"/>
                    <w:right w:val="single" w:color="000000" w:sz="8" w:space="0"/>
                  </w:tcBorders>
                  <w:shd w:val="clear" w:color="auto" w:fill="auto"/>
                  <w:vAlign w:val="center"/>
                </w:tcPr>
                <w:p w14:paraId="1827B65A">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14:paraId="5B936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370" w:type="pct"/>
                  <w:tcBorders>
                    <w:top w:val="nil"/>
                    <w:left w:val="single" w:color="000000" w:sz="8" w:space="0"/>
                    <w:bottom w:val="single" w:color="000000" w:sz="8" w:space="0"/>
                    <w:right w:val="single" w:color="000000" w:sz="8" w:space="0"/>
                  </w:tcBorders>
                  <w:shd w:val="clear" w:color="auto" w:fill="auto"/>
                  <w:vAlign w:val="center"/>
                </w:tcPr>
                <w:p w14:paraId="2B697D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978" w:type="pct"/>
                  <w:gridSpan w:val="3"/>
                  <w:tcBorders>
                    <w:top w:val="nil"/>
                    <w:left w:val="nil"/>
                    <w:bottom w:val="single" w:color="000000" w:sz="8" w:space="0"/>
                    <w:right w:val="single" w:color="000000" w:sz="8" w:space="0"/>
                  </w:tcBorders>
                  <w:shd w:val="clear" w:color="auto" w:fill="auto"/>
                  <w:vAlign w:val="center"/>
                </w:tcPr>
                <w:p w14:paraId="1D2A64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蒸汽锅炉用水（纯水）</w:t>
                  </w:r>
                </w:p>
              </w:tc>
              <w:tc>
                <w:tcPr>
                  <w:tcW w:w="370" w:type="pct"/>
                  <w:tcBorders>
                    <w:top w:val="nil"/>
                    <w:left w:val="nil"/>
                    <w:bottom w:val="single" w:color="000000" w:sz="8" w:space="0"/>
                    <w:right w:val="single" w:color="000000" w:sz="8" w:space="0"/>
                  </w:tcBorders>
                  <w:shd w:val="clear" w:color="auto" w:fill="auto"/>
                  <w:vAlign w:val="center"/>
                </w:tcPr>
                <w:p w14:paraId="2842A9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49432C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15E9EF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371" w:type="pct"/>
                  <w:tcBorders>
                    <w:top w:val="nil"/>
                    <w:left w:val="nil"/>
                    <w:bottom w:val="single" w:color="000000" w:sz="8" w:space="0"/>
                    <w:right w:val="single" w:color="000000" w:sz="8" w:space="0"/>
                  </w:tcBorders>
                  <w:shd w:val="clear" w:color="auto" w:fill="auto"/>
                  <w:vAlign w:val="center"/>
                </w:tcPr>
                <w:p w14:paraId="1CDE22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4500</w:t>
                  </w:r>
                </w:p>
              </w:tc>
              <w:tc>
                <w:tcPr>
                  <w:tcW w:w="386" w:type="pct"/>
                  <w:tcBorders>
                    <w:top w:val="nil"/>
                    <w:left w:val="nil"/>
                    <w:bottom w:val="single" w:color="000000" w:sz="8" w:space="0"/>
                    <w:right w:val="single" w:color="000000" w:sz="8" w:space="0"/>
                  </w:tcBorders>
                  <w:shd w:val="clear" w:color="auto" w:fill="auto"/>
                  <w:vAlign w:val="center"/>
                </w:tcPr>
                <w:p w14:paraId="59E63C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372" w:type="pct"/>
                  <w:tcBorders>
                    <w:top w:val="nil"/>
                    <w:left w:val="nil"/>
                    <w:bottom w:val="single" w:color="000000" w:sz="8" w:space="0"/>
                    <w:right w:val="single" w:color="000000" w:sz="8" w:space="0"/>
                  </w:tcBorders>
                  <w:shd w:val="clear" w:color="auto" w:fill="auto"/>
                  <w:vAlign w:val="center"/>
                </w:tcPr>
                <w:p w14:paraId="5BB8AC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4500</w:t>
                  </w:r>
                </w:p>
              </w:tc>
              <w:tc>
                <w:tcPr>
                  <w:tcW w:w="370" w:type="pct"/>
                  <w:tcBorders>
                    <w:top w:val="nil"/>
                    <w:left w:val="nil"/>
                    <w:bottom w:val="single" w:color="000000" w:sz="8" w:space="0"/>
                    <w:right w:val="single" w:color="000000" w:sz="8" w:space="0"/>
                  </w:tcBorders>
                  <w:shd w:val="clear" w:color="auto" w:fill="auto"/>
                  <w:vAlign w:val="center"/>
                </w:tcPr>
                <w:p w14:paraId="3A2BBC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1" w:type="pct"/>
                  <w:tcBorders>
                    <w:top w:val="nil"/>
                    <w:left w:val="nil"/>
                    <w:bottom w:val="single" w:color="000000" w:sz="8" w:space="0"/>
                    <w:right w:val="single" w:color="000000" w:sz="8" w:space="0"/>
                  </w:tcBorders>
                  <w:shd w:val="clear" w:color="auto" w:fill="auto"/>
                  <w:vAlign w:val="center"/>
                </w:tcPr>
                <w:p w14:paraId="3918A1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4193CA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0C270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tcBorders>
                    <w:top w:val="nil"/>
                    <w:left w:val="single" w:color="000000" w:sz="8" w:space="0"/>
                    <w:bottom w:val="single" w:color="000000" w:sz="8" w:space="0"/>
                    <w:right w:val="single" w:color="000000" w:sz="8" w:space="0"/>
                  </w:tcBorders>
                  <w:shd w:val="clear" w:color="auto" w:fill="auto"/>
                  <w:vAlign w:val="center"/>
                </w:tcPr>
                <w:p w14:paraId="44B890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1.5</w:t>
                  </w:r>
                </w:p>
              </w:tc>
              <w:tc>
                <w:tcPr>
                  <w:tcW w:w="978" w:type="pct"/>
                  <w:gridSpan w:val="3"/>
                  <w:tcBorders>
                    <w:top w:val="nil"/>
                    <w:left w:val="nil"/>
                    <w:bottom w:val="single" w:color="000000" w:sz="8" w:space="0"/>
                    <w:right w:val="single" w:color="000000" w:sz="8" w:space="0"/>
                  </w:tcBorders>
                  <w:shd w:val="clear" w:color="auto" w:fill="auto"/>
                  <w:vAlign w:val="center"/>
                </w:tcPr>
                <w:p w14:paraId="727E12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浓水</w:t>
                  </w:r>
                </w:p>
              </w:tc>
              <w:tc>
                <w:tcPr>
                  <w:tcW w:w="370" w:type="pct"/>
                  <w:tcBorders>
                    <w:top w:val="nil"/>
                    <w:left w:val="nil"/>
                    <w:bottom w:val="single" w:color="000000" w:sz="8" w:space="0"/>
                    <w:right w:val="single" w:color="000000" w:sz="8" w:space="0"/>
                  </w:tcBorders>
                  <w:shd w:val="clear" w:color="auto" w:fill="auto"/>
                  <w:vAlign w:val="center"/>
                </w:tcPr>
                <w:p w14:paraId="5BA7D4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2E72AC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033AAD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1" w:type="pct"/>
                  <w:tcBorders>
                    <w:top w:val="nil"/>
                    <w:left w:val="nil"/>
                    <w:bottom w:val="single" w:color="000000" w:sz="8" w:space="0"/>
                    <w:right w:val="single" w:color="000000" w:sz="8" w:space="0"/>
                  </w:tcBorders>
                  <w:shd w:val="clear" w:color="auto" w:fill="auto"/>
                  <w:vAlign w:val="center"/>
                </w:tcPr>
                <w:p w14:paraId="03BD4F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86" w:type="pct"/>
                  <w:tcBorders>
                    <w:top w:val="nil"/>
                    <w:left w:val="nil"/>
                    <w:bottom w:val="single" w:color="000000" w:sz="8" w:space="0"/>
                    <w:right w:val="single" w:color="000000" w:sz="8" w:space="0"/>
                  </w:tcBorders>
                  <w:shd w:val="clear" w:color="auto" w:fill="auto"/>
                  <w:vAlign w:val="center"/>
                </w:tcPr>
                <w:p w14:paraId="37C355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2" w:type="pct"/>
                  <w:tcBorders>
                    <w:top w:val="nil"/>
                    <w:left w:val="nil"/>
                    <w:bottom w:val="single" w:color="000000" w:sz="8" w:space="0"/>
                    <w:right w:val="single" w:color="000000" w:sz="8" w:space="0"/>
                  </w:tcBorders>
                  <w:shd w:val="clear" w:color="auto" w:fill="auto"/>
                  <w:vAlign w:val="center"/>
                </w:tcPr>
                <w:p w14:paraId="1AD889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6967D0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23.61</w:t>
                  </w:r>
                </w:p>
              </w:tc>
              <w:tc>
                <w:tcPr>
                  <w:tcW w:w="521" w:type="pct"/>
                  <w:tcBorders>
                    <w:top w:val="nil"/>
                    <w:left w:val="nil"/>
                    <w:bottom w:val="single" w:color="000000" w:sz="8" w:space="0"/>
                    <w:right w:val="single" w:color="000000" w:sz="8" w:space="0"/>
                  </w:tcBorders>
                  <w:shd w:val="clear" w:color="auto" w:fill="auto"/>
                  <w:vAlign w:val="center"/>
                </w:tcPr>
                <w:p w14:paraId="0FE580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7083</w:t>
                  </w:r>
                </w:p>
              </w:tc>
              <w:tc>
                <w:tcPr>
                  <w:tcW w:w="370" w:type="pct"/>
                  <w:tcBorders>
                    <w:top w:val="nil"/>
                    <w:left w:val="nil"/>
                    <w:bottom w:val="single" w:color="000000" w:sz="8" w:space="0"/>
                    <w:right w:val="single" w:color="000000" w:sz="8" w:space="0"/>
                  </w:tcBorders>
                  <w:shd w:val="clear" w:color="auto" w:fill="auto"/>
                  <w:vAlign w:val="center"/>
                </w:tcPr>
                <w:p w14:paraId="0D5B37C4">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排入污水处理站</w:t>
                  </w:r>
                </w:p>
              </w:tc>
            </w:tr>
            <w:tr w14:paraId="57D2D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0" w:type="pct"/>
                  <w:tcBorders>
                    <w:top w:val="nil"/>
                    <w:left w:val="single" w:color="000000" w:sz="8" w:space="0"/>
                    <w:bottom w:val="single" w:color="000000" w:sz="8" w:space="0"/>
                    <w:right w:val="single" w:color="000000" w:sz="8" w:space="0"/>
                  </w:tcBorders>
                  <w:shd w:val="clear" w:color="auto" w:fill="auto"/>
                  <w:vAlign w:val="center"/>
                </w:tcPr>
                <w:p w14:paraId="26F4FD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978" w:type="pct"/>
                  <w:gridSpan w:val="3"/>
                  <w:tcBorders>
                    <w:top w:val="nil"/>
                    <w:left w:val="nil"/>
                    <w:bottom w:val="single" w:color="000000" w:sz="8" w:space="0"/>
                    <w:right w:val="single" w:color="000000" w:sz="8" w:space="0"/>
                  </w:tcBorders>
                  <w:shd w:val="clear" w:color="auto" w:fill="auto"/>
                  <w:vAlign w:val="center"/>
                </w:tcPr>
                <w:p w14:paraId="6666CE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精炼车间地面清洗用水</w:t>
                  </w:r>
                </w:p>
              </w:tc>
              <w:tc>
                <w:tcPr>
                  <w:tcW w:w="370" w:type="pct"/>
                  <w:tcBorders>
                    <w:top w:val="nil"/>
                    <w:left w:val="nil"/>
                    <w:bottom w:val="single" w:color="000000" w:sz="8" w:space="0"/>
                    <w:right w:val="single" w:color="000000" w:sz="8" w:space="0"/>
                  </w:tcBorders>
                  <w:shd w:val="clear" w:color="auto" w:fill="auto"/>
                  <w:vAlign w:val="center"/>
                </w:tcPr>
                <w:p w14:paraId="70BD50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5259m</w:t>
                  </w:r>
                  <w:r>
                    <w:rPr>
                      <w:rStyle w:val="60"/>
                      <w:rFonts w:eastAsia="宋体"/>
                      <w:color w:val="auto"/>
                      <w:highlight w:val="none"/>
                      <w:lang w:val="en-US" w:eastAsia="zh-CN" w:bidi="ar"/>
                    </w:rPr>
                    <w:t>2</w:t>
                  </w:r>
                </w:p>
              </w:tc>
              <w:tc>
                <w:tcPr>
                  <w:tcW w:w="520" w:type="pct"/>
                  <w:tcBorders>
                    <w:top w:val="nil"/>
                    <w:left w:val="nil"/>
                    <w:bottom w:val="single" w:color="000000" w:sz="8" w:space="0"/>
                    <w:right w:val="single" w:color="000000" w:sz="8" w:space="0"/>
                  </w:tcBorders>
                  <w:shd w:val="clear" w:color="auto" w:fill="auto"/>
                  <w:vAlign w:val="center"/>
                </w:tcPr>
                <w:p w14:paraId="08C73E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2L/m</w:t>
                  </w:r>
                  <w:r>
                    <w:rPr>
                      <w:rStyle w:val="60"/>
                      <w:rFonts w:eastAsia="宋体"/>
                      <w:color w:val="auto"/>
                      <w:highlight w:val="none"/>
                      <w:lang w:val="en-US" w:eastAsia="zh-CN" w:bidi="ar"/>
                    </w:rPr>
                    <w:t>2</w:t>
                  </w:r>
                </w:p>
              </w:tc>
              <w:tc>
                <w:tcPr>
                  <w:tcW w:w="370" w:type="pct"/>
                  <w:tcBorders>
                    <w:top w:val="nil"/>
                    <w:left w:val="nil"/>
                    <w:bottom w:val="single" w:color="000000" w:sz="8" w:space="0"/>
                    <w:right w:val="single" w:color="000000" w:sz="8" w:space="0"/>
                  </w:tcBorders>
                  <w:shd w:val="clear" w:color="auto" w:fill="auto"/>
                  <w:vAlign w:val="center"/>
                </w:tcPr>
                <w:p w14:paraId="14B4A4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371" w:type="pct"/>
                  <w:tcBorders>
                    <w:top w:val="nil"/>
                    <w:left w:val="nil"/>
                    <w:bottom w:val="single" w:color="000000" w:sz="8" w:space="0"/>
                    <w:right w:val="single" w:color="000000" w:sz="8" w:space="0"/>
                  </w:tcBorders>
                  <w:shd w:val="clear" w:color="auto" w:fill="auto"/>
                  <w:vAlign w:val="center"/>
                </w:tcPr>
                <w:p w14:paraId="2A18F9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1050</w:t>
                  </w:r>
                </w:p>
              </w:tc>
              <w:tc>
                <w:tcPr>
                  <w:tcW w:w="386" w:type="pct"/>
                  <w:tcBorders>
                    <w:top w:val="nil"/>
                    <w:left w:val="nil"/>
                    <w:bottom w:val="single" w:color="000000" w:sz="8" w:space="0"/>
                    <w:right w:val="single" w:color="000000" w:sz="8" w:space="0"/>
                  </w:tcBorders>
                  <w:shd w:val="clear" w:color="auto" w:fill="auto"/>
                  <w:vAlign w:val="center"/>
                </w:tcPr>
                <w:p w14:paraId="68B8A2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w:t>
                  </w:r>
                </w:p>
              </w:tc>
              <w:tc>
                <w:tcPr>
                  <w:tcW w:w="372" w:type="pct"/>
                  <w:tcBorders>
                    <w:top w:val="nil"/>
                    <w:left w:val="nil"/>
                    <w:bottom w:val="single" w:color="000000" w:sz="8" w:space="0"/>
                    <w:right w:val="single" w:color="000000" w:sz="8" w:space="0"/>
                  </w:tcBorders>
                  <w:shd w:val="clear" w:color="auto" w:fill="auto"/>
                  <w:vAlign w:val="center"/>
                </w:tcPr>
                <w:p w14:paraId="16610B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1050</w:t>
                  </w:r>
                </w:p>
              </w:tc>
              <w:tc>
                <w:tcPr>
                  <w:tcW w:w="370" w:type="pct"/>
                  <w:tcBorders>
                    <w:top w:val="nil"/>
                    <w:left w:val="nil"/>
                    <w:bottom w:val="single" w:color="000000" w:sz="8" w:space="0"/>
                    <w:right w:val="single" w:color="000000" w:sz="8" w:space="0"/>
                  </w:tcBorders>
                  <w:shd w:val="clear" w:color="auto" w:fill="auto"/>
                  <w:vAlign w:val="center"/>
                </w:tcPr>
                <w:p w14:paraId="33793E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3.15</w:t>
                  </w:r>
                </w:p>
              </w:tc>
              <w:tc>
                <w:tcPr>
                  <w:tcW w:w="521" w:type="pct"/>
                  <w:tcBorders>
                    <w:top w:val="nil"/>
                    <w:left w:val="nil"/>
                    <w:bottom w:val="single" w:color="000000" w:sz="8" w:space="0"/>
                    <w:right w:val="single" w:color="000000" w:sz="8" w:space="0"/>
                  </w:tcBorders>
                  <w:shd w:val="clear" w:color="auto" w:fill="auto"/>
                  <w:vAlign w:val="center"/>
                </w:tcPr>
                <w:p w14:paraId="626D66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945</w:t>
                  </w:r>
                </w:p>
              </w:tc>
              <w:tc>
                <w:tcPr>
                  <w:tcW w:w="370" w:type="pct"/>
                  <w:tcBorders>
                    <w:top w:val="nil"/>
                    <w:left w:val="nil"/>
                    <w:bottom w:val="single" w:color="000000" w:sz="8" w:space="0"/>
                    <w:right w:val="single" w:color="000000" w:sz="8" w:space="0"/>
                  </w:tcBorders>
                  <w:shd w:val="clear" w:color="auto" w:fill="auto"/>
                  <w:vAlign w:val="center"/>
                </w:tcPr>
                <w:p w14:paraId="121850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684F4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79FA6B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458" w:type="pct"/>
                  <w:vMerge w:val="restart"/>
                  <w:tcBorders>
                    <w:top w:val="nil"/>
                    <w:left w:val="nil"/>
                    <w:bottom w:val="single" w:color="000000" w:sz="8" w:space="0"/>
                    <w:right w:val="single" w:color="000000" w:sz="8" w:space="0"/>
                  </w:tcBorders>
                  <w:shd w:val="clear" w:color="auto" w:fill="auto"/>
                  <w:vAlign w:val="center"/>
                </w:tcPr>
                <w:p w14:paraId="6BC667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废气处理装置</w:t>
                  </w:r>
                </w:p>
              </w:tc>
              <w:tc>
                <w:tcPr>
                  <w:tcW w:w="519" w:type="pct"/>
                  <w:gridSpan w:val="2"/>
                  <w:tcBorders>
                    <w:top w:val="nil"/>
                    <w:left w:val="nil"/>
                    <w:bottom w:val="single" w:color="000000" w:sz="8" w:space="0"/>
                    <w:right w:val="single" w:color="000000" w:sz="8" w:space="0"/>
                  </w:tcBorders>
                  <w:shd w:val="clear" w:color="auto" w:fill="auto"/>
                  <w:vAlign w:val="center"/>
                </w:tcPr>
                <w:p w14:paraId="0A33D6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日常补水</w:t>
                  </w:r>
                </w:p>
              </w:tc>
              <w:tc>
                <w:tcPr>
                  <w:tcW w:w="370" w:type="pct"/>
                  <w:tcBorders>
                    <w:top w:val="nil"/>
                    <w:left w:val="nil"/>
                    <w:bottom w:val="single" w:color="000000" w:sz="8" w:space="0"/>
                    <w:right w:val="single" w:color="000000" w:sz="8" w:space="0"/>
                  </w:tcBorders>
                  <w:shd w:val="clear" w:color="auto" w:fill="auto"/>
                  <w:vAlign w:val="center"/>
                </w:tcPr>
                <w:p w14:paraId="308291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31D29E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56206F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371" w:type="pct"/>
                  <w:tcBorders>
                    <w:top w:val="nil"/>
                    <w:left w:val="nil"/>
                    <w:bottom w:val="single" w:color="000000" w:sz="8" w:space="0"/>
                    <w:right w:val="single" w:color="000000" w:sz="8" w:space="0"/>
                  </w:tcBorders>
                  <w:shd w:val="clear" w:color="auto" w:fill="auto"/>
                  <w:vAlign w:val="center"/>
                </w:tcPr>
                <w:p w14:paraId="2DA2A5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386" w:type="pct"/>
                  <w:tcBorders>
                    <w:top w:val="nil"/>
                    <w:left w:val="nil"/>
                    <w:bottom w:val="single" w:color="000000" w:sz="8" w:space="0"/>
                    <w:right w:val="single" w:color="000000" w:sz="8" w:space="0"/>
                  </w:tcBorders>
                  <w:shd w:val="clear" w:color="auto" w:fill="auto"/>
                  <w:vAlign w:val="center"/>
                </w:tcPr>
                <w:p w14:paraId="41B6C4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240.5</w:t>
                  </w:r>
                </w:p>
              </w:tc>
              <w:tc>
                <w:tcPr>
                  <w:tcW w:w="372" w:type="pct"/>
                  <w:tcBorders>
                    <w:top w:val="nil"/>
                    <w:left w:val="nil"/>
                    <w:bottom w:val="single" w:color="000000" w:sz="8" w:space="0"/>
                    <w:right w:val="single" w:color="000000" w:sz="8" w:space="0"/>
                  </w:tcBorders>
                  <w:shd w:val="clear" w:color="auto" w:fill="auto"/>
                  <w:vAlign w:val="center"/>
                </w:tcPr>
                <w:p w14:paraId="1302ED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72150</w:t>
                  </w:r>
                </w:p>
              </w:tc>
              <w:tc>
                <w:tcPr>
                  <w:tcW w:w="370" w:type="pct"/>
                  <w:tcBorders>
                    <w:top w:val="nil"/>
                    <w:left w:val="nil"/>
                    <w:bottom w:val="single" w:color="000000" w:sz="8" w:space="0"/>
                    <w:right w:val="single" w:color="000000" w:sz="8" w:space="0"/>
                  </w:tcBorders>
                  <w:shd w:val="clear" w:color="auto" w:fill="auto"/>
                  <w:vAlign w:val="center"/>
                </w:tcPr>
                <w:p w14:paraId="05B542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1" w:type="pct"/>
                  <w:tcBorders>
                    <w:top w:val="nil"/>
                    <w:left w:val="nil"/>
                    <w:bottom w:val="single" w:color="000000" w:sz="8" w:space="0"/>
                    <w:right w:val="single" w:color="000000" w:sz="8" w:space="0"/>
                  </w:tcBorders>
                  <w:shd w:val="clear" w:color="auto" w:fill="auto"/>
                  <w:vAlign w:val="center"/>
                </w:tcPr>
                <w:p w14:paraId="4EF7A5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single" w:color="000000" w:sz="8" w:space="0"/>
                    <w:left w:val="nil"/>
                    <w:bottom w:val="single" w:color="000000" w:sz="8" w:space="0"/>
                    <w:right w:val="single" w:color="000000" w:sz="8" w:space="0"/>
                  </w:tcBorders>
                  <w:shd w:val="clear" w:color="auto" w:fill="auto"/>
                  <w:vAlign w:val="center"/>
                </w:tcPr>
                <w:p w14:paraId="747791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r>
            <w:tr w14:paraId="141F7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7E0679FB">
                  <w:pPr>
                    <w:jc w:val="center"/>
                    <w:rPr>
                      <w:rFonts w:hint="default" w:ascii="Times New Roman" w:hAnsi="Times New Roman" w:eastAsia="宋体" w:cs="Times New Roman"/>
                      <w:i w:val="0"/>
                      <w:iCs w:val="0"/>
                      <w:color w:val="auto"/>
                      <w:sz w:val="21"/>
                      <w:szCs w:val="21"/>
                      <w:highlight w:val="none"/>
                      <w:u w:val="none"/>
                    </w:rPr>
                  </w:pPr>
                </w:p>
              </w:tc>
              <w:tc>
                <w:tcPr>
                  <w:tcW w:w="458" w:type="pct"/>
                  <w:vMerge w:val="continue"/>
                  <w:tcBorders>
                    <w:top w:val="nil"/>
                    <w:left w:val="nil"/>
                    <w:bottom w:val="single" w:color="000000" w:sz="8" w:space="0"/>
                    <w:right w:val="single" w:color="000000" w:sz="8" w:space="0"/>
                  </w:tcBorders>
                  <w:shd w:val="clear" w:color="auto" w:fill="auto"/>
                  <w:vAlign w:val="center"/>
                </w:tcPr>
                <w:p w14:paraId="6F0BFE7C">
                  <w:pPr>
                    <w:jc w:val="center"/>
                    <w:rPr>
                      <w:rFonts w:hint="eastAsia" w:ascii="宋体" w:hAnsi="宋体" w:eastAsia="宋体" w:cs="宋体"/>
                      <w:i w:val="0"/>
                      <w:iCs w:val="0"/>
                      <w:color w:val="auto"/>
                      <w:sz w:val="21"/>
                      <w:szCs w:val="21"/>
                      <w:highlight w:val="none"/>
                      <w:u w:val="none"/>
                    </w:rPr>
                  </w:pPr>
                </w:p>
              </w:tc>
              <w:tc>
                <w:tcPr>
                  <w:tcW w:w="519" w:type="pct"/>
                  <w:gridSpan w:val="2"/>
                  <w:tcBorders>
                    <w:top w:val="nil"/>
                    <w:left w:val="nil"/>
                    <w:bottom w:val="single" w:color="000000" w:sz="8" w:space="0"/>
                    <w:right w:val="single" w:color="000000" w:sz="8" w:space="0"/>
                  </w:tcBorders>
                  <w:shd w:val="clear" w:color="auto" w:fill="auto"/>
                  <w:vAlign w:val="center"/>
                </w:tcPr>
                <w:p w14:paraId="342173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更换水</w:t>
                  </w:r>
                </w:p>
              </w:tc>
              <w:tc>
                <w:tcPr>
                  <w:tcW w:w="370" w:type="pct"/>
                  <w:tcBorders>
                    <w:top w:val="nil"/>
                    <w:left w:val="nil"/>
                    <w:bottom w:val="single" w:color="000000" w:sz="8" w:space="0"/>
                    <w:right w:val="single" w:color="000000" w:sz="8" w:space="0"/>
                  </w:tcBorders>
                  <w:shd w:val="clear" w:color="auto" w:fill="auto"/>
                  <w:vAlign w:val="center"/>
                </w:tcPr>
                <w:p w14:paraId="3DB718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29602A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571759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371" w:type="pct"/>
                  <w:tcBorders>
                    <w:top w:val="nil"/>
                    <w:left w:val="nil"/>
                    <w:bottom w:val="single" w:color="000000" w:sz="8" w:space="0"/>
                    <w:right w:val="single" w:color="000000" w:sz="8" w:space="0"/>
                  </w:tcBorders>
                  <w:shd w:val="clear" w:color="auto" w:fill="auto"/>
                  <w:vAlign w:val="center"/>
                </w:tcPr>
                <w:p w14:paraId="4442E1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386" w:type="pct"/>
                  <w:tcBorders>
                    <w:top w:val="nil"/>
                    <w:left w:val="nil"/>
                    <w:bottom w:val="single" w:color="000000" w:sz="8" w:space="0"/>
                    <w:right w:val="single" w:color="000000" w:sz="8" w:space="0"/>
                  </w:tcBorders>
                  <w:shd w:val="clear" w:color="auto" w:fill="auto"/>
                  <w:vAlign w:val="center"/>
                </w:tcPr>
                <w:p w14:paraId="64FEC5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372" w:type="pct"/>
                  <w:tcBorders>
                    <w:top w:val="nil"/>
                    <w:left w:val="nil"/>
                    <w:bottom w:val="single" w:color="000000" w:sz="8" w:space="0"/>
                    <w:right w:val="single" w:color="000000" w:sz="8" w:space="0"/>
                  </w:tcBorders>
                  <w:shd w:val="clear" w:color="auto" w:fill="auto"/>
                  <w:vAlign w:val="center"/>
                </w:tcPr>
                <w:p w14:paraId="441B64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370" w:type="pct"/>
                  <w:tcBorders>
                    <w:top w:val="nil"/>
                    <w:left w:val="nil"/>
                    <w:bottom w:val="single" w:color="000000" w:sz="8" w:space="0"/>
                    <w:right w:val="single" w:color="000000" w:sz="8" w:space="0"/>
                  </w:tcBorders>
                  <w:shd w:val="clear" w:color="auto" w:fill="auto"/>
                  <w:vAlign w:val="center"/>
                </w:tcPr>
                <w:p w14:paraId="52CEB2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521" w:type="pct"/>
                  <w:tcBorders>
                    <w:top w:val="nil"/>
                    <w:left w:val="nil"/>
                    <w:bottom w:val="single" w:color="000000" w:sz="8" w:space="0"/>
                    <w:right w:val="single" w:color="000000" w:sz="8" w:space="0"/>
                  </w:tcBorders>
                  <w:shd w:val="clear" w:color="auto" w:fill="auto"/>
                  <w:vAlign w:val="center"/>
                </w:tcPr>
                <w:p w14:paraId="559AB9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64.8</w:t>
                  </w:r>
                </w:p>
              </w:tc>
              <w:tc>
                <w:tcPr>
                  <w:tcW w:w="370" w:type="pct"/>
                  <w:tcBorders>
                    <w:top w:val="nil"/>
                    <w:left w:val="nil"/>
                    <w:bottom w:val="single" w:color="000000" w:sz="8" w:space="0"/>
                    <w:right w:val="single" w:color="000000" w:sz="8" w:space="0"/>
                  </w:tcBorders>
                  <w:shd w:val="clear" w:color="auto" w:fill="auto"/>
                  <w:vAlign w:val="center"/>
                </w:tcPr>
                <w:p w14:paraId="3E10AEBB">
                  <w:pPr>
                    <w:jc w:val="center"/>
                    <w:rPr>
                      <w:rFonts w:hint="default" w:ascii="Times New Roman" w:hAnsi="Times New Roman" w:eastAsia="宋体" w:cs="Times New Roman"/>
                      <w:i w:val="0"/>
                      <w:iCs w:val="0"/>
                      <w:color w:val="auto"/>
                      <w:sz w:val="21"/>
                      <w:szCs w:val="21"/>
                      <w:highlight w:val="none"/>
                      <w:u w:val="none"/>
                    </w:rPr>
                  </w:pPr>
                </w:p>
              </w:tc>
            </w:tr>
            <w:tr w14:paraId="2A673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0C8EB2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458" w:type="pct"/>
                  <w:vMerge w:val="restart"/>
                  <w:tcBorders>
                    <w:top w:val="nil"/>
                    <w:left w:val="nil"/>
                    <w:bottom w:val="single" w:color="000000" w:sz="8" w:space="0"/>
                    <w:right w:val="single" w:color="000000" w:sz="8" w:space="0"/>
                  </w:tcBorders>
                  <w:shd w:val="clear" w:color="auto" w:fill="auto"/>
                  <w:vAlign w:val="center"/>
                </w:tcPr>
                <w:p w14:paraId="555A13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冷却用水</w:t>
                  </w:r>
                </w:p>
              </w:tc>
              <w:tc>
                <w:tcPr>
                  <w:tcW w:w="519" w:type="pct"/>
                  <w:gridSpan w:val="2"/>
                  <w:tcBorders>
                    <w:top w:val="nil"/>
                    <w:left w:val="nil"/>
                    <w:bottom w:val="single" w:color="000000" w:sz="8" w:space="0"/>
                    <w:right w:val="single" w:color="000000" w:sz="8" w:space="0"/>
                  </w:tcBorders>
                  <w:shd w:val="clear" w:color="auto" w:fill="auto"/>
                  <w:vAlign w:val="center"/>
                </w:tcPr>
                <w:p w14:paraId="662C1D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日常补水</w:t>
                  </w:r>
                </w:p>
              </w:tc>
              <w:tc>
                <w:tcPr>
                  <w:tcW w:w="370" w:type="pct"/>
                  <w:tcBorders>
                    <w:top w:val="nil"/>
                    <w:left w:val="nil"/>
                    <w:bottom w:val="single" w:color="000000" w:sz="8" w:space="0"/>
                    <w:right w:val="single" w:color="000000" w:sz="8" w:space="0"/>
                  </w:tcBorders>
                  <w:shd w:val="clear" w:color="auto" w:fill="auto"/>
                  <w:vAlign w:val="center"/>
                </w:tcPr>
                <w:p w14:paraId="298716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685553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582A8C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c>
                <w:tcPr>
                  <w:tcW w:w="371" w:type="pct"/>
                  <w:tcBorders>
                    <w:top w:val="nil"/>
                    <w:left w:val="nil"/>
                    <w:bottom w:val="single" w:color="000000" w:sz="8" w:space="0"/>
                    <w:right w:val="single" w:color="000000" w:sz="8" w:space="0"/>
                  </w:tcBorders>
                  <w:shd w:val="clear" w:color="auto" w:fill="auto"/>
                  <w:vAlign w:val="center"/>
                </w:tcPr>
                <w:p w14:paraId="662D0E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1860</w:t>
                  </w:r>
                </w:p>
              </w:tc>
              <w:tc>
                <w:tcPr>
                  <w:tcW w:w="386" w:type="pct"/>
                  <w:tcBorders>
                    <w:top w:val="nil"/>
                    <w:left w:val="nil"/>
                    <w:bottom w:val="single" w:color="000000" w:sz="8" w:space="0"/>
                    <w:right w:val="single" w:color="000000" w:sz="8" w:space="0"/>
                  </w:tcBorders>
                  <w:shd w:val="clear" w:color="auto" w:fill="auto"/>
                  <w:vAlign w:val="center"/>
                </w:tcPr>
                <w:p w14:paraId="726F3A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14406.2</w:t>
                  </w:r>
                </w:p>
              </w:tc>
              <w:tc>
                <w:tcPr>
                  <w:tcW w:w="372" w:type="pct"/>
                  <w:tcBorders>
                    <w:top w:val="nil"/>
                    <w:left w:val="nil"/>
                    <w:bottom w:val="single" w:color="000000" w:sz="8" w:space="0"/>
                    <w:right w:val="single" w:color="000000" w:sz="8" w:space="0"/>
                  </w:tcBorders>
                  <w:shd w:val="clear" w:color="auto" w:fill="auto"/>
                  <w:vAlign w:val="center"/>
                </w:tcPr>
                <w:p w14:paraId="10DA88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4321860</w:t>
                  </w:r>
                </w:p>
              </w:tc>
              <w:tc>
                <w:tcPr>
                  <w:tcW w:w="370" w:type="pct"/>
                  <w:tcBorders>
                    <w:top w:val="nil"/>
                    <w:left w:val="nil"/>
                    <w:bottom w:val="single" w:color="000000" w:sz="8" w:space="0"/>
                    <w:right w:val="single" w:color="000000" w:sz="8" w:space="0"/>
                  </w:tcBorders>
                  <w:shd w:val="clear" w:color="auto" w:fill="auto"/>
                  <w:vAlign w:val="center"/>
                </w:tcPr>
                <w:p w14:paraId="715C7D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1" w:type="pct"/>
                  <w:tcBorders>
                    <w:top w:val="nil"/>
                    <w:left w:val="nil"/>
                    <w:bottom w:val="single" w:color="000000" w:sz="8" w:space="0"/>
                    <w:right w:val="single" w:color="000000" w:sz="8" w:space="0"/>
                  </w:tcBorders>
                  <w:shd w:val="clear" w:color="auto" w:fill="auto"/>
                  <w:vAlign w:val="center"/>
                </w:tcPr>
                <w:p w14:paraId="55C847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41CE64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14400</w:t>
                  </w:r>
                </w:p>
              </w:tc>
            </w:tr>
            <w:tr w14:paraId="02BAF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083A9E9C">
                  <w:pPr>
                    <w:jc w:val="center"/>
                    <w:rPr>
                      <w:rFonts w:hint="default" w:ascii="Times New Roman" w:hAnsi="Times New Roman" w:eastAsia="宋体" w:cs="Times New Roman"/>
                      <w:i w:val="0"/>
                      <w:iCs w:val="0"/>
                      <w:color w:val="auto"/>
                      <w:sz w:val="21"/>
                      <w:szCs w:val="21"/>
                      <w:highlight w:val="none"/>
                      <w:u w:val="none"/>
                    </w:rPr>
                  </w:pPr>
                </w:p>
              </w:tc>
              <w:tc>
                <w:tcPr>
                  <w:tcW w:w="458" w:type="pct"/>
                  <w:vMerge w:val="continue"/>
                  <w:tcBorders>
                    <w:top w:val="nil"/>
                    <w:left w:val="nil"/>
                    <w:bottom w:val="single" w:color="000000" w:sz="8" w:space="0"/>
                    <w:right w:val="single" w:color="000000" w:sz="8" w:space="0"/>
                  </w:tcBorders>
                  <w:shd w:val="clear" w:color="auto" w:fill="auto"/>
                  <w:vAlign w:val="center"/>
                </w:tcPr>
                <w:p w14:paraId="3D0EC0E8">
                  <w:pPr>
                    <w:jc w:val="center"/>
                    <w:rPr>
                      <w:rFonts w:hint="eastAsia" w:ascii="宋体" w:hAnsi="宋体" w:eastAsia="宋体" w:cs="宋体"/>
                      <w:i w:val="0"/>
                      <w:iCs w:val="0"/>
                      <w:color w:val="auto"/>
                      <w:sz w:val="21"/>
                      <w:szCs w:val="21"/>
                      <w:highlight w:val="none"/>
                      <w:u w:val="none"/>
                    </w:rPr>
                  </w:pPr>
                </w:p>
              </w:tc>
              <w:tc>
                <w:tcPr>
                  <w:tcW w:w="519" w:type="pct"/>
                  <w:gridSpan w:val="2"/>
                  <w:tcBorders>
                    <w:top w:val="nil"/>
                    <w:left w:val="nil"/>
                    <w:bottom w:val="single" w:color="000000" w:sz="8" w:space="0"/>
                    <w:right w:val="single" w:color="000000" w:sz="8" w:space="0"/>
                  </w:tcBorders>
                  <w:shd w:val="clear" w:color="auto" w:fill="auto"/>
                  <w:vAlign w:val="center"/>
                </w:tcPr>
                <w:p w14:paraId="51AFBC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更换水</w:t>
                  </w:r>
                </w:p>
              </w:tc>
              <w:tc>
                <w:tcPr>
                  <w:tcW w:w="370" w:type="pct"/>
                  <w:tcBorders>
                    <w:top w:val="nil"/>
                    <w:left w:val="nil"/>
                    <w:bottom w:val="single" w:color="000000" w:sz="8" w:space="0"/>
                    <w:right w:val="single" w:color="000000" w:sz="8" w:space="0"/>
                  </w:tcBorders>
                  <w:shd w:val="clear" w:color="auto" w:fill="auto"/>
                  <w:vAlign w:val="center"/>
                </w:tcPr>
                <w:p w14:paraId="2E8210CF">
                  <w:pPr>
                    <w:jc w:val="center"/>
                    <w:rPr>
                      <w:rFonts w:hint="default" w:ascii="Times New Roman" w:hAnsi="Times New Roman" w:eastAsia="宋体" w:cs="Times New Roman"/>
                      <w:i w:val="0"/>
                      <w:iCs w:val="0"/>
                      <w:color w:val="auto"/>
                      <w:sz w:val="21"/>
                      <w:szCs w:val="21"/>
                      <w:highlight w:val="none"/>
                      <w:u w:val="none"/>
                    </w:rPr>
                  </w:pPr>
                </w:p>
              </w:tc>
              <w:tc>
                <w:tcPr>
                  <w:tcW w:w="520" w:type="pct"/>
                  <w:tcBorders>
                    <w:top w:val="nil"/>
                    <w:left w:val="nil"/>
                    <w:bottom w:val="single" w:color="000000" w:sz="8" w:space="0"/>
                    <w:right w:val="single" w:color="000000" w:sz="8" w:space="0"/>
                  </w:tcBorders>
                  <w:shd w:val="clear" w:color="auto" w:fill="auto"/>
                  <w:vAlign w:val="center"/>
                </w:tcPr>
                <w:p w14:paraId="33D55B8E">
                  <w:pPr>
                    <w:jc w:val="center"/>
                    <w:rPr>
                      <w:rFonts w:hint="default" w:ascii="Times New Roman" w:hAnsi="Times New Roman" w:eastAsia="宋体" w:cs="Times New Roman"/>
                      <w:i w:val="0"/>
                      <w:iCs w:val="0"/>
                      <w:color w:val="auto"/>
                      <w:sz w:val="21"/>
                      <w:szCs w:val="21"/>
                      <w:highlight w:val="none"/>
                      <w:u w:val="none"/>
                    </w:rPr>
                  </w:pPr>
                </w:p>
              </w:tc>
              <w:tc>
                <w:tcPr>
                  <w:tcW w:w="370" w:type="pct"/>
                  <w:tcBorders>
                    <w:top w:val="nil"/>
                    <w:left w:val="nil"/>
                    <w:bottom w:val="single" w:color="000000" w:sz="8" w:space="0"/>
                    <w:right w:val="single" w:color="000000" w:sz="8" w:space="0"/>
                  </w:tcBorders>
                  <w:shd w:val="clear" w:color="auto" w:fill="auto"/>
                  <w:vAlign w:val="center"/>
                </w:tcPr>
                <w:p w14:paraId="2E68A2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371" w:type="pct"/>
                  <w:tcBorders>
                    <w:top w:val="nil"/>
                    <w:left w:val="nil"/>
                    <w:bottom w:val="single" w:color="000000" w:sz="8" w:space="0"/>
                    <w:right w:val="single" w:color="000000" w:sz="8" w:space="0"/>
                  </w:tcBorders>
                  <w:shd w:val="clear" w:color="auto" w:fill="auto"/>
                  <w:vAlign w:val="center"/>
                </w:tcPr>
                <w:p w14:paraId="030D30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386" w:type="pct"/>
                  <w:tcBorders>
                    <w:top w:val="nil"/>
                    <w:left w:val="nil"/>
                    <w:bottom w:val="single" w:color="000000" w:sz="8" w:space="0"/>
                    <w:right w:val="single" w:color="000000" w:sz="8" w:space="0"/>
                  </w:tcBorders>
                  <w:shd w:val="clear" w:color="auto" w:fill="auto"/>
                  <w:vAlign w:val="center"/>
                </w:tcPr>
                <w:p w14:paraId="3C982F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372" w:type="pct"/>
                  <w:tcBorders>
                    <w:top w:val="nil"/>
                    <w:left w:val="nil"/>
                    <w:bottom w:val="single" w:color="000000" w:sz="8" w:space="0"/>
                    <w:right w:val="single" w:color="000000" w:sz="8" w:space="0"/>
                  </w:tcBorders>
                  <w:shd w:val="clear" w:color="auto" w:fill="auto"/>
                  <w:vAlign w:val="center"/>
                </w:tcPr>
                <w:p w14:paraId="3427DE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370" w:type="pct"/>
                  <w:tcBorders>
                    <w:top w:val="nil"/>
                    <w:left w:val="nil"/>
                    <w:bottom w:val="single" w:color="000000" w:sz="8" w:space="0"/>
                    <w:right w:val="single" w:color="000000" w:sz="8" w:space="0"/>
                  </w:tcBorders>
                  <w:shd w:val="clear" w:color="auto" w:fill="auto"/>
                  <w:vAlign w:val="center"/>
                </w:tcPr>
                <w:p w14:paraId="6D89DC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521" w:type="pct"/>
                  <w:tcBorders>
                    <w:top w:val="nil"/>
                    <w:left w:val="nil"/>
                    <w:bottom w:val="single" w:color="000000" w:sz="8" w:space="0"/>
                    <w:right w:val="single" w:color="000000" w:sz="8" w:space="0"/>
                  </w:tcBorders>
                  <w:shd w:val="clear" w:color="auto" w:fill="auto"/>
                  <w:vAlign w:val="center"/>
                </w:tcPr>
                <w:p w14:paraId="15A3B5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370" w:type="pct"/>
                  <w:tcBorders>
                    <w:top w:val="nil"/>
                    <w:left w:val="nil"/>
                    <w:bottom w:val="single" w:color="000000" w:sz="8" w:space="0"/>
                    <w:right w:val="single" w:color="000000" w:sz="8" w:space="0"/>
                  </w:tcBorders>
                  <w:shd w:val="clear" w:color="auto" w:fill="auto"/>
                  <w:vAlign w:val="center"/>
                </w:tcPr>
                <w:p w14:paraId="0D09806F">
                  <w:pPr>
                    <w:jc w:val="center"/>
                    <w:rPr>
                      <w:rFonts w:hint="default" w:ascii="Times New Roman" w:hAnsi="Times New Roman" w:eastAsia="宋体" w:cs="Times New Roman"/>
                      <w:i w:val="0"/>
                      <w:iCs w:val="0"/>
                      <w:color w:val="auto"/>
                      <w:sz w:val="21"/>
                      <w:szCs w:val="21"/>
                      <w:highlight w:val="none"/>
                      <w:u w:val="none"/>
                    </w:rPr>
                  </w:pPr>
                </w:p>
              </w:tc>
            </w:tr>
            <w:tr w14:paraId="78311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70" w:type="pct"/>
                  <w:tcBorders>
                    <w:top w:val="nil"/>
                    <w:left w:val="single" w:color="000000" w:sz="8" w:space="0"/>
                    <w:bottom w:val="single" w:color="000000" w:sz="8" w:space="0"/>
                    <w:right w:val="single" w:color="000000" w:sz="8" w:space="0"/>
                  </w:tcBorders>
                  <w:shd w:val="clear" w:color="auto" w:fill="auto"/>
                  <w:vAlign w:val="center"/>
                </w:tcPr>
                <w:p w14:paraId="7288F2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978" w:type="pct"/>
                  <w:gridSpan w:val="3"/>
                  <w:tcBorders>
                    <w:top w:val="nil"/>
                    <w:left w:val="nil"/>
                    <w:bottom w:val="single" w:color="000000" w:sz="8" w:space="0"/>
                    <w:right w:val="single" w:color="000000" w:sz="8" w:space="0"/>
                  </w:tcBorders>
                  <w:shd w:val="clear" w:color="auto" w:fill="auto"/>
                  <w:vAlign w:val="center"/>
                </w:tcPr>
                <w:p w14:paraId="78B92F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总计</w:t>
                  </w:r>
                </w:p>
              </w:tc>
              <w:tc>
                <w:tcPr>
                  <w:tcW w:w="370" w:type="pct"/>
                  <w:tcBorders>
                    <w:top w:val="nil"/>
                    <w:left w:val="nil"/>
                    <w:bottom w:val="single" w:color="000000" w:sz="8" w:space="0"/>
                    <w:right w:val="single" w:color="000000" w:sz="8" w:space="0"/>
                  </w:tcBorders>
                  <w:shd w:val="clear" w:color="auto" w:fill="auto"/>
                  <w:vAlign w:val="center"/>
                </w:tcPr>
                <w:p w14:paraId="6970F4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20" w:type="pct"/>
                  <w:tcBorders>
                    <w:top w:val="nil"/>
                    <w:left w:val="nil"/>
                    <w:bottom w:val="single" w:color="000000" w:sz="8" w:space="0"/>
                    <w:right w:val="single" w:color="000000" w:sz="8" w:space="0"/>
                  </w:tcBorders>
                  <w:shd w:val="clear" w:color="auto" w:fill="auto"/>
                  <w:vAlign w:val="center"/>
                </w:tcPr>
                <w:p w14:paraId="331A7A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70" w:type="pct"/>
                  <w:tcBorders>
                    <w:top w:val="nil"/>
                    <w:left w:val="nil"/>
                    <w:bottom w:val="single" w:color="000000" w:sz="8" w:space="0"/>
                    <w:right w:val="single" w:color="000000" w:sz="8" w:space="0"/>
                  </w:tcBorders>
                  <w:shd w:val="clear" w:color="auto" w:fill="auto"/>
                  <w:vAlign w:val="center"/>
                </w:tcPr>
                <w:p w14:paraId="7CAFE1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102.9</w:t>
                  </w:r>
                </w:p>
              </w:tc>
              <w:tc>
                <w:tcPr>
                  <w:tcW w:w="371" w:type="pct"/>
                  <w:tcBorders>
                    <w:top w:val="nil"/>
                    <w:left w:val="nil"/>
                    <w:bottom w:val="single" w:color="000000" w:sz="8" w:space="0"/>
                    <w:right w:val="single" w:color="000000" w:sz="8" w:space="0"/>
                  </w:tcBorders>
                  <w:shd w:val="clear" w:color="auto" w:fill="auto"/>
                  <w:vAlign w:val="center"/>
                </w:tcPr>
                <w:p w14:paraId="025484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26774</w:t>
                  </w:r>
                </w:p>
              </w:tc>
              <w:tc>
                <w:tcPr>
                  <w:tcW w:w="386" w:type="pct"/>
                  <w:tcBorders>
                    <w:top w:val="nil"/>
                    <w:left w:val="nil"/>
                    <w:bottom w:val="single" w:color="000000" w:sz="8" w:space="0"/>
                    <w:right w:val="single" w:color="000000" w:sz="8" w:space="0"/>
                  </w:tcBorders>
                  <w:shd w:val="clear" w:color="auto" w:fill="auto"/>
                  <w:vAlign w:val="center"/>
                </w:tcPr>
                <w:p w14:paraId="5BCCC6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14749.9</w:t>
                  </w:r>
                </w:p>
              </w:tc>
              <w:tc>
                <w:tcPr>
                  <w:tcW w:w="372" w:type="pct"/>
                  <w:tcBorders>
                    <w:top w:val="nil"/>
                    <w:left w:val="nil"/>
                    <w:bottom w:val="single" w:color="000000" w:sz="8" w:space="0"/>
                    <w:right w:val="single" w:color="000000" w:sz="8" w:space="0"/>
                  </w:tcBorders>
                  <w:shd w:val="clear" w:color="auto" w:fill="auto"/>
                  <w:vAlign w:val="center"/>
                </w:tcPr>
                <w:p w14:paraId="5E1728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4418774</w:t>
                  </w:r>
                </w:p>
              </w:tc>
              <w:tc>
                <w:tcPr>
                  <w:tcW w:w="370" w:type="pct"/>
                  <w:tcBorders>
                    <w:top w:val="nil"/>
                    <w:left w:val="nil"/>
                    <w:bottom w:val="single" w:color="000000" w:sz="8" w:space="0"/>
                    <w:right w:val="single" w:color="000000" w:sz="8" w:space="0"/>
                  </w:tcBorders>
                  <w:shd w:val="clear" w:color="auto" w:fill="auto"/>
                  <w:vAlign w:val="center"/>
                </w:tcPr>
                <w:p w14:paraId="006B08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74.</w:t>
                  </w:r>
                  <w:r>
                    <w:rPr>
                      <w:rFonts w:hint="eastAsia" w:ascii="Times New Roman" w:hAnsi="Times New Roman" w:eastAsia="宋体"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1</w:t>
                  </w:r>
                </w:p>
              </w:tc>
              <w:tc>
                <w:tcPr>
                  <w:tcW w:w="521" w:type="pct"/>
                  <w:tcBorders>
                    <w:top w:val="nil"/>
                    <w:left w:val="nil"/>
                    <w:bottom w:val="single" w:color="000000" w:sz="8" w:space="0"/>
                    <w:right w:val="single" w:color="000000" w:sz="8" w:space="0"/>
                  </w:tcBorders>
                  <w:shd w:val="clear" w:color="auto" w:fill="auto"/>
                  <w:vAlign w:val="center"/>
                </w:tcPr>
                <w:p w14:paraId="26D967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18338.3</w:t>
                  </w:r>
                </w:p>
              </w:tc>
              <w:tc>
                <w:tcPr>
                  <w:tcW w:w="370" w:type="pct"/>
                  <w:tcBorders>
                    <w:top w:val="nil"/>
                    <w:left w:val="nil"/>
                    <w:bottom w:val="single" w:color="000000" w:sz="8" w:space="0"/>
                    <w:right w:val="single" w:color="000000" w:sz="8" w:space="0"/>
                  </w:tcBorders>
                  <w:shd w:val="clear" w:color="auto" w:fill="auto"/>
                  <w:vAlign w:val="center"/>
                </w:tcPr>
                <w:p w14:paraId="6C82BB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14698</w:t>
                  </w:r>
                </w:p>
              </w:tc>
            </w:tr>
          </w:tbl>
          <w:p w14:paraId="2A7DD70B">
            <w:pPr>
              <w:pStyle w:val="2"/>
              <w:rPr>
                <w:rFonts w:hint="eastAsia" w:eastAsia="宋体"/>
                <w:color w:val="auto"/>
                <w:highlight w:val="none"/>
                <w:vertAlign w:val="baseline"/>
                <w:lang w:val="en-US" w:eastAsia="zh-CN"/>
              </w:rPr>
            </w:pPr>
          </w:p>
        </w:tc>
      </w:tr>
    </w:tbl>
    <w:p w14:paraId="1E9A40E6">
      <w:pPr>
        <w:pStyle w:val="2"/>
        <w:rPr>
          <w:color w:val="auto"/>
          <w:highlight w:val="none"/>
        </w:rPr>
        <w:sectPr>
          <w:pgSz w:w="16840" w:h="11907" w:orient="landscape"/>
          <w:pgMar w:top="1531" w:right="1701" w:bottom="1531" w:left="2127" w:header="851" w:footer="1814" w:gutter="0"/>
          <w:pgBorders>
            <w:top w:val="none" w:sz="0" w:space="0"/>
            <w:left w:val="none" w:sz="0" w:space="0"/>
            <w:bottom w:val="none" w:sz="0" w:space="0"/>
            <w:right w:val="none" w:sz="0" w:space="0"/>
          </w:pgBorders>
          <w:pgNumType w:fmt="decimal"/>
          <w:cols w:space="720" w:num="1"/>
          <w:docGrid w:linePitch="312" w:charSpace="0"/>
        </w:sectPr>
      </w:pP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2"/>
        <w:gridCol w:w="8659"/>
      </w:tblGrid>
      <w:tr w14:paraId="0FF90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1" w:type="pct"/>
            <w:noWrap w:val="0"/>
            <w:vAlign w:val="center"/>
          </w:tcPr>
          <w:p w14:paraId="3BD8A2DD">
            <w:pPr>
              <w:pStyle w:val="16"/>
              <w:pageBreakBefore w:val="0"/>
              <w:kinsoku/>
              <w:wordWrap/>
              <w:overflowPunct w:val="0"/>
              <w:topLinePunct/>
              <w:bidi w:val="0"/>
              <w:adjustRightInd w:val="0"/>
              <w:snapToGrid w:val="0"/>
              <w:spacing w:before="0" w:beforeAutospacing="0" w:after="0" w:afterAutospacing="0"/>
              <w:jc w:val="center"/>
              <w:rPr>
                <w:rFonts w:hint="default" w:ascii="Times New Roman" w:hAnsi="Times New Roman" w:eastAsia="宋体" w:cs="Times New Roman"/>
                <w:b/>
                <w:bCs/>
                <w:color w:val="auto"/>
                <w:sz w:val="24"/>
                <w:szCs w:val="24"/>
                <w:highlight w:val="none"/>
              </w:rPr>
            </w:pPr>
          </w:p>
        </w:tc>
        <w:tc>
          <w:tcPr>
            <w:tcW w:w="4778" w:type="pct"/>
            <w:noWrap w:val="0"/>
            <w:vAlign w:val="center"/>
          </w:tcPr>
          <w:p w14:paraId="3FA2591F">
            <w:pPr>
              <w:pStyle w:val="24"/>
              <w:keepNext w:val="0"/>
              <w:keepLines w:val="0"/>
              <w:pageBreakBefore w:val="0"/>
              <w:widowControl w:val="0"/>
              <w:kinsoku/>
              <w:wordWrap/>
              <w:overflowPunct w:val="0"/>
              <w:topLinePunct/>
              <w:autoSpaceDE/>
              <w:autoSpaceDN/>
              <w:bidi w:val="0"/>
              <w:spacing w:line="460" w:lineRule="exact"/>
              <w:ind w:left="0" w:firstLine="476" w:firstLineChars="200"/>
              <w:jc w:val="both"/>
              <w:textAlignment w:val="auto"/>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项目水平衡图如下：</w:t>
            </w:r>
          </w:p>
          <w:p w14:paraId="0D39DB7C">
            <w:pPr>
              <w:pStyle w:val="10"/>
              <w:keepNext w:val="0"/>
              <w:keepLines w:val="0"/>
              <w:pageBreakBefore w:val="0"/>
              <w:widowControl/>
              <w:kinsoku/>
              <w:wordWrap/>
              <w:overflowPunct/>
              <w:topLinePunct w:val="0"/>
              <w:autoSpaceDE/>
              <w:autoSpaceDN/>
              <w:bidi w:val="0"/>
              <w:adjustRightInd/>
              <w:snapToGrid w:val="0"/>
              <w:spacing w:line="240" w:lineRule="auto"/>
              <w:ind w:firstLine="0"/>
              <w:jc w:val="both"/>
              <w:textAlignment w:val="auto"/>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object>
                <v:shape id="_x0000_i1025" o:spt="75" type="#_x0000_t75" style="height:423.95pt;width:423.1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14:paraId="45FEF495">
            <w:pPr>
              <w:pStyle w:val="24"/>
              <w:keepNext w:val="0"/>
              <w:keepLines w:val="0"/>
              <w:pageBreakBefore w:val="0"/>
              <w:widowControl w:val="0"/>
              <w:kinsoku/>
              <w:wordWrap/>
              <w:overflowPunct w:val="0"/>
              <w:topLinePunct/>
              <w:autoSpaceDE/>
              <w:autoSpaceDN/>
              <w:bidi w:val="0"/>
              <w:spacing w:line="460" w:lineRule="exact"/>
              <w:jc w:val="center"/>
              <w:textAlignment w:val="auto"/>
              <w:rPr>
                <w:rFonts w:hint="eastAsia" w:ascii="Times New Roman" w:hAnsi="Times New Roman" w:eastAsia="宋体" w:cs="Times New Roman"/>
                <w:b/>
                <w:bCs/>
                <w:color w:val="auto"/>
                <w:spacing w:val="-1"/>
                <w:sz w:val="22"/>
                <w:szCs w:val="22"/>
                <w:highlight w:val="none"/>
                <w:lang w:val="en-US" w:eastAsia="zh-CN"/>
              </w:rPr>
            </w:pPr>
            <w:r>
              <w:rPr>
                <w:rFonts w:hint="default" w:ascii="Times New Roman" w:hAnsi="Times New Roman" w:cs="Times New Roman"/>
                <w:b/>
                <w:bCs/>
                <w:color w:val="auto"/>
                <w:spacing w:val="-1"/>
                <w:sz w:val="22"/>
                <w:szCs w:val="22"/>
                <w:highlight w:val="none"/>
                <w:lang w:val="en-US" w:eastAsia="zh-CN"/>
              </w:rPr>
              <w:t>图2.3-1</w:t>
            </w:r>
            <w:r>
              <w:rPr>
                <w:rFonts w:hint="eastAsia" w:ascii="Times New Roman" w:hAnsi="Times New Roman" w:cs="Times New Roman"/>
                <w:b/>
                <w:bCs/>
                <w:color w:val="auto"/>
                <w:spacing w:val="-1"/>
                <w:sz w:val="22"/>
                <w:szCs w:val="22"/>
                <w:highlight w:val="none"/>
                <w:lang w:val="en-US" w:eastAsia="zh-CN"/>
              </w:rPr>
              <w:t>本项目（最大）</w:t>
            </w:r>
            <w:r>
              <w:rPr>
                <w:rFonts w:hint="default" w:ascii="Times New Roman" w:hAnsi="Times New Roman" w:cs="Times New Roman"/>
                <w:b/>
                <w:bCs/>
                <w:color w:val="auto"/>
                <w:spacing w:val="-1"/>
                <w:sz w:val="22"/>
                <w:szCs w:val="22"/>
                <w:highlight w:val="none"/>
                <w:lang w:val="en-US" w:eastAsia="zh-CN"/>
              </w:rPr>
              <w:t>水平衡图</w:t>
            </w:r>
            <w:r>
              <w:rPr>
                <w:rFonts w:hint="eastAsia"/>
                <w:color w:val="auto"/>
                <w:highlight w:val="none"/>
                <w:lang w:val="en-US" w:eastAsia="zh-CN"/>
              </w:rPr>
              <w:t xml:space="preserve"> </w:t>
            </w:r>
            <w:r>
              <w:rPr>
                <w:rFonts w:hint="default" w:ascii="Times New Roman" w:hAnsi="Times New Roman" w:eastAsia="宋体" w:cs="Times New Roman"/>
                <w:b/>
                <w:bCs/>
                <w:color w:val="auto"/>
                <w:spacing w:val="-1"/>
                <w:sz w:val="22"/>
                <w:szCs w:val="22"/>
                <w:highlight w:val="none"/>
                <w:lang w:val="en-US" w:eastAsia="zh-CN"/>
              </w:rPr>
              <w:t>单位：m</w:t>
            </w:r>
            <w:r>
              <w:rPr>
                <w:rFonts w:hint="default" w:ascii="Times New Roman" w:hAnsi="Times New Roman" w:eastAsia="宋体" w:cs="Times New Roman"/>
                <w:b/>
                <w:bCs/>
                <w:color w:val="auto"/>
                <w:spacing w:val="-1"/>
                <w:sz w:val="22"/>
                <w:szCs w:val="22"/>
                <w:highlight w:val="none"/>
                <w:vertAlign w:val="superscript"/>
                <w:lang w:val="en-US" w:eastAsia="zh-CN"/>
              </w:rPr>
              <w:t>3</w:t>
            </w:r>
            <w:r>
              <w:rPr>
                <w:rFonts w:hint="default" w:ascii="Times New Roman" w:hAnsi="Times New Roman" w:eastAsia="宋体" w:cs="Times New Roman"/>
                <w:b/>
                <w:bCs/>
                <w:color w:val="auto"/>
                <w:spacing w:val="-1"/>
                <w:sz w:val="22"/>
                <w:szCs w:val="22"/>
                <w:highlight w:val="none"/>
                <w:lang w:val="en-US" w:eastAsia="zh-CN"/>
              </w:rPr>
              <w:t>/d</w:t>
            </w:r>
          </w:p>
          <w:p w14:paraId="0AD92724">
            <w:pPr>
              <w:pStyle w:val="24"/>
              <w:keepNext w:val="0"/>
              <w:keepLines w:val="0"/>
              <w:pageBreakBefore w:val="0"/>
              <w:widowControl w:val="0"/>
              <w:kinsoku/>
              <w:wordWrap/>
              <w:overflowPunct w:val="0"/>
              <w:topLinePunct/>
              <w:autoSpaceDE/>
              <w:autoSpaceDN/>
              <w:bidi w:val="0"/>
              <w:spacing w:line="240" w:lineRule="auto"/>
              <w:jc w:val="center"/>
              <w:textAlignment w:val="auto"/>
              <w:rPr>
                <w:rFonts w:hint="default" w:ascii="Times New Roman" w:hAnsi="Times New Roman" w:eastAsia="宋体" w:cs="Times New Roman"/>
                <w:b/>
                <w:bCs/>
                <w:color w:val="auto"/>
                <w:spacing w:val="-1"/>
                <w:sz w:val="22"/>
                <w:szCs w:val="22"/>
                <w:highlight w:val="none"/>
                <w:lang w:val="en-US" w:eastAsia="zh-CN"/>
              </w:rPr>
            </w:pPr>
            <w:r>
              <w:rPr>
                <w:rFonts w:hint="default" w:ascii="Times New Roman" w:hAnsi="Times New Roman" w:eastAsia="宋体" w:cs="Times New Roman"/>
                <w:b/>
                <w:bCs/>
                <w:color w:val="auto"/>
                <w:spacing w:val="-1"/>
                <w:sz w:val="22"/>
                <w:szCs w:val="22"/>
                <w:highlight w:val="none"/>
                <w:lang w:val="en-US" w:eastAsia="zh-CN"/>
              </w:rPr>
              <w:object>
                <v:shape id="_x0000_i1026" o:spt="75" type="#_x0000_t75" style="height:531.15pt;width:423.1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r>
              <w:rPr>
                <w:rFonts w:hint="default" w:ascii="Times New Roman" w:hAnsi="Times New Roman" w:eastAsia="宋体" w:cs="Times New Roman"/>
                <w:b/>
                <w:bCs/>
                <w:color w:val="auto"/>
                <w:spacing w:val="-1"/>
                <w:sz w:val="22"/>
                <w:szCs w:val="22"/>
                <w:highlight w:val="none"/>
                <w:lang w:val="en-US" w:eastAsia="zh-CN"/>
              </w:rPr>
              <w:t>图2.3-2</w:t>
            </w:r>
            <w:r>
              <w:rPr>
                <w:rFonts w:hint="eastAsia" w:ascii="Times New Roman" w:hAnsi="Times New Roman" w:cs="Times New Roman"/>
                <w:b/>
                <w:bCs/>
                <w:color w:val="auto"/>
                <w:spacing w:val="-1"/>
                <w:sz w:val="22"/>
                <w:szCs w:val="22"/>
                <w:highlight w:val="none"/>
                <w:lang w:val="en-US" w:eastAsia="zh-CN"/>
              </w:rPr>
              <w:t>改建</w:t>
            </w:r>
            <w:r>
              <w:rPr>
                <w:rFonts w:hint="default" w:ascii="Times New Roman" w:hAnsi="Times New Roman" w:eastAsia="宋体" w:cs="Times New Roman"/>
                <w:b/>
                <w:bCs/>
                <w:color w:val="auto"/>
                <w:spacing w:val="-1"/>
                <w:sz w:val="22"/>
                <w:szCs w:val="22"/>
                <w:highlight w:val="none"/>
                <w:lang w:val="en-US" w:eastAsia="zh-CN"/>
              </w:rPr>
              <w:t>后全厂</w:t>
            </w:r>
            <w:r>
              <w:rPr>
                <w:rFonts w:hint="eastAsia" w:ascii="Times New Roman" w:hAnsi="Times New Roman" w:cs="Times New Roman"/>
                <w:b/>
                <w:bCs/>
                <w:color w:val="auto"/>
                <w:spacing w:val="-1"/>
                <w:sz w:val="22"/>
                <w:szCs w:val="22"/>
                <w:highlight w:val="none"/>
                <w:lang w:val="en-US" w:eastAsia="zh-CN"/>
              </w:rPr>
              <w:t>（最大）</w:t>
            </w:r>
            <w:r>
              <w:rPr>
                <w:rFonts w:hint="default" w:ascii="Times New Roman" w:hAnsi="Times New Roman" w:eastAsia="宋体" w:cs="Times New Roman"/>
                <w:b/>
                <w:bCs/>
                <w:color w:val="auto"/>
                <w:spacing w:val="-1"/>
                <w:sz w:val="22"/>
                <w:szCs w:val="22"/>
                <w:highlight w:val="none"/>
                <w:lang w:val="en-US" w:eastAsia="zh-CN"/>
              </w:rPr>
              <w:t>水平衡图</w:t>
            </w:r>
            <w:r>
              <w:rPr>
                <w:rFonts w:hint="eastAsia" w:ascii="Times New Roman" w:hAnsi="Times New Roman" w:cs="Times New Roman"/>
                <w:b/>
                <w:bCs/>
                <w:color w:val="auto"/>
                <w:spacing w:val="-1"/>
                <w:sz w:val="22"/>
                <w:szCs w:val="22"/>
                <w:highlight w:val="none"/>
                <w:lang w:val="en-US" w:eastAsia="zh-CN"/>
              </w:rPr>
              <w:t xml:space="preserve"> </w:t>
            </w:r>
            <w:r>
              <w:rPr>
                <w:rFonts w:hint="default" w:ascii="Times New Roman" w:hAnsi="Times New Roman" w:eastAsia="宋体" w:cs="Times New Roman"/>
                <w:b/>
                <w:bCs/>
                <w:color w:val="auto"/>
                <w:spacing w:val="-1"/>
                <w:sz w:val="22"/>
                <w:szCs w:val="22"/>
                <w:highlight w:val="none"/>
                <w:lang w:val="en-US" w:eastAsia="zh-CN"/>
              </w:rPr>
              <w:t>单位：m</w:t>
            </w:r>
            <w:r>
              <w:rPr>
                <w:rFonts w:hint="default" w:ascii="Times New Roman" w:hAnsi="Times New Roman" w:eastAsia="宋体" w:cs="Times New Roman"/>
                <w:b/>
                <w:bCs/>
                <w:color w:val="auto"/>
                <w:spacing w:val="-1"/>
                <w:sz w:val="22"/>
                <w:szCs w:val="22"/>
                <w:highlight w:val="none"/>
                <w:vertAlign w:val="superscript"/>
                <w:lang w:val="en-US" w:eastAsia="zh-CN"/>
              </w:rPr>
              <w:t>3</w:t>
            </w:r>
            <w:r>
              <w:rPr>
                <w:rFonts w:hint="default" w:ascii="Times New Roman" w:hAnsi="Times New Roman" w:eastAsia="宋体" w:cs="Times New Roman"/>
                <w:b/>
                <w:bCs/>
                <w:color w:val="auto"/>
                <w:spacing w:val="-1"/>
                <w:sz w:val="22"/>
                <w:szCs w:val="22"/>
                <w:highlight w:val="none"/>
                <w:lang w:val="en-US" w:eastAsia="zh-CN"/>
              </w:rPr>
              <w:t>/d</w:t>
            </w:r>
          </w:p>
          <w:p w14:paraId="1F9695E6">
            <w:pPr>
              <w:pStyle w:val="24"/>
              <w:keepNext w:val="0"/>
              <w:keepLines w:val="0"/>
              <w:pageBreakBefore w:val="0"/>
              <w:widowControl w:val="0"/>
              <w:kinsoku/>
              <w:wordWrap/>
              <w:overflowPunct w:val="0"/>
              <w:topLinePunct/>
              <w:autoSpaceDE/>
              <w:autoSpaceDN/>
              <w:bidi w:val="0"/>
              <w:spacing w:line="460" w:lineRule="exact"/>
              <w:ind w:left="0" w:firstLine="478" w:firstLineChars="200"/>
              <w:textAlignment w:val="auto"/>
              <w:rPr>
                <w:rFonts w:hint="eastAsia" w:ascii="Times New Roman" w:hAnsi="Times New Roman" w:cs="Times New Roman"/>
                <w:b/>
                <w:bCs/>
                <w:color w:val="auto"/>
                <w:spacing w:val="-1"/>
                <w:sz w:val="24"/>
                <w:szCs w:val="24"/>
                <w:highlight w:val="none"/>
                <w:lang w:val="en-US" w:eastAsia="zh-CN"/>
              </w:rPr>
            </w:pPr>
          </w:p>
          <w:p w14:paraId="4708BA8C">
            <w:pPr>
              <w:pStyle w:val="24"/>
              <w:keepNext w:val="0"/>
              <w:keepLines w:val="0"/>
              <w:pageBreakBefore w:val="0"/>
              <w:widowControl w:val="0"/>
              <w:kinsoku/>
              <w:wordWrap/>
              <w:overflowPunct w:val="0"/>
              <w:topLinePunct/>
              <w:autoSpaceDE/>
              <w:autoSpaceDN/>
              <w:bidi w:val="0"/>
              <w:spacing w:line="460" w:lineRule="exact"/>
              <w:ind w:left="0" w:firstLine="478" w:firstLineChars="200"/>
              <w:textAlignment w:val="auto"/>
              <w:rPr>
                <w:rFonts w:hint="eastAsia" w:ascii="Times New Roman" w:hAnsi="Times New Roman" w:cs="Times New Roman"/>
                <w:b/>
                <w:bCs/>
                <w:color w:val="auto"/>
                <w:spacing w:val="-1"/>
                <w:sz w:val="24"/>
                <w:szCs w:val="24"/>
                <w:highlight w:val="none"/>
                <w:lang w:val="en-US" w:eastAsia="zh-CN"/>
              </w:rPr>
            </w:pPr>
          </w:p>
          <w:p w14:paraId="7DFA445A">
            <w:pPr>
              <w:pStyle w:val="24"/>
              <w:keepNext w:val="0"/>
              <w:keepLines w:val="0"/>
              <w:pageBreakBefore w:val="0"/>
              <w:widowControl w:val="0"/>
              <w:kinsoku/>
              <w:wordWrap/>
              <w:overflowPunct w:val="0"/>
              <w:topLinePunct/>
              <w:autoSpaceDE/>
              <w:autoSpaceDN/>
              <w:bidi w:val="0"/>
              <w:spacing w:line="460" w:lineRule="exact"/>
              <w:ind w:left="0" w:firstLine="478" w:firstLineChars="200"/>
              <w:textAlignment w:val="auto"/>
              <w:rPr>
                <w:rFonts w:hint="eastAsia" w:ascii="Times New Roman" w:hAnsi="Times New Roman" w:cs="Times New Roman"/>
                <w:b/>
                <w:bCs/>
                <w:color w:val="auto"/>
                <w:spacing w:val="-1"/>
                <w:sz w:val="24"/>
                <w:szCs w:val="24"/>
                <w:highlight w:val="none"/>
                <w:lang w:val="en-US" w:eastAsia="zh-CN"/>
              </w:rPr>
            </w:pPr>
          </w:p>
          <w:p w14:paraId="1984CF2F">
            <w:pPr>
              <w:pStyle w:val="24"/>
              <w:keepNext w:val="0"/>
              <w:keepLines w:val="0"/>
              <w:pageBreakBefore w:val="0"/>
              <w:widowControl w:val="0"/>
              <w:kinsoku/>
              <w:wordWrap/>
              <w:overflowPunct w:val="0"/>
              <w:topLinePunct/>
              <w:autoSpaceDE/>
              <w:autoSpaceDN/>
              <w:bidi w:val="0"/>
              <w:spacing w:line="460" w:lineRule="exact"/>
              <w:ind w:left="0" w:firstLine="478" w:firstLineChars="200"/>
              <w:textAlignment w:val="auto"/>
              <w:rPr>
                <w:rFonts w:hint="eastAsia" w:ascii="Times New Roman" w:hAnsi="Times New Roman" w:cs="Times New Roman"/>
                <w:b/>
                <w:bCs/>
                <w:color w:val="auto"/>
                <w:spacing w:val="-1"/>
                <w:sz w:val="24"/>
                <w:szCs w:val="24"/>
                <w:highlight w:val="none"/>
                <w:lang w:val="en-US" w:eastAsia="zh-CN"/>
              </w:rPr>
            </w:pPr>
          </w:p>
          <w:p w14:paraId="7F65B008">
            <w:pPr>
              <w:pStyle w:val="24"/>
              <w:keepNext w:val="0"/>
              <w:keepLines w:val="0"/>
              <w:pageBreakBefore w:val="0"/>
              <w:widowControl w:val="0"/>
              <w:kinsoku/>
              <w:wordWrap/>
              <w:overflowPunct w:val="0"/>
              <w:topLinePunct/>
              <w:autoSpaceDE/>
              <w:autoSpaceDN/>
              <w:bidi w:val="0"/>
              <w:spacing w:line="460" w:lineRule="exact"/>
              <w:ind w:left="0" w:firstLine="478" w:firstLineChars="200"/>
              <w:textAlignment w:val="auto"/>
              <w:rPr>
                <w:rFonts w:hint="eastAsia" w:ascii="Times New Roman" w:hAnsi="Times New Roman" w:cs="Times New Roman"/>
                <w:b/>
                <w:bCs/>
                <w:color w:val="auto"/>
                <w:spacing w:val="-1"/>
                <w:sz w:val="24"/>
                <w:szCs w:val="24"/>
                <w:highlight w:val="none"/>
                <w:lang w:val="en-US" w:eastAsia="zh-CN"/>
              </w:rPr>
            </w:pPr>
            <w:r>
              <w:rPr>
                <w:rFonts w:hint="eastAsia" w:ascii="Times New Roman" w:hAnsi="Times New Roman" w:cs="Times New Roman"/>
                <w:b/>
                <w:bCs/>
                <w:color w:val="auto"/>
                <w:spacing w:val="-1"/>
                <w:sz w:val="24"/>
                <w:szCs w:val="24"/>
                <w:highlight w:val="none"/>
                <w:lang w:val="en-US" w:eastAsia="zh-CN"/>
              </w:rPr>
              <w:t>项目物料平衡、磷平衡见下表：</w:t>
            </w:r>
          </w:p>
          <w:p w14:paraId="6FD738A3">
            <w:pPr>
              <w:pStyle w:val="24"/>
              <w:keepNext w:val="0"/>
              <w:keepLines w:val="0"/>
              <w:pageBreakBefore w:val="0"/>
              <w:widowControl w:val="0"/>
              <w:kinsoku/>
              <w:wordWrap/>
              <w:overflowPunct w:val="0"/>
              <w:topLinePunct/>
              <w:autoSpaceDE/>
              <w:autoSpaceDN/>
              <w:bidi w:val="0"/>
              <w:spacing w:line="460" w:lineRule="exact"/>
              <w:ind w:left="0" w:firstLine="478" w:firstLineChars="200"/>
              <w:jc w:val="center"/>
              <w:textAlignment w:val="auto"/>
              <w:rPr>
                <w:rFonts w:hint="default" w:ascii="Times New Roman" w:hAnsi="Times New Roman" w:cs="Times New Roman"/>
                <w:b/>
                <w:bCs/>
                <w:color w:val="auto"/>
                <w:spacing w:val="-1"/>
                <w:sz w:val="24"/>
                <w:szCs w:val="24"/>
                <w:highlight w:val="none"/>
                <w:lang w:val="en-US" w:eastAsia="zh-CN"/>
              </w:rPr>
            </w:pPr>
            <w:r>
              <w:rPr>
                <w:rFonts w:hint="eastAsia" w:ascii="Times New Roman" w:hAnsi="Times New Roman" w:cs="Times New Roman"/>
                <w:b/>
                <w:bCs/>
                <w:color w:val="auto"/>
                <w:spacing w:val="-1"/>
                <w:sz w:val="24"/>
                <w:szCs w:val="24"/>
                <w:highlight w:val="none"/>
                <w:lang w:val="en-US" w:eastAsia="zh-CN"/>
              </w:rPr>
              <w:t>表2.3-16项目物料平衡一览表单位t/a</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03"/>
              <w:gridCol w:w="1974"/>
              <w:gridCol w:w="2406"/>
              <w:gridCol w:w="2057"/>
            </w:tblGrid>
            <w:tr w14:paraId="00B7D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C079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输入</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A60514">
                  <w:pPr>
                    <w:jc w:val="center"/>
                    <w:rPr>
                      <w:rFonts w:hint="default" w:ascii="Times New Roman" w:hAnsi="Times New Roman" w:eastAsia="宋体" w:cs="Times New Roman"/>
                      <w:i w:val="0"/>
                      <w:iCs w:val="0"/>
                      <w:color w:val="auto"/>
                      <w:sz w:val="21"/>
                      <w:szCs w:val="21"/>
                      <w:highlight w:val="none"/>
                      <w:u w:val="none"/>
                    </w:rPr>
                  </w:pP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472A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输出</w:t>
                  </w: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437C18">
                  <w:pPr>
                    <w:jc w:val="center"/>
                    <w:rPr>
                      <w:rFonts w:hint="default" w:ascii="Times New Roman" w:hAnsi="Times New Roman" w:eastAsia="宋体" w:cs="Times New Roman"/>
                      <w:i w:val="0"/>
                      <w:iCs w:val="0"/>
                      <w:color w:val="auto"/>
                      <w:sz w:val="21"/>
                      <w:szCs w:val="21"/>
                      <w:highlight w:val="none"/>
                      <w:u w:val="none"/>
                    </w:rPr>
                  </w:pPr>
                </w:p>
              </w:tc>
            </w:tr>
            <w:tr w14:paraId="59FDC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EAA6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毛油</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0148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185567</w:t>
                  </w: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BD157D">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成品油</w:t>
                  </w: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BD93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180000</w:t>
                  </w:r>
                </w:p>
              </w:tc>
            </w:tr>
            <w:tr w14:paraId="5C0A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FD0F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磷酸</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0E45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731A0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杂质</w:t>
                  </w: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836EB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762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D6A8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活性白土</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9A08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570</w:t>
                  </w: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2E469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皂脚</w:t>
                  </w: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7ACFC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57</w:t>
                  </w:r>
                  <w:r>
                    <w:rPr>
                      <w:rFonts w:hint="eastAsia"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623A0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77C3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氢氧化钠</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53E9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108</w:t>
                  </w: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B10DC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废白土</w:t>
                  </w: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D3AA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580</w:t>
                  </w:r>
                </w:p>
              </w:tc>
            </w:tr>
            <w:tr w14:paraId="02B90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AA74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助滤剂</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4CBC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04F6F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废助滤剂</w:t>
                  </w: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6A6E8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r>
            <w:tr w14:paraId="04493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8A50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柠檬酸</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0323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818BD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脂肪酸</w:t>
                  </w: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CC419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r>
            <w:tr w14:paraId="337EA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117B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水</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2B14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252</w:t>
                  </w: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D73C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废水</w:t>
                  </w: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6BA0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252</w:t>
                  </w:r>
                </w:p>
              </w:tc>
            </w:tr>
            <w:tr w14:paraId="391F2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8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03FE42">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总计</w:t>
                  </w:r>
                </w:p>
              </w:tc>
              <w:tc>
                <w:tcPr>
                  <w:tcW w:w="116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088BC2">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eastAsia="zh-CN"/>
                    </w:rPr>
                    <w:fldChar w:fldCharType="begin"/>
                  </w:r>
                  <w:r>
                    <w:rPr>
                      <w:rFonts w:hint="default" w:ascii="Times New Roman" w:hAnsi="Times New Roman" w:eastAsia="宋体" w:cs="Times New Roman"/>
                      <w:i w:val="0"/>
                      <w:iCs w:val="0"/>
                      <w:color w:val="auto"/>
                      <w:sz w:val="21"/>
                      <w:szCs w:val="21"/>
                      <w:highlight w:val="none"/>
                      <w:u w:val="none"/>
                      <w:lang w:eastAsia="zh-CN"/>
                    </w:rPr>
                    <w:instrText xml:space="preserve"> =SUM(ABOVE) \* MERGEFORMAT </w:instrText>
                  </w:r>
                  <w:r>
                    <w:rPr>
                      <w:rFonts w:hint="default" w:ascii="Times New Roman" w:hAnsi="Times New Roman" w:eastAsia="宋体" w:cs="Times New Roman"/>
                      <w:i w:val="0"/>
                      <w:iCs w:val="0"/>
                      <w:color w:val="auto"/>
                      <w:sz w:val="21"/>
                      <w:szCs w:val="21"/>
                      <w:highlight w:val="none"/>
                      <w:u w:val="none"/>
                      <w:lang w:eastAsia="zh-CN"/>
                    </w:rPr>
                    <w:fldChar w:fldCharType="separate"/>
                  </w:r>
                  <w:r>
                    <w:rPr>
                      <w:rFonts w:hint="default" w:ascii="Times New Roman" w:hAnsi="Times New Roman" w:eastAsia="宋体" w:cs="Times New Roman"/>
                      <w:i w:val="0"/>
                      <w:iCs w:val="0"/>
                      <w:color w:val="auto"/>
                      <w:sz w:val="21"/>
                      <w:szCs w:val="21"/>
                      <w:highlight w:val="none"/>
                      <w:u w:val="none"/>
                      <w:lang w:eastAsia="zh-CN"/>
                    </w:rPr>
                    <w:t>186648</w:t>
                  </w:r>
                  <w:r>
                    <w:rPr>
                      <w:rFonts w:hint="default" w:ascii="Times New Roman" w:hAnsi="Times New Roman" w:eastAsia="宋体" w:cs="Times New Roman"/>
                      <w:i w:val="0"/>
                      <w:iCs w:val="0"/>
                      <w:color w:val="auto"/>
                      <w:sz w:val="21"/>
                      <w:szCs w:val="21"/>
                      <w:highlight w:val="none"/>
                      <w:u w:val="none"/>
                      <w:lang w:eastAsia="zh-CN"/>
                    </w:rPr>
                    <w:fldChar w:fldCharType="end"/>
                  </w:r>
                </w:p>
              </w:tc>
              <w:tc>
                <w:tcPr>
                  <w:tcW w:w="14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9EDA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1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6114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eastAsia="zh-CN" w:bidi="ar"/>
                    </w:rPr>
                    <w:fldChar w:fldCharType="begin"/>
                  </w:r>
                  <w:r>
                    <w:rPr>
                      <w:rFonts w:hint="default" w:ascii="Times New Roman" w:hAnsi="Times New Roman" w:eastAsia="宋体" w:cs="Times New Roman"/>
                      <w:i w:val="0"/>
                      <w:iCs w:val="0"/>
                      <w:color w:val="auto"/>
                      <w:kern w:val="0"/>
                      <w:sz w:val="21"/>
                      <w:szCs w:val="21"/>
                      <w:highlight w:val="none"/>
                      <w:u w:val="none"/>
                      <w:lang w:eastAsia="zh-CN" w:bidi="ar"/>
                    </w:rPr>
                    <w:instrText xml:space="preserve"> =SUM(ABOVE) \* MERGEFORMAT </w:instrText>
                  </w:r>
                  <w:r>
                    <w:rPr>
                      <w:rFonts w:hint="default" w:ascii="Times New Roman" w:hAnsi="Times New Roman" w:eastAsia="宋体" w:cs="Times New Roman"/>
                      <w:i w:val="0"/>
                      <w:iCs w:val="0"/>
                      <w:color w:val="auto"/>
                      <w:kern w:val="0"/>
                      <w:sz w:val="21"/>
                      <w:szCs w:val="21"/>
                      <w:highlight w:val="none"/>
                      <w:u w:val="none"/>
                      <w:lang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eastAsia="zh-CN" w:bidi="ar"/>
                    </w:rPr>
                    <w:t>186648</w:t>
                  </w:r>
                  <w:r>
                    <w:rPr>
                      <w:rFonts w:hint="default" w:ascii="Times New Roman" w:hAnsi="Times New Roman" w:eastAsia="宋体" w:cs="Times New Roman"/>
                      <w:i w:val="0"/>
                      <w:iCs w:val="0"/>
                      <w:color w:val="auto"/>
                      <w:kern w:val="0"/>
                      <w:sz w:val="21"/>
                      <w:szCs w:val="21"/>
                      <w:highlight w:val="none"/>
                      <w:u w:val="none"/>
                      <w:lang w:eastAsia="zh-CN" w:bidi="ar"/>
                    </w:rPr>
                    <w:fldChar w:fldCharType="end"/>
                  </w:r>
                </w:p>
              </w:tc>
            </w:tr>
          </w:tbl>
          <w:p w14:paraId="04F534FF">
            <w:pPr>
              <w:pStyle w:val="24"/>
              <w:keepNext w:val="0"/>
              <w:keepLines w:val="0"/>
              <w:pageBreakBefore w:val="0"/>
              <w:widowControl w:val="0"/>
              <w:kinsoku/>
              <w:wordWrap/>
              <w:overflowPunct w:val="0"/>
              <w:topLinePunct/>
              <w:autoSpaceDE/>
              <w:autoSpaceDN/>
              <w:bidi w:val="0"/>
              <w:spacing w:line="460" w:lineRule="exact"/>
              <w:ind w:left="0" w:firstLine="478" w:firstLineChars="200"/>
              <w:jc w:val="center"/>
              <w:textAlignment w:val="auto"/>
              <w:rPr>
                <w:rFonts w:hint="default" w:ascii="Times New Roman" w:hAnsi="Times New Roman" w:cs="Times New Roman"/>
                <w:b/>
                <w:bCs/>
                <w:color w:val="auto"/>
                <w:spacing w:val="-1"/>
                <w:sz w:val="24"/>
                <w:szCs w:val="24"/>
                <w:highlight w:val="none"/>
                <w:lang w:val="en-US" w:eastAsia="zh-CN"/>
              </w:rPr>
            </w:pPr>
            <w:r>
              <w:rPr>
                <w:rFonts w:hint="eastAsia" w:ascii="Times New Roman" w:hAnsi="Times New Roman" w:cs="Times New Roman"/>
                <w:b/>
                <w:bCs/>
                <w:color w:val="auto"/>
                <w:spacing w:val="-1"/>
                <w:sz w:val="24"/>
                <w:szCs w:val="24"/>
                <w:highlight w:val="none"/>
                <w:lang w:val="en-US" w:eastAsia="zh-CN"/>
              </w:rPr>
              <w:t>表2.3-17项目磷平衡统计表单位t/a</w:t>
            </w:r>
          </w:p>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43"/>
              <w:gridCol w:w="2032"/>
              <w:gridCol w:w="2032"/>
              <w:gridCol w:w="2034"/>
            </w:tblGrid>
            <w:tr w14:paraId="52011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7624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输入</w:t>
                  </w: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A142D0">
                  <w:pPr>
                    <w:jc w:val="center"/>
                    <w:rPr>
                      <w:rFonts w:hint="default" w:ascii="Times New Roman" w:hAnsi="Times New Roman" w:eastAsia="宋体" w:cs="Times New Roman"/>
                      <w:i w:val="0"/>
                      <w:iCs w:val="0"/>
                      <w:color w:val="auto"/>
                      <w:sz w:val="21"/>
                      <w:szCs w:val="21"/>
                      <w:highlight w:val="none"/>
                      <w:u w:val="none"/>
                    </w:rPr>
                  </w:pP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6A57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输出</w:t>
                  </w:r>
                </w:p>
              </w:tc>
              <w:tc>
                <w:tcPr>
                  <w:tcW w:w="12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AFECA4">
                  <w:pPr>
                    <w:jc w:val="center"/>
                    <w:rPr>
                      <w:rFonts w:hint="default" w:ascii="Times New Roman" w:hAnsi="Times New Roman" w:eastAsia="宋体" w:cs="Times New Roman"/>
                      <w:i w:val="0"/>
                      <w:iCs w:val="0"/>
                      <w:color w:val="auto"/>
                      <w:sz w:val="21"/>
                      <w:szCs w:val="21"/>
                      <w:highlight w:val="none"/>
                      <w:u w:val="none"/>
                    </w:rPr>
                  </w:pPr>
                </w:p>
              </w:tc>
            </w:tr>
            <w:tr w14:paraId="16AC2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509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毛油</w:t>
                  </w: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F5F3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15.5</w:t>
                  </w: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8CE9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成品油</w:t>
                  </w:r>
                </w:p>
              </w:tc>
              <w:tc>
                <w:tcPr>
                  <w:tcW w:w="12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FC49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1.814</w:t>
                  </w:r>
                </w:p>
              </w:tc>
            </w:tr>
            <w:tr w14:paraId="060F6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76D4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磷酸</w:t>
                  </w: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21EF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27.9</w:t>
                  </w: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9197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皂脚</w:t>
                  </w:r>
                </w:p>
              </w:tc>
              <w:tc>
                <w:tcPr>
                  <w:tcW w:w="12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F362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39.016</w:t>
                  </w:r>
                </w:p>
              </w:tc>
            </w:tr>
            <w:tr w14:paraId="118CD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1917D7">
                  <w:pPr>
                    <w:jc w:val="center"/>
                    <w:rPr>
                      <w:rFonts w:hint="default" w:ascii="Times New Roman" w:hAnsi="Times New Roman" w:eastAsia="宋体" w:cs="Times New Roman"/>
                      <w:i w:val="0"/>
                      <w:iCs w:val="0"/>
                      <w:color w:val="auto"/>
                      <w:sz w:val="21"/>
                      <w:szCs w:val="21"/>
                      <w:highlight w:val="none"/>
                      <w:u w:val="none"/>
                    </w:rPr>
                  </w:pP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9F4DFA">
                  <w:pPr>
                    <w:jc w:val="center"/>
                    <w:rPr>
                      <w:rFonts w:hint="default" w:ascii="Times New Roman" w:hAnsi="Times New Roman" w:eastAsia="宋体" w:cs="Times New Roman"/>
                      <w:i w:val="0"/>
                      <w:iCs w:val="0"/>
                      <w:color w:val="auto"/>
                      <w:sz w:val="21"/>
                      <w:szCs w:val="21"/>
                      <w:highlight w:val="none"/>
                      <w:u w:val="none"/>
                    </w:rPr>
                  </w:pP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2C8D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12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F13A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2.57</w:t>
                  </w:r>
                </w:p>
              </w:tc>
            </w:tr>
            <w:tr w14:paraId="3DD70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B54E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BA1B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43.4</w:t>
                  </w:r>
                </w:p>
              </w:tc>
              <w:tc>
                <w:tcPr>
                  <w:tcW w:w="120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29546B">
                  <w:pPr>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合计</w:t>
                  </w:r>
                </w:p>
              </w:tc>
              <w:tc>
                <w:tcPr>
                  <w:tcW w:w="120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EE2E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43.4</w:t>
                  </w:r>
                </w:p>
              </w:tc>
            </w:tr>
          </w:tbl>
          <w:p w14:paraId="4E7C8AD6">
            <w:pPr>
              <w:pStyle w:val="24"/>
              <w:keepNext w:val="0"/>
              <w:keepLines w:val="0"/>
              <w:pageBreakBefore w:val="0"/>
              <w:widowControl w:val="0"/>
              <w:kinsoku/>
              <w:wordWrap/>
              <w:overflowPunct w:val="0"/>
              <w:topLinePunct/>
              <w:autoSpaceDE/>
              <w:autoSpaceDN/>
              <w:bidi w:val="0"/>
              <w:spacing w:line="460" w:lineRule="exact"/>
              <w:ind w:left="0" w:firstLine="478" w:firstLineChars="200"/>
              <w:textAlignment w:val="auto"/>
              <w:rPr>
                <w:rFonts w:hint="default" w:ascii="Times New Roman" w:hAnsi="Times New Roman" w:eastAsia="宋体" w:cs="Times New Roman"/>
                <w:b/>
                <w:bCs/>
                <w:color w:val="auto"/>
                <w:spacing w:val="-1"/>
                <w:sz w:val="24"/>
                <w:szCs w:val="24"/>
                <w:highlight w:val="none"/>
                <w:lang w:val="en-US" w:eastAsia="zh-CN"/>
              </w:rPr>
            </w:pPr>
            <w:r>
              <w:rPr>
                <w:rFonts w:hint="default" w:ascii="Times New Roman" w:hAnsi="Times New Roman" w:eastAsia="宋体" w:cs="Times New Roman"/>
                <w:b/>
                <w:bCs/>
                <w:color w:val="auto"/>
                <w:spacing w:val="-1"/>
                <w:sz w:val="24"/>
                <w:szCs w:val="24"/>
                <w:highlight w:val="none"/>
                <w:lang w:val="en-US" w:eastAsia="zh-CN"/>
              </w:rPr>
              <w:t>（2）锅炉</w:t>
            </w:r>
          </w:p>
          <w:p w14:paraId="2E681481">
            <w:pPr>
              <w:pStyle w:val="24"/>
              <w:keepNext w:val="0"/>
              <w:keepLines w:val="0"/>
              <w:pageBreakBefore w:val="0"/>
              <w:widowControl w:val="0"/>
              <w:kinsoku/>
              <w:wordWrap/>
              <w:overflowPunct w:val="0"/>
              <w:topLinePunct/>
              <w:autoSpaceDE/>
              <w:autoSpaceDN/>
              <w:bidi w:val="0"/>
              <w:spacing w:line="460" w:lineRule="exact"/>
              <w:ind w:left="0" w:firstLine="476" w:firstLineChars="200"/>
              <w:textAlignment w:val="auto"/>
              <w:rPr>
                <w:rFonts w:hint="default" w:ascii="Times New Roman" w:hAnsi="Times New Roman" w:eastAsia="宋体" w:cs="Times New Roman"/>
                <w:b w:val="0"/>
                <w:bCs w:val="0"/>
                <w:color w:val="auto"/>
                <w:spacing w:val="-1"/>
                <w:sz w:val="24"/>
                <w:szCs w:val="24"/>
                <w:highlight w:val="none"/>
                <w:lang w:val="en-US" w:eastAsia="zh-CN"/>
              </w:rPr>
            </w:pPr>
            <w:r>
              <w:rPr>
                <w:rFonts w:hint="eastAsia" w:ascii="Times New Roman" w:hAnsi="Times New Roman" w:cs="Times New Roman"/>
                <w:b w:val="0"/>
                <w:bCs w:val="0"/>
                <w:color w:val="auto"/>
                <w:spacing w:val="-1"/>
                <w:sz w:val="24"/>
                <w:szCs w:val="24"/>
                <w:highlight w:val="none"/>
                <w:lang w:val="en-US" w:eastAsia="zh-CN"/>
              </w:rPr>
              <w:t>本项目</w:t>
            </w:r>
            <w:r>
              <w:rPr>
                <w:rFonts w:hint="default" w:ascii="Times New Roman" w:hAnsi="Times New Roman" w:eastAsia="宋体" w:cs="Times New Roman"/>
                <w:b w:val="0"/>
                <w:bCs w:val="0"/>
                <w:color w:val="auto"/>
                <w:spacing w:val="-1"/>
                <w:sz w:val="24"/>
                <w:szCs w:val="24"/>
                <w:highlight w:val="none"/>
                <w:lang w:val="en-US" w:eastAsia="zh-CN"/>
              </w:rPr>
              <w:t>精炼车间1F设置锅炉房，本次项目实施对原有锅炉设备进行提能减排升级改造，淘汰现有3t/h高压锅炉和4t/h蒸汽锅炉，锅炉房内重新购置3t/h高压锅炉1台，1t/h蒸汽发生器1台，2t/h燃气卧式蒸汽锅炉1台，总规模为6t/h，</w:t>
            </w:r>
            <w:r>
              <w:rPr>
                <w:rFonts w:hint="eastAsia" w:ascii="Times New Roman" w:hAnsi="Times New Roman" w:cs="Times New Roman"/>
                <w:b w:val="0"/>
                <w:bCs w:val="0"/>
                <w:color w:val="auto"/>
                <w:spacing w:val="-1"/>
                <w:sz w:val="24"/>
                <w:szCs w:val="24"/>
                <w:highlight w:val="none"/>
                <w:lang w:val="en-US" w:eastAsia="zh-CN"/>
              </w:rPr>
              <w:t>本次升级改造使蒸汽耗量从0.42</w:t>
            </w:r>
            <w:r>
              <w:rPr>
                <w:rFonts w:hint="eastAsia" w:ascii="Times New Roman" w:hAnsi="Times New Roman" w:eastAsia="宋体" w:cs="Times New Roman"/>
                <w:b w:val="0"/>
                <w:bCs w:val="0"/>
                <w:color w:val="auto"/>
                <w:spacing w:val="-1"/>
                <w:sz w:val="24"/>
                <w:szCs w:val="24"/>
                <w:highlight w:val="none"/>
                <w:lang w:val="en-US" w:eastAsia="zh-CN"/>
              </w:rPr>
              <w:t>t/t-油降低到0.24t/t-油，</w:t>
            </w:r>
            <w:r>
              <w:rPr>
                <w:rFonts w:hint="eastAsia" w:ascii="Times New Roman" w:hAnsi="Times New Roman" w:cs="Times New Roman"/>
                <w:b w:val="0"/>
                <w:bCs w:val="0"/>
                <w:color w:val="auto"/>
                <w:spacing w:val="-1"/>
                <w:sz w:val="24"/>
                <w:szCs w:val="24"/>
                <w:highlight w:val="none"/>
                <w:lang w:val="en-US" w:eastAsia="zh-CN"/>
              </w:rPr>
              <w:t>耗气量从33.6</w:t>
            </w:r>
            <w:r>
              <w:rPr>
                <w:rFonts w:hint="eastAsia" w:ascii="Times New Roman" w:hAnsi="Times New Roman" w:eastAsia="宋体" w:cs="Times New Roman"/>
                <w:b w:val="0"/>
                <w:bCs w:val="0"/>
                <w:color w:val="auto"/>
                <w:spacing w:val="-1"/>
                <w:sz w:val="24"/>
                <w:szCs w:val="24"/>
                <w:highlight w:val="none"/>
                <w:lang w:val="en-US" w:eastAsia="zh-CN"/>
              </w:rPr>
              <w:t>m</w:t>
            </w:r>
            <w:r>
              <w:rPr>
                <w:rFonts w:hint="eastAsia" w:ascii="Times New Roman" w:hAnsi="Times New Roman" w:eastAsia="宋体" w:cs="Times New Roman"/>
                <w:b w:val="0"/>
                <w:bCs w:val="0"/>
                <w:color w:val="auto"/>
                <w:spacing w:val="-1"/>
                <w:sz w:val="24"/>
                <w:szCs w:val="24"/>
                <w:highlight w:val="none"/>
                <w:vertAlign w:val="superscript"/>
                <w:lang w:val="en-US" w:eastAsia="zh-CN"/>
              </w:rPr>
              <w:t>3</w:t>
            </w:r>
            <w:r>
              <w:rPr>
                <w:rFonts w:hint="eastAsia" w:ascii="Times New Roman" w:hAnsi="Times New Roman" w:eastAsia="宋体" w:cs="Times New Roman"/>
                <w:b w:val="0"/>
                <w:bCs w:val="0"/>
                <w:color w:val="auto"/>
                <w:spacing w:val="-1"/>
                <w:sz w:val="24"/>
                <w:szCs w:val="24"/>
                <w:highlight w:val="none"/>
                <w:lang w:val="en-US" w:eastAsia="zh-CN"/>
              </w:rPr>
              <w:t>/t-油降低到19.2m</w:t>
            </w:r>
            <w:r>
              <w:rPr>
                <w:rFonts w:hint="eastAsia" w:ascii="Times New Roman" w:hAnsi="Times New Roman" w:eastAsia="宋体" w:cs="Times New Roman"/>
                <w:b w:val="0"/>
                <w:bCs w:val="0"/>
                <w:color w:val="auto"/>
                <w:spacing w:val="-1"/>
                <w:sz w:val="24"/>
                <w:szCs w:val="24"/>
                <w:highlight w:val="none"/>
                <w:vertAlign w:val="superscript"/>
                <w:lang w:val="en-US" w:eastAsia="zh-CN"/>
              </w:rPr>
              <w:t>3</w:t>
            </w:r>
            <w:r>
              <w:rPr>
                <w:rFonts w:hint="eastAsia" w:ascii="Times New Roman" w:hAnsi="Times New Roman" w:eastAsia="宋体" w:cs="Times New Roman"/>
                <w:b w:val="0"/>
                <w:bCs w:val="0"/>
                <w:color w:val="auto"/>
                <w:spacing w:val="-1"/>
                <w:sz w:val="24"/>
                <w:szCs w:val="24"/>
                <w:highlight w:val="none"/>
                <w:lang w:val="en-US" w:eastAsia="zh-CN"/>
              </w:rPr>
              <w:t>/t，则改造后耗气量为</w:t>
            </w:r>
            <w:r>
              <w:rPr>
                <w:rFonts w:hint="eastAsia" w:ascii="Times New Roman" w:hAnsi="Times New Roman" w:cs="Times New Roman"/>
                <w:b w:val="0"/>
                <w:bCs w:val="0"/>
                <w:color w:val="auto"/>
                <w:spacing w:val="-1"/>
                <w:sz w:val="24"/>
                <w:szCs w:val="24"/>
                <w:highlight w:val="none"/>
                <w:lang w:val="en-US" w:eastAsia="zh-CN"/>
              </w:rPr>
              <w:t>480</w:t>
            </w:r>
            <w:r>
              <w:rPr>
                <w:rFonts w:hint="eastAsia" w:ascii="Times New Roman" w:hAnsi="Times New Roman" w:eastAsia="宋体" w:cs="Times New Roman"/>
                <w:b w:val="0"/>
                <w:bCs w:val="0"/>
                <w:color w:val="auto"/>
                <w:spacing w:val="-1"/>
                <w:sz w:val="24"/>
                <w:szCs w:val="24"/>
                <w:highlight w:val="none"/>
                <w:lang w:val="en-US" w:eastAsia="zh-CN"/>
              </w:rPr>
              <w:t>m</w:t>
            </w:r>
            <w:r>
              <w:rPr>
                <w:rFonts w:hint="eastAsia" w:ascii="Times New Roman" w:hAnsi="Times New Roman" w:eastAsia="宋体" w:cs="Times New Roman"/>
                <w:b w:val="0"/>
                <w:bCs w:val="0"/>
                <w:color w:val="auto"/>
                <w:spacing w:val="-1"/>
                <w:sz w:val="24"/>
                <w:szCs w:val="24"/>
                <w:highlight w:val="none"/>
                <w:vertAlign w:val="superscript"/>
                <w:lang w:val="en-US" w:eastAsia="zh-CN"/>
              </w:rPr>
              <w:t>3</w:t>
            </w:r>
            <w:r>
              <w:rPr>
                <w:rFonts w:hint="eastAsia" w:ascii="Times New Roman" w:hAnsi="Times New Roman" w:eastAsia="宋体" w:cs="Times New Roman"/>
                <w:b w:val="0"/>
                <w:bCs w:val="0"/>
                <w:color w:val="auto"/>
                <w:spacing w:val="-1"/>
                <w:sz w:val="24"/>
                <w:szCs w:val="24"/>
                <w:highlight w:val="none"/>
                <w:lang w:val="en-US" w:eastAsia="zh-CN"/>
              </w:rPr>
              <w:t>/h，</w:t>
            </w:r>
            <w:r>
              <w:rPr>
                <w:rFonts w:hint="eastAsia" w:ascii="Times New Roman" w:hAnsi="Times New Roman" w:cs="Times New Roman"/>
                <w:b w:val="0"/>
                <w:bCs w:val="0"/>
                <w:color w:val="auto"/>
                <w:spacing w:val="-1"/>
                <w:sz w:val="24"/>
                <w:szCs w:val="24"/>
                <w:highlight w:val="none"/>
                <w:lang w:val="en-US" w:eastAsia="zh-CN"/>
              </w:rPr>
              <w:t>345.6</w:t>
            </w:r>
            <w:r>
              <w:rPr>
                <w:rFonts w:hint="eastAsia" w:ascii="Times New Roman" w:hAnsi="Times New Roman" w:eastAsia="宋体" w:cs="Times New Roman"/>
                <w:b w:val="0"/>
                <w:bCs w:val="0"/>
                <w:color w:val="auto"/>
                <w:spacing w:val="-1"/>
                <w:sz w:val="24"/>
                <w:szCs w:val="24"/>
                <w:highlight w:val="none"/>
                <w:lang w:val="en-US" w:eastAsia="zh-CN"/>
              </w:rPr>
              <w:t>万m</w:t>
            </w:r>
            <w:r>
              <w:rPr>
                <w:rFonts w:hint="eastAsia" w:ascii="Times New Roman" w:hAnsi="Times New Roman" w:eastAsia="宋体" w:cs="Times New Roman"/>
                <w:b w:val="0"/>
                <w:bCs w:val="0"/>
                <w:color w:val="auto"/>
                <w:spacing w:val="-1"/>
                <w:sz w:val="24"/>
                <w:szCs w:val="24"/>
                <w:highlight w:val="none"/>
                <w:vertAlign w:val="superscript"/>
                <w:lang w:val="en-US" w:eastAsia="zh-CN"/>
              </w:rPr>
              <w:t>3</w:t>
            </w:r>
            <w:r>
              <w:rPr>
                <w:rFonts w:hint="eastAsia" w:ascii="Times New Roman" w:hAnsi="Times New Roman" w:eastAsia="宋体" w:cs="Times New Roman"/>
                <w:b w:val="0"/>
                <w:bCs w:val="0"/>
                <w:color w:val="auto"/>
                <w:spacing w:val="-1"/>
                <w:sz w:val="24"/>
                <w:szCs w:val="24"/>
                <w:highlight w:val="none"/>
                <w:lang w:val="en-US" w:eastAsia="zh-CN"/>
              </w:rPr>
              <w:t>/a，</w:t>
            </w:r>
            <w:r>
              <w:rPr>
                <w:rFonts w:hint="default" w:ascii="Times New Roman" w:hAnsi="Times New Roman" w:eastAsia="宋体" w:cs="Times New Roman"/>
                <w:b w:val="0"/>
                <w:bCs w:val="0"/>
                <w:color w:val="auto"/>
                <w:spacing w:val="-1"/>
                <w:sz w:val="24"/>
                <w:szCs w:val="24"/>
                <w:highlight w:val="none"/>
                <w:lang w:val="en-US" w:eastAsia="zh-CN"/>
              </w:rPr>
              <w:t>新购置锅炉、蒸汽发生器均采</w:t>
            </w:r>
            <w:r>
              <w:rPr>
                <w:rFonts w:hint="eastAsia" w:ascii="Times New Roman" w:hAnsi="Times New Roman" w:cs="Times New Roman"/>
                <w:b w:val="0"/>
                <w:bCs w:val="0"/>
                <w:color w:val="auto"/>
                <w:spacing w:val="-1"/>
                <w:sz w:val="24"/>
                <w:szCs w:val="24"/>
                <w:highlight w:val="none"/>
                <w:lang w:val="en-US" w:eastAsia="zh-CN"/>
              </w:rPr>
              <w:t>用</w:t>
            </w:r>
            <w:r>
              <w:rPr>
                <w:rFonts w:hint="default" w:ascii="Times New Roman" w:hAnsi="Times New Roman" w:eastAsia="宋体" w:cs="Times New Roman"/>
                <w:b w:val="0"/>
                <w:bCs w:val="0"/>
                <w:color w:val="auto"/>
                <w:spacing w:val="-1"/>
                <w:sz w:val="24"/>
                <w:szCs w:val="24"/>
                <w:highlight w:val="none"/>
                <w:lang w:val="en-US" w:eastAsia="zh-CN"/>
              </w:rPr>
              <w:t>高效</w:t>
            </w:r>
            <w:r>
              <w:rPr>
                <w:rFonts w:hint="eastAsia" w:ascii="Times New Roman" w:hAnsi="Times New Roman" w:eastAsia="宋体" w:cs="Times New Roman"/>
                <w:b w:val="0"/>
                <w:bCs w:val="0"/>
                <w:color w:val="auto"/>
                <w:spacing w:val="-1"/>
                <w:sz w:val="24"/>
                <w:szCs w:val="24"/>
                <w:highlight w:val="none"/>
                <w:lang w:val="en-US" w:eastAsia="zh-CN"/>
              </w:rPr>
              <w:t>低氮</w:t>
            </w:r>
            <w:r>
              <w:rPr>
                <w:rFonts w:hint="default" w:ascii="Times New Roman" w:hAnsi="Times New Roman" w:eastAsia="宋体" w:cs="Times New Roman"/>
                <w:b w:val="0"/>
                <w:bCs w:val="0"/>
                <w:color w:val="auto"/>
                <w:spacing w:val="-1"/>
                <w:sz w:val="24"/>
                <w:szCs w:val="24"/>
                <w:highlight w:val="none"/>
                <w:lang w:val="en-US" w:eastAsia="zh-CN"/>
              </w:rPr>
              <w:t>燃烧设备，</w:t>
            </w:r>
            <w:r>
              <w:rPr>
                <w:rFonts w:hint="eastAsia" w:ascii="Times New Roman" w:hAnsi="Times New Roman" w:eastAsia="宋体" w:cs="Times New Roman"/>
                <w:b w:val="0"/>
                <w:bCs w:val="0"/>
                <w:color w:val="auto"/>
                <w:spacing w:val="-1"/>
                <w:sz w:val="24"/>
                <w:szCs w:val="24"/>
                <w:highlight w:val="none"/>
                <w:lang w:val="en-US" w:eastAsia="zh-CN"/>
              </w:rPr>
              <w:t>高压锅炉用于脱臭工段蒸汽供应，蒸汽发生器、蒸汽锅炉</w:t>
            </w:r>
            <w:r>
              <w:rPr>
                <w:rFonts w:hint="default" w:ascii="Times New Roman" w:hAnsi="Times New Roman" w:eastAsia="宋体" w:cs="Times New Roman"/>
                <w:b w:val="0"/>
                <w:bCs w:val="0"/>
                <w:color w:val="auto"/>
                <w:spacing w:val="-1"/>
                <w:sz w:val="24"/>
                <w:szCs w:val="24"/>
                <w:highlight w:val="none"/>
                <w:lang w:val="en-US" w:eastAsia="zh-CN"/>
              </w:rPr>
              <w:t>用于</w:t>
            </w:r>
            <w:r>
              <w:rPr>
                <w:rFonts w:hint="eastAsia" w:ascii="Times New Roman" w:hAnsi="Times New Roman" w:eastAsia="宋体" w:cs="Times New Roman"/>
                <w:b w:val="0"/>
                <w:bCs w:val="0"/>
                <w:color w:val="auto"/>
                <w:spacing w:val="-1"/>
                <w:sz w:val="24"/>
                <w:szCs w:val="24"/>
                <w:highlight w:val="none"/>
                <w:lang w:val="en-US" w:eastAsia="zh-CN"/>
              </w:rPr>
              <w:t>加热、脱色等工段蒸汽供应</w:t>
            </w:r>
            <w:r>
              <w:rPr>
                <w:rFonts w:hint="default" w:ascii="Times New Roman" w:hAnsi="Times New Roman" w:eastAsia="宋体" w:cs="Times New Roman"/>
                <w:b w:val="0"/>
                <w:bCs w:val="0"/>
                <w:color w:val="auto"/>
                <w:spacing w:val="-1"/>
                <w:sz w:val="24"/>
                <w:szCs w:val="24"/>
                <w:highlight w:val="none"/>
                <w:lang w:val="en-US" w:eastAsia="zh-CN"/>
              </w:rPr>
              <w:t>。</w:t>
            </w:r>
          </w:p>
          <w:p w14:paraId="145F7F9D">
            <w:pPr>
              <w:pStyle w:val="24"/>
              <w:keepNext w:val="0"/>
              <w:keepLines w:val="0"/>
              <w:pageBreakBefore w:val="0"/>
              <w:widowControl w:val="0"/>
              <w:kinsoku/>
              <w:wordWrap/>
              <w:overflowPunct w:val="0"/>
              <w:topLinePunct/>
              <w:autoSpaceDE/>
              <w:autoSpaceDN/>
              <w:bidi w:val="0"/>
              <w:spacing w:line="460" w:lineRule="exact"/>
              <w:ind w:left="0" w:firstLine="478" w:firstLineChars="200"/>
              <w:textAlignment w:val="auto"/>
              <w:rPr>
                <w:rFonts w:hint="eastAsia" w:ascii="Times New Roman" w:hAnsi="Times New Roman" w:eastAsia="宋体" w:cs="Times New Roman"/>
                <w:b/>
                <w:bCs/>
                <w:color w:val="auto"/>
                <w:spacing w:val="-1"/>
                <w:sz w:val="24"/>
                <w:szCs w:val="24"/>
                <w:highlight w:val="none"/>
                <w:lang w:val="en-US" w:eastAsia="zh-CN"/>
              </w:rPr>
            </w:pPr>
            <w:r>
              <w:rPr>
                <w:rFonts w:hint="eastAsia" w:ascii="Times New Roman" w:hAnsi="Times New Roman" w:eastAsia="宋体" w:cs="Times New Roman"/>
                <w:b/>
                <w:bCs/>
                <w:color w:val="auto"/>
                <w:spacing w:val="-1"/>
                <w:sz w:val="24"/>
                <w:szCs w:val="24"/>
                <w:highlight w:val="none"/>
                <w:lang w:val="en-US" w:eastAsia="zh-CN"/>
              </w:rPr>
              <w:t>（3）纯水系统</w:t>
            </w:r>
          </w:p>
          <w:p w14:paraId="27ABDDAB">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本项目设</w:t>
            </w:r>
            <w:r>
              <w:rPr>
                <w:rFonts w:hint="default" w:ascii="Times New Roman" w:hAnsi="Times New Roman" w:cs="Times New Roman"/>
                <w:b w:val="0"/>
                <w:bCs w:val="0"/>
                <w:color w:val="auto"/>
                <w:sz w:val="24"/>
                <w:szCs w:val="24"/>
                <w:highlight w:val="none"/>
              </w:rPr>
              <w:t>纯水制备采用一级反渗透R/O技术，制备能力</w:t>
            </w:r>
            <w:r>
              <w:rPr>
                <w:rFonts w:hint="eastAsia" w:ascii="Times New Roman" w:hAnsi="Times New Roman" w:cs="Times New Roman"/>
                <w:b w:val="0"/>
                <w:bCs w:val="0"/>
                <w:color w:val="auto"/>
                <w:sz w:val="24"/>
                <w:szCs w:val="24"/>
                <w:highlight w:val="none"/>
                <w:lang w:val="en-US" w:eastAsia="zh-CN"/>
              </w:rPr>
              <w:t>3.0</w:t>
            </w:r>
            <w:r>
              <w:rPr>
                <w:rFonts w:hint="default" w:ascii="Times New Roman" w:hAnsi="Times New Roman" w:cs="Times New Roman"/>
                <w:b w:val="0"/>
                <w:bCs w:val="0"/>
                <w:color w:val="auto"/>
                <w:sz w:val="24"/>
                <w:szCs w:val="24"/>
                <w:highlight w:val="none"/>
              </w:rPr>
              <w:t>t/h，纯水制备率</w:t>
            </w:r>
            <w:r>
              <w:rPr>
                <w:rFonts w:hint="eastAsia" w:ascii="Times New Roman" w:hAnsi="Times New Roman" w:cs="Times New Roman"/>
                <w:b w:val="0"/>
                <w:bCs w:val="0"/>
                <w:color w:val="auto"/>
                <w:sz w:val="24"/>
                <w:szCs w:val="24"/>
                <w:highlight w:val="none"/>
                <w:lang w:val="en-US" w:eastAsia="zh-CN"/>
              </w:rPr>
              <w:t>7</w:t>
            </w:r>
            <w:r>
              <w:rPr>
                <w:rFonts w:hint="default" w:ascii="Times New Roman" w:hAnsi="Times New Roman" w:cs="Times New Roman"/>
                <w:b w:val="0"/>
                <w:bCs w:val="0"/>
                <w:color w:val="auto"/>
                <w:sz w:val="24"/>
                <w:szCs w:val="24"/>
                <w:highlight w:val="none"/>
                <w:lang w:val="en-US" w:eastAsia="zh-CN"/>
              </w:rPr>
              <w:t>0</w:t>
            </w:r>
            <w:r>
              <w:rPr>
                <w:rFonts w:hint="default" w:ascii="Times New Roman" w:hAnsi="Times New Roman" w:cs="Times New Roman"/>
                <w:b w:val="0"/>
                <w:bCs w:val="0"/>
                <w:color w:val="auto"/>
                <w:sz w:val="24"/>
                <w:szCs w:val="24"/>
                <w:highlight w:val="none"/>
              </w:rPr>
              <w:t>%，纯水制备过程中有浓水和反冲洗</w:t>
            </w:r>
            <w:r>
              <w:rPr>
                <w:rFonts w:hint="default" w:ascii="Times New Roman" w:hAnsi="Times New Roman" w:cs="Times New Roman"/>
                <w:b w:val="0"/>
                <w:bCs w:val="0"/>
                <w:color w:val="auto"/>
                <w:sz w:val="24"/>
                <w:szCs w:val="24"/>
                <w:highlight w:val="none"/>
                <w:lang w:val="en-US" w:eastAsia="zh-CN"/>
              </w:rPr>
              <w:t>水</w:t>
            </w:r>
            <w:r>
              <w:rPr>
                <w:rFonts w:hint="default" w:ascii="Times New Roman" w:hAnsi="Times New Roman" w:cs="Times New Roman"/>
                <w:b w:val="0"/>
                <w:bCs w:val="0"/>
                <w:color w:val="auto"/>
                <w:sz w:val="24"/>
                <w:szCs w:val="24"/>
                <w:highlight w:val="none"/>
              </w:rPr>
              <w:t>产生。</w:t>
            </w:r>
            <w:r>
              <w:rPr>
                <w:rFonts w:hint="default" w:ascii="Times New Roman" w:hAnsi="Times New Roman" w:cs="Times New Roman"/>
                <w:b w:val="0"/>
                <w:bCs w:val="0"/>
                <w:color w:val="auto"/>
                <w:sz w:val="24"/>
                <w:szCs w:val="24"/>
                <w:highlight w:val="none"/>
                <w:lang w:val="en-US" w:eastAsia="zh-CN"/>
              </w:rPr>
              <w:t>纯水主要用于水洗工序、碱液配置、</w:t>
            </w:r>
            <w:r>
              <w:rPr>
                <w:rFonts w:hint="default" w:ascii="Times New Roman" w:hAnsi="Times New Roman" w:cs="Times New Roman"/>
                <w:i w:val="0"/>
                <w:iCs w:val="0"/>
                <w:color w:val="auto"/>
                <w:kern w:val="2"/>
                <w:sz w:val="24"/>
                <w:szCs w:val="24"/>
                <w:highlight w:val="none"/>
                <w:u w:val="none"/>
                <w:lang w:val="en-US" w:eastAsia="zh-CN" w:bidi="ar"/>
              </w:rPr>
              <w:t>水环真空泵和锅炉。</w:t>
            </w:r>
          </w:p>
          <w:p w14:paraId="599D936C">
            <w:pPr>
              <w:pStyle w:val="24"/>
              <w:keepNext w:val="0"/>
              <w:keepLines w:val="0"/>
              <w:pageBreakBefore w:val="0"/>
              <w:widowControl w:val="0"/>
              <w:kinsoku/>
              <w:wordWrap/>
              <w:overflowPunct w:val="0"/>
              <w:topLinePunct/>
              <w:autoSpaceDE/>
              <w:autoSpaceDN/>
              <w:bidi w:val="0"/>
              <w:spacing w:line="460" w:lineRule="exact"/>
              <w:ind w:lef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4</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动力消耗变化</w:t>
            </w:r>
          </w:p>
          <w:p w14:paraId="07CCA53E">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根据建设单位提供资料，改建项目动力消耗主要为电力消耗、蒸汽消耗及压缩空气消耗，现有工程单位产品电力消耗量为28kW.h/t-油，蒸汽消耗为0.42t/t-油，压缩空气为8m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lang w:val="en-US" w:eastAsia="zh-CN"/>
              </w:rPr>
              <w:t>/t-油，改建后，单位产品电力消耗量为22kW.h/t-油，蒸汽消耗为0.24t/t-油，压缩空气为6.5m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lang w:val="en-US" w:eastAsia="zh-CN"/>
              </w:rPr>
              <w:t>/t-油。</w:t>
            </w:r>
          </w:p>
          <w:p w14:paraId="4A2B679C">
            <w:pPr>
              <w:pStyle w:val="24"/>
              <w:keepNext w:val="0"/>
              <w:keepLines w:val="0"/>
              <w:pageBreakBefore w:val="0"/>
              <w:widowControl w:val="0"/>
              <w:kinsoku/>
              <w:wordWrap/>
              <w:overflowPunct w:val="0"/>
              <w:topLinePunct/>
              <w:autoSpaceDE/>
              <w:autoSpaceDN/>
              <w:bidi w:val="0"/>
              <w:spacing w:line="460" w:lineRule="exact"/>
              <w:ind w:lef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5</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冰冻真空冷凝系统</w:t>
            </w:r>
          </w:p>
          <w:p w14:paraId="56D7D120">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本项目设冰冻真空冷凝系统1套，用于脱臭工段脂肪酸的快速冷凝捕集，该系统由</w:t>
            </w:r>
            <w:r>
              <w:rPr>
                <w:rFonts w:hint="default" w:ascii="Times New Roman" w:hAnsi="Times New Roman" w:cs="Times New Roman"/>
                <w:b w:val="0"/>
                <w:bCs w:val="0"/>
                <w:color w:val="auto"/>
                <w:sz w:val="24"/>
                <w:szCs w:val="24"/>
                <w:highlight w:val="none"/>
              </w:rPr>
              <w:t>蒸发器</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压缩机</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冷凝器</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控制系统</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储液罐</w:t>
            </w:r>
            <w:r>
              <w:rPr>
                <w:rFonts w:hint="eastAsia" w:ascii="Times New Roman" w:hAnsi="Times New Roman" w:cs="Times New Roman"/>
                <w:b w:val="0"/>
                <w:bCs w:val="0"/>
                <w:color w:val="auto"/>
                <w:sz w:val="24"/>
                <w:szCs w:val="24"/>
                <w:highlight w:val="none"/>
                <w:lang w:val="en-US" w:eastAsia="zh-CN"/>
              </w:rPr>
              <w:t>等组成，</w:t>
            </w:r>
            <w:r>
              <w:rPr>
                <w:rFonts w:hint="default" w:ascii="Times New Roman" w:hAnsi="Times New Roman" w:cs="Times New Roman"/>
                <w:b w:val="0"/>
                <w:bCs w:val="0"/>
                <w:color w:val="auto"/>
                <w:sz w:val="24"/>
                <w:szCs w:val="24"/>
                <w:highlight w:val="none"/>
              </w:rPr>
              <w:t>乙二醇制冷系统利用乙二醇溶液的低凝固点和良好的热传导性能，在低温环境下实现制冷效果。系统中，乙二醇溶液在蒸发器内吸收热量而蒸发，产生冷效应；随后，蒸汽被压缩机压缩，温度和压力均升高；高温高压的蒸汽在冷凝器内释放热量并凝结成液体；最后，液态乙二醇经过节流装置降压降温后重新进入蒸发器，完成一个制冷循环。</w:t>
            </w:r>
            <w:r>
              <w:rPr>
                <w:rFonts w:hint="eastAsia" w:ascii="Times New Roman" w:hAnsi="Times New Roman" w:cs="Times New Roman"/>
                <w:b w:val="0"/>
                <w:bCs w:val="0"/>
                <w:color w:val="auto"/>
                <w:sz w:val="24"/>
                <w:szCs w:val="24"/>
                <w:highlight w:val="none"/>
                <w:lang w:val="en-US" w:eastAsia="zh-CN"/>
              </w:rPr>
              <w:t>该系统具有制冷稳定、迅速、制冷效果理想等优点。项目制冷剂的选用应满足《关于印发《中国履行〈关于消耗臭氧层物质的蒙特利尔议定书〉国家方案（2025—2030年）》的通知》要求的制冷剂。</w:t>
            </w:r>
          </w:p>
          <w:p w14:paraId="16A42DB4">
            <w:pPr>
              <w:pStyle w:val="24"/>
              <w:keepNext w:val="0"/>
              <w:keepLines w:val="0"/>
              <w:pageBreakBefore w:val="0"/>
              <w:widowControl w:val="0"/>
              <w:kinsoku/>
              <w:wordWrap/>
              <w:overflowPunct w:val="0"/>
              <w:topLinePunct/>
              <w:autoSpaceDE/>
              <w:autoSpaceDN/>
              <w:bidi w:val="0"/>
              <w:spacing w:line="460" w:lineRule="exact"/>
              <w:ind w:lef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（6）储存方案</w:t>
            </w:r>
          </w:p>
          <w:p w14:paraId="3240E65C">
            <w:pPr>
              <w:pStyle w:val="24"/>
              <w:keepNext w:val="0"/>
              <w:keepLines w:val="0"/>
              <w:pageBreakBefore w:val="0"/>
              <w:widowControl/>
              <w:kinsoku/>
              <w:wordWrap/>
              <w:overflowPunct/>
              <w:topLinePunct w:val="0"/>
              <w:autoSpaceDE/>
              <w:autoSpaceDN/>
              <w:bidi w:val="0"/>
              <w:adjustRightInd/>
              <w:snapToGrid w:val="0"/>
              <w:spacing w:line="360" w:lineRule="auto"/>
              <w:ind w:left="0" w:firstLine="464" w:firstLineChars="200"/>
              <w:jc w:val="left"/>
              <w:textAlignment w:val="auto"/>
              <w:outlineLvl w:val="1"/>
              <w:rPr>
                <w:rFonts w:hint="default" w:ascii="Times New Roman" w:hAnsi="Times New Roman" w:eastAsia="宋体" w:cs="Times New Roman"/>
                <w:color w:val="auto"/>
                <w:spacing w:val="7"/>
                <w:position w:val="1"/>
                <w:sz w:val="24"/>
                <w:szCs w:val="24"/>
                <w:highlight w:val="none"/>
                <w:lang w:val="en-US" w:eastAsia="zh-CN"/>
              </w:rPr>
            </w:pPr>
            <w:r>
              <w:rPr>
                <w:rFonts w:hint="eastAsia" w:ascii="Times New Roman" w:hAnsi="Times New Roman" w:cs="Times New Roman"/>
                <w:color w:val="auto"/>
                <w:spacing w:val="-4"/>
                <w:sz w:val="24"/>
                <w:szCs w:val="24"/>
                <w:highlight w:val="none"/>
                <w:lang w:val="en-US" w:eastAsia="zh-CN"/>
              </w:rPr>
              <w:t>全厂共</w:t>
            </w:r>
            <w:r>
              <w:rPr>
                <w:rFonts w:hint="default" w:ascii="Times New Roman" w:hAnsi="Times New Roman" w:eastAsia="宋体" w:cs="Times New Roman"/>
                <w:color w:val="auto"/>
                <w:spacing w:val="-4"/>
                <w:sz w:val="24"/>
                <w:szCs w:val="24"/>
                <w:highlight w:val="none"/>
                <w:lang w:val="en-US" w:eastAsia="zh-CN"/>
              </w:rPr>
              <w:t>3个</w:t>
            </w:r>
            <w:r>
              <w:rPr>
                <w:rFonts w:hint="default" w:ascii="Times New Roman" w:hAnsi="Times New Roman" w:eastAsia="宋体" w:cs="Times New Roman"/>
                <w:color w:val="auto"/>
                <w:spacing w:val="6"/>
                <w:position w:val="1"/>
                <w:sz w:val="24"/>
                <w:szCs w:val="24"/>
                <w:highlight w:val="none"/>
              </w:rPr>
              <w:t>储油罐区</w:t>
            </w:r>
            <w:r>
              <w:rPr>
                <w:rFonts w:hint="default" w:ascii="Times New Roman" w:hAnsi="Times New Roman" w:eastAsia="宋体" w:cs="Times New Roman"/>
                <w:color w:val="auto"/>
                <w:spacing w:val="6"/>
                <w:position w:val="1"/>
                <w:sz w:val="24"/>
                <w:szCs w:val="24"/>
                <w:highlight w:val="none"/>
                <w:lang w:eastAsia="zh-CN"/>
              </w:rPr>
              <w:t>，</w:t>
            </w:r>
            <w:r>
              <w:rPr>
                <w:rFonts w:hint="default" w:ascii="Times New Roman" w:hAnsi="Times New Roman" w:eastAsia="宋体" w:cs="Times New Roman"/>
                <w:color w:val="auto"/>
                <w:spacing w:val="-4"/>
                <w:sz w:val="24"/>
                <w:szCs w:val="24"/>
                <w:highlight w:val="none"/>
              </w:rPr>
              <w:t>均采用立式钢罐，</w:t>
            </w:r>
            <w:r>
              <w:rPr>
                <w:rFonts w:hint="default" w:ascii="Times New Roman" w:hAnsi="Times New Roman" w:eastAsia="宋体" w:cs="Times New Roman"/>
                <w:color w:val="auto"/>
                <w:spacing w:val="-4"/>
                <w:sz w:val="24"/>
                <w:szCs w:val="24"/>
                <w:highlight w:val="none"/>
                <w:lang w:val="en-US" w:eastAsia="zh-CN"/>
              </w:rPr>
              <w:t>总</w:t>
            </w:r>
            <w:r>
              <w:rPr>
                <w:rFonts w:hint="default" w:ascii="Times New Roman" w:hAnsi="Times New Roman" w:eastAsia="宋体" w:cs="Times New Roman"/>
                <w:b w:val="0"/>
                <w:bCs/>
                <w:color w:val="auto"/>
                <w:kern w:val="0"/>
                <w:sz w:val="24"/>
                <w:szCs w:val="24"/>
                <w:highlight w:val="none"/>
                <w:vertAlign w:val="baseline"/>
                <w:lang w:val="en-US" w:eastAsia="zh-CN" w:bidi="ar-SA"/>
              </w:rPr>
              <w:t>储油规模</w:t>
            </w:r>
            <w:r>
              <w:rPr>
                <w:rFonts w:hint="eastAsia" w:ascii="Times New Roman" w:hAnsi="Times New Roman" w:cs="Times New Roman"/>
                <w:color w:val="auto"/>
                <w:spacing w:val="3"/>
                <w:position w:val="1"/>
                <w:sz w:val="24"/>
                <w:szCs w:val="24"/>
                <w:highlight w:val="none"/>
                <w:lang w:val="en-US" w:eastAsia="zh-CN"/>
              </w:rPr>
              <w:t>10.59</w:t>
            </w:r>
            <w:r>
              <w:rPr>
                <w:rFonts w:hint="default" w:ascii="Times New Roman" w:hAnsi="Times New Roman" w:eastAsia="宋体" w:cs="Times New Roman"/>
                <w:color w:val="auto"/>
                <w:spacing w:val="-2"/>
                <w:sz w:val="24"/>
                <w:szCs w:val="24"/>
                <w:highlight w:val="none"/>
              </w:rPr>
              <w:t>万t</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6"/>
                <w:position w:val="1"/>
                <w:sz w:val="24"/>
                <w:szCs w:val="24"/>
                <w:highlight w:val="none"/>
              </w:rPr>
              <w:t>1#罐区</w:t>
            </w:r>
            <w:r>
              <w:rPr>
                <w:rFonts w:hint="default" w:ascii="Times New Roman" w:hAnsi="Times New Roman" w:eastAsia="宋体" w:cs="Times New Roman"/>
                <w:color w:val="auto"/>
                <w:spacing w:val="6"/>
                <w:position w:val="1"/>
                <w:sz w:val="24"/>
                <w:szCs w:val="24"/>
                <w:highlight w:val="none"/>
                <w:lang w:val="en-US" w:eastAsia="zh-CN"/>
              </w:rPr>
              <w:t>位于厂区东侧，共设</w:t>
            </w:r>
            <w:r>
              <w:rPr>
                <w:rFonts w:hint="default" w:ascii="Times New Roman" w:hAnsi="Times New Roman" w:eastAsia="宋体" w:cs="Times New Roman"/>
                <w:color w:val="auto"/>
                <w:spacing w:val="6"/>
                <w:position w:val="1"/>
                <w:sz w:val="24"/>
                <w:szCs w:val="24"/>
                <w:highlight w:val="none"/>
              </w:rPr>
              <w:t>储油罐</w:t>
            </w:r>
            <w:r>
              <w:rPr>
                <w:rFonts w:hint="eastAsia" w:ascii="Times New Roman" w:hAnsi="Times New Roman" w:eastAsia="宋体" w:cs="Times New Roman"/>
                <w:color w:val="auto"/>
                <w:spacing w:val="6"/>
                <w:position w:val="1"/>
                <w:sz w:val="24"/>
                <w:szCs w:val="24"/>
                <w:highlight w:val="none"/>
                <w:lang w:val="en-US" w:eastAsia="zh-CN"/>
              </w:rPr>
              <w:t>2</w:t>
            </w:r>
            <w:r>
              <w:rPr>
                <w:rFonts w:hint="eastAsia" w:ascii="Times New Roman" w:hAnsi="Times New Roman" w:cs="Times New Roman"/>
                <w:color w:val="auto"/>
                <w:spacing w:val="6"/>
                <w:position w:val="1"/>
                <w:sz w:val="24"/>
                <w:szCs w:val="24"/>
                <w:highlight w:val="none"/>
                <w:lang w:val="en-US" w:eastAsia="zh-CN"/>
              </w:rPr>
              <w:t>9</w:t>
            </w:r>
            <w:r>
              <w:rPr>
                <w:rFonts w:hint="default" w:ascii="Times New Roman" w:hAnsi="Times New Roman" w:eastAsia="宋体" w:cs="Times New Roman"/>
                <w:color w:val="auto"/>
                <w:spacing w:val="6"/>
                <w:position w:val="1"/>
                <w:sz w:val="24"/>
                <w:szCs w:val="24"/>
                <w:highlight w:val="none"/>
              </w:rPr>
              <w:t>个</w:t>
            </w:r>
            <w:r>
              <w:rPr>
                <w:rFonts w:hint="default" w:ascii="Times New Roman" w:hAnsi="Times New Roman" w:eastAsia="宋体" w:cs="Times New Roman"/>
                <w:color w:val="auto"/>
                <w:spacing w:val="6"/>
                <w:position w:val="1"/>
                <w:sz w:val="24"/>
                <w:szCs w:val="24"/>
                <w:highlight w:val="none"/>
                <w:lang w:eastAsia="zh-CN"/>
              </w:rPr>
              <w:t>，</w:t>
            </w:r>
            <w:r>
              <w:rPr>
                <w:rFonts w:hint="eastAsia" w:ascii="Times New Roman" w:hAnsi="Times New Roman" w:cs="Times New Roman"/>
                <w:color w:val="auto"/>
                <w:spacing w:val="5"/>
                <w:kern w:val="2"/>
                <w:sz w:val="24"/>
                <w:szCs w:val="24"/>
                <w:highlight w:val="none"/>
                <w:lang w:val="en-US" w:eastAsia="zh-CN" w:bidi="ar-SA"/>
              </w:rPr>
              <w:t>设</w:t>
            </w:r>
            <w:r>
              <w:rPr>
                <w:rFonts w:hint="eastAsia" w:ascii="Times New Roman" w:hAnsi="Times New Roman" w:cs="Times New Roman"/>
                <w:color w:val="auto"/>
                <w:spacing w:val="6"/>
                <w:position w:val="1"/>
                <w:sz w:val="24"/>
                <w:szCs w:val="24"/>
                <w:highlight w:val="none"/>
                <w:lang w:val="en-US" w:eastAsia="zh-CN"/>
              </w:rPr>
              <w:t>7</w:t>
            </w:r>
            <w:r>
              <w:rPr>
                <w:rFonts w:hint="default" w:ascii="Times New Roman" w:hAnsi="Times New Roman" w:eastAsia="宋体" w:cs="Times New Roman"/>
                <w:color w:val="auto"/>
                <w:spacing w:val="6"/>
                <w:position w:val="1"/>
                <w:sz w:val="24"/>
                <w:szCs w:val="24"/>
                <w:highlight w:val="none"/>
                <w:lang w:val="en-US" w:eastAsia="zh-CN"/>
              </w:rPr>
              <w:t>个300t，1</w:t>
            </w:r>
            <w:r>
              <w:rPr>
                <w:rFonts w:hint="eastAsia" w:ascii="Times New Roman" w:hAnsi="Times New Roman" w:cs="Times New Roman"/>
                <w:color w:val="auto"/>
                <w:spacing w:val="6"/>
                <w:position w:val="1"/>
                <w:sz w:val="24"/>
                <w:szCs w:val="24"/>
                <w:highlight w:val="none"/>
                <w:lang w:val="en-US" w:eastAsia="zh-CN"/>
              </w:rPr>
              <w:t>8</w:t>
            </w:r>
            <w:r>
              <w:rPr>
                <w:rFonts w:hint="default" w:ascii="Times New Roman" w:hAnsi="Times New Roman" w:eastAsia="宋体" w:cs="Times New Roman"/>
                <w:color w:val="auto"/>
                <w:spacing w:val="6"/>
                <w:position w:val="1"/>
                <w:sz w:val="24"/>
                <w:szCs w:val="24"/>
                <w:highlight w:val="none"/>
                <w:lang w:val="en-US" w:eastAsia="zh-CN"/>
              </w:rPr>
              <w:t>个1200t，3个2200t，1个10000t</w:t>
            </w:r>
            <w:r>
              <w:rPr>
                <w:rFonts w:hint="default" w:ascii="Times New Roman" w:hAnsi="Times New Roman" w:eastAsia="宋体" w:cs="Times New Roman"/>
                <w:color w:val="auto"/>
                <w:spacing w:val="6"/>
                <w:position w:val="1"/>
                <w:sz w:val="24"/>
                <w:szCs w:val="24"/>
                <w:highlight w:val="none"/>
              </w:rPr>
              <w:t>储油罐</w:t>
            </w:r>
            <w:r>
              <w:rPr>
                <w:rFonts w:hint="default" w:ascii="Times New Roman" w:hAnsi="Times New Roman" w:eastAsia="宋体" w:cs="Times New Roman"/>
                <w:color w:val="auto"/>
                <w:spacing w:val="6"/>
                <w:position w:val="1"/>
                <w:sz w:val="24"/>
                <w:szCs w:val="24"/>
                <w:highlight w:val="none"/>
                <w:lang w:val="en-US" w:eastAsia="zh-CN"/>
              </w:rPr>
              <w:t>，</w:t>
            </w:r>
            <w:r>
              <w:rPr>
                <w:rFonts w:hint="eastAsia" w:ascii="Times New Roman" w:hAnsi="Times New Roman" w:cs="Times New Roman"/>
                <w:color w:val="auto"/>
                <w:spacing w:val="6"/>
                <w:position w:val="1"/>
                <w:sz w:val="24"/>
                <w:szCs w:val="24"/>
                <w:highlight w:val="none"/>
                <w:lang w:val="en-US" w:eastAsia="zh-CN"/>
              </w:rPr>
              <w:t>总储存规模4.03万</w:t>
            </w:r>
            <w:r>
              <w:rPr>
                <w:rFonts w:hint="default" w:ascii="Times New Roman" w:hAnsi="Times New Roman" w:eastAsia="宋体" w:cs="Times New Roman"/>
                <w:color w:val="auto"/>
                <w:spacing w:val="6"/>
                <w:position w:val="1"/>
                <w:sz w:val="24"/>
                <w:szCs w:val="24"/>
                <w:highlight w:val="none"/>
                <w:lang w:val="en-US" w:eastAsia="zh-CN"/>
              </w:rPr>
              <w:t>t</w:t>
            </w:r>
            <w:r>
              <w:rPr>
                <w:rFonts w:hint="eastAsia" w:ascii="Times New Roman" w:hAnsi="Times New Roman" w:eastAsia="宋体" w:cs="Times New Roman"/>
                <w:color w:val="auto"/>
                <w:spacing w:val="6"/>
                <w:position w:val="1"/>
                <w:sz w:val="24"/>
                <w:szCs w:val="24"/>
                <w:highlight w:val="none"/>
                <w:lang w:val="en-US" w:eastAsia="zh-CN"/>
              </w:rPr>
              <w:t>，考虑2个</w:t>
            </w:r>
            <w:r>
              <w:rPr>
                <w:rFonts w:hint="default" w:ascii="Times New Roman" w:hAnsi="Times New Roman" w:eastAsia="宋体" w:cs="Times New Roman"/>
                <w:color w:val="auto"/>
                <w:spacing w:val="6"/>
                <w:position w:val="1"/>
                <w:sz w:val="24"/>
                <w:szCs w:val="24"/>
                <w:highlight w:val="none"/>
                <w:lang w:val="en-US" w:eastAsia="zh-CN"/>
              </w:rPr>
              <w:t>1200t</w:t>
            </w:r>
            <w:r>
              <w:rPr>
                <w:rFonts w:hint="eastAsia" w:ascii="Times New Roman" w:hAnsi="Times New Roman" w:eastAsia="宋体" w:cs="Times New Roman"/>
                <w:color w:val="auto"/>
                <w:spacing w:val="6"/>
                <w:position w:val="1"/>
                <w:sz w:val="24"/>
                <w:szCs w:val="24"/>
                <w:highlight w:val="none"/>
                <w:lang w:val="en-US" w:eastAsia="zh-CN"/>
              </w:rPr>
              <w:t>作为应急备用油罐，储油规模3.79万t，该油罐区</w:t>
            </w:r>
            <w:r>
              <w:rPr>
                <w:rFonts w:hint="default" w:ascii="Times New Roman" w:hAnsi="Times New Roman" w:eastAsia="宋体" w:cs="Times New Roman"/>
                <w:color w:val="auto"/>
                <w:spacing w:val="6"/>
                <w:position w:val="1"/>
                <w:sz w:val="24"/>
                <w:szCs w:val="24"/>
                <w:highlight w:val="none"/>
                <w:lang w:val="en-US" w:eastAsia="zh-CN"/>
              </w:rPr>
              <w:t>用于成品油</w:t>
            </w:r>
            <w:r>
              <w:rPr>
                <w:rFonts w:hint="eastAsia" w:ascii="Times New Roman" w:hAnsi="Times New Roman" w:cs="Times New Roman"/>
                <w:color w:val="auto"/>
                <w:spacing w:val="6"/>
                <w:position w:val="1"/>
                <w:sz w:val="24"/>
                <w:szCs w:val="24"/>
                <w:highlight w:val="none"/>
                <w:lang w:val="en-US" w:eastAsia="zh-CN"/>
              </w:rPr>
              <w:t>和代储油</w:t>
            </w:r>
            <w:r>
              <w:rPr>
                <w:rFonts w:hint="default" w:ascii="Times New Roman" w:hAnsi="Times New Roman" w:eastAsia="宋体" w:cs="Times New Roman"/>
                <w:color w:val="auto"/>
                <w:spacing w:val="6"/>
                <w:position w:val="1"/>
                <w:sz w:val="24"/>
                <w:szCs w:val="24"/>
                <w:highlight w:val="none"/>
                <w:lang w:val="en-US" w:eastAsia="zh-CN"/>
              </w:rPr>
              <w:t>的储存。</w:t>
            </w:r>
            <w:r>
              <w:rPr>
                <w:rFonts w:hint="default" w:ascii="Times New Roman" w:hAnsi="Times New Roman" w:eastAsia="宋体" w:cs="Times New Roman"/>
                <w:color w:val="auto"/>
                <w:spacing w:val="5"/>
                <w:position w:val="1"/>
                <w:sz w:val="24"/>
                <w:szCs w:val="24"/>
                <w:highlight w:val="none"/>
                <w:lang w:val="en-US" w:eastAsia="zh-CN"/>
              </w:rPr>
              <w:t>2#</w:t>
            </w:r>
            <w:r>
              <w:rPr>
                <w:rFonts w:hint="default" w:ascii="Times New Roman" w:hAnsi="Times New Roman" w:eastAsia="宋体" w:cs="Times New Roman"/>
                <w:color w:val="auto"/>
                <w:spacing w:val="5"/>
                <w:sz w:val="24"/>
                <w:szCs w:val="24"/>
                <w:highlight w:val="none"/>
              </w:rPr>
              <w:t>储油罐区</w:t>
            </w:r>
            <w:r>
              <w:rPr>
                <w:rFonts w:hint="default" w:ascii="Times New Roman" w:hAnsi="Times New Roman" w:eastAsia="宋体" w:cs="Times New Roman"/>
                <w:color w:val="auto"/>
                <w:spacing w:val="5"/>
                <w:sz w:val="24"/>
                <w:szCs w:val="24"/>
                <w:highlight w:val="none"/>
                <w:lang w:val="en-US" w:eastAsia="zh-CN"/>
              </w:rPr>
              <w:t>位于厂区西南侧，共设</w:t>
            </w:r>
            <w:r>
              <w:rPr>
                <w:rFonts w:hint="default" w:ascii="Times New Roman" w:hAnsi="Times New Roman" w:eastAsia="宋体" w:cs="Times New Roman"/>
                <w:color w:val="auto"/>
                <w:spacing w:val="5"/>
                <w:sz w:val="24"/>
                <w:szCs w:val="24"/>
                <w:highlight w:val="none"/>
              </w:rPr>
              <w:t>储油罐</w:t>
            </w:r>
            <w:r>
              <w:rPr>
                <w:rFonts w:hint="default" w:ascii="Times New Roman" w:hAnsi="Times New Roman" w:eastAsia="宋体" w:cs="Times New Roman"/>
                <w:color w:val="auto"/>
                <w:spacing w:val="5"/>
                <w:sz w:val="24"/>
                <w:szCs w:val="24"/>
                <w:highlight w:val="none"/>
                <w:lang w:val="en-US" w:eastAsia="zh-CN"/>
              </w:rPr>
              <w:t>17个，6个500t，10个4500t，1个10000t，</w:t>
            </w:r>
            <w:r>
              <w:rPr>
                <w:rFonts w:hint="eastAsia" w:ascii="Times New Roman" w:hAnsi="Times New Roman" w:cs="Times New Roman"/>
                <w:color w:val="auto"/>
                <w:spacing w:val="6"/>
                <w:position w:val="1"/>
                <w:sz w:val="24"/>
                <w:szCs w:val="24"/>
                <w:highlight w:val="none"/>
                <w:lang w:val="en-US" w:eastAsia="zh-CN"/>
              </w:rPr>
              <w:t>总储存规模5.8万</w:t>
            </w:r>
            <w:r>
              <w:rPr>
                <w:rFonts w:hint="default" w:ascii="Times New Roman" w:hAnsi="Times New Roman" w:eastAsia="宋体" w:cs="Times New Roman"/>
                <w:color w:val="auto"/>
                <w:spacing w:val="6"/>
                <w:position w:val="1"/>
                <w:sz w:val="24"/>
                <w:szCs w:val="24"/>
                <w:highlight w:val="none"/>
                <w:lang w:val="en-US" w:eastAsia="zh-CN"/>
              </w:rPr>
              <w:t>t</w:t>
            </w:r>
            <w:r>
              <w:rPr>
                <w:rFonts w:hint="eastAsia" w:ascii="Times New Roman" w:hAnsi="Times New Roman" w:eastAsia="宋体" w:cs="Times New Roman"/>
                <w:color w:val="auto"/>
                <w:spacing w:val="6"/>
                <w:position w:val="1"/>
                <w:sz w:val="24"/>
                <w:szCs w:val="24"/>
                <w:highlight w:val="none"/>
                <w:lang w:val="en-US" w:eastAsia="zh-CN"/>
              </w:rPr>
              <w:t>，考虑2个</w:t>
            </w:r>
            <w:r>
              <w:rPr>
                <w:rFonts w:hint="default" w:ascii="Times New Roman" w:hAnsi="Times New Roman" w:eastAsia="宋体" w:cs="Times New Roman"/>
                <w:color w:val="auto"/>
                <w:spacing w:val="5"/>
                <w:sz w:val="24"/>
                <w:szCs w:val="24"/>
                <w:highlight w:val="none"/>
                <w:lang w:val="en-US" w:eastAsia="zh-CN"/>
              </w:rPr>
              <w:t>4500t</w:t>
            </w:r>
            <w:r>
              <w:rPr>
                <w:rFonts w:hint="eastAsia" w:ascii="Times New Roman" w:hAnsi="Times New Roman" w:eastAsia="宋体" w:cs="Times New Roman"/>
                <w:color w:val="auto"/>
                <w:spacing w:val="6"/>
                <w:position w:val="1"/>
                <w:sz w:val="24"/>
                <w:szCs w:val="24"/>
                <w:highlight w:val="none"/>
                <w:lang w:val="en-US" w:eastAsia="zh-CN"/>
              </w:rPr>
              <w:t>作为应急备用油罐，储油规模4.9万t，</w:t>
            </w:r>
            <w:r>
              <w:rPr>
                <w:rFonts w:hint="default" w:ascii="Times New Roman" w:hAnsi="Times New Roman" w:eastAsia="宋体" w:cs="Times New Roman"/>
                <w:color w:val="auto"/>
                <w:spacing w:val="5"/>
                <w:sz w:val="24"/>
                <w:szCs w:val="24"/>
                <w:highlight w:val="none"/>
                <w:lang w:val="en-US" w:eastAsia="zh-CN"/>
              </w:rPr>
              <w:t>主要用于原料油的储存。3#</w:t>
            </w:r>
            <w:r>
              <w:rPr>
                <w:rFonts w:hint="default" w:ascii="Times New Roman" w:hAnsi="Times New Roman" w:eastAsia="宋体" w:cs="Times New Roman"/>
                <w:color w:val="auto"/>
                <w:spacing w:val="5"/>
                <w:sz w:val="24"/>
                <w:szCs w:val="24"/>
                <w:highlight w:val="none"/>
              </w:rPr>
              <w:t>储油罐区</w:t>
            </w:r>
            <w:r>
              <w:rPr>
                <w:rFonts w:hint="default" w:ascii="Times New Roman" w:hAnsi="Times New Roman" w:eastAsia="宋体" w:cs="Times New Roman"/>
                <w:color w:val="auto"/>
                <w:spacing w:val="5"/>
                <w:sz w:val="24"/>
                <w:szCs w:val="24"/>
                <w:highlight w:val="none"/>
                <w:lang w:val="en-US" w:eastAsia="zh-CN"/>
              </w:rPr>
              <w:t>位于厂区西侧</w:t>
            </w:r>
            <w:r>
              <w:rPr>
                <w:rFonts w:hint="default" w:ascii="Times New Roman" w:hAnsi="Times New Roman" w:eastAsia="宋体" w:cs="Times New Roman"/>
                <w:color w:val="auto"/>
                <w:spacing w:val="6"/>
                <w:position w:val="1"/>
                <w:sz w:val="24"/>
                <w:szCs w:val="24"/>
                <w:highlight w:val="none"/>
                <w:lang w:val="en-US" w:eastAsia="zh-CN"/>
              </w:rPr>
              <w:t>，</w:t>
            </w:r>
            <w:r>
              <w:rPr>
                <w:rFonts w:hint="default" w:ascii="Times New Roman" w:hAnsi="Times New Roman" w:eastAsia="宋体" w:cs="Times New Roman"/>
                <w:color w:val="auto"/>
                <w:spacing w:val="5"/>
                <w:sz w:val="24"/>
                <w:szCs w:val="24"/>
                <w:highlight w:val="none"/>
                <w:lang w:val="en-US" w:eastAsia="zh-CN"/>
              </w:rPr>
              <w:t>共设</w:t>
            </w:r>
            <w:r>
              <w:rPr>
                <w:rFonts w:hint="default" w:ascii="Times New Roman" w:hAnsi="Times New Roman" w:eastAsia="宋体" w:cs="Times New Roman"/>
                <w:color w:val="auto"/>
                <w:spacing w:val="7"/>
                <w:position w:val="1"/>
                <w:sz w:val="24"/>
                <w:szCs w:val="24"/>
                <w:highlight w:val="none"/>
              </w:rPr>
              <w:t>8个储油罐</w:t>
            </w:r>
            <w:r>
              <w:rPr>
                <w:rFonts w:hint="default" w:ascii="Times New Roman" w:hAnsi="Times New Roman" w:eastAsia="宋体" w:cs="Times New Roman"/>
                <w:color w:val="auto"/>
                <w:spacing w:val="7"/>
                <w:position w:val="1"/>
                <w:sz w:val="24"/>
                <w:szCs w:val="24"/>
                <w:highlight w:val="none"/>
                <w:lang w:eastAsia="zh-CN"/>
              </w:rPr>
              <w:t>，</w:t>
            </w:r>
            <w:r>
              <w:rPr>
                <w:rFonts w:hint="default" w:ascii="Times New Roman" w:hAnsi="Times New Roman" w:eastAsia="宋体" w:cs="Times New Roman"/>
                <w:color w:val="auto"/>
                <w:spacing w:val="7"/>
                <w:position w:val="1"/>
                <w:sz w:val="24"/>
                <w:szCs w:val="24"/>
                <w:highlight w:val="none"/>
                <w:lang w:val="en-US" w:eastAsia="zh-CN"/>
              </w:rPr>
              <w:t>2个500t，6个4500t</w:t>
            </w:r>
            <w:r>
              <w:rPr>
                <w:rFonts w:hint="default" w:ascii="Times New Roman" w:hAnsi="Times New Roman" w:eastAsia="宋体" w:cs="Times New Roman"/>
                <w:color w:val="auto"/>
                <w:spacing w:val="5"/>
                <w:sz w:val="24"/>
                <w:szCs w:val="24"/>
                <w:highlight w:val="none"/>
                <w:lang w:val="en-US" w:eastAsia="zh-CN"/>
              </w:rPr>
              <w:t>，</w:t>
            </w:r>
            <w:r>
              <w:rPr>
                <w:rFonts w:hint="eastAsia" w:ascii="Times New Roman" w:hAnsi="Times New Roman" w:cs="Times New Roman"/>
                <w:color w:val="auto"/>
                <w:spacing w:val="6"/>
                <w:position w:val="1"/>
                <w:sz w:val="24"/>
                <w:szCs w:val="24"/>
                <w:highlight w:val="none"/>
                <w:lang w:val="en-US" w:eastAsia="zh-CN"/>
              </w:rPr>
              <w:t>总储存规模2.8万</w:t>
            </w:r>
            <w:r>
              <w:rPr>
                <w:rFonts w:hint="default" w:ascii="Times New Roman" w:hAnsi="Times New Roman" w:eastAsia="宋体" w:cs="Times New Roman"/>
                <w:color w:val="auto"/>
                <w:spacing w:val="6"/>
                <w:position w:val="1"/>
                <w:sz w:val="24"/>
                <w:szCs w:val="24"/>
                <w:highlight w:val="none"/>
                <w:lang w:val="en-US" w:eastAsia="zh-CN"/>
              </w:rPr>
              <w:t>t</w:t>
            </w:r>
            <w:r>
              <w:rPr>
                <w:rFonts w:hint="eastAsia" w:ascii="Times New Roman" w:hAnsi="Times New Roman" w:eastAsia="宋体" w:cs="Times New Roman"/>
                <w:color w:val="auto"/>
                <w:spacing w:val="6"/>
                <w:position w:val="1"/>
                <w:sz w:val="24"/>
                <w:szCs w:val="24"/>
                <w:highlight w:val="none"/>
                <w:lang w:val="en-US" w:eastAsia="zh-CN"/>
              </w:rPr>
              <w:t>，考虑2个</w:t>
            </w:r>
            <w:r>
              <w:rPr>
                <w:rFonts w:hint="default" w:ascii="Times New Roman" w:hAnsi="Times New Roman" w:eastAsia="宋体" w:cs="Times New Roman"/>
                <w:color w:val="auto"/>
                <w:spacing w:val="5"/>
                <w:sz w:val="24"/>
                <w:szCs w:val="24"/>
                <w:highlight w:val="none"/>
                <w:lang w:val="en-US" w:eastAsia="zh-CN"/>
              </w:rPr>
              <w:t>4500t</w:t>
            </w:r>
            <w:r>
              <w:rPr>
                <w:rFonts w:hint="eastAsia" w:ascii="Times New Roman" w:hAnsi="Times New Roman" w:eastAsia="宋体" w:cs="Times New Roman"/>
                <w:color w:val="auto"/>
                <w:spacing w:val="6"/>
                <w:position w:val="1"/>
                <w:sz w:val="24"/>
                <w:szCs w:val="24"/>
                <w:highlight w:val="none"/>
                <w:lang w:val="en-US" w:eastAsia="zh-CN"/>
              </w:rPr>
              <w:t>作为应急备用油罐，储油规模1.9万t，</w:t>
            </w:r>
            <w:r>
              <w:rPr>
                <w:rFonts w:hint="default" w:ascii="Times New Roman" w:hAnsi="Times New Roman" w:eastAsia="宋体" w:cs="Times New Roman"/>
                <w:color w:val="auto"/>
                <w:spacing w:val="6"/>
                <w:position w:val="1"/>
                <w:sz w:val="24"/>
                <w:szCs w:val="24"/>
                <w:highlight w:val="none"/>
                <w:lang w:val="en-US" w:eastAsia="zh-CN"/>
              </w:rPr>
              <w:t>用于成品油</w:t>
            </w:r>
            <w:r>
              <w:rPr>
                <w:rFonts w:hint="eastAsia" w:ascii="Times New Roman" w:hAnsi="Times New Roman" w:cs="Times New Roman"/>
                <w:color w:val="auto"/>
                <w:spacing w:val="6"/>
                <w:position w:val="1"/>
                <w:sz w:val="24"/>
                <w:szCs w:val="24"/>
                <w:highlight w:val="none"/>
                <w:lang w:val="en-US" w:eastAsia="zh-CN"/>
              </w:rPr>
              <w:t>和代储油</w:t>
            </w:r>
            <w:r>
              <w:rPr>
                <w:rFonts w:hint="default" w:ascii="Times New Roman" w:hAnsi="Times New Roman" w:eastAsia="宋体" w:cs="Times New Roman"/>
                <w:color w:val="auto"/>
                <w:spacing w:val="6"/>
                <w:position w:val="1"/>
                <w:sz w:val="24"/>
                <w:szCs w:val="24"/>
                <w:highlight w:val="none"/>
                <w:lang w:val="en-US" w:eastAsia="zh-CN"/>
              </w:rPr>
              <w:t>的储存</w:t>
            </w:r>
            <w:r>
              <w:rPr>
                <w:rFonts w:hint="eastAsia" w:ascii="Times New Roman" w:hAnsi="Times New Roman" w:cs="Times New Roman"/>
                <w:color w:val="auto"/>
                <w:spacing w:val="6"/>
                <w:position w:val="1"/>
                <w:sz w:val="24"/>
                <w:szCs w:val="24"/>
                <w:highlight w:val="none"/>
                <w:lang w:val="en-US" w:eastAsia="zh-CN"/>
              </w:rPr>
              <w:t>。综上，储油罐现有规模</w:t>
            </w:r>
            <w:r>
              <w:rPr>
                <w:rFonts w:hint="default" w:ascii="Times New Roman" w:hAnsi="Times New Roman" w:eastAsia="宋体" w:cs="Times New Roman"/>
                <w:color w:val="auto"/>
                <w:spacing w:val="7"/>
                <w:position w:val="1"/>
                <w:sz w:val="24"/>
                <w:szCs w:val="24"/>
                <w:highlight w:val="none"/>
                <w:lang w:val="en-US" w:eastAsia="zh-CN"/>
              </w:rPr>
              <w:t>10.59万t。</w:t>
            </w:r>
          </w:p>
          <w:p w14:paraId="7D53E8CA">
            <w:pPr>
              <w:pStyle w:val="24"/>
              <w:keepNext w:val="0"/>
              <w:keepLines w:val="0"/>
              <w:pageBreakBefore w:val="0"/>
              <w:widowControl w:val="0"/>
              <w:kinsoku/>
              <w:wordWrap/>
              <w:overflowPunct/>
              <w:topLinePunct w:val="0"/>
              <w:autoSpaceDE/>
              <w:autoSpaceDN/>
              <w:bidi w:val="0"/>
              <w:adjustRightInd/>
              <w:snapToGrid w:val="0"/>
              <w:spacing w:line="360" w:lineRule="auto"/>
              <w:ind w:left="0" w:firstLine="508" w:firstLineChars="200"/>
              <w:jc w:val="left"/>
              <w:textAlignment w:val="auto"/>
              <w:rPr>
                <w:rFonts w:hint="default" w:ascii="Times New Roman" w:hAnsi="Times New Roman" w:eastAsia="宋体" w:cs="Times New Roman"/>
                <w:color w:val="auto"/>
                <w:spacing w:val="4"/>
                <w:position w:val="1"/>
                <w:sz w:val="24"/>
                <w:szCs w:val="24"/>
                <w:highlight w:val="none"/>
                <w:lang w:val="en-US" w:eastAsia="zh-CN"/>
              </w:rPr>
            </w:pPr>
            <w:r>
              <w:rPr>
                <w:rFonts w:hint="default" w:ascii="Times New Roman" w:hAnsi="Times New Roman" w:eastAsia="宋体" w:cs="Times New Roman"/>
                <w:color w:val="auto"/>
                <w:spacing w:val="7"/>
                <w:position w:val="1"/>
                <w:sz w:val="24"/>
                <w:szCs w:val="24"/>
                <w:highlight w:val="none"/>
                <w:lang w:val="en-US" w:eastAsia="zh-CN"/>
              </w:rPr>
              <w:t>本次</w:t>
            </w:r>
            <w:r>
              <w:rPr>
                <w:rFonts w:hint="default" w:ascii="Times New Roman" w:hAnsi="Times New Roman" w:cs="Times New Roman"/>
                <w:color w:val="auto"/>
                <w:spacing w:val="7"/>
                <w:position w:val="1"/>
                <w:sz w:val="24"/>
                <w:szCs w:val="24"/>
                <w:highlight w:val="none"/>
                <w:lang w:val="en-US" w:eastAsia="zh-CN"/>
              </w:rPr>
              <w:t>改建</w:t>
            </w:r>
            <w:r>
              <w:rPr>
                <w:rFonts w:hint="default" w:ascii="Times New Roman" w:hAnsi="Times New Roman" w:eastAsia="宋体" w:cs="Times New Roman"/>
                <w:color w:val="auto"/>
                <w:spacing w:val="7"/>
                <w:position w:val="1"/>
                <w:sz w:val="24"/>
                <w:szCs w:val="24"/>
                <w:highlight w:val="none"/>
                <w:lang w:val="en-US" w:eastAsia="zh-CN"/>
              </w:rPr>
              <w:t>将按照九龙坡区生态分区环境分区管控要求将项目与</w:t>
            </w:r>
            <w:r>
              <w:rPr>
                <w:rFonts w:hint="default" w:ascii="Times New Roman" w:hAnsi="Times New Roman" w:eastAsia="宋体" w:cs="Times New Roman"/>
                <w:color w:val="auto"/>
                <w:spacing w:val="0"/>
                <w:position w:val="0"/>
                <w:sz w:val="24"/>
                <w:szCs w:val="24"/>
                <w:highlight w:val="none"/>
                <w:lang w:val="en-US" w:eastAsia="zh-CN"/>
              </w:rPr>
              <w:t>长江上游珍稀特有鱼类国家级自然保护区重叠部分的储罐进行退让空置，涉及2个储罐，位于1#储罐区东南侧，其储量分别为1200t、300t，退让后，全厂储罐容量为10.44万</w:t>
            </w:r>
            <w:r>
              <w:rPr>
                <w:rFonts w:hint="default" w:ascii="Times New Roman" w:hAnsi="Times New Roman" w:eastAsia="宋体" w:cs="Times New Roman"/>
                <w:color w:val="auto"/>
                <w:spacing w:val="7"/>
                <w:position w:val="1"/>
                <w:sz w:val="24"/>
                <w:szCs w:val="24"/>
                <w:highlight w:val="none"/>
                <w:lang w:val="en-US" w:eastAsia="zh-CN"/>
              </w:rPr>
              <w:t>t</w:t>
            </w:r>
            <w:r>
              <w:rPr>
                <w:rFonts w:hint="default" w:ascii="Times New Roman" w:hAnsi="Times New Roman" w:eastAsia="宋体" w:cs="Times New Roman"/>
                <w:color w:val="auto"/>
                <w:spacing w:val="4"/>
                <w:position w:val="1"/>
                <w:sz w:val="24"/>
                <w:szCs w:val="24"/>
                <w:highlight w:val="none"/>
                <w:lang w:val="en-US" w:eastAsia="zh-CN"/>
              </w:rPr>
              <w:t>。</w:t>
            </w:r>
          </w:p>
          <w:p w14:paraId="2F10588B">
            <w:pPr>
              <w:pStyle w:val="24"/>
              <w:keepNext w:val="0"/>
              <w:keepLines w:val="0"/>
              <w:pageBreakBefore w:val="0"/>
              <w:widowControl w:val="0"/>
              <w:kinsoku/>
              <w:wordWrap/>
              <w:overflowPunct/>
              <w:topLinePunct w:val="0"/>
              <w:autoSpaceDE/>
              <w:autoSpaceDN/>
              <w:bidi w:val="0"/>
              <w:adjustRightInd/>
              <w:snapToGrid w:val="0"/>
              <w:spacing w:line="360" w:lineRule="auto"/>
              <w:ind w:left="0" w:firstLine="496" w:firstLineChars="200"/>
              <w:jc w:val="left"/>
              <w:textAlignment w:val="auto"/>
              <w:rPr>
                <w:rFonts w:hint="default" w:ascii="Times New Roman" w:hAnsi="Times New Roman" w:eastAsia="宋体" w:cs="Times New Roman"/>
                <w:b w:val="0"/>
                <w:bCs w:val="0"/>
                <w:color w:val="auto"/>
                <w:spacing w:val="-1"/>
                <w:sz w:val="24"/>
                <w:szCs w:val="24"/>
                <w:highlight w:val="none"/>
                <w:lang w:val="en-US" w:eastAsia="zh-CN"/>
              </w:rPr>
            </w:pPr>
            <w:r>
              <w:rPr>
                <w:rFonts w:hint="eastAsia" w:ascii="Times New Roman" w:hAnsi="Times New Roman" w:cs="Times New Roman"/>
                <w:color w:val="auto"/>
                <w:spacing w:val="4"/>
                <w:position w:val="1"/>
                <w:sz w:val="24"/>
                <w:szCs w:val="24"/>
                <w:highlight w:val="none"/>
                <w:lang w:val="en-US" w:eastAsia="zh-CN"/>
              </w:rPr>
              <w:t>本次改建前后</w:t>
            </w:r>
            <w:r>
              <w:rPr>
                <w:rFonts w:hint="default" w:ascii="Times New Roman" w:hAnsi="Times New Roman" w:eastAsia="宋体" w:cs="Times New Roman"/>
                <w:color w:val="auto"/>
                <w:spacing w:val="0"/>
                <w:position w:val="0"/>
                <w:sz w:val="24"/>
                <w:szCs w:val="24"/>
                <w:highlight w:val="none"/>
                <w:lang w:val="en-US" w:eastAsia="zh-CN"/>
              </w:rPr>
              <w:t>原料油和成品油周转频次</w:t>
            </w:r>
            <w:r>
              <w:rPr>
                <w:rFonts w:hint="eastAsia" w:ascii="Times New Roman" w:hAnsi="Times New Roman" w:cs="Times New Roman"/>
                <w:color w:val="auto"/>
                <w:spacing w:val="4"/>
                <w:position w:val="1"/>
                <w:sz w:val="24"/>
                <w:szCs w:val="24"/>
                <w:highlight w:val="none"/>
                <w:lang w:val="en-US" w:eastAsia="zh-CN"/>
              </w:rPr>
              <w:t>不变，</w:t>
            </w:r>
            <w:r>
              <w:rPr>
                <w:rFonts w:hint="eastAsia" w:ascii="Times New Roman" w:hAnsi="Times New Roman" w:cs="Times New Roman"/>
                <w:color w:val="auto"/>
                <w:spacing w:val="0"/>
                <w:position w:val="0"/>
                <w:sz w:val="24"/>
                <w:szCs w:val="24"/>
                <w:highlight w:val="none"/>
                <w:lang w:val="en-US" w:eastAsia="zh-CN"/>
              </w:rPr>
              <w:t>仍旧</w:t>
            </w:r>
            <w:r>
              <w:rPr>
                <w:rFonts w:hint="default" w:ascii="Times New Roman" w:hAnsi="Times New Roman" w:eastAsia="宋体" w:cs="Times New Roman"/>
                <w:color w:val="auto"/>
                <w:spacing w:val="0"/>
                <w:position w:val="0"/>
                <w:sz w:val="24"/>
                <w:szCs w:val="24"/>
                <w:highlight w:val="none"/>
                <w:lang w:val="en-US" w:eastAsia="zh-CN"/>
              </w:rPr>
              <w:t>为1次/月</w:t>
            </w:r>
            <w:r>
              <w:rPr>
                <w:rFonts w:hint="eastAsia" w:ascii="Times New Roman" w:hAnsi="Times New Roman" w:cs="Times New Roman"/>
                <w:color w:val="auto"/>
                <w:spacing w:val="0"/>
                <w:position w:val="0"/>
                <w:sz w:val="24"/>
                <w:szCs w:val="24"/>
                <w:highlight w:val="none"/>
                <w:lang w:val="en-US" w:eastAsia="zh-CN"/>
              </w:rPr>
              <w:t>。根据核算，改建项目精炼用</w:t>
            </w:r>
            <w:r>
              <w:rPr>
                <w:rFonts w:hint="default" w:ascii="Times New Roman" w:hAnsi="Times New Roman" w:eastAsia="宋体" w:cs="Times New Roman"/>
                <w:color w:val="auto"/>
                <w:spacing w:val="0"/>
                <w:position w:val="0"/>
                <w:sz w:val="24"/>
                <w:szCs w:val="24"/>
                <w:highlight w:val="none"/>
                <w:lang w:val="en-US" w:eastAsia="zh-CN"/>
              </w:rPr>
              <w:t>原料油最大储存需求为1.6万t，</w:t>
            </w:r>
            <w:r>
              <w:rPr>
                <w:rFonts w:hint="eastAsia" w:ascii="Times New Roman" w:hAnsi="Times New Roman" w:cs="Times New Roman"/>
                <w:color w:val="auto"/>
                <w:spacing w:val="0"/>
                <w:position w:val="0"/>
                <w:sz w:val="24"/>
                <w:szCs w:val="24"/>
                <w:highlight w:val="none"/>
                <w:lang w:val="en-US" w:eastAsia="zh-CN"/>
              </w:rPr>
              <w:t>成品油</w:t>
            </w:r>
            <w:r>
              <w:rPr>
                <w:rFonts w:hint="default" w:ascii="Times New Roman" w:hAnsi="Times New Roman" w:eastAsia="宋体" w:cs="Times New Roman"/>
                <w:color w:val="auto"/>
                <w:spacing w:val="0"/>
                <w:position w:val="0"/>
                <w:sz w:val="24"/>
                <w:szCs w:val="24"/>
                <w:highlight w:val="none"/>
                <w:lang w:val="en-US" w:eastAsia="zh-CN"/>
              </w:rPr>
              <w:t>最大储存需求为1.5万t</w:t>
            </w:r>
            <w:r>
              <w:rPr>
                <w:rFonts w:hint="eastAsia" w:ascii="Times New Roman" w:hAnsi="Times New Roman" w:cs="Times New Roman"/>
                <w:color w:val="auto"/>
                <w:spacing w:val="0"/>
                <w:position w:val="0"/>
                <w:sz w:val="24"/>
                <w:szCs w:val="24"/>
                <w:highlight w:val="none"/>
                <w:lang w:val="en-US" w:eastAsia="zh-CN"/>
              </w:rPr>
              <w:t>，灌装用散装成品油最大储存需求为2.25</w:t>
            </w:r>
            <w:r>
              <w:rPr>
                <w:rFonts w:hint="default" w:ascii="Times New Roman" w:hAnsi="Times New Roman" w:eastAsia="宋体" w:cs="Times New Roman"/>
                <w:color w:val="auto"/>
                <w:spacing w:val="0"/>
                <w:position w:val="0"/>
                <w:sz w:val="24"/>
                <w:szCs w:val="24"/>
                <w:highlight w:val="none"/>
                <w:lang w:val="en-US" w:eastAsia="zh-CN"/>
              </w:rPr>
              <w:t>万t</w:t>
            </w:r>
            <w:r>
              <w:rPr>
                <w:rFonts w:hint="eastAsia" w:ascii="Times New Roman" w:hAnsi="Times New Roman" w:cs="Times New Roman"/>
                <w:color w:val="auto"/>
                <w:spacing w:val="0"/>
                <w:position w:val="0"/>
                <w:sz w:val="24"/>
                <w:szCs w:val="24"/>
                <w:highlight w:val="none"/>
                <w:lang w:val="en-US" w:eastAsia="zh-CN"/>
              </w:rPr>
              <w:t>，代储油规模最大储存需求为5.09万t，总周转量为10.44万t；现有工程精炼用</w:t>
            </w:r>
            <w:r>
              <w:rPr>
                <w:rFonts w:hint="default" w:ascii="Times New Roman" w:hAnsi="Times New Roman" w:eastAsia="宋体" w:cs="Times New Roman"/>
                <w:color w:val="auto"/>
                <w:spacing w:val="0"/>
                <w:position w:val="0"/>
                <w:sz w:val="24"/>
                <w:szCs w:val="24"/>
                <w:highlight w:val="none"/>
                <w:lang w:val="en-US" w:eastAsia="zh-CN"/>
              </w:rPr>
              <w:t>原料油最大储存需求为</w:t>
            </w:r>
            <w:r>
              <w:rPr>
                <w:rFonts w:hint="eastAsia" w:ascii="Times New Roman" w:hAnsi="Times New Roman" w:cs="Times New Roman"/>
                <w:color w:val="auto"/>
                <w:spacing w:val="0"/>
                <w:position w:val="0"/>
                <w:sz w:val="24"/>
                <w:szCs w:val="24"/>
                <w:highlight w:val="none"/>
                <w:lang w:val="en-US" w:eastAsia="zh-CN"/>
              </w:rPr>
              <w:t>1.1</w:t>
            </w:r>
            <w:r>
              <w:rPr>
                <w:rFonts w:hint="default" w:ascii="Times New Roman" w:hAnsi="Times New Roman" w:eastAsia="宋体" w:cs="Times New Roman"/>
                <w:color w:val="auto"/>
                <w:spacing w:val="0"/>
                <w:position w:val="0"/>
                <w:sz w:val="24"/>
                <w:szCs w:val="24"/>
                <w:highlight w:val="none"/>
                <w:lang w:val="en-US" w:eastAsia="zh-CN"/>
              </w:rPr>
              <w:t>万t，</w:t>
            </w:r>
            <w:r>
              <w:rPr>
                <w:rFonts w:hint="eastAsia" w:ascii="Times New Roman" w:hAnsi="Times New Roman" w:cs="Times New Roman"/>
                <w:color w:val="auto"/>
                <w:spacing w:val="0"/>
                <w:position w:val="0"/>
                <w:sz w:val="24"/>
                <w:szCs w:val="24"/>
                <w:highlight w:val="none"/>
                <w:lang w:val="en-US" w:eastAsia="zh-CN"/>
              </w:rPr>
              <w:t>成品油</w:t>
            </w:r>
            <w:r>
              <w:rPr>
                <w:rFonts w:hint="default" w:ascii="Times New Roman" w:hAnsi="Times New Roman" w:eastAsia="宋体" w:cs="Times New Roman"/>
                <w:color w:val="auto"/>
                <w:spacing w:val="0"/>
                <w:position w:val="0"/>
                <w:sz w:val="24"/>
                <w:szCs w:val="24"/>
                <w:highlight w:val="none"/>
                <w:lang w:val="en-US" w:eastAsia="zh-CN"/>
              </w:rPr>
              <w:t>最大储存需求为</w:t>
            </w:r>
            <w:r>
              <w:rPr>
                <w:rFonts w:hint="eastAsia" w:ascii="Times New Roman" w:hAnsi="Times New Roman" w:cs="Times New Roman"/>
                <w:color w:val="auto"/>
                <w:spacing w:val="0"/>
                <w:position w:val="0"/>
                <w:sz w:val="24"/>
                <w:szCs w:val="24"/>
                <w:highlight w:val="none"/>
                <w:lang w:val="en-US" w:eastAsia="zh-CN"/>
              </w:rPr>
              <w:t>1.0</w:t>
            </w:r>
            <w:r>
              <w:rPr>
                <w:rFonts w:hint="default" w:ascii="Times New Roman" w:hAnsi="Times New Roman" w:eastAsia="宋体" w:cs="Times New Roman"/>
                <w:color w:val="auto"/>
                <w:spacing w:val="0"/>
                <w:position w:val="0"/>
                <w:sz w:val="24"/>
                <w:szCs w:val="24"/>
                <w:highlight w:val="none"/>
                <w:lang w:val="en-US" w:eastAsia="zh-CN"/>
              </w:rPr>
              <w:t>万t</w:t>
            </w:r>
            <w:r>
              <w:rPr>
                <w:rFonts w:hint="eastAsia" w:ascii="Times New Roman" w:hAnsi="Times New Roman" w:cs="Times New Roman"/>
                <w:color w:val="auto"/>
                <w:spacing w:val="0"/>
                <w:position w:val="0"/>
                <w:sz w:val="24"/>
                <w:szCs w:val="24"/>
                <w:highlight w:val="none"/>
                <w:lang w:val="en-US" w:eastAsia="zh-CN"/>
              </w:rPr>
              <w:t>，灌装用散装成品油最大储存需求为2.75</w:t>
            </w:r>
            <w:r>
              <w:rPr>
                <w:rFonts w:hint="default" w:ascii="Times New Roman" w:hAnsi="Times New Roman" w:eastAsia="宋体" w:cs="Times New Roman"/>
                <w:color w:val="auto"/>
                <w:spacing w:val="0"/>
                <w:position w:val="0"/>
                <w:sz w:val="24"/>
                <w:szCs w:val="24"/>
                <w:highlight w:val="none"/>
                <w:lang w:val="en-US" w:eastAsia="zh-CN"/>
              </w:rPr>
              <w:t>万t</w:t>
            </w:r>
            <w:r>
              <w:rPr>
                <w:rFonts w:hint="eastAsia" w:ascii="Times New Roman" w:hAnsi="Times New Roman" w:cs="Times New Roman"/>
                <w:color w:val="auto"/>
                <w:spacing w:val="0"/>
                <w:position w:val="0"/>
                <w:sz w:val="24"/>
                <w:szCs w:val="24"/>
                <w:highlight w:val="none"/>
                <w:lang w:val="en-US" w:eastAsia="zh-CN"/>
              </w:rPr>
              <w:t>，代储油规模最大储存需求为5.74万t，总周转量为10.59万t；改建后全厂周转量较改建前周转量减少0.15万t，故，改建项目改建前后周转频次不变，周转量减少</w:t>
            </w:r>
            <w:r>
              <w:rPr>
                <w:rFonts w:hint="default" w:ascii="Times New Roman" w:hAnsi="Times New Roman" w:eastAsia="宋体" w:cs="Times New Roman"/>
                <w:color w:val="auto"/>
                <w:spacing w:val="0"/>
                <w:position w:val="0"/>
                <w:sz w:val="24"/>
                <w:szCs w:val="24"/>
                <w:highlight w:val="none"/>
                <w:lang w:val="en-US" w:eastAsia="zh-CN"/>
              </w:rPr>
              <w:t>。</w:t>
            </w:r>
          </w:p>
          <w:p w14:paraId="1F31784B">
            <w:pPr>
              <w:pStyle w:val="24"/>
              <w:keepNext w:val="0"/>
              <w:keepLines w:val="0"/>
              <w:pageBreakBefore w:val="0"/>
              <w:widowControl w:val="0"/>
              <w:kinsoku/>
              <w:wordWrap/>
              <w:overflowPunct w:val="0"/>
              <w:topLinePunct/>
              <w:autoSpaceDE/>
              <w:autoSpaceDN/>
              <w:bidi w:val="0"/>
              <w:spacing w:line="460" w:lineRule="exact"/>
              <w:ind w:left="0" w:firstLine="478" w:firstLineChars="200"/>
              <w:textAlignment w:val="auto"/>
              <w:rPr>
                <w:rFonts w:hint="default" w:ascii="Times New Roman" w:hAnsi="Times New Roman" w:eastAsia="宋体" w:cs="Times New Roman"/>
                <w:b/>
                <w:bCs/>
                <w:color w:val="auto"/>
                <w:spacing w:val="-1"/>
                <w:sz w:val="24"/>
                <w:szCs w:val="24"/>
                <w:highlight w:val="none"/>
                <w:lang w:val="en-US" w:eastAsia="zh-CN"/>
              </w:rPr>
            </w:pPr>
            <w:r>
              <w:rPr>
                <w:rFonts w:hint="default" w:ascii="Times New Roman" w:hAnsi="Times New Roman" w:eastAsia="宋体" w:cs="Times New Roman"/>
                <w:b/>
                <w:bCs/>
                <w:color w:val="auto"/>
                <w:spacing w:val="-1"/>
                <w:sz w:val="24"/>
                <w:szCs w:val="24"/>
                <w:highlight w:val="none"/>
                <w:lang w:val="en-US" w:eastAsia="zh-CN"/>
              </w:rPr>
              <w:t>2.3.8总平面图布置</w:t>
            </w:r>
          </w:p>
          <w:p w14:paraId="29E11E43">
            <w:pPr>
              <w:keepNext w:val="0"/>
              <w:keepLines w:val="0"/>
              <w:pageBreakBefore w:val="0"/>
              <w:widowControl/>
              <w:suppressLineNumbers w:val="0"/>
              <w:kinsoku/>
              <w:wordWrap/>
              <w:overflowPunct w:val="0"/>
              <w:topLinePunct/>
              <w:bidi w:val="0"/>
              <w:adjustRightInd w:val="0"/>
              <w:spacing w:before="0" w:beforeAutospacing="0" w:after="0" w:afterAutospacing="0" w:line="460" w:lineRule="exact"/>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w:t>
            </w:r>
            <w:r>
              <w:rPr>
                <w:rFonts w:hint="eastAsia" w:eastAsia="宋体" w:cs="Times New Roman"/>
                <w:color w:val="auto"/>
                <w:kern w:val="0"/>
                <w:sz w:val="24"/>
                <w:szCs w:val="24"/>
                <w:highlight w:val="none"/>
                <w:lang w:val="en-US" w:eastAsia="zh-CN" w:bidi="ar"/>
              </w:rPr>
              <w:t>现有厂区布局</w:t>
            </w:r>
          </w:p>
          <w:p w14:paraId="55B4822E">
            <w:pPr>
              <w:keepNext w:val="0"/>
              <w:keepLines w:val="0"/>
              <w:pageBreakBefore w:val="0"/>
              <w:widowControl/>
              <w:suppressLineNumbers w:val="0"/>
              <w:kinsoku/>
              <w:wordWrap/>
              <w:overflowPunct w:val="0"/>
              <w:topLinePunct/>
              <w:bidi w:val="0"/>
              <w:adjustRightInd w:val="0"/>
              <w:spacing w:before="0" w:beforeAutospacing="0" w:after="0" w:afterAutospacing="0" w:line="460" w:lineRule="exact"/>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红蜻蜓</w:t>
            </w:r>
            <w:r>
              <w:rPr>
                <w:rFonts w:hint="eastAsia" w:eastAsia="宋体" w:cs="Times New Roman"/>
                <w:color w:val="auto"/>
                <w:kern w:val="0"/>
                <w:sz w:val="24"/>
                <w:szCs w:val="24"/>
                <w:highlight w:val="none"/>
                <w:lang w:val="en-US" w:eastAsia="zh-CN" w:bidi="ar"/>
              </w:rPr>
              <w:t>整个</w:t>
            </w:r>
            <w:r>
              <w:rPr>
                <w:rFonts w:hint="default" w:ascii="Times New Roman" w:hAnsi="Times New Roman" w:eastAsia="宋体" w:cs="Times New Roman"/>
                <w:color w:val="auto"/>
                <w:kern w:val="0"/>
                <w:sz w:val="24"/>
                <w:szCs w:val="24"/>
                <w:highlight w:val="none"/>
                <w:lang w:val="en-US" w:eastAsia="zh-CN" w:bidi="ar"/>
              </w:rPr>
              <w:t>厂区</w:t>
            </w:r>
            <w:r>
              <w:rPr>
                <w:rFonts w:hint="default" w:ascii="Times New Roman" w:hAnsi="Times New Roman" w:eastAsia="宋体" w:cs="Times New Roman"/>
                <w:color w:val="auto"/>
                <w:sz w:val="24"/>
                <w:szCs w:val="24"/>
                <w:highlight w:val="none"/>
                <w:lang w:val="en-US" w:eastAsia="zh-CN"/>
              </w:rPr>
              <w:t>用地呈不规则形状，主要分为办公区、储罐区及生产区，办公区位于项目场地西南侧，主要设置办公楼、倒班宿舍及食堂等；储罐区根据生产工艺要求分为3个地块，1#储罐区位于项目场地东南侧，共设置</w:t>
            </w:r>
            <w:r>
              <w:rPr>
                <w:rFonts w:hint="eastAsia"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lang w:val="en-US" w:eastAsia="zh-CN"/>
              </w:rPr>
              <w:t>个储油罐，2#储罐区位于项目场地西南侧，共设置17个储油罐，3#储罐区位于项目场地西侧，共设置8个储油罐，各储罐区通过输油管道与生产区连接，并设置围堰；生产区位于项目场地中部及东北侧，其中，中部由西向东设置2#包装车间、成品库房、小包装车间、立体仓库，配套有收发油台、泵房等；东北侧由西向东设置有化验楼、配电室、锅炉房、精炼车间、空压站、污水处理站等。项目出入口位于西南侧，采用人车分流模式，避免交叉；</w:t>
            </w:r>
            <w:r>
              <w:rPr>
                <w:rFonts w:hint="default" w:ascii="Times New Roman" w:hAnsi="Times New Roman" w:cs="Times New Roman"/>
                <w:color w:val="auto"/>
                <w:kern w:val="0"/>
                <w:sz w:val="24"/>
                <w:szCs w:val="24"/>
                <w:highlight w:val="none"/>
                <w:lang w:val="en-US" w:eastAsia="zh-CN"/>
              </w:rPr>
              <w:t>项目各功能分区明确，各区</w:t>
            </w:r>
            <w:r>
              <w:rPr>
                <w:rFonts w:hint="default" w:ascii="Times New Roman" w:hAnsi="Times New Roman" w:cs="Times New Roman"/>
                <w:color w:val="auto"/>
                <w:kern w:val="0"/>
                <w:sz w:val="24"/>
                <w:highlight w:val="none"/>
              </w:rPr>
              <w:t>布置紧凑，用地节约。建（构）筑物的布置符合防火、卫生规范及各种安全规定和要求，满足地上、地下项目管线的敷设、绿化布置以及施工的要求。</w:t>
            </w:r>
          </w:p>
          <w:p w14:paraId="4B6E5D59">
            <w:pPr>
              <w:keepNext w:val="0"/>
              <w:keepLines w:val="0"/>
              <w:pageBreakBefore w:val="0"/>
              <w:widowControl/>
              <w:suppressLineNumbers w:val="0"/>
              <w:kinsoku/>
              <w:wordWrap/>
              <w:overflowPunct w:val="0"/>
              <w:topLinePunct/>
              <w:bidi w:val="0"/>
              <w:adjustRightInd w:val="0"/>
              <w:spacing w:before="0" w:beforeAutospacing="0" w:after="0" w:afterAutospacing="0" w:line="460" w:lineRule="exact"/>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现有项目精炼车间废气排气筒位于厂区东北侧，锅炉排气筒位于厂区东北侧锅炉房，污水处理站臭气排气筒位于厂区东北侧污水处理站处；项目污水处理站位于项目场地东北侧，</w:t>
            </w:r>
            <w:r>
              <w:rPr>
                <w:rFonts w:hint="eastAsia" w:eastAsia="宋体" w:cs="Times New Roman"/>
                <w:color w:val="auto"/>
                <w:kern w:val="0"/>
                <w:sz w:val="24"/>
                <w:szCs w:val="24"/>
                <w:highlight w:val="none"/>
                <w:lang w:val="en-US" w:eastAsia="zh-CN" w:bidi="ar"/>
              </w:rPr>
              <w:t>办公区</w:t>
            </w:r>
            <w:r>
              <w:rPr>
                <w:rFonts w:hint="default" w:ascii="Times New Roman" w:hAnsi="Times New Roman" w:cs="Times New Roman"/>
                <w:color w:val="auto"/>
                <w:kern w:val="0"/>
                <w:sz w:val="24"/>
                <w:szCs w:val="24"/>
                <w:highlight w:val="none"/>
                <w:lang w:val="en-US" w:eastAsia="zh-CN" w:bidi="ar"/>
              </w:rPr>
              <w:t>生化池位于办公区东南侧，</w:t>
            </w:r>
            <w:r>
              <w:rPr>
                <w:rFonts w:hint="eastAsia" w:cs="Times New Roman"/>
                <w:color w:val="auto"/>
                <w:kern w:val="0"/>
                <w:sz w:val="24"/>
                <w:szCs w:val="24"/>
                <w:highlight w:val="none"/>
                <w:lang w:val="en-US" w:eastAsia="zh-CN" w:bidi="ar"/>
              </w:rPr>
              <w:t>倒班楼生化池位于倒班楼南侧，生产区生化池位于污水处理站北侧，食堂隔油池紧邻食堂布置，</w:t>
            </w:r>
            <w:r>
              <w:rPr>
                <w:rFonts w:hint="default" w:ascii="Times New Roman" w:hAnsi="Times New Roman" w:eastAsia="宋体" w:cs="Times New Roman"/>
                <w:color w:val="auto"/>
                <w:kern w:val="0"/>
                <w:sz w:val="24"/>
                <w:szCs w:val="24"/>
                <w:highlight w:val="none"/>
                <w:lang w:val="en-US" w:eastAsia="zh-CN" w:bidi="ar"/>
              </w:rPr>
              <w:t>地处场地最低处，便于项目废水的收集；一般工业固废暂存区位于</w:t>
            </w:r>
            <w:r>
              <w:rPr>
                <w:rFonts w:hint="eastAsia" w:eastAsia="宋体" w:cs="Times New Roman"/>
                <w:color w:val="auto"/>
                <w:kern w:val="0"/>
                <w:sz w:val="24"/>
                <w:szCs w:val="24"/>
                <w:highlight w:val="none"/>
                <w:lang w:val="en-US" w:eastAsia="zh-CN" w:bidi="ar"/>
              </w:rPr>
              <w:t>1#储罐区东南侧</w:t>
            </w:r>
            <w:r>
              <w:rPr>
                <w:rFonts w:hint="default" w:ascii="Times New Roman" w:hAnsi="Times New Roman" w:eastAsia="宋体" w:cs="Times New Roman"/>
                <w:color w:val="auto"/>
                <w:kern w:val="0"/>
                <w:sz w:val="24"/>
                <w:szCs w:val="24"/>
                <w:highlight w:val="none"/>
                <w:lang w:val="en-US" w:eastAsia="zh-CN" w:bidi="ar"/>
              </w:rPr>
              <w:t>，危废暂存间位于</w:t>
            </w:r>
            <w:r>
              <w:rPr>
                <w:rFonts w:hint="eastAsia" w:cs="Times New Roman"/>
                <w:color w:val="auto"/>
                <w:kern w:val="0"/>
                <w:sz w:val="24"/>
                <w:szCs w:val="24"/>
                <w:highlight w:val="none"/>
                <w:lang w:val="en-US" w:eastAsia="zh-CN" w:bidi="ar"/>
              </w:rPr>
              <w:t>倒班楼北侧</w:t>
            </w:r>
            <w:r>
              <w:rPr>
                <w:rFonts w:hint="default" w:ascii="Times New Roman" w:hAnsi="Times New Roman" w:eastAsia="宋体" w:cs="Times New Roman"/>
                <w:color w:val="auto"/>
                <w:kern w:val="0"/>
                <w:sz w:val="24"/>
                <w:szCs w:val="24"/>
                <w:highlight w:val="none"/>
                <w:lang w:val="en-US" w:eastAsia="zh-CN" w:bidi="ar"/>
              </w:rPr>
              <w:t>。</w:t>
            </w:r>
          </w:p>
          <w:p w14:paraId="78379BAA">
            <w:pPr>
              <w:keepNext w:val="0"/>
              <w:keepLines w:val="0"/>
              <w:pageBreakBefore w:val="0"/>
              <w:widowControl/>
              <w:suppressLineNumbers w:val="0"/>
              <w:kinsoku/>
              <w:wordWrap/>
              <w:overflowPunct w:val="0"/>
              <w:topLinePunct/>
              <w:bidi w:val="0"/>
              <w:adjustRightInd w:val="0"/>
              <w:spacing w:before="0" w:beforeAutospacing="0" w:after="0" w:afterAutospacing="0" w:line="460" w:lineRule="exact"/>
              <w:ind w:left="0" w:right="0" w:firstLine="480" w:firstLineChars="200"/>
              <w:jc w:val="both"/>
              <w:rPr>
                <w:rFonts w:hint="default" w:ascii="Times New Roman" w:hAnsi="Times New Roman"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（2）本项目平面布局</w:t>
            </w:r>
          </w:p>
          <w:p w14:paraId="42AE792B">
            <w:pPr>
              <w:keepNext w:val="0"/>
              <w:keepLines w:val="0"/>
              <w:pageBreakBefore w:val="0"/>
              <w:widowControl/>
              <w:suppressLineNumbers w:val="0"/>
              <w:kinsoku/>
              <w:wordWrap/>
              <w:overflowPunct w:val="0"/>
              <w:topLinePunct/>
              <w:bidi w:val="0"/>
              <w:adjustRightInd w:val="0"/>
              <w:spacing w:before="0" w:beforeAutospacing="0" w:after="0" w:afterAutospacing="0" w:line="460" w:lineRule="exact"/>
              <w:ind w:left="0" w:right="0" w:firstLine="480" w:firstLineChars="200"/>
              <w:jc w:val="both"/>
              <w:rPr>
                <w:rFonts w:hint="default" w:ascii="Times New Roman" w:hAnsi="Times New Roman" w:eastAsia="宋体" w:cs="Times New Roman"/>
                <w:color w:val="auto"/>
                <w:kern w:val="0"/>
                <w:sz w:val="24"/>
                <w:szCs w:val="24"/>
                <w:highlight w:val="none"/>
                <w:lang w:val="en-US"/>
              </w:rPr>
            </w:pPr>
            <w:r>
              <w:rPr>
                <w:rFonts w:hint="eastAsia" w:cs="Times New Roman"/>
                <w:color w:val="auto"/>
                <w:kern w:val="0"/>
                <w:sz w:val="24"/>
                <w:szCs w:val="24"/>
                <w:highlight w:val="none"/>
                <w:lang w:val="en-US" w:eastAsia="zh-CN" w:bidi="ar"/>
              </w:rPr>
              <w:t>本项目在</w:t>
            </w:r>
            <w:r>
              <w:rPr>
                <w:rFonts w:hint="default" w:ascii="Times New Roman" w:hAnsi="Times New Roman" w:cs="Times New Roman"/>
                <w:color w:val="auto"/>
                <w:kern w:val="0"/>
                <w:sz w:val="24"/>
                <w:szCs w:val="24"/>
                <w:highlight w:val="none"/>
                <w:lang w:val="en-US" w:eastAsia="zh-CN" w:bidi="ar"/>
              </w:rPr>
              <w:t>现有</w:t>
            </w:r>
            <w:r>
              <w:rPr>
                <w:rFonts w:hint="default" w:ascii="Times New Roman" w:hAnsi="Times New Roman" w:eastAsia="宋体" w:cs="Times New Roman"/>
                <w:color w:val="auto"/>
                <w:kern w:val="0"/>
                <w:sz w:val="24"/>
                <w:szCs w:val="24"/>
                <w:highlight w:val="none"/>
                <w:lang w:val="en-US" w:eastAsia="zh-CN" w:bidi="ar"/>
              </w:rPr>
              <w:t>原2#包装车间</w:t>
            </w:r>
            <w:r>
              <w:rPr>
                <w:rFonts w:hint="eastAsia" w:cs="Times New Roman"/>
                <w:color w:val="auto"/>
                <w:kern w:val="0"/>
                <w:sz w:val="24"/>
                <w:szCs w:val="24"/>
                <w:highlight w:val="none"/>
                <w:lang w:val="en-US" w:eastAsia="zh-CN" w:bidi="ar"/>
              </w:rPr>
              <w:t>原址改建精炼车间</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现有工程其他布局不发生变化，</w:t>
            </w:r>
            <w:r>
              <w:rPr>
                <w:rFonts w:hint="eastAsia" w:cs="Times New Roman"/>
                <w:color w:val="auto"/>
                <w:kern w:val="0"/>
                <w:sz w:val="24"/>
                <w:szCs w:val="24"/>
                <w:highlight w:val="none"/>
                <w:lang w:val="en-US" w:eastAsia="zh-CN" w:bidi="ar"/>
              </w:rPr>
              <w:t>改建精炼车间</w:t>
            </w:r>
            <w:r>
              <w:rPr>
                <w:rFonts w:hint="default" w:ascii="Times New Roman" w:hAnsi="Times New Roman" w:eastAsia="宋体" w:cs="Times New Roman"/>
                <w:color w:val="auto"/>
                <w:kern w:val="0"/>
                <w:sz w:val="24"/>
                <w:szCs w:val="24"/>
                <w:highlight w:val="none"/>
                <w:lang w:val="en-US" w:eastAsia="zh-CN" w:bidi="ar"/>
              </w:rPr>
              <w:t>共分为5层，一层主要为储罐区及原辅料堆场区、中和工序设施设备，二层主要为脱臭脱色工序、控制室等，三层主要为脱蜡结晶工序设施设备，四层主要为废气处理、循环冷却设施设备</w:t>
            </w:r>
            <w:r>
              <w:rPr>
                <w:rFonts w:hint="eastAsia" w:eastAsia="宋体" w:cs="Times New Roman"/>
                <w:color w:val="auto"/>
                <w:kern w:val="0"/>
                <w:sz w:val="24"/>
                <w:szCs w:val="24"/>
                <w:highlight w:val="none"/>
                <w:lang w:val="en-US" w:eastAsia="zh-CN" w:bidi="ar"/>
              </w:rPr>
              <w:t>、五层为脂肪酸捕集器，项目车间布局按生产工艺流程进行布置，便于物料输送，布局合理</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改建</w:t>
            </w:r>
            <w:r>
              <w:rPr>
                <w:rFonts w:hint="default" w:ascii="Times New Roman" w:hAnsi="Times New Roman" w:cs="Times New Roman"/>
                <w:color w:val="auto"/>
                <w:kern w:val="0"/>
                <w:sz w:val="24"/>
                <w:szCs w:val="24"/>
                <w:highlight w:val="none"/>
                <w:lang w:val="en-US" w:eastAsia="zh-CN" w:bidi="ar"/>
              </w:rPr>
              <w:t>完成后，项目精炼车间废气排气筒位于改建精炼车间北侧，锅炉排气筒位于精炼车间东南侧，新建隔油池位于精炼车间西侧。</w:t>
            </w:r>
          </w:p>
          <w:p w14:paraId="4B5BF8C1">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综上所述，</w:t>
            </w:r>
            <w:r>
              <w:rPr>
                <w:rFonts w:hint="eastAsia" w:ascii="Times New Roman" w:hAnsi="Times New Roman" w:cs="Times New Roman"/>
                <w:color w:val="auto"/>
                <w:kern w:val="0"/>
                <w:sz w:val="24"/>
                <w:highlight w:val="none"/>
                <w:lang w:eastAsia="zh-CN" w:bidi="ar"/>
              </w:rPr>
              <w:t>本项目</w:t>
            </w:r>
            <w:r>
              <w:rPr>
                <w:rFonts w:hint="default" w:ascii="Times New Roman" w:hAnsi="Times New Roman" w:cs="Times New Roman"/>
                <w:color w:val="auto"/>
                <w:kern w:val="0"/>
                <w:sz w:val="24"/>
                <w:highlight w:val="none"/>
                <w:lang w:bidi="ar"/>
              </w:rPr>
              <w:t>总平面布置合理。项目总平面布置见附图</w:t>
            </w:r>
            <w:r>
              <w:rPr>
                <w:rFonts w:hint="default" w:ascii="Times New Roman" w:hAnsi="Times New Roman" w:cs="Times New Roman"/>
                <w:color w:val="auto"/>
                <w:kern w:val="0"/>
                <w:sz w:val="24"/>
                <w:highlight w:val="none"/>
                <w:lang w:val="en-US" w:eastAsia="zh-CN" w:bidi="ar"/>
              </w:rPr>
              <w:t>2</w:t>
            </w:r>
            <w:r>
              <w:rPr>
                <w:rFonts w:hint="default" w:ascii="Times New Roman" w:hAnsi="Times New Roman" w:cs="Times New Roman"/>
                <w:color w:val="auto"/>
                <w:kern w:val="0"/>
                <w:sz w:val="24"/>
                <w:highlight w:val="none"/>
                <w:lang w:bidi="ar"/>
              </w:rPr>
              <w:t>。</w:t>
            </w:r>
          </w:p>
          <w:p w14:paraId="317B0B92">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64CF343E">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0AC37CDD">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390E665A">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4A695D89">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28737D2B">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66E2BBA0">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3D99250C">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2113663E">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1920C421">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77F702AE">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4CFB2B3E">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690D9B20">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62545A53">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4CE13ABD">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1CDC1D12">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3B91FD6C">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6979FE8D">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1AB70776">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289276CB">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p w14:paraId="58869AE0">
            <w:pPr>
              <w:pStyle w:val="24"/>
              <w:keepNext w:val="0"/>
              <w:keepLines w:val="0"/>
              <w:pageBreakBefore w:val="0"/>
              <w:widowControl w:val="0"/>
              <w:kinsoku/>
              <w:wordWrap/>
              <w:overflowPunct w:val="0"/>
              <w:topLinePunct/>
              <w:autoSpaceDE/>
              <w:autoSpaceDN/>
              <w:bidi w:val="0"/>
              <w:spacing w:line="460" w:lineRule="exact"/>
              <w:ind w:left="0" w:firstLine="480" w:firstLineChars="200"/>
              <w:textAlignment w:val="auto"/>
              <w:rPr>
                <w:rFonts w:hint="default" w:ascii="Times New Roman" w:hAnsi="Times New Roman" w:cs="Times New Roman"/>
                <w:color w:val="auto"/>
                <w:kern w:val="0"/>
                <w:sz w:val="24"/>
                <w:highlight w:val="none"/>
                <w:lang w:bidi="ar"/>
              </w:rPr>
            </w:pPr>
          </w:p>
        </w:tc>
      </w:tr>
      <w:tr w14:paraId="6D44A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7" w:hRule="atLeast"/>
          <w:jc w:val="center"/>
        </w:trPr>
        <w:tc>
          <w:tcPr>
            <w:tcW w:w="221" w:type="pct"/>
            <w:noWrap w:val="0"/>
            <w:vAlign w:val="center"/>
          </w:tcPr>
          <w:p w14:paraId="417EFF38">
            <w:pPr>
              <w:pStyle w:val="16"/>
              <w:pageBreakBefore w:val="0"/>
              <w:kinsoku/>
              <w:wordWrap/>
              <w:overflowPunct w:val="0"/>
              <w:topLinePunct/>
              <w:bidi w:val="0"/>
              <w:adjustRightInd w:val="0"/>
              <w:snapToGrid w:val="0"/>
              <w:spacing w:before="0" w:beforeAutospacing="0" w:after="0" w:afterAutospacing="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艺流程和产排污环节</w:t>
            </w:r>
          </w:p>
        </w:tc>
        <w:tc>
          <w:tcPr>
            <w:tcW w:w="4778" w:type="pct"/>
            <w:noWrap w:val="0"/>
            <w:vAlign w:val="center"/>
          </w:tcPr>
          <w:p w14:paraId="5C07259D">
            <w:pPr>
              <w:pStyle w:val="24"/>
              <w:keepNext w:val="0"/>
              <w:keepLines w:val="0"/>
              <w:pageBreakBefore w:val="0"/>
              <w:widowControl w:val="0"/>
              <w:kinsoku/>
              <w:wordWrap/>
              <w:overflowPunct w:val="0"/>
              <w:topLinePunct/>
              <w:autoSpaceDE/>
              <w:autoSpaceDN/>
              <w:bidi w:val="0"/>
              <w:spacing w:line="460" w:lineRule="exact"/>
              <w:textAlignment w:val="auto"/>
              <w:rPr>
                <w:rFonts w:hint="default" w:ascii="Times New Roman" w:hAnsi="Times New Roman" w:eastAsia="宋体" w:cs="Times New Roman"/>
                <w:b/>
                <w:bCs/>
                <w:color w:val="auto"/>
                <w:spacing w:val="-1"/>
                <w:sz w:val="26"/>
                <w:szCs w:val="26"/>
                <w:highlight w:val="none"/>
                <w:lang w:val="en-US" w:eastAsia="zh-CN"/>
              </w:rPr>
            </w:pPr>
            <w:r>
              <w:rPr>
                <w:rFonts w:hint="default" w:ascii="Times New Roman" w:hAnsi="Times New Roman" w:eastAsia="宋体" w:cs="Times New Roman"/>
                <w:b/>
                <w:bCs/>
                <w:color w:val="auto"/>
                <w:spacing w:val="-1"/>
                <w:sz w:val="26"/>
                <w:szCs w:val="26"/>
                <w:highlight w:val="none"/>
                <w:lang w:val="en-US" w:eastAsia="zh-CN"/>
              </w:rPr>
              <w:t>2.4工艺流程和产排污环节</w:t>
            </w:r>
          </w:p>
          <w:p w14:paraId="67291006">
            <w:pPr>
              <w:pStyle w:val="24"/>
              <w:keepNext w:val="0"/>
              <w:keepLines w:val="0"/>
              <w:pageBreakBefore w:val="0"/>
              <w:widowControl w:val="0"/>
              <w:kinsoku/>
              <w:wordWrap/>
              <w:overflowPunct w:val="0"/>
              <w:topLinePunct/>
              <w:autoSpaceDE/>
              <w:autoSpaceDN/>
              <w:bidi w:val="0"/>
              <w:adjustRightInd/>
              <w:snapToGrid/>
              <w:spacing w:line="460" w:lineRule="exact"/>
              <w:ind w:right="0" w:firstLine="474" w:firstLineChars="200"/>
              <w:jc w:val="both"/>
              <w:textAlignment w:val="auto"/>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宋体" w:cs="Times New Roman"/>
                <w:b/>
                <w:bCs/>
                <w:color w:val="auto"/>
                <w:spacing w:val="-2"/>
                <w:sz w:val="24"/>
                <w:szCs w:val="24"/>
                <w:highlight w:val="none"/>
                <w:lang w:val="en-US" w:eastAsia="zh-CN"/>
              </w:rPr>
              <w:t>2.4.1</w:t>
            </w:r>
            <w:r>
              <w:rPr>
                <w:rFonts w:hint="default" w:ascii="Times New Roman" w:hAnsi="Times New Roman" w:eastAsia="宋体" w:cs="Times New Roman"/>
                <w:b/>
                <w:bCs/>
                <w:color w:val="auto"/>
                <w:spacing w:val="-2"/>
                <w:sz w:val="24"/>
                <w:szCs w:val="24"/>
                <w:highlight w:val="none"/>
              </w:rPr>
              <w:t>施工期</w:t>
            </w:r>
          </w:p>
          <w:p w14:paraId="7EFC4B2B">
            <w:pPr>
              <w:keepNext w:val="0"/>
              <w:keepLines w:val="0"/>
              <w:pageBreakBefore w:val="0"/>
              <w:widowControl w:val="0"/>
              <w:kinsoku/>
              <w:wordWrap/>
              <w:overflowPunct w:val="0"/>
              <w:topLinePunct/>
              <w:autoSpaceDE/>
              <w:autoSpaceDN/>
              <w:bidi w:val="0"/>
              <w:adjustRightInd/>
              <w:snapToGrid/>
              <w:spacing w:line="460" w:lineRule="exact"/>
              <w:ind w:firstLine="476" w:firstLineChars="200"/>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eastAsia" w:cs="Times New Roman"/>
                <w:color w:val="auto"/>
                <w:spacing w:val="-1"/>
                <w:kern w:val="2"/>
                <w:sz w:val="24"/>
                <w:szCs w:val="24"/>
                <w:highlight w:val="none"/>
                <w:lang w:val="en-US" w:eastAsia="zh-CN" w:bidi="ar-SA"/>
              </w:rPr>
              <w:t>本项目</w:t>
            </w:r>
            <w:r>
              <w:rPr>
                <w:rFonts w:hint="default" w:ascii="Times New Roman" w:hAnsi="Times New Roman" w:eastAsia="宋体" w:cs="Times New Roman"/>
                <w:color w:val="auto"/>
                <w:spacing w:val="-1"/>
                <w:kern w:val="2"/>
                <w:sz w:val="24"/>
                <w:szCs w:val="24"/>
                <w:highlight w:val="none"/>
                <w:lang w:val="en-US" w:eastAsia="zh-CN" w:bidi="ar-SA"/>
              </w:rPr>
              <w:t>施工期主要进行现有2#包装车间的拆除、</w:t>
            </w:r>
            <w:r>
              <w:rPr>
                <w:rFonts w:hint="default" w:ascii="Times New Roman" w:hAnsi="Times New Roman" w:cs="Times New Roman"/>
                <w:color w:val="auto"/>
                <w:spacing w:val="-1"/>
                <w:kern w:val="2"/>
                <w:sz w:val="24"/>
                <w:szCs w:val="24"/>
                <w:highlight w:val="none"/>
                <w:lang w:val="en-US" w:eastAsia="zh-CN" w:bidi="ar-SA"/>
              </w:rPr>
              <w:t>改建</w:t>
            </w:r>
            <w:r>
              <w:rPr>
                <w:rFonts w:hint="default" w:ascii="Times New Roman" w:hAnsi="Times New Roman" w:eastAsia="宋体" w:cs="Times New Roman"/>
                <w:color w:val="auto"/>
                <w:spacing w:val="-1"/>
                <w:kern w:val="2"/>
                <w:sz w:val="24"/>
                <w:szCs w:val="24"/>
                <w:highlight w:val="none"/>
                <w:lang w:val="en-US" w:eastAsia="zh-CN" w:bidi="ar-SA"/>
              </w:rPr>
              <w:t>精炼车间</w:t>
            </w:r>
            <w:r>
              <w:rPr>
                <w:rFonts w:hint="default" w:ascii="Times New Roman" w:hAnsi="Times New Roman" w:cs="Times New Roman"/>
                <w:color w:val="auto"/>
                <w:spacing w:val="-1"/>
                <w:kern w:val="2"/>
                <w:sz w:val="24"/>
                <w:szCs w:val="24"/>
                <w:highlight w:val="none"/>
                <w:lang w:val="en-US" w:eastAsia="zh-CN" w:bidi="ar-SA"/>
              </w:rPr>
              <w:t>主体建设</w:t>
            </w:r>
            <w:r>
              <w:rPr>
                <w:rFonts w:hint="default" w:ascii="Times New Roman" w:hAnsi="Times New Roman" w:eastAsia="宋体" w:cs="Times New Roman"/>
                <w:color w:val="auto"/>
                <w:spacing w:val="-1"/>
                <w:kern w:val="2"/>
                <w:sz w:val="24"/>
                <w:szCs w:val="24"/>
                <w:highlight w:val="none"/>
                <w:lang w:val="en-US" w:eastAsia="zh-CN" w:bidi="ar-SA"/>
              </w:rPr>
              <w:t>；施工过</w:t>
            </w:r>
            <w:r>
              <w:rPr>
                <w:rFonts w:hint="eastAsia" w:cs="Times New Roman"/>
                <w:color w:val="auto"/>
                <w:spacing w:val="-1"/>
                <w:kern w:val="2"/>
                <w:sz w:val="24"/>
                <w:szCs w:val="24"/>
                <w:highlight w:val="none"/>
                <w:lang w:val="en-US" w:eastAsia="zh-CN" w:bidi="ar-SA"/>
              </w:rPr>
              <w:t>程中</w:t>
            </w:r>
            <w:r>
              <w:rPr>
                <w:rFonts w:hint="default" w:ascii="Times New Roman" w:hAnsi="Times New Roman" w:eastAsia="宋体" w:cs="Times New Roman"/>
                <w:color w:val="auto"/>
                <w:spacing w:val="-1"/>
                <w:kern w:val="2"/>
                <w:sz w:val="24"/>
                <w:szCs w:val="24"/>
                <w:highlight w:val="none"/>
                <w:lang w:val="en-US" w:eastAsia="zh-CN" w:bidi="ar-SA"/>
              </w:rPr>
              <w:t>主要进行土地平整、车间建设和设备安装调试。</w:t>
            </w:r>
            <w:r>
              <w:rPr>
                <w:rFonts w:hint="default" w:ascii="Times New Roman" w:hAnsi="Times New Roman" w:cs="Times New Roman"/>
                <w:color w:val="auto"/>
                <w:sz w:val="24"/>
                <w:szCs w:val="24"/>
                <w:highlight w:val="none"/>
              </w:rPr>
              <w:t>项目在施工期的污染源较为简单，对环境影响小。</w:t>
            </w:r>
          </w:p>
          <w:p w14:paraId="49816980">
            <w:pPr>
              <w:keepNext w:val="0"/>
              <w:keepLines w:val="0"/>
              <w:pageBreakBefore w:val="0"/>
              <w:widowControl w:val="0"/>
              <w:kinsoku/>
              <w:wordWrap/>
              <w:overflowPunct w:val="0"/>
              <w:topLinePunct/>
              <w:autoSpaceDE/>
              <w:autoSpaceDN/>
              <w:bidi w:val="0"/>
              <w:adjustRightInd/>
              <w:snapToGrid/>
              <w:spacing w:line="460" w:lineRule="exact"/>
              <w:ind w:firstLine="476" w:firstLineChars="200"/>
              <w:textAlignment w:val="auto"/>
              <w:rPr>
                <w:rFonts w:hint="default" w:ascii="Times New Roman" w:hAnsi="Times New Roman" w:eastAsia="宋体" w:cs="Times New Roman"/>
                <w:color w:val="auto"/>
                <w:spacing w:val="-1"/>
                <w:kern w:val="2"/>
                <w:sz w:val="24"/>
                <w:szCs w:val="24"/>
                <w:highlight w:val="none"/>
                <w:lang w:val="en-US" w:eastAsia="zh-CN" w:bidi="ar-SA"/>
              </w:rPr>
            </w:pPr>
            <w:r>
              <w:rPr>
                <w:rFonts w:hint="default" w:ascii="Times New Roman" w:hAnsi="Times New Roman" w:eastAsia="宋体" w:cs="Times New Roman"/>
                <w:color w:val="auto"/>
                <w:spacing w:val="-1"/>
                <w:kern w:val="2"/>
                <w:sz w:val="24"/>
                <w:szCs w:val="24"/>
                <w:highlight w:val="none"/>
                <w:lang w:val="en-US" w:eastAsia="zh-CN" w:bidi="ar-SA"/>
              </w:rPr>
              <w:t>施工过程主要产生噪声、施工人员生活污水、建筑垃圾等。</w:t>
            </w:r>
          </w:p>
          <w:p w14:paraId="3A93CD2C">
            <w:pPr>
              <w:pageBreakBefore w:val="0"/>
              <w:kinsoku/>
              <w:wordWrap/>
              <w:overflowPunct w:val="0"/>
              <w:topLinePunct/>
              <w:bidi w:val="0"/>
              <w:spacing w:line="240" w:lineRule="auto"/>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spacing w:val="-1"/>
                <w:kern w:val="2"/>
                <w:sz w:val="24"/>
                <w:szCs w:val="24"/>
                <w:highlight w:val="none"/>
                <w:lang w:val="en-US" w:eastAsia="zh-CN" w:bidi="ar-SA"/>
              </w:rPr>
              <w:object>
                <v:shape id="_x0000_i1027" o:spt="75" type="#_x0000_t75" style="height:105.55pt;width:418.8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r>
              <w:rPr>
                <w:rFonts w:hint="default" w:ascii="Times New Roman" w:hAnsi="Times New Roman" w:eastAsia="宋体" w:cs="Times New Roman"/>
                <w:b/>
                <w:bCs/>
                <w:color w:val="auto"/>
                <w:highlight w:val="none"/>
                <w:lang w:val="en-US" w:eastAsia="zh-CN"/>
              </w:rPr>
              <w:t>图2.4-1施工期产污工艺流程图</w:t>
            </w:r>
          </w:p>
          <w:p w14:paraId="3838917F">
            <w:pPr>
              <w:pStyle w:val="24"/>
              <w:keepNext w:val="0"/>
              <w:keepLines w:val="0"/>
              <w:pageBreakBefore w:val="0"/>
              <w:widowControl w:val="0"/>
              <w:kinsoku/>
              <w:wordWrap/>
              <w:overflowPunct w:val="0"/>
              <w:topLinePunct/>
              <w:autoSpaceDE/>
              <w:autoSpaceDN/>
              <w:bidi w:val="0"/>
              <w:adjustRightInd/>
              <w:snapToGrid/>
              <w:spacing w:line="460" w:lineRule="exact"/>
              <w:ind w:left="0" w:firstLine="482" w:firstLineChars="200"/>
              <w:textAlignment w:val="auto"/>
              <w:rPr>
                <w:rFonts w:hint="default" w:ascii="Times New Roman" w:hAnsi="Times New Roman" w:cs="Times New Roman"/>
                <w:b/>
                <w:bCs/>
                <w:color w:val="auto"/>
                <w:spacing w:val="0"/>
                <w:position w:val="0"/>
                <w:sz w:val="24"/>
                <w:szCs w:val="24"/>
                <w:highlight w:val="none"/>
              </w:rPr>
            </w:pPr>
            <w:r>
              <w:rPr>
                <w:rFonts w:hint="default" w:ascii="Times New Roman" w:hAnsi="Times New Roman" w:eastAsia="宋体" w:cs="Times New Roman"/>
                <w:b/>
                <w:bCs/>
                <w:color w:val="auto"/>
                <w:spacing w:val="0"/>
                <w:position w:val="0"/>
                <w:sz w:val="24"/>
                <w:szCs w:val="24"/>
                <w:highlight w:val="none"/>
                <w:lang w:val="en-US" w:eastAsia="zh-CN"/>
              </w:rPr>
              <w:t>2.4.2</w:t>
            </w:r>
            <w:r>
              <w:rPr>
                <w:rFonts w:hint="default" w:ascii="Times New Roman" w:hAnsi="Times New Roman" w:cs="Times New Roman"/>
                <w:b/>
                <w:bCs/>
                <w:color w:val="auto"/>
                <w:spacing w:val="0"/>
                <w:position w:val="0"/>
                <w:sz w:val="24"/>
                <w:szCs w:val="24"/>
                <w:highlight w:val="none"/>
              </w:rPr>
              <w:t>运营期</w:t>
            </w:r>
          </w:p>
          <w:p w14:paraId="3E0F11B7">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textAlignment w:val="auto"/>
              <w:rPr>
                <w:rFonts w:hint="default" w:ascii="Times New Roman" w:hAnsi="Times New Roman" w:eastAsia="宋体" w:cs="Times New Roman"/>
                <w:color w:val="auto"/>
                <w:spacing w:val="0"/>
                <w:position w:val="0"/>
                <w:sz w:val="24"/>
                <w:szCs w:val="24"/>
                <w:highlight w:val="none"/>
                <w:lang w:eastAsia="zh-CN"/>
              </w:rPr>
            </w:pPr>
            <w:r>
              <w:rPr>
                <w:rFonts w:hint="eastAsia" w:ascii="Times New Roman" w:hAnsi="Times New Roman" w:cs="Times New Roman"/>
                <w:color w:val="auto"/>
                <w:spacing w:val="0"/>
                <w:position w:val="0"/>
                <w:sz w:val="24"/>
                <w:szCs w:val="24"/>
                <w:highlight w:val="none"/>
                <w:lang w:val="en-US" w:eastAsia="zh-CN"/>
              </w:rPr>
              <w:t>本项目</w:t>
            </w:r>
            <w:r>
              <w:rPr>
                <w:rFonts w:hint="default" w:ascii="Times New Roman" w:hAnsi="Times New Roman" w:eastAsia="宋体" w:cs="Times New Roman"/>
                <w:color w:val="auto"/>
                <w:spacing w:val="0"/>
                <w:position w:val="0"/>
                <w:sz w:val="24"/>
                <w:szCs w:val="24"/>
                <w:highlight w:val="none"/>
              </w:rPr>
              <w:t>营运期生产工艺流程及产污节点如图2</w:t>
            </w:r>
            <w:r>
              <w:rPr>
                <w:rFonts w:hint="default" w:ascii="Times New Roman" w:hAnsi="Times New Roman" w:eastAsia="宋体" w:cs="Times New Roman"/>
                <w:color w:val="auto"/>
                <w:spacing w:val="0"/>
                <w:position w:val="0"/>
                <w:sz w:val="24"/>
                <w:szCs w:val="24"/>
                <w:highlight w:val="none"/>
                <w:lang w:val="en-US" w:eastAsia="zh-CN"/>
              </w:rPr>
              <w:t>.4</w:t>
            </w:r>
            <w:r>
              <w:rPr>
                <w:rFonts w:hint="default" w:ascii="Times New Roman" w:hAnsi="Times New Roman" w:eastAsia="宋体" w:cs="Times New Roman"/>
                <w:color w:val="auto"/>
                <w:spacing w:val="0"/>
                <w:position w:val="0"/>
                <w:sz w:val="24"/>
                <w:szCs w:val="24"/>
                <w:highlight w:val="none"/>
              </w:rPr>
              <w:t>-</w:t>
            </w:r>
            <w:r>
              <w:rPr>
                <w:rFonts w:hint="default" w:ascii="Times New Roman" w:hAnsi="Times New Roman" w:eastAsia="宋体" w:cs="Times New Roman"/>
                <w:color w:val="auto"/>
                <w:spacing w:val="0"/>
                <w:position w:val="0"/>
                <w:sz w:val="24"/>
                <w:szCs w:val="24"/>
                <w:highlight w:val="none"/>
                <w:lang w:val="en-US" w:eastAsia="zh-CN"/>
              </w:rPr>
              <w:t>2</w:t>
            </w:r>
            <w:r>
              <w:rPr>
                <w:rFonts w:hint="default" w:ascii="Times New Roman" w:hAnsi="Times New Roman" w:eastAsia="宋体" w:cs="Times New Roman"/>
                <w:color w:val="auto"/>
                <w:spacing w:val="0"/>
                <w:position w:val="0"/>
                <w:sz w:val="24"/>
                <w:szCs w:val="24"/>
                <w:highlight w:val="none"/>
              </w:rPr>
              <w:t>所示</w:t>
            </w:r>
            <w:r>
              <w:rPr>
                <w:rFonts w:hint="default" w:ascii="Times New Roman" w:hAnsi="Times New Roman" w:eastAsia="宋体" w:cs="Times New Roman"/>
                <w:color w:val="auto"/>
                <w:spacing w:val="0"/>
                <w:position w:val="0"/>
                <w:sz w:val="24"/>
                <w:szCs w:val="24"/>
                <w:highlight w:val="none"/>
                <w:lang w:eastAsia="zh-CN"/>
              </w:rPr>
              <w:t>。</w:t>
            </w:r>
          </w:p>
          <w:p w14:paraId="4C0B52EB">
            <w:pPr>
              <w:pStyle w:val="24"/>
              <w:keepNext w:val="0"/>
              <w:keepLines w:val="0"/>
              <w:pageBreakBefore w:val="0"/>
              <w:widowControl w:val="0"/>
              <w:kinsoku/>
              <w:wordWrap/>
              <w:overflowPunct w:val="0"/>
              <w:topLinePunct/>
              <w:autoSpaceDE/>
              <w:autoSpaceDN/>
              <w:bidi w:val="0"/>
              <w:adjustRightInd/>
              <w:snapToGrid/>
              <w:spacing w:line="240" w:lineRule="auto"/>
              <w:ind w:right="0"/>
              <w:jc w:val="left"/>
              <w:textAlignment w:val="auto"/>
              <w:rPr>
                <w:rFonts w:hint="eastAsia" w:ascii="Times New Roman" w:hAnsi="Times New Roman" w:cs="Times New Roman"/>
                <w:b/>
                <w:bCs/>
                <w:color w:val="auto"/>
                <w:kern w:val="2"/>
                <w:sz w:val="21"/>
                <w:szCs w:val="24"/>
                <w:highlight w:val="none"/>
                <w:lang w:val="en-US" w:eastAsia="zh-CN" w:bidi="ar-SA"/>
              </w:rPr>
            </w:pP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213995</wp:posOffset>
                      </wp:positionH>
                      <wp:positionV relativeFrom="paragraph">
                        <wp:posOffset>2416810</wp:posOffset>
                      </wp:positionV>
                      <wp:extent cx="170180" cy="115570"/>
                      <wp:effectExtent l="4445" t="4445" r="15875" b="13335"/>
                      <wp:wrapNone/>
                      <wp:docPr id="16" name="圆角矩形 16"/>
                      <wp:cNvGraphicFramePr/>
                      <a:graphic xmlns:a="http://schemas.openxmlformats.org/drawingml/2006/main">
                        <a:graphicData uri="http://schemas.microsoft.com/office/word/2010/wordprocessingShape">
                          <wps:wsp>
                            <wps:cNvSpPr/>
                            <wps:spPr>
                              <a:xfrm>
                                <a:off x="1438910" y="7423785"/>
                                <a:ext cx="170180" cy="115570"/>
                              </a:xfrm>
                              <a:prstGeom prst="roundRect">
                                <a:avLst/>
                              </a:prstGeom>
                              <a:noFill/>
                              <a:ln w="635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85pt;margin-top:190.3pt;height:9.1pt;width:13.4pt;z-index:251663360;v-text-anchor:middle;mso-width-relative:page;mso-height-relative:page;" filled="f" stroked="t" coordsize="21600,21600" arcsize="0.166666666666667" o:gfxdata="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hdEbHUAAAACQEAAA8AAAAAAAAAAQAg&#10;AAAAIgAAAGRycy9kb3ducmV2LnhtbFBLAQIUABQAAAAIAIdO4kDC8Ot/hAIAAOIEAAAOAAAAAAAA&#10;AAEAIAAAACMBAABkcnMvZTJvRG9jLnhtbFBLBQYAAAAABgAGAFkBAAAZBgAAAAA=&#10;">
                      <v:fill on="f" focussize="0,0"/>
                      <v:stroke weight="0.5pt" color="#000000 [3213]" miterlimit="8" joinstyle="miter"/>
                      <v:imagedata o:title=""/>
                      <o:lock v:ext="edit" aspectratio="f"/>
                    </v:roundrect>
                  </w:pict>
                </mc:Fallback>
              </mc:AlternateContent>
            </w:r>
            <w:r>
              <w:rPr>
                <w:rFonts w:hint="default" w:ascii="Times New Roman" w:hAnsi="Times New Roman" w:cs="Times New Roman"/>
                <w:color w:val="auto"/>
                <w:sz w:val="21"/>
                <w:highlight w:val="none"/>
              </w:rPr>
              <w:object>
                <v:shape id="_x0000_i1028" o:spt="75" type="#_x0000_t75" style="height:187.25pt;width:422.1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r>
              <w:rPr>
                <w:rFonts w:hint="default" w:ascii="Times New Roman" w:hAnsi="Times New Roman" w:cs="Times New Roman"/>
                <w:b/>
                <w:bCs/>
                <w:color w:val="auto"/>
                <w:kern w:val="2"/>
                <w:sz w:val="21"/>
                <w:szCs w:val="24"/>
                <w:highlight w:val="none"/>
                <w:lang w:val="en-US" w:eastAsia="zh-CN" w:bidi="ar-SA"/>
              </w:rPr>
              <w:t>注：</w:t>
            </w:r>
            <w:r>
              <w:rPr>
                <w:rFonts w:hint="eastAsia" w:ascii="Times New Roman" w:hAnsi="Times New Roman" w:cs="Times New Roman"/>
                <w:b/>
                <w:bCs/>
                <w:color w:val="auto"/>
                <w:kern w:val="2"/>
                <w:sz w:val="21"/>
                <w:szCs w:val="24"/>
                <w:highlight w:val="none"/>
                <w:lang w:val="en-US" w:eastAsia="zh-CN" w:bidi="ar-SA"/>
              </w:rPr>
              <w:t xml:space="preserve">   </w:t>
            </w:r>
            <w:r>
              <w:rPr>
                <w:rFonts w:hint="default" w:ascii="Times New Roman" w:hAnsi="Times New Roman" w:cs="Times New Roman"/>
                <w:b/>
                <w:bCs/>
                <w:color w:val="auto"/>
                <w:kern w:val="2"/>
                <w:sz w:val="21"/>
                <w:szCs w:val="24"/>
                <w:highlight w:val="none"/>
                <w:lang w:val="en-US" w:eastAsia="zh-CN" w:bidi="ar-SA"/>
              </w:rPr>
              <w:t>为本次</w:t>
            </w:r>
            <w:r>
              <w:rPr>
                <w:rFonts w:hint="eastAsia" w:ascii="Times New Roman" w:hAnsi="Times New Roman" w:cs="Times New Roman"/>
                <w:b/>
                <w:bCs/>
                <w:color w:val="auto"/>
                <w:kern w:val="2"/>
                <w:sz w:val="21"/>
                <w:szCs w:val="24"/>
                <w:highlight w:val="none"/>
                <w:lang w:val="en-US" w:eastAsia="zh-CN" w:bidi="ar-SA"/>
              </w:rPr>
              <w:t>升级和新增工艺单元，</w:t>
            </w:r>
          </w:p>
          <w:p w14:paraId="78856122">
            <w:pPr>
              <w:pStyle w:val="24"/>
              <w:keepNext w:val="0"/>
              <w:keepLines w:val="0"/>
              <w:pageBreakBefore w:val="0"/>
              <w:widowControl w:val="0"/>
              <w:kinsoku/>
              <w:wordWrap/>
              <w:overflowPunct w:val="0"/>
              <w:topLinePunct/>
              <w:autoSpaceDE/>
              <w:autoSpaceDN/>
              <w:bidi w:val="0"/>
              <w:adjustRightInd/>
              <w:snapToGrid/>
              <w:spacing w:line="240" w:lineRule="auto"/>
              <w:ind w:right="0" w:firstLine="422" w:firstLineChars="200"/>
              <w:jc w:val="left"/>
              <w:textAlignment w:val="auto"/>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cs="Times New Roman"/>
                <w:b/>
                <w:bCs/>
                <w:color w:val="auto"/>
                <w:kern w:val="2"/>
                <w:sz w:val="21"/>
                <w:szCs w:val="24"/>
                <w:highlight w:val="none"/>
                <w:lang w:val="en-US" w:eastAsia="zh-CN" w:bidi="ar-SA"/>
              </w:rPr>
              <w:t>G为废气、S为固体废物、W为废水</w:t>
            </w:r>
            <w:r>
              <w:rPr>
                <w:rFonts w:hint="default" w:ascii="Times New Roman" w:hAnsi="Times New Roman" w:cs="Times New Roman"/>
                <w:b/>
                <w:bCs/>
                <w:color w:val="auto"/>
                <w:kern w:val="2"/>
                <w:sz w:val="21"/>
                <w:szCs w:val="24"/>
                <w:highlight w:val="none"/>
                <w:lang w:val="en-US" w:eastAsia="zh-CN" w:bidi="ar-SA"/>
              </w:rPr>
              <w:t>。</w:t>
            </w:r>
          </w:p>
          <w:p w14:paraId="29FDA3AD">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图2.4-2运营期改造项目工艺流程图</w:t>
            </w:r>
          </w:p>
          <w:p w14:paraId="20419922">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cs="Times New Roman"/>
                <w:b/>
                <w:bCs/>
                <w:color w:val="auto"/>
                <w:spacing w:val="0"/>
                <w:position w:val="0"/>
                <w:sz w:val="24"/>
                <w:szCs w:val="24"/>
                <w:highlight w:val="none"/>
                <w:lang w:val="en-US" w:eastAsia="zh-CN"/>
              </w:rPr>
            </w:pPr>
            <w:r>
              <w:rPr>
                <w:rFonts w:hint="eastAsia" w:cs="Times New Roman"/>
                <w:bCs w:val="0"/>
                <w:color w:val="auto"/>
                <w:kern w:val="0"/>
                <w:sz w:val="24"/>
                <w:szCs w:val="24"/>
                <w:highlight w:val="none"/>
                <w:lang w:val="en-US" w:eastAsia="zh-CN" w:bidi="ar"/>
              </w:rPr>
              <w:t>本次改建将对水洗工序、脱色进行升级改造。水洗工序新增油水分离器处理水洗废水，经处理后的上清液回用于水洗；脱色工序改造为预复脱色工艺。</w:t>
            </w:r>
          </w:p>
          <w:p w14:paraId="1036B4B7">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2" w:firstLineChars="200"/>
              <w:textAlignment w:val="auto"/>
              <w:rPr>
                <w:rFonts w:hint="default" w:ascii="Times New Roman" w:hAnsi="Times New Roman" w:eastAsia="宋体" w:cs="Times New Roman"/>
                <w:b/>
                <w:bCs/>
                <w:color w:val="auto"/>
                <w:spacing w:val="0"/>
                <w:position w:val="0"/>
                <w:sz w:val="24"/>
                <w:szCs w:val="24"/>
                <w:highlight w:val="none"/>
              </w:rPr>
            </w:pPr>
            <w:r>
              <w:rPr>
                <w:rFonts w:hint="default" w:ascii="Times New Roman" w:hAnsi="Times New Roman" w:cs="Times New Roman"/>
                <w:b/>
                <w:bCs/>
                <w:color w:val="auto"/>
                <w:spacing w:val="0"/>
                <w:position w:val="0"/>
                <w:sz w:val="24"/>
                <w:szCs w:val="24"/>
                <w:highlight w:val="none"/>
                <w:lang w:val="en-US" w:eastAsia="zh-CN"/>
              </w:rPr>
              <w:t>（1）</w:t>
            </w:r>
            <w:r>
              <w:rPr>
                <w:rFonts w:hint="default" w:ascii="Times New Roman" w:hAnsi="Times New Roman" w:eastAsia="宋体" w:cs="Times New Roman"/>
                <w:b/>
                <w:bCs/>
                <w:color w:val="auto"/>
                <w:spacing w:val="0"/>
                <w:position w:val="0"/>
                <w:sz w:val="24"/>
                <w:szCs w:val="24"/>
                <w:highlight w:val="none"/>
                <w:lang w:val="en-US" w:eastAsia="zh-CN"/>
              </w:rPr>
              <w:t>项目</w:t>
            </w:r>
            <w:r>
              <w:rPr>
                <w:rFonts w:hint="default" w:ascii="Times New Roman" w:hAnsi="Times New Roman" w:eastAsia="宋体" w:cs="Times New Roman"/>
                <w:b/>
                <w:bCs/>
                <w:color w:val="auto"/>
                <w:spacing w:val="0"/>
                <w:position w:val="0"/>
                <w:sz w:val="24"/>
                <w:szCs w:val="24"/>
                <w:highlight w:val="none"/>
              </w:rPr>
              <w:t>工艺流程</w:t>
            </w:r>
            <w:r>
              <w:rPr>
                <w:rFonts w:hint="default" w:ascii="Times New Roman" w:hAnsi="Times New Roman" w:eastAsia="宋体" w:cs="Times New Roman"/>
                <w:b/>
                <w:bCs/>
                <w:color w:val="auto"/>
                <w:spacing w:val="0"/>
                <w:position w:val="0"/>
                <w:sz w:val="24"/>
                <w:szCs w:val="24"/>
                <w:highlight w:val="none"/>
                <w:lang w:val="en-US" w:eastAsia="zh-CN"/>
              </w:rPr>
              <w:t>简述</w:t>
            </w:r>
            <w:r>
              <w:rPr>
                <w:rFonts w:hint="default" w:ascii="Times New Roman" w:hAnsi="Times New Roman" w:eastAsia="宋体" w:cs="Times New Roman"/>
                <w:b/>
                <w:bCs/>
                <w:color w:val="auto"/>
                <w:spacing w:val="0"/>
                <w:position w:val="0"/>
                <w:sz w:val="24"/>
                <w:szCs w:val="24"/>
                <w:highlight w:val="none"/>
              </w:rPr>
              <w:t>：</w:t>
            </w:r>
          </w:p>
          <w:p w14:paraId="7F8D04B7">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过滤：由储罐区通过管道输送至精炼车间毛油过滤器，以去除毛油中混的杂质；此过程中产生过滤杂质S1、噪声。</w:t>
            </w:r>
          </w:p>
          <w:p w14:paraId="3620E049">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加热：通过加热器将过滤后的毛油进行加热至</w:t>
            </w:r>
            <w:r>
              <w:rPr>
                <w:rFonts w:hint="default" w:ascii="Times New Roman" w:hAnsi="Times New Roman" w:cs="Times New Roman"/>
                <w:color w:val="auto"/>
                <w:spacing w:val="0"/>
                <w:position w:val="0"/>
                <w:sz w:val="24"/>
                <w:szCs w:val="24"/>
                <w:highlight w:val="none"/>
                <w:lang w:val="en-US" w:eastAsia="zh-CN"/>
              </w:rPr>
              <w:t>60</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cs="Times New Roman"/>
                <w:color w:val="auto"/>
                <w:spacing w:val="0"/>
                <w:position w:val="0"/>
                <w:sz w:val="24"/>
                <w:szCs w:val="24"/>
                <w:highlight w:val="none"/>
                <w:lang w:val="en-US" w:eastAsia="zh-CN"/>
              </w:rPr>
              <w:t>加热采用两种加热方式，第一种为</w:t>
            </w:r>
            <w:r>
              <w:rPr>
                <w:rFonts w:hint="default" w:ascii="Times New Roman" w:hAnsi="Times New Roman" w:eastAsia="宋体" w:cs="Times New Roman"/>
                <w:color w:val="auto"/>
                <w:spacing w:val="0"/>
                <w:position w:val="0"/>
                <w:sz w:val="24"/>
                <w:szCs w:val="24"/>
                <w:highlight w:val="none"/>
                <w:lang w:val="en-US" w:eastAsia="zh-CN"/>
              </w:rPr>
              <w:t>采用</w:t>
            </w:r>
            <w:r>
              <w:rPr>
                <w:rFonts w:hint="eastAsia" w:ascii="Times New Roman" w:hAnsi="Times New Roman" w:cs="Times New Roman"/>
                <w:color w:val="auto"/>
                <w:spacing w:val="0"/>
                <w:position w:val="0"/>
                <w:sz w:val="24"/>
                <w:szCs w:val="24"/>
                <w:highlight w:val="none"/>
                <w:lang w:val="en-US" w:eastAsia="zh-CN"/>
              </w:rPr>
              <w:t>蒸汽锅炉产生的高温蒸汽间接</w:t>
            </w:r>
            <w:r>
              <w:rPr>
                <w:rFonts w:hint="default" w:ascii="Times New Roman" w:hAnsi="Times New Roman" w:eastAsia="宋体" w:cs="Times New Roman"/>
                <w:color w:val="auto"/>
                <w:spacing w:val="0"/>
                <w:position w:val="0"/>
                <w:sz w:val="24"/>
                <w:szCs w:val="24"/>
                <w:highlight w:val="none"/>
                <w:lang w:val="en-US" w:eastAsia="zh-CN"/>
              </w:rPr>
              <w:t>加热方式</w:t>
            </w:r>
            <w:r>
              <w:rPr>
                <w:rFonts w:hint="eastAsia" w:ascii="Times New Roman" w:hAnsi="Times New Roman" w:cs="Times New Roman"/>
                <w:color w:val="auto"/>
                <w:spacing w:val="0"/>
                <w:position w:val="0"/>
                <w:sz w:val="24"/>
                <w:szCs w:val="24"/>
                <w:highlight w:val="none"/>
                <w:lang w:val="en-US" w:eastAsia="zh-CN"/>
              </w:rPr>
              <w:t>，第二种为通过将后续高温成品油逆流通过换热器对低温毛油进行换热，实现热量循环利用</w:t>
            </w:r>
            <w:r>
              <w:rPr>
                <w:rFonts w:hint="default" w:ascii="Times New Roman" w:hAnsi="Times New Roman" w:eastAsia="宋体" w:cs="Times New Roman"/>
                <w:color w:val="auto"/>
                <w:spacing w:val="0"/>
                <w:position w:val="0"/>
                <w:sz w:val="24"/>
                <w:szCs w:val="24"/>
                <w:highlight w:val="none"/>
                <w:lang w:val="en-US" w:eastAsia="zh-CN"/>
              </w:rPr>
              <w:t>。</w:t>
            </w:r>
          </w:p>
          <w:p w14:paraId="4383D642">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脱胶</w:t>
            </w:r>
            <w:r>
              <w:rPr>
                <w:rFonts w:hint="default" w:ascii="Times New Roman" w:hAnsi="Times New Roman" w:eastAsia="宋体" w:cs="Times New Roman"/>
                <w:color w:val="auto"/>
                <w:spacing w:val="0"/>
                <w:position w:val="0"/>
                <w:sz w:val="24"/>
                <w:szCs w:val="24"/>
                <w:highlight w:val="none"/>
                <w:lang w:val="en-US" w:eastAsia="zh-CN"/>
              </w:rPr>
              <w:t>：按照设计要求将</w:t>
            </w:r>
            <w:r>
              <w:rPr>
                <w:rFonts w:hint="eastAsia" w:ascii="Times New Roman" w:hAnsi="Times New Roman" w:cs="Times New Roman"/>
                <w:color w:val="auto"/>
                <w:spacing w:val="0"/>
                <w:position w:val="0"/>
                <w:sz w:val="24"/>
                <w:szCs w:val="24"/>
                <w:highlight w:val="none"/>
                <w:lang w:val="en-US" w:eastAsia="zh-CN"/>
              </w:rPr>
              <w:t>50</w:t>
            </w:r>
            <w:r>
              <w:rPr>
                <w:rFonts w:hint="default" w:ascii="Times New Roman" w:hAnsi="Times New Roman" w:eastAsia="宋体" w:cs="Times New Roman"/>
                <w:color w:val="auto"/>
                <w:spacing w:val="0"/>
                <w:position w:val="0"/>
                <w:sz w:val="24"/>
                <w:szCs w:val="24"/>
                <w:highlight w:val="none"/>
                <w:lang w:val="en-US" w:eastAsia="zh-CN"/>
              </w:rPr>
              <w:t>%磷酸通过计量泵泵入混合器内，与毛油进行充分混合，混合后进入酸化罐（30m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lang w:val="en-US" w:eastAsia="zh-CN"/>
              </w:rPr>
              <w:t>）进行</w:t>
            </w:r>
            <w:r>
              <w:rPr>
                <w:rFonts w:hint="eastAsia" w:ascii="Times New Roman" w:hAnsi="Times New Roman" w:cs="Times New Roman"/>
                <w:color w:val="auto"/>
                <w:spacing w:val="0"/>
                <w:position w:val="0"/>
                <w:sz w:val="24"/>
                <w:szCs w:val="24"/>
                <w:highlight w:val="none"/>
                <w:lang w:val="en-US" w:eastAsia="zh-CN"/>
              </w:rPr>
              <w:t>脱胶</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cs="Times New Roman"/>
                <w:color w:val="auto"/>
                <w:spacing w:val="0"/>
                <w:position w:val="0"/>
                <w:sz w:val="24"/>
                <w:szCs w:val="24"/>
                <w:highlight w:val="none"/>
                <w:lang w:val="en-US" w:eastAsia="zh-CN"/>
              </w:rPr>
              <w:t>脱胶</w:t>
            </w:r>
            <w:r>
              <w:rPr>
                <w:rFonts w:hint="default" w:ascii="Times New Roman" w:hAnsi="Times New Roman" w:eastAsia="宋体" w:cs="Times New Roman"/>
                <w:color w:val="auto"/>
                <w:spacing w:val="0"/>
                <w:position w:val="0"/>
                <w:sz w:val="24"/>
                <w:szCs w:val="24"/>
                <w:highlight w:val="none"/>
                <w:lang w:val="en-US" w:eastAsia="zh-CN"/>
              </w:rPr>
              <w:t>工序</w:t>
            </w:r>
            <w:r>
              <w:rPr>
                <w:rFonts w:hint="eastAsia" w:ascii="Times New Roman" w:hAnsi="Times New Roman" w:cs="Times New Roman"/>
                <w:color w:val="auto"/>
                <w:spacing w:val="0"/>
                <w:position w:val="0"/>
                <w:sz w:val="24"/>
                <w:szCs w:val="24"/>
                <w:highlight w:val="none"/>
                <w:lang w:val="en-US" w:eastAsia="zh-CN"/>
              </w:rPr>
              <w:t>脱胶时间</w:t>
            </w:r>
            <w:r>
              <w:rPr>
                <w:rFonts w:hint="default" w:ascii="Times New Roman" w:hAnsi="Times New Roman" w:eastAsia="宋体" w:cs="Times New Roman"/>
                <w:color w:val="auto"/>
                <w:spacing w:val="0"/>
                <w:position w:val="0"/>
                <w:sz w:val="24"/>
                <w:szCs w:val="24"/>
                <w:highlight w:val="none"/>
                <w:lang w:val="en-US" w:eastAsia="zh-CN"/>
              </w:rPr>
              <w:t>为45min，</w:t>
            </w:r>
            <w:r>
              <w:rPr>
                <w:rFonts w:hint="eastAsia" w:ascii="Times New Roman" w:hAnsi="Times New Roman" w:cs="Times New Roman"/>
                <w:color w:val="auto"/>
                <w:spacing w:val="0"/>
                <w:position w:val="0"/>
                <w:sz w:val="24"/>
                <w:szCs w:val="24"/>
                <w:highlight w:val="none"/>
                <w:lang w:val="en-US" w:eastAsia="zh-CN"/>
              </w:rPr>
              <w:t>将</w:t>
            </w:r>
            <w:r>
              <w:rPr>
                <w:rFonts w:hint="default" w:ascii="Times New Roman" w:hAnsi="Times New Roman" w:eastAsia="宋体" w:cs="Times New Roman"/>
                <w:color w:val="auto"/>
                <w:spacing w:val="0"/>
                <w:position w:val="0"/>
                <w:sz w:val="24"/>
                <w:szCs w:val="24"/>
                <w:highlight w:val="none"/>
                <w:lang w:val="en-US" w:eastAsia="zh-CN"/>
              </w:rPr>
              <w:t>毛油中的</w:t>
            </w:r>
            <w:r>
              <w:rPr>
                <w:rFonts w:hint="eastAsia" w:ascii="Times New Roman" w:hAnsi="Times New Roman" w:cs="Times New Roman"/>
                <w:color w:val="auto"/>
                <w:spacing w:val="0"/>
                <w:position w:val="0"/>
                <w:sz w:val="24"/>
                <w:szCs w:val="24"/>
                <w:highlight w:val="none"/>
                <w:lang w:val="en-US" w:eastAsia="zh-CN"/>
              </w:rPr>
              <w:t>非水化</w:t>
            </w:r>
            <w:r>
              <w:rPr>
                <w:rFonts w:hint="default" w:ascii="Times New Roman" w:hAnsi="Times New Roman" w:eastAsia="宋体" w:cs="Times New Roman"/>
                <w:color w:val="auto"/>
                <w:spacing w:val="0"/>
                <w:position w:val="0"/>
                <w:sz w:val="24"/>
                <w:szCs w:val="24"/>
                <w:highlight w:val="none"/>
                <w:lang w:val="en-US" w:eastAsia="zh-CN"/>
              </w:rPr>
              <w:t>磷脂</w:t>
            </w:r>
            <w:r>
              <w:rPr>
                <w:rFonts w:hint="eastAsia" w:ascii="Times New Roman" w:hAnsi="Times New Roman" w:cs="Times New Roman"/>
                <w:color w:val="auto"/>
                <w:spacing w:val="0"/>
                <w:position w:val="0"/>
                <w:sz w:val="24"/>
                <w:szCs w:val="24"/>
                <w:highlight w:val="none"/>
                <w:lang w:val="en-US" w:eastAsia="zh-CN"/>
              </w:rPr>
              <w:t>转化为水化磷脂</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cs="Times New Roman"/>
                <w:color w:val="auto"/>
                <w:spacing w:val="0"/>
                <w:position w:val="0"/>
                <w:sz w:val="24"/>
                <w:szCs w:val="24"/>
                <w:highlight w:val="none"/>
                <w:lang w:val="en-US" w:eastAsia="zh-CN"/>
              </w:rPr>
              <w:t>脱胶</w:t>
            </w:r>
            <w:r>
              <w:rPr>
                <w:rFonts w:hint="default" w:ascii="Times New Roman" w:hAnsi="Times New Roman" w:eastAsia="宋体" w:cs="Times New Roman"/>
                <w:color w:val="auto"/>
                <w:spacing w:val="0"/>
                <w:position w:val="0"/>
                <w:sz w:val="24"/>
                <w:szCs w:val="24"/>
                <w:highlight w:val="none"/>
                <w:lang w:val="en-US" w:eastAsia="zh-CN"/>
              </w:rPr>
              <w:t>工序由电脑控制，实现自动化</w:t>
            </w:r>
            <w:r>
              <w:rPr>
                <w:rFonts w:hint="eastAsia" w:ascii="Times New Roman" w:hAnsi="Times New Roman" w:cs="Times New Roman"/>
                <w:color w:val="auto"/>
                <w:spacing w:val="0"/>
                <w:position w:val="0"/>
                <w:sz w:val="24"/>
                <w:szCs w:val="24"/>
                <w:highlight w:val="none"/>
                <w:lang w:val="en-US" w:eastAsia="zh-CN"/>
              </w:rPr>
              <w:t>，脱胶后产生胶质通过后续脱皂工序脱除</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cs="Times New Roman"/>
                <w:color w:val="auto"/>
                <w:spacing w:val="0"/>
                <w:position w:val="0"/>
                <w:sz w:val="24"/>
                <w:szCs w:val="24"/>
                <w:highlight w:val="none"/>
                <w:lang w:val="en-US" w:eastAsia="zh-CN"/>
              </w:rPr>
              <w:t>其反应方程式为：</w:t>
            </w:r>
          </w:p>
          <w:p w14:paraId="195096E1">
            <w:pPr>
              <w:pStyle w:val="16"/>
              <w:keepNext w:val="0"/>
              <w:keepLines w:val="0"/>
              <w:widowControl/>
              <w:suppressLineNumbers w:val="0"/>
              <w:bidi w:val="0"/>
              <w:spacing w:before="134" w:beforeAutospacing="0" w:after="0" w:afterAutospacing="0" w:line="216" w:lineRule="auto"/>
              <w:ind w:left="0" w:leftChars="0" w:firstLine="638" w:firstLineChars="266"/>
              <w:jc w:val="center"/>
              <w:textAlignment w:val="baseline"/>
              <w:rPr>
                <w:rFonts w:hint="eastAsia" w:ascii="Times New Roman" w:hAnsi="宋体" w:eastAsia="宋体" w:cs="mn-cs"/>
                <w:b w:val="0"/>
                <w:bCs w:val="0"/>
                <w:color w:val="auto"/>
                <w:kern w:val="24"/>
                <w:sz w:val="18"/>
                <w:szCs w:val="18"/>
                <w:highlight w:val="none"/>
                <w:vertAlign w:val="baseline"/>
                <w:lang w:val="en-US" w:eastAsia="zh-CN"/>
              </w:rPr>
            </w:pPr>
            <w:r>
              <w:rPr>
                <w:rFonts w:hint="eastAsia" w:ascii="Times New Roman" w:hAnsi="宋体" w:eastAsia="宋体" w:cs="mn-cs"/>
                <w:b w:val="0"/>
                <w:bCs w:val="0"/>
                <w:color w:val="auto"/>
                <w:kern w:val="24"/>
                <w:sz w:val="24"/>
                <w:szCs w:val="24"/>
                <w:highlight w:val="none"/>
                <w:vertAlign w:val="baseline"/>
                <w:lang w:val="en-US" w:eastAsia="zh-CN"/>
              </w:rPr>
              <w:t>CaL+H</w:t>
            </w:r>
            <w:r>
              <w:rPr>
                <w:rFonts w:hint="eastAsia" w:ascii="Times New Roman" w:hAnsi="宋体" w:eastAsia="宋体" w:cs="mn-cs"/>
                <w:b w:val="0"/>
                <w:bCs w:val="0"/>
                <w:color w:val="auto"/>
                <w:kern w:val="24"/>
                <w:sz w:val="18"/>
                <w:szCs w:val="18"/>
                <w:highlight w:val="none"/>
                <w:vertAlign w:val="baseline"/>
                <w:lang w:val="en-US" w:eastAsia="zh-CN"/>
              </w:rPr>
              <w:t>3</w:t>
            </w:r>
            <w:r>
              <w:rPr>
                <w:rFonts w:hint="eastAsia" w:ascii="Times New Roman" w:hAnsi="宋体" w:eastAsia="宋体" w:cs="mn-cs"/>
                <w:b w:val="0"/>
                <w:bCs w:val="0"/>
                <w:color w:val="auto"/>
                <w:kern w:val="24"/>
                <w:sz w:val="24"/>
                <w:szCs w:val="24"/>
                <w:highlight w:val="none"/>
                <w:vertAlign w:val="baseline"/>
                <w:lang w:val="en-US" w:eastAsia="zh-CN"/>
              </w:rPr>
              <w:t>PO</w:t>
            </w:r>
            <w:r>
              <w:rPr>
                <w:rFonts w:hint="eastAsia" w:ascii="Times New Roman" w:hAnsi="宋体" w:eastAsia="宋体" w:cs="mn-cs"/>
                <w:b w:val="0"/>
                <w:bCs w:val="0"/>
                <w:color w:val="auto"/>
                <w:kern w:val="24"/>
                <w:sz w:val="18"/>
                <w:szCs w:val="18"/>
                <w:highlight w:val="none"/>
                <w:vertAlign w:val="baseline"/>
                <w:lang w:val="en-US" w:eastAsia="zh-CN"/>
              </w:rPr>
              <w:t>4</w:t>
            </w:r>
            <w:r>
              <w:rPr>
                <w:rFonts w:hint="eastAsia" w:ascii="Times New Roman" w:hAnsi="宋体" w:eastAsia="宋体" w:cs="mn-cs"/>
                <w:b w:val="0"/>
                <w:bCs w:val="0"/>
                <w:color w:val="auto"/>
                <w:kern w:val="24"/>
                <w:sz w:val="24"/>
                <w:szCs w:val="24"/>
                <w:highlight w:val="none"/>
                <w:vertAlign w:val="baseline"/>
                <w:lang w:val="en-US" w:eastAsia="zh-CN"/>
              </w:rPr>
              <w:t>=H</w:t>
            </w:r>
            <w:r>
              <w:rPr>
                <w:rFonts w:hint="eastAsia" w:ascii="Times New Roman" w:hAnsi="宋体" w:eastAsia="宋体" w:cs="mn-cs"/>
                <w:b w:val="0"/>
                <w:bCs w:val="0"/>
                <w:color w:val="auto"/>
                <w:kern w:val="24"/>
                <w:sz w:val="18"/>
                <w:szCs w:val="18"/>
                <w:highlight w:val="none"/>
                <w:vertAlign w:val="baseline"/>
                <w:lang w:val="en-US" w:eastAsia="zh-CN"/>
              </w:rPr>
              <w:t>2</w:t>
            </w:r>
            <w:r>
              <w:rPr>
                <w:rFonts w:hint="eastAsia" w:ascii="Times New Roman" w:hAnsi="宋体" w:eastAsia="宋体" w:cs="mn-cs"/>
                <w:b w:val="0"/>
                <w:bCs w:val="0"/>
                <w:color w:val="auto"/>
                <w:kern w:val="24"/>
                <w:sz w:val="24"/>
                <w:szCs w:val="24"/>
                <w:highlight w:val="none"/>
                <w:vertAlign w:val="baseline"/>
                <w:lang w:val="en-US" w:eastAsia="zh-CN"/>
              </w:rPr>
              <w:t>L+CaHPO</w:t>
            </w:r>
            <w:r>
              <w:rPr>
                <w:rFonts w:hint="eastAsia" w:ascii="Times New Roman" w:hAnsi="宋体" w:eastAsia="宋体" w:cs="mn-cs"/>
                <w:b w:val="0"/>
                <w:bCs w:val="0"/>
                <w:color w:val="auto"/>
                <w:kern w:val="24"/>
                <w:sz w:val="18"/>
                <w:szCs w:val="18"/>
                <w:highlight w:val="none"/>
                <w:vertAlign w:val="baseline"/>
                <w:lang w:val="en-US" w:eastAsia="zh-CN"/>
              </w:rPr>
              <w:t>4</w:t>
            </w:r>
          </w:p>
          <w:p w14:paraId="2CF88EF4">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cs="Times New Roman"/>
                <w:color w:val="auto"/>
                <w:spacing w:val="0"/>
                <w:position w:val="0"/>
                <w:sz w:val="24"/>
                <w:szCs w:val="24"/>
                <w:highlight w:val="none"/>
                <w:lang w:val="en-US" w:eastAsia="zh-CN"/>
              </w:rPr>
            </w:pPr>
            <w:r>
              <w:rPr>
                <w:rFonts w:hint="eastAsia" w:ascii="Times New Roman" w:hAnsi="宋体" w:eastAsia="宋体" w:cs="mn-cs"/>
                <w:b w:val="0"/>
                <w:bCs w:val="0"/>
                <w:color w:val="auto"/>
                <w:kern w:val="24"/>
                <w:sz w:val="24"/>
                <w:szCs w:val="24"/>
                <w:highlight w:val="none"/>
                <w:vertAlign w:val="baseline"/>
                <w:lang w:val="en-US" w:eastAsia="zh-CN"/>
              </w:rPr>
              <w:t>注：L代表磷脂酸根。</w:t>
            </w:r>
          </w:p>
          <w:p w14:paraId="4BC04391">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cs="Times New Roman"/>
                <w:color w:val="auto"/>
                <w:spacing w:val="0"/>
                <w:position w:val="0"/>
                <w:sz w:val="24"/>
                <w:szCs w:val="24"/>
                <w:highlight w:val="none"/>
                <w:lang w:val="en-US" w:eastAsia="zh-CN"/>
              </w:rPr>
              <w:t>中和</w:t>
            </w:r>
            <w:r>
              <w:rPr>
                <w:rFonts w:hint="default" w:ascii="Times New Roman" w:hAnsi="Times New Roman" w:eastAsia="宋体" w:cs="Times New Roman"/>
                <w:color w:val="auto"/>
                <w:spacing w:val="0"/>
                <w:position w:val="0"/>
                <w:sz w:val="24"/>
                <w:szCs w:val="24"/>
                <w:highlight w:val="none"/>
                <w:lang w:val="en-US" w:eastAsia="zh-CN"/>
              </w:rPr>
              <w:t>反应</w:t>
            </w:r>
            <w:r>
              <w:rPr>
                <w:rFonts w:hint="eastAsia" w:ascii="Times New Roman" w:hAnsi="Times New Roman" w:cs="Times New Roman"/>
                <w:color w:val="auto"/>
                <w:spacing w:val="0"/>
                <w:position w:val="0"/>
                <w:sz w:val="24"/>
                <w:szCs w:val="24"/>
                <w:highlight w:val="none"/>
                <w:lang w:val="en-US" w:eastAsia="zh-CN"/>
              </w:rPr>
              <w:t>、脱皂</w:t>
            </w:r>
            <w:r>
              <w:rPr>
                <w:rFonts w:hint="default" w:ascii="Times New Roman" w:hAnsi="Times New Roman" w:eastAsia="宋体" w:cs="Times New Roman"/>
                <w:color w:val="auto"/>
                <w:spacing w:val="0"/>
                <w:position w:val="0"/>
                <w:sz w:val="24"/>
                <w:szCs w:val="24"/>
                <w:highlight w:val="none"/>
                <w:lang w:val="en-US" w:eastAsia="zh-CN"/>
              </w:rPr>
              <w:t>：将按比例配置的碱液（NaOH溶液）通过泵加入中和反应罐中，使其与</w:t>
            </w:r>
            <w:r>
              <w:rPr>
                <w:rFonts w:hint="eastAsia" w:ascii="Times New Roman" w:hAnsi="Times New Roman" w:cs="Times New Roman"/>
                <w:color w:val="auto"/>
                <w:spacing w:val="0"/>
                <w:position w:val="0"/>
                <w:sz w:val="24"/>
                <w:szCs w:val="24"/>
                <w:highlight w:val="none"/>
                <w:lang w:val="en-US" w:eastAsia="zh-CN"/>
              </w:rPr>
              <w:t>脱胶</w:t>
            </w:r>
            <w:r>
              <w:rPr>
                <w:rFonts w:hint="default" w:ascii="Times New Roman" w:hAnsi="Times New Roman" w:eastAsia="宋体" w:cs="Times New Roman"/>
                <w:color w:val="auto"/>
                <w:spacing w:val="0"/>
                <w:position w:val="0"/>
                <w:sz w:val="24"/>
                <w:szCs w:val="24"/>
                <w:highlight w:val="none"/>
                <w:lang w:val="en-US" w:eastAsia="zh-CN"/>
              </w:rPr>
              <w:t>后的毛油进行混合，以去除</w:t>
            </w:r>
            <w:r>
              <w:rPr>
                <w:rFonts w:hint="eastAsia" w:ascii="Times New Roman" w:hAnsi="Times New Roman" w:cs="Times New Roman"/>
                <w:color w:val="auto"/>
                <w:spacing w:val="0"/>
                <w:position w:val="0"/>
                <w:sz w:val="24"/>
                <w:szCs w:val="24"/>
                <w:highlight w:val="none"/>
                <w:lang w:val="en-US" w:eastAsia="zh-CN"/>
              </w:rPr>
              <w:t>游离脂肪酸</w:t>
            </w:r>
            <w:r>
              <w:rPr>
                <w:rFonts w:hint="default" w:ascii="Times New Roman" w:hAnsi="Times New Roman" w:eastAsia="宋体" w:cs="Times New Roman"/>
                <w:color w:val="auto"/>
                <w:spacing w:val="0"/>
                <w:position w:val="0"/>
                <w:sz w:val="24"/>
                <w:szCs w:val="24"/>
                <w:highlight w:val="none"/>
                <w:lang w:val="en-US" w:eastAsia="zh-CN"/>
              </w:rPr>
              <w:t>，使用脱皂离心机将毛油中残留的皂脚进行</w:t>
            </w:r>
            <w:r>
              <w:rPr>
                <w:rFonts w:hint="eastAsia" w:ascii="Times New Roman" w:hAnsi="Times New Roman" w:cs="Times New Roman"/>
                <w:color w:val="auto"/>
                <w:spacing w:val="0"/>
                <w:position w:val="0"/>
                <w:sz w:val="24"/>
                <w:szCs w:val="24"/>
                <w:highlight w:val="none"/>
                <w:lang w:val="en-US" w:eastAsia="zh-CN"/>
              </w:rPr>
              <w:t>脱除</w:t>
            </w:r>
            <w:r>
              <w:rPr>
                <w:rFonts w:hint="default" w:ascii="Times New Roman" w:hAnsi="Times New Roman" w:eastAsia="宋体" w:cs="Times New Roman"/>
                <w:color w:val="auto"/>
                <w:spacing w:val="0"/>
                <w:position w:val="0"/>
                <w:sz w:val="24"/>
                <w:szCs w:val="24"/>
                <w:highlight w:val="none"/>
                <w:lang w:val="en-US" w:eastAsia="zh-CN"/>
              </w:rPr>
              <w:t>，此过程产生皂脚S2。</w:t>
            </w:r>
            <w:r>
              <w:rPr>
                <w:rFonts w:hint="eastAsia" w:ascii="Times New Roman" w:hAnsi="Times New Roman" w:cs="Times New Roman"/>
                <w:color w:val="auto"/>
                <w:spacing w:val="0"/>
                <w:position w:val="0"/>
                <w:sz w:val="24"/>
                <w:szCs w:val="24"/>
                <w:highlight w:val="none"/>
                <w:lang w:val="en-US" w:eastAsia="zh-CN"/>
              </w:rPr>
              <w:t>中和反应方程式如下：</w:t>
            </w:r>
          </w:p>
          <w:p w14:paraId="1F5F4871">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jc w:val="center"/>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C</w:t>
            </w:r>
            <w:r>
              <w:rPr>
                <w:rFonts w:hint="default" w:ascii="Times New Roman" w:hAnsi="Times New Roman" w:eastAsia="宋体" w:cs="Times New Roman"/>
                <w:color w:val="auto"/>
                <w:spacing w:val="0"/>
                <w:position w:val="0"/>
                <w:sz w:val="24"/>
                <w:szCs w:val="24"/>
                <w:highlight w:val="none"/>
                <w:vertAlign w:val="subscript"/>
                <w:lang w:val="en-US" w:eastAsia="zh-CN"/>
              </w:rPr>
              <w:t>17</w:t>
            </w:r>
            <w:r>
              <w:rPr>
                <w:rFonts w:hint="default" w:ascii="Times New Roman" w:hAnsi="Times New Roman" w:eastAsia="宋体" w:cs="Times New Roman"/>
                <w:color w:val="auto"/>
                <w:spacing w:val="0"/>
                <w:position w:val="0"/>
                <w:sz w:val="24"/>
                <w:szCs w:val="24"/>
                <w:highlight w:val="none"/>
                <w:lang w:val="en-US" w:eastAsia="zh-CN"/>
              </w:rPr>
              <w:t>H</w:t>
            </w:r>
            <w:r>
              <w:rPr>
                <w:rFonts w:hint="default" w:ascii="Times New Roman" w:hAnsi="Times New Roman" w:eastAsia="宋体" w:cs="Times New Roman"/>
                <w:color w:val="auto"/>
                <w:spacing w:val="0"/>
                <w:position w:val="0"/>
                <w:sz w:val="24"/>
                <w:szCs w:val="24"/>
                <w:highlight w:val="none"/>
                <w:vertAlign w:val="subscript"/>
                <w:lang w:val="en-US" w:eastAsia="zh-CN"/>
              </w:rPr>
              <w:t>33</w:t>
            </w:r>
            <w:r>
              <w:rPr>
                <w:rFonts w:hint="default" w:ascii="Times New Roman" w:hAnsi="Times New Roman" w:eastAsia="宋体" w:cs="Times New Roman"/>
                <w:color w:val="auto"/>
                <w:spacing w:val="0"/>
                <w:position w:val="0"/>
                <w:sz w:val="24"/>
                <w:szCs w:val="24"/>
                <w:highlight w:val="none"/>
                <w:lang w:val="en-US" w:eastAsia="zh-CN"/>
              </w:rPr>
              <w:t>COOH+NaOH=C</w:t>
            </w:r>
            <w:r>
              <w:rPr>
                <w:rFonts w:hint="default" w:ascii="Times New Roman" w:hAnsi="Times New Roman" w:eastAsia="宋体" w:cs="Times New Roman"/>
                <w:color w:val="auto"/>
                <w:spacing w:val="0"/>
                <w:position w:val="0"/>
                <w:sz w:val="24"/>
                <w:szCs w:val="24"/>
                <w:highlight w:val="none"/>
                <w:vertAlign w:val="subscript"/>
                <w:lang w:val="en-US" w:eastAsia="zh-CN"/>
              </w:rPr>
              <w:t>17</w:t>
            </w:r>
            <w:r>
              <w:rPr>
                <w:rFonts w:hint="default" w:ascii="Times New Roman" w:hAnsi="Times New Roman" w:eastAsia="宋体" w:cs="Times New Roman"/>
                <w:color w:val="auto"/>
                <w:spacing w:val="0"/>
                <w:position w:val="0"/>
                <w:sz w:val="24"/>
                <w:szCs w:val="24"/>
                <w:highlight w:val="none"/>
                <w:lang w:val="en-US" w:eastAsia="zh-CN"/>
              </w:rPr>
              <w:t>H</w:t>
            </w:r>
            <w:r>
              <w:rPr>
                <w:rFonts w:hint="default" w:ascii="Times New Roman" w:hAnsi="Times New Roman" w:eastAsia="宋体" w:cs="Times New Roman"/>
                <w:color w:val="auto"/>
                <w:spacing w:val="0"/>
                <w:position w:val="0"/>
                <w:sz w:val="24"/>
                <w:szCs w:val="24"/>
                <w:highlight w:val="none"/>
                <w:vertAlign w:val="subscript"/>
                <w:lang w:val="en-US" w:eastAsia="zh-CN"/>
              </w:rPr>
              <w:t>33</w:t>
            </w:r>
            <w:r>
              <w:rPr>
                <w:rFonts w:hint="default" w:ascii="Times New Roman" w:hAnsi="Times New Roman" w:eastAsia="宋体" w:cs="Times New Roman"/>
                <w:color w:val="auto"/>
                <w:spacing w:val="0"/>
                <w:position w:val="0"/>
                <w:sz w:val="24"/>
                <w:szCs w:val="24"/>
                <w:highlight w:val="none"/>
                <w:lang w:val="en-US" w:eastAsia="zh-CN"/>
              </w:rPr>
              <w:t>COONa+H</w:t>
            </w:r>
            <w:r>
              <w:rPr>
                <w:rFonts w:hint="default" w:ascii="Times New Roman" w:hAnsi="Times New Roman" w:eastAsia="宋体" w:cs="Times New Roman"/>
                <w:color w:val="auto"/>
                <w:spacing w:val="0"/>
                <w:position w:val="0"/>
                <w:sz w:val="24"/>
                <w:szCs w:val="24"/>
                <w:highlight w:val="none"/>
                <w:vertAlign w:val="subscript"/>
                <w:lang w:val="en-US" w:eastAsia="zh-CN"/>
              </w:rPr>
              <w:t>2</w:t>
            </w:r>
            <w:r>
              <w:rPr>
                <w:rFonts w:hint="default" w:ascii="Times New Roman" w:hAnsi="Times New Roman" w:eastAsia="宋体" w:cs="Times New Roman"/>
                <w:color w:val="auto"/>
                <w:spacing w:val="0"/>
                <w:position w:val="0"/>
                <w:sz w:val="24"/>
                <w:szCs w:val="24"/>
                <w:highlight w:val="none"/>
                <w:lang w:val="en-US" w:eastAsia="zh-CN"/>
              </w:rPr>
              <w:t>O</w:t>
            </w:r>
          </w:p>
          <w:p w14:paraId="0CE7A3E4">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水洗：将脱皂后的油中加入</w:t>
            </w:r>
            <w:r>
              <w:rPr>
                <w:rFonts w:hint="eastAsia" w:ascii="Times New Roman" w:hAnsi="Times New Roman" w:cs="Times New Roman"/>
                <w:color w:val="auto"/>
                <w:spacing w:val="0"/>
                <w:position w:val="0"/>
                <w:sz w:val="24"/>
                <w:szCs w:val="24"/>
                <w:highlight w:val="none"/>
                <w:lang w:val="en-US" w:eastAsia="zh-CN"/>
              </w:rPr>
              <w:t>纯水</w:t>
            </w:r>
            <w:r>
              <w:rPr>
                <w:rFonts w:hint="default" w:ascii="Times New Roman" w:hAnsi="Times New Roman" w:eastAsia="宋体" w:cs="Times New Roman"/>
                <w:color w:val="auto"/>
                <w:spacing w:val="0"/>
                <w:position w:val="0"/>
                <w:sz w:val="24"/>
                <w:szCs w:val="24"/>
                <w:highlight w:val="none"/>
                <w:lang w:val="en-US" w:eastAsia="zh-CN"/>
              </w:rPr>
              <w:t>进行水洗，再使用离心机进行脱水处理，此过程中产生水洗</w:t>
            </w:r>
            <w:r>
              <w:rPr>
                <w:rFonts w:hint="eastAsia" w:ascii="Times New Roman" w:hAnsi="Times New Roman" w:cs="Times New Roman"/>
                <w:color w:val="auto"/>
                <w:spacing w:val="0"/>
                <w:position w:val="0"/>
                <w:sz w:val="24"/>
                <w:szCs w:val="24"/>
                <w:highlight w:val="none"/>
                <w:lang w:val="en-US" w:eastAsia="zh-CN"/>
              </w:rPr>
              <w:t>排水</w:t>
            </w:r>
            <w:r>
              <w:rPr>
                <w:rFonts w:hint="default" w:ascii="Times New Roman" w:hAnsi="Times New Roman" w:eastAsia="宋体" w:cs="Times New Roman"/>
                <w:color w:val="auto"/>
                <w:spacing w:val="0"/>
                <w:position w:val="0"/>
                <w:sz w:val="24"/>
                <w:szCs w:val="24"/>
                <w:highlight w:val="none"/>
                <w:lang w:val="en-US" w:eastAsia="zh-CN"/>
              </w:rPr>
              <w:t>W1</w:t>
            </w:r>
            <w:r>
              <w:rPr>
                <w:rFonts w:hint="default" w:ascii="Times New Roman" w:hAnsi="Times New Roman" w:cs="Times New Roman"/>
                <w:color w:val="auto"/>
                <w:spacing w:val="0"/>
                <w:position w:val="0"/>
                <w:sz w:val="24"/>
                <w:szCs w:val="24"/>
                <w:highlight w:val="none"/>
                <w:lang w:val="en-US" w:eastAsia="zh-CN"/>
              </w:rPr>
              <w:t>，</w:t>
            </w:r>
            <w:r>
              <w:rPr>
                <w:rFonts w:hint="eastAsia" w:ascii="Times New Roman" w:hAnsi="Times New Roman" w:cs="Times New Roman"/>
                <w:color w:val="auto"/>
                <w:spacing w:val="0"/>
                <w:position w:val="0"/>
                <w:sz w:val="24"/>
                <w:szCs w:val="24"/>
                <w:highlight w:val="none"/>
                <w:lang w:val="en-US" w:eastAsia="zh-CN"/>
              </w:rPr>
              <w:t>为降低产品耗水量，本项目水洗工序由现有项目直排方式升级为工艺内排水循环回用方式，经配套的油水分离箱油水分离后的清水部分（50%）回用于水洗水</w:t>
            </w:r>
            <w:r>
              <w:rPr>
                <w:rFonts w:hint="default" w:ascii="Times New Roman" w:hAnsi="Times New Roman" w:cs="Times New Roman"/>
                <w:color w:val="auto"/>
                <w:spacing w:val="0"/>
                <w:position w:val="0"/>
                <w:sz w:val="24"/>
                <w:szCs w:val="24"/>
                <w:highlight w:val="none"/>
                <w:lang w:val="en-US" w:eastAsia="zh-CN"/>
              </w:rPr>
              <w:t>，剩余部分排入车间隔油池处理</w:t>
            </w:r>
            <w:r>
              <w:rPr>
                <w:rFonts w:hint="eastAsia" w:ascii="Times New Roman" w:hAnsi="Times New Roman" w:cs="Times New Roman"/>
                <w:color w:val="auto"/>
                <w:spacing w:val="0"/>
                <w:position w:val="0"/>
                <w:sz w:val="24"/>
                <w:szCs w:val="24"/>
                <w:highlight w:val="none"/>
                <w:lang w:val="en-US" w:eastAsia="zh-CN"/>
              </w:rPr>
              <w:t>，减少了水洗工序新鲜水量。</w:t>
            </w:r>
          </w:p>
          <w:p w14:paraId="3CE8F6DD">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脱色：</w:t>
            </w:r>
            <w:r>
              <w:rPr>
                <w:rFonts w:hint="eastAsia" w:ascii="Times New Roman" w:hAnsi="Times New Roman" w:cs="Times New Roman"/>
                <w:color w:val="auto"/>
                <w:spacing w:val="0"/>
                <w:position w:val="0"/>
                <w:sz w:val="24"/>
                <w:szCs w:val="24"/>
                <w:highlight w:val="none"/>
                <w:lang w:val="en-US" w:eastAsia="zh-CN"/>
              </w:rPr>
              <w:t>本项目采用预复脱色工艺，通过将水洗油与已经使用过的脱色滤饼进行接触，完成二次预脱附，再进入</w:t>
            </w:r>
            <w:r>
              <w:rPr>
                <w:rFonts w:hint="default" w:ascii="Times New Roman" w:hAnsi="Times New Roman" w:eastAsia="宋体" w:cs="Times New Roman"/>
                <w:color w:val="auto"/>
                <w:spacing w:val="0"/>
                <w:position w:val="0"/>
                <w:sz w:val="24"/>
                <w:szCs w:val="24"/>
                <w:highlight w:val="none"/>
                <w:lang w:val="en-US" w:eastAsia="zh-CN"/>
              </w:rPr>
              <w:t>干燥塔进行干燥处理，</w:t>
            </w:r>
            <w:r>
              <w:rPr>
                <w:rFonts w:hint="eastAsia" w:ascii="Times New Roman" w:hAnsi="Times New Roman" w:cs="Times New Roman"/>
                <w:color w:val="auto"/>
                <w:spacing w:val="0"/>
                <w:position w:val="0"/>
                <w:sz w:val="24"/>
                <w:szCs w:val="24"/>
                <w:highlight w:val="none"/>
                <w:lang w:val="en-US" w:eastAsia="zh-CN"/>
              </w:rPr>
              <w:t>使用蒸汽锅炉产生的高温蒸汽通过间接加热方式</w:t>
            </w:r>
            <w:r>
              <w:rPr>
                <w:rFonts w:hint="default" w:ascii="Times New Roman" w:hAnsi="Times New Roman" w:eastAsia="宋体" w:cs="Times New Roman"/>
                <w:color w:val="auto"/>
                <w:spacing w:val="0"/>
                <w:position w:val="0"/>
                <w:sz w:val="24"/>
                <w:szCs w:val="24"/>
                <w:highlight w:val="none"/>
                <w:lang w:val="en-US" w:eastAsia="zh-CN"/>
              </w:rPr>
              <w:t>使其温度加热至130℃，进入预混罐与</w:t>
            </w:r>
            <w:r>
              <w:rPr>
                <w:rFonts w:hint="default" w:ascii="Times New Roman" w:hAnsi="Times New Roman" w:cs="Times New Roman"/>
                <w:color w:val="auto"/>
                <w:spacing w:val="0"/>
                <w:position w:val="0"/>
                <w:sz w:val="24"/>
                <w:szCs w:val="24"/>
                <w:highlight w:val="none"/>
                <w:lang w:val="en-US" w:eastAsia="zh-CN"/>
              </w:rPr>
              <w:t>活性</w:t>
            </w:r>
            <w:r>
              <w:rPr>
                <w:rFonts w:hint="default" w:ascii="Times New Roman" w:hAnsi="Times New Roman" w:eastAsia="宋体" w:cs="Times New Roman"/>
                <w:color w:val="auto"/>
                <w:spacing w:val="0"/>
                <w:position w:val="0"/>
                <w:sz w:val="24"/>
                <w:szCs w:val="24"/>
                <w:highlight w:val="none"/>
                <w:lang w:val="en-US" w:eastAsia="zh-CN"/>
              </w:rPr>
              <w:t>白土进行混合，</w:t>
            </w:r>
            <w:r>
              <w:rPr>
                <w:rFonts w:hint="eastAsia" w:ascii="Times New Roman" w:hAnsi="Times New Roman" w:cs="Times New Roman"/>
                <w:color w:val="auto"/>
                <w:spacing w:val="0"/>
                <w:position w:val="0"/>
                <w:sz w:val="24"/>
                <w:szCs w:val="24"/>
                <w:highlight w:val="none"/>
                <w:lang w:val="en-US" w:eastAsia="zh-CN"/>
              </w:rPr>
              <w:t>项目脱色采用活性白土进行脱色，活性白土为粉末状，添加过程采用负压吸附，并设置布袋除尘措施；</w:t>
            </w:r>
            <w:r>
              <w:rPr>
                <w:rFonts w:hint="default" w:ascii="Times New Roman" w:hAnsi="Times New Roman" w:cs="Times New Roman"/>
                <w:color w:val="auto"/>
                <w:spacing w:val="0"/>
                <w:position w:val="0"/>
                <w:sz w:val="24"/>
                <w:szCs w:val="24"/>
                <w:highlight w:val="none"/>
                <w:lang w:val="en-US" w:eastAsia="zh-CN"/>
              </w:rPr>
              <w:t>在</w:t>
            </w:r>
            <w:r>
              <w:rPr>
                <w:rFonts w:hint="default" w:ascii="Times New Roman" w:hAnsi="Times New Roman" w:eastAsia="宋体" w:cs="Times New Roman"/>
                <w:color w:val="auto"/>
                <w:spacing w:val="0"/>
                <w:position w:val="0"/>
                <w:sz w:val="24"/>
                <w:szCs w:val="24"/>
                <w:highlight w:val="none"/>
                <w:lang w:val="en-US" w:eastAsia="zh-CN"/>
              </w:rPr>
              <w:t>脱色塔内进行脱色处理，以去除油中色素</w:t>
            </w:r>
            <w:r>
              <w:rPr>
                <w:rFonts w:hint="default" w:ascii="Times New Roman" w:hAnsi="Times New Roman"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脱色工序加热采用蒸汽间接加热方式；脱色工序温度保持在120℃，工作时间为20min，脱色完成后通过过滤器将油过滤，此过程中产废白土S3</w:t>
            </w:r>
            <w:r>
              <w:rPr>
                <w:rFonts w:hint="eastAsia" w:ascii="Times New Roman" w:hAnsi="Times New Roman" w:cs="Times New Roman"/>
                <w:color w:val="auto"/>
                <w:spacing w:val="0"/>
                <w:position w:val="0"/>
                <w:sz w:val="24"/>
                <w:szCs w:val="24"/>
                <w:highlight w:val="none"/>
                <w:lang w:val="en-US" w:eastAsia="zh-CN"/>
              </w:rPr>
              <w:t>，脱色废气G2，白土投料粉尘G3</w:t>
            </w:r>
            <w:r>
              <w:rPr>
                <w:rFonts w:hint="default" w:ascii="Times New Roman" w:hAnsi="Times New Roman" w:eastAsia="宋体" w:cs="Times New Roman"/>
                <w:color w:val="auto"/>
                <w:spacing w:val="0"/>
                <w:position w:val="0"/>
                <w:sz w:val="24"/>
                <w:szCs w:val="24"/>
                <w:highlight w:val="none"/>
                <w:lang w:val="en-US" w:eastAsia="zh-CN"/>
              </w:rPr>
              <w:t>。</w:t>
            </w:r>
          </w:p>
          <w:p w14:paraId="49C633EB">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脱臭</w:t>
            </w:r>
            <w:r>
              <w:rPr>
                <w:rFonts w:hint="eastAsia" w:ascii="Times New Roman" w:hAnsi="Times New Roman" w:cs="Times New Roman"/>
                <w:color w:val="auto"/>
                <w:spacing w:val="0"/>
                <w:position w:val="0"/>
                <w:sz w:val="24"/>
                <w:szCs w:val="24"/>
                <w:highlight w:val="none"/>
                <w:lang w:val="en-US" w:eastAsia="zh-CN"/>
              </w:rPr>
              <w:t>、脱酸</w:t>
            </w:r>
            <w:r>
              <w:rPr>
                <w:rFonts w:hint="default" w:ascii="Times New Roman" w:hAnsi="Times New Roman" w:eastAsia="宋体" w:cs="Times New Roman"/>
                <w:color w:val="auto"/>
                <w:spacing w:val="0"/>
                <w:position w:val="0"/>
                <w:sz w:val="24"/>
                <w:szCs w:val="24"/>
                <w:highlight w:val="none"/>
                <w:lang w:val="en-US" w:eastAsia="zh-CN"/>
              </w:rPr>
              <w:t>：脱</w:t>
            </w:r>
            <w:r>
              <w:rPr>
                <w:rFonts w:hint="default" w:ascii="Times New Roman" w:hAnsi="Times New Roman" w:cs="Times New Roman"/>
                <w:color w:val="auto"/>
                <w:spacing w:val="0"/>
                <w:position w:val="0"/>
                <w:sz w:val="24"/>
                <w:szCs w:val="24"/>
                <w:highlight w:val="none"/>
                <w:lang w:val="en-US" w:eastAsia="zh-CN"/>
              </w:rPr>
              <w:t>色</w:t>
            </w:r>
            <w:r>
              <w:rPr>
                <w:rFonts w:hint="default" w:ascii="Times New Roman" w:hAnsi="Times New Roman" w:eastAsia="宋体" w:cs="Times New Roman"/>
                <w:color w:val="auto"/>
                <w:spacing w:val="0"/>
                <w:position w:val="0"/>
                <w:sz w:val="24"/>
                <w:szCs w:val="24"/>
                <w:highlight w:val="none"/>
                <w:lang w:val="en-US" w:eastAsia="zh-CN"/>
              </w:rPr>
              <w:t>油经加热器加热后进入脱臭塔，</w:t>
            </w:r>
            <w:r>
              <w:rPr>
                <w:rFonts w:hint="eastAsia" w:ascii="Times New Roman" w:hAnsi="Times New Roman" w:cs="Times New Roman"/>
                <w:color w:val="auto"/>
                <w:spacing w:val="0"/>
                <w:position w:val="0"/>
                <w:sz w:val="24"/>
                <w:szCs w:val="24"/>
                <w:highlight w:val="none"/>
                <w:lang w:val="en-US" w:eastAsia="zh-CN"/>
              </w:rPr>
              <w:t>采用双塔双控温脱臭技术，</w:t>
            </w:r>
            <w:r>
              <w:rPr>
                <w:rFonts w:hint="default" w:ascii="Times New Roman" w:hAnsi="Times New Roman" w:eastAsia="宋体" w:cs="Times New Roman"/>
                <w:color w:val="auto"/>
                <w:spacing w:val="0"/>
                <w:position w:val="0"/>
                <w:sz w:val="24"/>
                <w:szCs w:val="24"/>
                <w:highlight w:val="none"/>
                <w:lang w:val="en-US" w:eastAsia="zh-CN"/>
              </w:rPr>
              <w:t>将脱臭塔内通入蒸汽，温度为180~220℃，由真空泵抽至负压，将高温蒸汽与油进行</w:t>
            </w:r>
            <w:r>
              <w:rPr>
                <w:rFonts w:hint="default" w:ascii="Times New Roman" w:hAnsi="Times New Roman" w:cs="Times New Roman"/>
                <w:color w:val="auto"/>
                <w:spacing w:val="0"/>
                <w:position w:val="0"/>
                <w:sz w:val="24"/>
                <w:szCs w:val="24"/>
                <w:highlight w:val="none"/>
                <w:lang w:val="en-US" w:eastAsia="zh-CN"/>
              </w:rPr>
              <w:t>间接加热方式</w:t>
            </w:r>
            <w:r>
              <w:rPr>
                <w:rFonts w:hint="default" w:ascii="Times New Roman" w:hAnsi="Times New Roman" w:eastAsia="宋体" w:cs="Times New Roman"/>
                <w:color w:val="auto"/>
                <w:spacing w:val="0"/>
                <w:position w:val="0"/>
                <w:sz w:val="24"/>
                <w:szCs w:val="24"/>
                <w:highlight w:val="none"/>
                <w:lang w:val="en-US" w:eastAsia="zh-CN"/>
              </w:rPr>
              <w:t>，将油脂中沸点较低的脂肪酸类用蒸汽进行分离，避免日常存放过程中发生氧化变质；</w:t>
            </w:r>
            <w:r>
              <w:rPr>
                <w:rFonts w:hint="default" w:ascii="Times New Roman" w:hAnsi="Times New Roman" w:cs="Times New Roman"/>
                <w:color w:val="auto"/>
                <w:spacing w:val="0"/>
                <w:position w:val="0"/>
                <w:sz w:val="24"/>
                <w:szCs w:val="24"/>
                <w:highlight w:val="none"/>
                <w:lang w:val="en-US" w:eastAsia="zh-CN"/>
              </w:rPr>
              <w:t>分离后的油进入冷却工序；经脱臭后分离出的脂肪酸等物质</w:t>
            </w:r>
            <w:r>
              <w:rPr>
                <w:rFonts w:hint="eastAsia" w:ascii="Times New Roman" w:hAnsi="Times New Roman" w:cs="Times New Roman"/>
                <w:color w:val="auto"/>
                <w:spacing w:val="0"/>
                <w:position w:val="0"/>
                <w:sz w:val="24"/>
                <w:szCs w:val="24"/>
                <w:highlight w:val="none"/>
                <w:lang w:val="en-US" w:eastAsia="zh-CN"/>
              </w:rPr>
              <w:t>先经冰冻冷凝系统将高温脂肪酸进行降温，使脂肪酸快速冷凝下来，再</w:t>
            </w:r>
            <w:r>
              <w:rPr>
                <w:rFonts w:hint="default" w:ascii="Times New Roman" w:hAnsi="Times New Roman" w:cs="Times New Roman"/>
                <w:color w:val="auto"/>
                <w:spacing w:val="0"/>
                <w:position w:val="0"/>
                <w:sz w:val="24"/>
                <w:szCs w:val="24"/>
                <w:highlight w:val="none"/>
                <w:lang w:val="en-US" w:eastAsia="zh-CN"/>
              </w:rPr>
              <w:t>经</w:t>
            </w:r>
            <w:r>
              <w:rPr>
                <w:rFonts w:hint="default" w:ascii="Times New Roman" w:hAnsi="Times New Roman" w:eastAsia="宋体" w:cs="Times New Roman"/>
                <w:color w:val="auto"/>
                <w:spacing w:val="0"/>
                <w:position w:val="0"/>
                <w:sz w:val="24"/>
                <w:szCs w:val="24"/>
                <w:highlight w:val="none"/>
                <w:lang w:val="en-US" w:eastAsia="zh-CN"/>
              </w:rPr>
              <w:t>脂肪酸捕集器将抽出的脂肪酸进行冷凝捕集，不可冷凝部分废气外排；此过程中产生脱臭废气G</w:t>
            </w:r>
            <w:r>
              <w:rPr>
                <w:rFonts w:hint="eastAsia" w:ascii="Times New Roman" w:hAnsi="Times New Roman" w:cs="Times New Roman"/>
                <w:color w:val="auto"/>
                <w:spacing w:val="0"/>
                <w:position w:val="0"/>
                <w:sz w:val="24"/>
                <w:szCs w:val="24"/>
                <w:highlight w:val="none"/>
                <w:lang w:val="en-US" w:eastAsia="zh-CN"/>
              </w:rPr>
              <w:t>2</w:t>
            </w:r>
            <w:r>
              <w:rPr>
                <w:rFonts w:hint="default" w:ascii="Times New Roman" w:hAnsi="Times New Roman" w:cs="Times New Roman"/>
                <w:color w:val="auto"/>
                <w:spacing w:val="0"/>
                <w:position w:val="0"/>
                <w:sz w:val="24"/>
                <w:szCs w:val="24"/>
                <w:highlight w:val="none"/>
                <w:lang w:val="en-US" w:eastAsia="zh-CN"/>
              </w:rPr>
              <w:t>，锅炉燃烧废气G1</w:t>
            </w:r>
            <w:r>
              <w:rPr>
                <w:rFonts w:hint="eastAsia" w:ascii="Times New Roman" w:hAnsi="Times New Roman" w:cs="Times New Roman"/>
                <w:color w:val="auto"/>
                <w:spacing w:val="0"/>
                <w:position w:val="0"/>
                <w:sz w:val="24"/>
                <w:szCs w:val="24"/>
                <w:highlight w:val="none"/>
                <w:lang w:val="en-US" w:eastAsia="zh-CN"/>
              </w:rPr>
              <w:t>，以及脂肪酸S5</w:t>
            </w:r>
            <w:r>
              <w:rPr>
                <w:rFonts w:hint="default" w:ascii="Times New Roman" w:hAnsi="Times New Roman" w:eastAsia="宋体" w:cs="Times New Roman"/>
                <w:color w:val="auto"/>
                <w:spacing w:val="0"/>
                <w:position w:val="0"/>
                <w:sz w:val="24"/>
                <w:szCs w:val="24"/>
                <w:highlight w:val="none"/>
                <w:lang w:val="en-US" w:eastAsia="zh-CN"/>
              </w:rPr>
              <w:t>。</w:t>
            </w:r>
          </w:p>
          <w:p w14:paraId="5DA994C9">
            <w:pPr>
              <w:pStyle w:val="24"/>
              <w:keepNext w:val="0"/>
              <w:keepLines w:val="0"/>
              <w:pageBreakBefore w:val="0"/>
              <w:widowControl w:val="0"/>
              <w:kinsoku/>
              <w:wordWrap/>
              <w:overflowPunct w:val="0"/>
              <w:topLinePunct/>
              <w:autoSpaceDE/>
              <w:autoSpaceDN/>
              <w:bidi w:val="0"/>
              <w:adjustRightInd/>
              <w:snapToGrid/>
              <w:spacing w:line="460" w:lineRule="exact"/>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冷却：脱臭油经过冷却器进行间接冷却，使油温降至常温，最终管输至成品油储罐区。</w:t>
            </w:r>
          </w:p>
          <w:p w14:paraId="3A618B4A">
            <w:pPr>
              <w:pStyle w:val="24"/>
              <w:keepNext w:val="0"/>
              <w:keepLines w:val="0"/>
              <w:pageBreakBefore w:val="0"/>
              <w:widowControl w:val="0"/>
              <w:kinsoku/>
              <w:wordWrap/>
              <w:overflowPunct w:val="0"/>
              <w:topLinePunct/>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脱蜡</w:t>
            </w:r>
            <w:r>
              <w:rPr>
                <w:rFonts w:hint="eastAsia" w:ascii="Times New Roman" w:hAnsi="Times New Roman" w:cs="Times New Roman"/>
                <w:color w:val="auto"/>
                <w:spacing w:val="0"/>
                <w:position w:val="0"/>
                <w:sz w:val="24"/>
                <w:szCs w:val="24"/>
                <w:highlight w:val="none"/>
                <w:lang w:val="en-US" w:eastAsia="zh-CN"/>
              </w:rPr>
              <w:t>、过滤</w:t>
            </w:r>
            <w:r>
              <w:rPr>
                <w:rFonts w:hint="default" w:ascii="Times New Roman" w:hAnsi="Times New Roman" w:eastAsia="宋体" w:cs="Times New Roman"/>
                <w:color w:val="auto"/>
                <w:spacing w:val="0"/>
                <w:position w:val="0"/>
                <w:sz w:val="24"/>
                <w:szCs w:val="24"/>
                <w:highlight w:val="none"/>
                <w:lang w:val="en-US" w:eastAsia="zh-CN"/>
              </w:rPr>
              <w:t>：脱色油经冷却器冷却至</w:t>
            </w:r>
            <w:r>
              <w:rPr>
                <w:rFonts w:hint="eastAsia" w:ascii="Times New Roman" w:hAnsi="Times New Roman" w:cs="Times New Roman"/>
                <w:color w:val="auto"/>
                <w:spacing w:val="0"/>
                <w:position w:val="0"/>
                <w:sz w:val="24"/>
                <w:szCs w:val="24"/>
                <w:highlight w:val="none"/>
                <w:lang w:val="en-US" w:eastAsia="zh-CN"/>
              </w:rPr>
              <w:t>常温后</w:t>
            </w:r>
            <w:r>
              <w:rPr>
                <w:rFonts w:hint="default" w:ascii="Times New Roman" w:hAnsi="Times New Roman" w:eastAsia="宋体" w:cs="Times New Roman"/>
                <w:color w:val="auto"/>
                <w:spacing w:val="0"/>
                <w:position w:val="0"/>
                <w:sz w:val="24"/>
                <w:szCs w:val="24"/>
                <w:highlight w:val="none"/>
                <w:lang w:val="en-US" w:eastAsia="zh-CN"/>
              </w:rPr>
              <w:t>，通过泵输送至脱蜡结晶罐中冷冻结晶，根据油与蜡质溶解度不同，蜡质随着温度的逐渐降低而结晶析出，再通过过滤工艺去除蜡质；</w:t>
            </w:r>
            <w:r>
              <w:rPr>
                <w:rFonts w:hint="eastAsia" w:ascii="Times New Roman" w:hAnsi="Times New Roman" w:cs="Times New Roman"/>
                <w:color w:val="auto"/>
                <w:spacing w:val="0"/>
                <w:position w:val="0"/>
                <w:sz w:val="24"/>
                <w:szCs w:val="24"/>
                <w:highlight w:val="none"/>
                <w:lang w:val="en-US" w:eastAsia="zh-CN"/>
              </w:rPr>
              <w:t>本项目</w:t>
            </w:r>
            <w:r>
              <w:rPr>
                <w:rFonts w:hint="default" w:ascii="Times New Roman" w:hAnsi="Times New Roman" w:eastAsia="宋体" w:cs="Times New Roman"/>
                <w:color w:val="auto"/>
                <w:spacing w:val="0"/>
                <w:position w:val="0"/>
                <w:sz w:val="24"/>
                <w:szCs w:val="24"/>
                <w:highlight w:val="none"/>
                <w:lang w:val="en-US" w:eastAsia="zh-CN"/>
              </w:rPr>
              <w:t>脱蜡结晶采用连续</w:t>
            </w:r>
            <w:r>
              <w:rPr>
                <w:rFonts w:hint="eastAsia" w:ascii="Times New Roman" w:hAnsi="Times New Roman" w:cs="Times New Roman"/>
                <w:color w:val="auto"/>
                <w:spacing w:val="0"/>
                <w:position w:val="0"/>
                <w:sz w:val="24"/>
                <w:szCs w:val="24"/>
                <w:highlight w:val="none"/>
                <w:lang w:val="en-US" w:eastAsia="zh-CN"/>
              </w:rPr>
              <w:t>冬化</w:t>
            </w:r>
            <w:r>
              <w:rPr>
                <w:rFonts w:hint="default" w:ascii="Times New Roman" w:hAnsi="Times New Roman" w:eastAsia="宋体" w:cs="Times New Roman"/>
                <w:color w:val="auto"/>
                <w:spacing w:val="0"/>
                <w:position w:val="0"/>
                <w:sz w:val="24"/>
                <w:szCs w:val="24"/>
                <w:highlight w:val="none"/>
                <w:lang w:val="en-US" w:eastAsia="zh-CN"/>
              </w:rPr>
              <w:t>脱蜡工艺，结晶罐串联，实现结晶自动控制；结晶过程中加入助滤剂（硅藻土），减少滤饼阻力；脱蜡完成后，使用过滤器将</w:t>
            </w:r>
            <w:r>
              <w:rPr>
                <w:rFonts w:hint="default" w:ascii="Times New Roman" w:hAnsi="Times New Roman" w:cs="Times New Roman"/>
                <w:color w:val="auto"/>
                <w:spacing w:val="0"/>
                <w:position w:val="0"/>
                <w:sz w:val="24"/>
                <w:szCs w:val="24"/>
                <w:highlight w:val="none"/>
                <w:lang w:val="en-US" w:eastAsia="zh-CN"/>
              </w:rPr>
              <w:t>成品油</w:t>
            </w:r>
            <w:r>
              <w:rPr>
                <w:rFonts w:hint="default" w:ascii="Times New Roman" w:hAnsi="Times New Roman" w:eastAsia="宋体" w:cs="Times New Roman"/>
                <w:color w:val="auto"/>
                <w:spacing w:val="0"/>
                <w:position w:val="0"/>
                <w:sz w:val="24"/>
                <w:szCs w:val="24"/>
                <w:highlight w:val="none"/>
                <w:lang w:val="en-US" w:eastAsia="zh-CN"/>
              </w:rPr>
              <w:t>过滤，此过程中产生废助滤剂S4。</w:t>
            </w:r>
          </w:p>
          <w:p w14:paraId="51C56E73">
            <w:pPr>
              <w:keepNext w:val="0"/>
              <w:keepLines w:val="0"/>
              <w:pageBreakBefore w:val="0"/>
              <w:widowControl w:val="0"/>
              <w:kinsoku/>
              <w:wordWrap/>
              <w:overflowPunct/>
              <w:topLinePunct w:val="0"/>
              <w:autoSpaceDE w:val="0"/>
              <w:autoSpaceDN/>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kern w:val="2"/>
                <w:sz w:val="24"/>
                <w:szCs w:val="24"/>
                <w:highlight w:val="none"/>
                <w:lang w:eastAsia="zh-CN" w:bidi="ar"/>
              </w:rPr>
              <w:t>（</w:t>
            </w:r>
            <w:r>
              <w:rPr>
                <w:rFonts w:hint="default" w:ascii="Times New Roman" w:hAnsi="Times New Roman" w:cs="Times New Roman"/>
                <w:b/>
                <w:bCs/>
                <w:color w:val="auto"/>
                <w:kern w:val="2"/>
                <w:sz w:val="24"/>
                <w:szCs w:val="24"/>
                <w:highlight w:val="none"/>
                <w:lang w:val="en-US" w:eastAsia="zh-CN" w:bidi="ar"/>
              </w:rPr>
              <w:t>2</w:t>
            </w:r>
            <w:r>
              <w:rPr>
                <w:rFonts w:hint="default" w:ascii="Times New Roman" w:hAnsi="Times New Roman" w:cs="Times New Roman"/>
                <w:b/>
                <w:bCs/>
                <w:color w:val="auto"/>
                <w:kern w:val="2"/>
                <w:sz w:val="24"/>
                <w:szCs w:val="24"/>
                <w:highlight w:val="none"/>
                <w:lang w:eastAsia="zh-CN" w:bidi="ar"/>
              </w:rPr>
              <w:t>）</w:t>
            </w:r>
            <w:r>
              <w:rPr>
                <w:rFonts w:hint="default" w:ascii="Times New Roman" w:hAnsi="Times New Roman" w:eastAsia="宋体" w:cs="Times New Roman"/>
                <w:b/>
                <w:bCs/>
                <w:color w:val="auto"/>
                <w:kern w:val="2"/>
                <w:sz w:val="24"/>
                <w:szCs w:val="24"/>
                <w:highlight w:val="none"/>
                <w:lang w:bidi="ar"/>
              </w:rPr>
              <w:t>纯水设备工艺流程和产排污环节：</w:t>
            </w:r>
          </w:p>
          <w:p w14:paraId="7C84EC38">
            <w:pPr>
              <w:keepNext w:val="0"/>
              <w:keepLines w:val="0"/>
              <w:pageBreakBefore w:val="0"/>
              <w:widowControl w:val="0"/>
              <w:kinsoku/>
              <w:wordWrap/>
              <w:overflowPunct/>
              <w:topLinePunct w:val="0"/>
              <w:autoSpaceDE w:val="0"/>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bidi="ar"/>
              </w:rPr>
            </w:pPr>
            <w:r>
              <w:rPr>
                <w:rFonts w:hint="default" w:ascii="Times New Roman" w:hAnsi="Times New Roman" w:eastAsia="宋体" w:cs="Times New Roman"/>
                <w:color w:val="auto"/>
                <w:kern w:val="2"/>
                <w:sz w:val="24"/>
                <w:szCs w:val="24"/>
                <w:highlight w:val="none"/>
                <w:lang w:bidi="ar"/>
              </w:rPr>
              <w:t>纯水制备工艺流程和产排污环节，见图</w:t>
            </w:r>
            <w:r>
              <w:rPr>
                <w:rFonts w:hint="default" w:ascii="Times New Roman" w:hAnsi="Times New Roman" w:cs="Times New Roman"/>
                <w:color w:val="auto"/>
                <w:kern w:val="2"/>
                <w:sz w:val="24"/>
                <w:szCs w:val="24"/>
                <w:highlight w:val="none"/>
                <w:lang w:val="en-US" w:eastAsia="zh-CN" w:bidi="ar"/>
              </w:rPr>
              <w:t>2.4-3</w:t>
            </w:r>
            <w:r>
              <w:rPr>
                <w:rFonts w:hint="default" w:ascii="Times New Roman" w:hAnsi="Times New Roman" w:eastAsia="宋体" w:cs="Times New Roman"/>
                <w:color w:val="auto"/>
                <w:kern w:val="2"/>
                <w:sz w:val="24"/>
                <w:szCs w:val="24"/>
                <w:highlight w:val="none"/>
                <w:lang w:bidi="ar"/>
              </w:rPr>
              <w:t>。</w:t>
            </w:r>
          </w:p>
          <w:p w14:paraId="438BDDFE">
            <w:pPr>
              <w:widowControl w:val="0"/>
              <w:autoSpaceDE w:val="0"/>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object>
                <v:shape id="_x0000_i1029" o:spt="75" type="#_x0000_t75" style="height:74.45pt;width:379.95pt;" o:ole="t" filled="f" o:preferrelative="t" stroked="f" coordsize="21600,21600">
                  <v:path/>
                  <v:fill on="f" focussize="0,0"/>
                  <v:stroke on="f"/>
                  <v:imagedata r:id="rId16" croptop="12925f" cropbottom="7433f" o:title=""/>
                  <o:lock v:ext="edit" aspectratio="t"/>
                  <w10:wrap type="none"/>
                  <w10:anchorlock/>
                </v:shape>
                <o:OLEObject Type="Embed" ProgID="Visio.Drawing.11" ShapeID="_x0000_i1029" DrawAspect="Content" ObjectID="_1468075729" r:id="rId15">
                  <o:LockedField>false</o:LockedField>
                </o:OLEObject>
              </w:object>
            </w:r>
          </w:p>
          <w:p w14:paraId="688B50F4">
            <w:pPr>
              <w:pStyle w:val="31"/>
              <w:spacing w:line="360" w:lineRule="auto"/>
              <w:jc w:val="center"/>
              <w:rPr>
                <w:rFonts w:hint="default" w:ascii="Times New Roman" w:hAnsi="Times New Roman" w:cs="Times New Roman"/>
                <w:b/>
                <w:color w:val="auto"/>
                <w:kern w:val="2"/>
                <w:sz w:val="24"/>
                <w:szCs w:val="24"/>
                <w:highlight w:val="none"/>
                <w:lang w:bidi="ar"/>
              </w:rPr>
            </w:pPr>
            <w:r>
              <w:rPr>
                <w:rFonts w:hint="default" w:ascii="Times New Roman" w:hAnsi="Times New Roman" w:cs="Times New Roman"/>
                <w:b/>
                <w:color w:val="auto"/>
                <w:kern w:val="2"/>
                <w:sz w:val="24"/>
                <w:szCs w:val="24"/>
                <w:highlight w:val="none"/>
                <w:lang w:bidi="ar"/>
              </w:rPr>
              <w:t>图</w:t>
            </w:r>
            <w:r>
              <w:rPr>
                <w:rFonts w:hint="default" w:ascii="Times New Roman" w:hAnsi="Times New Roman" w:cs="Times New Roman"/>
                <w:b/>
                <w:color w:val="auto"/>
                <w:kern w:val="2"/>
                <w:sz w:val="24"/>
                <w:szCs w:val="24"/>
                <w:highlight w:val="none"/>
                <w:lang w:val="en-US" w:eastAsia="zh-CN" w:bidi="ar"/>
              </w:rPr>
              <w:t>2.4-3</w:t>
            </w:r>
            <w:r>
              <w:rPr>
                <w:rFonts w:hint="default" w:ascii="Times New Roman" w:hAnsi="Times New Roman" w:cs="Times New Roman"/>
                <w:b/>
                <w:color w:val="auto"/>
                <w:kern w:val="2"/>
                <w:sz w:val="24"/>
                <w:szCs w:val="24"/>
                <w:highlight w:val="none"/>
                <w:lang w:bidi="ar"/>
              </w:rPr>
              <w:t>纯水示意图</w:t>
            </w:r>
          </w:p>
          <w:p w14:paraId="622AF2E4">
            <w:pPr>
              <w:pStyle w:val="32"/>
              <w:keepNext/>
              <w:keepLines/>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纯水制备采用一级反渗透R/O技术，制备能力3t/h，纯水制备率</w:t>
            </w:r>
            <w:r>
              <w:rPr>
                <w:rFonts w:hint="default" w:ascii="Times New Roman" w:hAnsi="Times New Roman" w:cs="Times New Roman"/>
                <w:b w:val="0"/>
                <w:bCs w:val="0"/>
                <w:color w:val="auto"/>
                <w:sz w:val="24"/>
                <w:szCs w:val="24"/>
                <w:highlight w:val="none"/>
                <w:lang w:val="en-US" w:eastAsia="zh-CN"/>
              </w:rPr>
              <w:t>70</w:t>
            </w:r>
            <w:r>
              <w:rPr>
                <w:rFonts w:hint="default" w:ascii="Times New Roman" w:hAnsi="Times New Roman" w:cs="Times New Roman"/>
                <w:b w:val="0"/>
                <w:bCs w:val="0"/>
                <w:color w:val="auto"/>
                <w:sz w:val="24"/>
                <w:szCs w:val="24"/>
                <w:highlight w:val="none"/>
              </w:rPr>
              <w:t>%，纯水制备过程中有浓水产生。活性炭吸附饱和和RO反渗透膜达到更换要求后，定期更换RO膜，RO膜更换频次1次/</w:t>
            </w: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rPr>
              <w:t>a，有纯水制备废RO膜S</w:t>
            </w:r>
            <w:r>
              <w:rPr>
                <w:rFonts w:hint="eastAsia" w:ascii="Times New Roman" w:hAnsi="Times New Roman" w:cs="Times New Roman"/>
                <w:b w:val="0"/>
                <w:bCs w:val="0"/>
                <w:color w:val="auto"/>
                <w:sz w:val="24"/>
                <w:szCs w:val="24"/>
                <w:highlight w:val="none"/>
                <w:lang w:val="en-US" w:eastAsia="zh-CN"/>
              </w:rPr>
              <w:t>6</w:t>
            </w:r>
            <w:r>
              <w:rPr>
                <w:rFonts w:hint="default" w:ascii="Times New Roman" w:hAnsi="Times New Roman" w:cs="Times New Roman"/>
                <w:b w:val="0"/>
                <w:bCs w:val="0"/>
                <w:color w:val="auto"/>
                <w:sz w:val="24"/>
                <w:szCs w:val="24"/>
                <w:highlight w:val="none"/>
              </w:rPr>
              <w:t>产生。</w:t>
            </w:r>
          </w:p>
          <w:p w14:paraId="386C8CF5">
            <w:pPr>
              <w:pageBreakBefore w:val="0"/>
              <w:numPr>
                <w:ilvl w:val="0"/>
                <w:numId w:val="0"/>
              </w:numPr>
              <w:kinsoku/>
              <w:wordWrap/>
              <w:overflowPunct w:val="0"/>
              <w:topLinePunct/>
              <w:bidi w:val="0"/>
              <w:snapToGrid w:val="0"/>
              <w:spacing w:line="440" w:lineRule="exact"/>
              <w:ind w:firstLine="482" w:firstLineChars="200"/>
              <w:rPr>
                <w:rFonts w:hint="default" w:ascii="Times New Roman" w:hAnsi="Times New Roman" w:eastAsia="宋体" w:cs="Times New Roman"/>
                <w:b/>
                <w:bCs/>
                <w:color w:val="auto"/>
                <w:spacing w:val="0"/>
                <w:kern w:val="2"/>
                <w:position w:val="0"/>
                <w:sz w:val="24"/>
                <w:szCs w:val="24"/>
                <w:highlight w:val="none"/>
                <w:lang w:val="en-US" w:eastAsia="zh-CN" w:bidi="ar-SA"/>
              </w:rPr>
            </w:pPr>
            <w:r>
              <w:rPr>
                <w:rFonts w:hint="default" w:ascii="Times New Roman" w:hAnsi="Times New Roman" w:eastAsia="宋体" w:cs="Times New Roman"/>
                <w:b/>
                <w:bCs/>
                <w:color w:val="auto"/>
                <w:spacing w:val="0"/>
                <w:kern w:val="2"/>
                <w:position w:val="0"/>
                <w:sz w:val="24"/>
                <w:szCs w:val="24"/>
                <w:highlight w:val="none"/>
                <w:lang w:val="en-US" w:eastAsia="zh-CN" w:bidi="ar-SA"/>
              </w:rPr>
              <w:t>2.4.3</w:t>
            </w:r>
            <w:r>
              <w:rPr>
                <w:rFonts w:hint="eastAsia" w:cs="Times New Roman"/>
                <w:b/>
                <w:bCs/>
                <w:color w:val="auto"/>
                <w:spacing w:val="0"/>
                <w:kern w:val="2"/>
                <w:position w:val="0"/>
                <w:sz w:val="24"/>
                <w:szCs w:val="24"/>
                <w:highlight w:val="none"/>
                <w:lang w:val="en-US" w:eastAsia="zh-CN" w:bidi="ar-SA"/>
              </w:rPr>
              <w:t>本项目</w:t>
            </w:r>
            <w:r>
              <w:rPr>
                <w:rFonts w:hint="default" w:ascii="Times New Roman" w:hAnsi="Times New Roman" w:eastAsia="宋体" w:cs="Times New Roman"/>
                <w:b/>
                <w:bCs/>
                <w:color w:val="auto"/>
                <w:spacing w:val="0"/>
                <w:kern w:val="2"/>
                <w:position w:val="0"/>
                <w:sz w:val="24"/>
                <w:szCs w:val="24"/>
                <w:highlight w:val="none"/>
                <w:lang w:val="en-US" w:eastAsia="zh-CN" w:bidi="ar-SA"/>
              </w:rPr>
              <w:t>运营期产排污节点统计</w:t>
            </w:r>
          </w:p>
          <w:p w14:paraId="4F7B3524">
            <w:pPr>
              <w:pageBreakBefore w:val="0"/>
              <w:numPr>
                <w:ilvl w:val="0"/>
                <w:numId w:val="0"/>
              </w:numPr>
              <w:kinsoku/>
              <w:wordWrap/>
              <w:overflowPunct w:val="0"/>
              <w:topLinePunct/>
              <w:bidi w:val="0"/>
              <w:snapToGrid w:val="0"/>
              <w:spacing w:line="440" w:lineRule="exact"/>
              <w:jc w:val="center"/>
              <w:rPr>
                <w:rFonts w:hint="default" w:ascii="Times New Roman" w:hAnsi="Times New Roman" w:eastAsia="宋体" w:cs="Times New Roman"/>
                <w:b/>
                <w:bCs/>
                <w:color w:val="auto"/>
                <w:spacing w:val="0"/>
                <w:kern w:val="2"/>
                <w:position w:val="0"/>
                <w:sz w:val="24"/>
                <w:szCs w:val="24"/>
                <w:highlight w:val="none"/>
                <w:lang w:val="en-US" w:eastAsia="zh-CN" w:bidi="ar-SA"/>
              </w:rPr>
            </w:pPr>
            <w:r>
              <w:rPr>
                <w:rFonts w:hint="default" w:ascii="Times New Roman" w:hAnsi="Times New Roman" w:eastAsia="宋体" w:cs="Times New Roman"/>
                <w:b/>
                <w:bCs/>
                <w:color w:val="auto"/>
                <w:spacing w:val="0"/>
                <w:kern w:val="2"/>
                <w:position w:val="0"/>
                <w:sz w:val="24"/>
                <w:szCs w:val="24"/>
                <w:highlight w:val="none"/>
                <w:lang w:val="en-US" w:eastAsia="zh-CN" w:bidi="ar-SA"/>
              </w:rPr>
              <w:t>表2.4-1</w:t>
            </w:r>
            <w:r>
              <w:rPr>
                <w:rFonts w:hint="eastAsia" w:cs="Times New Roman"/>
                <w:b/>
                <w:bCs/>
                <w:color w:val="auto"/>
                <w:spacing w:val="0"/>
                <w:kern w:val="2"/>
                <w:position w:val="0"/>
                <w:sz w:val="24"/>
                <w:szCs w:val="24"/>
                <w:highlight w:val="none"/>
                <w:lang w:val="en-US" w:eastAsia="zh-CN" w:bidi="ar-SA"/>
              </w:rPr>
              <w:t>本项目</w:t>
            </w:r>
            <w:r>
              <w:rPr>
                <w:rFonts w:hint="default" w:ascii="Times New Roman" w:hAnsi="Times New Roman" w:eastAsia="宋体" w:cs="Times New Roman"/>
                <w:b/>
                <w:bCs/>
                <w:color w:val="auto"/>
                <w:spacing w:val="0"/>
                <w:kern w:val="2"/>
                <w:position w:val="0"/>
                <w:sz w:val="24"/>
                <w:szCs w:val="24"/>
                <w:highlight w:val="none"/>
                <w:lang w:val="en-US" w:eastAsia="zh-CN" w:bidi="ar-SA"/>
              </w:rPr>
              <w:t>运营期主要污染工序一览表</w:t>
            </w:r>
          </w:p>
          <w:tbl>
            <w:tblPr>
              <w:tblStyle w:val="19"/>
              <w:tblW w:w="8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035"/>
              <w:gridCol w:w="1995"/>
              <w:gridCol w:w="2181"/>
              <w:gridCol w:w="2222"/>
            </w:tblGrid>
            <w:tr w14:paraId="7DE7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noWrap w:val="0"/>
                  <w:vAlign w:val="center"/>
                </w:tcPr>
                <w:p w14:paraId="6D58B043">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类别</w:t>
                  </w:r>
                </w:p>
              </w:tc>
              <w:tc>
                <w:tcPr>
                  <w:tcW w:w="1035" w:type="dxa"/>
                  <w:noWrap w:val="0"/>
                  <w:vAlign w:val="center"/>
                </w:tcPr>
                <w:p w14:paraId="40B8A4DA">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编号</w:t>
                  </w:r>
                </w:p>
              </w:tc>
              <w:tc>
                <w:tcPr>
                  <w:tcW w:w="1995" w:type="dxa"/>
                  <w:noWrap w:val="0"/>
                  <w:vAlign w:val="center"/>
                </w:tcPr>
                <w:p w14:paraId="3FF0C490">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污染工序</w:t>
                  </w:r>
                </w:p>
              </w:tc>
              <w:tc>
                <w:tcPr>
                  <w:tcW w:w="2181" w:type="dxa"/>
                  <w:noWrap w:val="0"/>
                  <w:vAlign w:val="center"/>
                </w:tcPr>
                <w:p w14:paraId="068C569B">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污染源名称</w:t>
                  </w:r>
                </w:p>
              </w:tc>
              <w:tc>
                <w:tcPr>
                  <w:tcW w:w="2222" w:type="dxa"/>
                  <w:noWrap w:val="0"/>
                  <w:vAlign w:val="center"/>
                </w:tcPr>
                <w:p w14:paraId="11614B1D">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主要污染物</w:t>
                  </w:r>
                </w:p>
              </w:tc>
            </w:tr>
            <w:tr w14:paraId="4AFE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restart"/>
                  <w:noWrap w:val="0"/>
                  <w:vAlign w:val="center"/>
                </w:tcPr>
                <w:p w14:paraId="23C6F3B5">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废气</w:t>
                  </w:r>
                </w:p>
              </w:tc>
              <w:tc>
                <w:tcPr>
                  <w:tcW w:w="1035" w:type="dxa"/>
                  <w:noWrap w:val="0"/>
                  <w:vAlign w:val="center"/>
                </w:tcPr>
                <w:p w14:paraId="5754D08C">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G1</w:t>
                  </w:r>
                </w:p>
              </w:tc>
              <w:tc>
                <w:tcPr>
                  <w:tcW w:w="1995" w:type="dxa"/>
                  <w:noWrap w:val="0"/>
                  <w:vAlign w:val="center"/>
                </w:tcPr>
                <w:p w14:paraId="1605490B">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锅炉</w:t>
                  </w:r>
                </w:p>
              </w:tc>
              <w:tc>
                <w:tcPr>
                  <w:tcW w:w="2181" w:type="dxa"/>
                  <w:noWrap w:val="0"/>
                  <w:vAlign w:val="center"/>
                </w:tcPr>
                <w:p w14:paraId="47B369C4">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天然气</w:t>
                  </w:r>
                  <w:r>
                    <w:rPr>
                      <w:rFonts w:hint="default" w:ascii="Times New Roman" w:hAnsi="Times New Roman" w:eastAsia="宋体" w:cs="Times New Roman"/>
                      <w:color w:val="auto"/>
                      <w:kern w:val="2"/>
                      <w:sz w:val="21"/>
                      <w:szCs w:val="21"/>
                      <w:highlight w:val="none"/>
                      <w:vertAlign w:val="baseline"/>
                      <w:lang w:val="en-US" w:eastAsia="zh-CN" w:bidi="ar"/>
                    </w:rPr>
                    <w:t>燃烧废气</w:t>
                  </w:r>
                </w:p>
              </w:tc>
              <w:tc>
                <w:tcPr>
                  <w:tcW w:w="2222" w:type="dxa"/>
                  <w:noWrap w:val="0"/>
                  <w:vAlign w:val="center"/>
                </w:tcPr>
                <w:p w14:paraId="7FBC19ED">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颗粒物、SO</w:t>
                  </w:r>
                  <w:r>
                    <w:rPr>
                      <w:rFonts w:hint="default" w:ascii="Times New Roman" w:hAnsi="Times New Roman" w:eastAsia="宋体" w:cs="Times New Roman"/>
                      <w:color w:val="auto"/>
                      <w:kern w:val="2"/>
                      <w:sz w:val="21"/>
                      <w:szCs w:val="21"/>
                      <w:highlight w:val="none"/>
                      <w:vertAlign w:val="subscript"/>
                      <w:lang w:val="en-US" w:eastAsia="zh-CN" w:bidi="ar"/>
                    </w:rPr>
                    <w:t>2</w:t>
                  </w:r>
                  <w:r>
                    <w:rPr>
                      <w:rFonts w:hint="default" w:ascii="Times New Roman" w:hAnsi="Times New Roman" w:eastAsia="宋体" w:cs="Times New Roman"/>
                      <w:color w:val="auto"/>
                      <w:kern w:val="2"/>
                      <w:sz w:val="21"/>
                      <w:szCs w:val="21"/>
                      <w:highlight w:val="none"/>
                      <w:vertAlign w:val="baseline"/>
                      <w:lang w:val="en-US" w:eastAsia="zh-CN" w:bidi="ar"/>
                    </w:rPr>
                    <w:t>、NO</w:t>
                  </w:r>
                  <w:r>
                    <w:rPr>
                      <w:rFonts w:hint="default" w:ascii="Times New Roman" w:hAnsi="Times New Roman" w:eastAsia="宋体" w:cs="Times New Roman"/>
                      <w:color w:val="auto"/>
                      <w:kern w:val="2"/>
                      <w:sz w:val="21"/>
                      <w:szCs w:val="21"/>
                      <w:highlight w:val="none"/>
                      <w:vertAlign w:val="subscript"/>
                      <w:lang w:val="en-US" w:eastAsia="zh-CN" w:bidi="ar"/>
                    </w:rPr>
                    <w:t>X</w:t>
                  </w:r>
                </w:p>
              </w:tc>
            </w:tr>
            <w:tr w14:paraId="0111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0E3F089D">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noWrap w:val="0"/>
                  <w:vAlign w:val="center"/>
                </w:tcPr>
                <w:p w14:paraId="2AEA5E8E">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G2</w:t>
                  </w:r>
                </w:p>
              </w:tc>
              <w:tc>
                <w:tcPr>
                  <w:tcW w:w="1995" w:type="dxa"/>
                  <w:noWrap w:val="0"/>
                  <w:vAlign w:val="center"/>
                </w:tcPr>
                <w:p w14:paraId="7F931887">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脱臭、脱色</w:t>
                  </w:r>
                </w:p>
              </w:tc>
              <w:tc>
                <w:tcPr>
                  <w:tcW w:w="2181" w:type="dxa"/>
                  <w:noWrap w:val="0"/>
                  <w:vAlign w:val="center"/>
                </w:tcPr>
                <w:p w14:paraId="0F86B6D9">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精炼</w:t>
                  </w:r>
                  <w:r>
                    <w:rPr>
                      <w:rFonts w:hint="default" w:ascii="Times New Roman" w:hAnsi="Times New Roman" w:eastAsia="宋体" w:cs="Times New Roman"/>
                      <w:color w:val="auto"/>
                      <w:kern w:val="2"/>
                      <w:sz w:val="21"/>
                      <w:szCs w:val="21"/>
                      <w:highlight w:val="none"/>
                      <w:vertAlign w:val="baseline"/>
                      <w:lang w:val="en-US" w:eastAsia="zh-CN" w:bidi="ar"/>
                    </w:rPr>
                    <w:t>废气</w:t>
                  </w:r>
                </w:p>
              </w:tc>
              <w:tc>
                <w:tcPr>
                  <w:tcW w:w="2222" w:type="dxa"/>
                  <w:noWrap w:val="0"/>
                  <w:vAlign w:val="center"/>
                </w:tcPr>
                <w:p w14:paraId="281DCDF7">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臭气浓度、非甲烷总烃</w:t>
                  </w:r>
                </w:p>
              </w:tc>
            </w:tr>
            <w:tr w14:paraId="0675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30E021AA">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noWrap w:val="0"/>
                  <w:vAlign w:val="center"/>
                </w:tcPr>
                <w:p w14:paraId="645138B8">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G3</w:t>
                  </w:r>
                </w:p>
              </w:tc>
              <w:tc>
                <w:tcPr>
                  <w:tcW w:w="1995" w:type="dxa"/>
                  <w:noWrap w:val="0"/>
                  <w:vAlign w:val="center"/>
                </w:tcPr>
                <w:p w14:paraId="74C90FA4">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白土投料</w:t>
                  </w:r>
                </w:p>
              </w:tc>
              <w:tc>
                <w:tcPr>
                  <w:tcW w:w="2181" w:type="dxa"/>
                  <w:noWrap w:val="0"/>
                  <w:vAlign w:val="center"/>
                </w:tcPr>
                <w:p w14:paraId="0CC71187">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eastAsia"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投料粉尘</w:t>
                  </w:r>
                </w:p>
              </w:tc>
              <w:tc>
                <w:tcPr>
                  <w:tcW w:w="2222" w:type="dxa"/>
                  <w:noWrap w:val="0"/>
                  <w:vAlign w:val="center"/>
                </w:tcPr>
                <w:p w14:paraId="01DBEB2F">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颗粒物</w:t>
                  </w:r>
                </w:p>
              </w:tc>
            </w:tr>
            <w:tr w14:paraId="1E09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restart"/>
                  <w:noWrap w:val="0"/>
                  <w:vAlign w:val="center"/>
                </w:tcPr>
                <w:p w14:paraId="13020628">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废水</w:t>
                  </w:r>
                </w:p>
              </w:tc>
              <w:tc>
                <w:tcPr>
                  <w:tcW w:w="1035" w:type="dxa"/>
                  <w:noWrap w:val="0"/>
                  <w:vAlign w:val="center"/>
                </w:tcPr>
                <w:p w14:paraId="2B26AB37">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W1</w:t>
                  </w:r>
                </w:p>
              </w:tc>
              <w:tc>
                <w:tcPr>
                  <w:tcW w:w="1995" w:type="dxa"/>
                  <w:noWrap w:val="0"/>
                  <w:vAlign w:val="center"/>
                </w:tcPr>
                <w:p w14:paraId="7EE8C0D5">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水洗</w:t>
                  </w:r>
                </w:p>
              </w:tc>
              <w:tc>
                <w:tcPr>
                  <w:tcW w:w="2181" w:type="dxa"/>
                  <w:noWrap w:val="0"/>
                  <w:vAlign w:val="center"/>
                </w:tcPr>
                <w:p w14:paraId="5234DA4F">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水洗废水</w:t>
                  </w:r>
                </w:p>
              </w:tc>
              <w:tc>
                <w:tcPr>
                  <w:tcW w:w="2222" w:type="dxa"/>
                  <w:vMerge w:val="restart"/>
                  <w:noWrap w:val="0"/>
                  <w:vAlign w:val="center"/>
                </w:tcPr>
                <w:p w14:paraId="4C01F8A9">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pH、</w:t>
                  </w:r>
                  <w:r>
                    <w:rPr>
                      <w:rFonts w:hint="default" w:ascii="Times New Roman" w:hAnsi="Times New Roman" w:eastAsia="宋体" w:cs="Times New Roman"/>
                      <w:color w:val="auto"/>
                      <w:kern w:val="2"/>
                      <w:sz w:val="21"/>
                      <w:szCs w:val="21"/>
                      <w:highlight w:val="none"/>
                      <w:vertAlign w:val="baseline"/>
                      <w:lang w:val="en-US" w:eastAsia="zh-CN" w:bidi="ar"/>
                    </w:rPr>
                    <w:t>COD、BOD</w:t>
                  </w:r>
                  <w:r>
                    <w:rPr>
                      <w:rFonts w:hint="default" w:ascii="Times New Roman" w:hAnsi="Times New Roman" w:eastAsia="宋体" w:cs="Times New Roman"/>
                      <w:color w:val="auto"/>
                      <w:kern w:val="2"/>
                      <w:sz w:val="21"/>
                      <w:szCs w:val="21"/>
                      <w:highlight w:val="none"/>
                      <w:vertAlign w:val="subscript"/>
                      <w:lang w:val="en-US" w:eastAsia="zh-CN" w:bidi="ar"/>
                    </w:rPr>
                    <w:t>5</w:t>
                  </w:r>
                  <w:r>
                    <w:rPr>
                      <w:rFonts w:hint="default" w:ascii="Times New Roman" w:hAnsi="Times New Roman" w:eastAsia="宋体" w:cs="Times New Roman"/>
                      <w:color w:val="auto"/>
                      <w:kern w:val="2"/>
                      <w:sz w:val="21"/>
                      <w:szCs w:val="21"/>
                      <w:highlight w:val="none"/>
                      <w:vertAlign w:val="baseline"/>
                      <w:lang w:val="en-US" w:eastAsia="zh-CN" w:bidi="ar"/>
                    </w:rPr>
                    <w:t>、SS、NH</w:t>
                  </w:r>
                  <w:r>
                    <w:rPr>
                      <w:rFonts w:hint="default" w:ascii="Times New Roman" w:hAnsi="Times New Roman" w:eastAsia="宋体" w:cs="Times New Roman"/>
                      <w:color w:val="auto"/>
                      <w:kern w:val="2"/>
                      <w:sz w:val="21"/>
                      <w:szCs w:val="21"/>
                      <w:highlight w:val="none"/>
                      <w:vertAlign w:val="subscript"/>
                      <w:lang w:val="en-US" w:eastAsia="zh-CN" w:bidi="ar"/>
                    </w:rPr>
                    <w:t>3</w:t>
                  </w:r>
                  <w:r>
                    <w:rPr>
                      <w:rFonts w:hint="default" w:ascii="Times New Roman" w:hAnsi="Times New Roman" w:eastAsia="宋体" w:cs="Times New Roman"/>
                      <w:color w:val="auto"/>
                      <w:kern w:val="2"/>
                      <w:sz w:val="21"/>
                      <w:szCs w:val="21"/>
                      <w:highlight w:val="none"/>
                      <w:vertAlign w:val="baseline"/>
                      <w:lang w:val="en-US" w:eastAsia="zh-CN" w:bidi="ar"/>
                    </w:rPr>
                    <w:t>-N、动植物油、</w:t>
                  </w:r>
                  <w:r>
                    <w:rPr>
                      <w:rFonts w:hint="eastAsia" w:cs="Times New Roman"/>
                      <w:color w:val="auto"/>
                      <w:kern w:val="2"/>
                      <w:sz w:val="21"/>
                      <w:szCs w:val="21"/>
                      <w:highlight w:val="none"/>
                      <w:vertAlign w:val="baseline"/>
                      <w:lang w:val="en-US" w:eastAsia="zh-CN" w:bidi="ar"/>
                    </w:rPr>
                    <w:t>色度、TN、</w:t>
                  </w:r>
                  <w:r>
                    <w:rPr>
                      <w:rFonts w:hint="default" w:ascii="Times New Roman" w:hAnsi="Times New Roman" w:eastAsia="宋体" w:cs="Times New Roman"/>
                      <w:color w:val="auto"/>
                      <w:kern w:val="2"/>
                      <w:sz w:val="21"/>
                      <w:szCs w:val="21"/>
                      <w:highlight w:val="none"/>
                      <w:vertAlign w:val="baseline"/>
                      <w:lang w:val="en-US" w:eastAsia="zh-CN" w:bidi="ar"/>
                    </w:rPr>
                    <w:t>TP</w:t>
                  </w:r>
                </w:p>
              </w:tc>
            </w:tr>
            <w:tr w14:paraId="1DA5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dxa"/>
                  <w:vMerge w:val="continue"/>
                  <w:noWrap w:val="0"/>
                  <w:vAlign w:val="center"/>
                </w:tcPr>
                <w:p w14:paraId="0A7DB412">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noWrap w:val="0"/>
                  <w:vAlign w:val="center"/>
                </w:tcPr>
                <w:p w14:paraId="0BA368FA">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W2</w:t>
                  </w:r>
                </w:p>
              </w:tc>
              <w:tc>
                <w:tcPr>
                  <w:tcW w:w="1995" w:type="dxa"/>
                  <w:shd w:val="clear" w:color="auto" w:fill="auto"/>
                  <w:noWrap w:val="0"/>
                  <w:vAlign w:val="center"/>
                </w:tcPr>
                <w:p w14:paraId="5B9173C5">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精炼车间地面清洗</w:t>
                  </w:r>
                </w:p>
              </w:tc>
              <w:tc>
                <w:tcPr>
                  <w:tcW w:w="2181" w:type="dxa"/>
                  <w:shd w:val="clear" w:color="auto" w:fill="auto"/>
                  <w:noWrap w:val="0"/>
                  <w:vAlign w:val="center"/>
                </w:tcPr>
                <w:p w14:paraId="7117289A">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清洗废水</w:t>
                  </w:r>
                </w:p>
              </w:tc>
              <w:tc>
                <w:tcPr>
                  <w:tcW w:w="2222" w:type="dxa"/>
                  <w:vMerge w:val="continue"/>
                  <w:noWrap w:val="0"/>
                  <w:vAlign w:val="center"/>
                </w:tcPr>
                <w:p w14:paraId="6E7F54A9">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r w14:paraId="0C52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51878AD8">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shd w:val="clear" w:color="auto" w:fill="auto"/>
                  <w:noWrap w:val="0"/>
                  <w:vAlign w:val="center"/>
                </w:tcPr>
                <w:p w14:paraId="54BE4FFC">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W3</w:t>
                  </w:r>
                </w:p>
              </w:tc>
              <w:tc>
                <w:tcPr>
                  <w:tcW w:w="1995" w:type="dxa"/>
                  <w:shd w:val="clear" w:color="auto" w:fill="auto"/>
                  <w:noWrap w:val="0"/>
                  <w:vAlign w:val="center"/>
                </w:tcPr>
                <w:p w14:paraId="6DA39B21">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纯水制备</w:t>
                  </w:r>
                </w:p>
              </w:tc>
              <w:tc>
                <w:tcPr>
                  <w:tcW w:w="2181" w:type="dxa"/>
                  <w:shd w:val="clear" w:color="auto" w:fill="auto"/>
                  <w:noWrap w:val="0"/>
                  <w:vAlign w:val="center"/>
                </w:tcPr>
                <w:p w14:paraId="1A991A76">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制备废水</w:t>
                  </w:r>
                </w:p>
              </w:tc>
              <w:tc>
                <w:tcPr>
                  <w:tcW w:w="2222" w:type="dxa"/>
                  <w:vMerge w:val="continue"/>
                  <w:noWrap w:val="0"/>
                  <w:vAlign w:val="center"/>
                </w:tcPr>
                <w:p w14:paraId="7CEE507B">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r w14:paraId="410F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noWrap w:val="0"/>
                  <w:vAlign w:val="center"/>
                </w:tcPr>
                <w:p w14:paraId="67EF1AA4">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噪声</w:t>
                  </w:r>
                </w:p>
              </w:tc>
              <w:tc>
                <w:tcPr>
                  <w:tcW w:w="1035" w:type="dxa"/>
                  <w:noWrap w:val="0"/>
                  <w:vAlign w:val="center"/>
                </w:tcPr>
                <w:p w14:paraId="0470F440">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N</w:t>
                  </w:r>
                </w:p>
              </w:tc>
              <w:tc>
                <w:tcPr>
                  <w:tcW w:w="1995" w:type="dxa"/>
                  <w:noWrap w:val="0"/>
                  <w:vAlign w:val="center"/>
                </w:tcPr>
                <w:p w14:paraId="6F537E53">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运行设备</w:t>
                  </w:r>
                </w:p>
              </w:tc>
              <w:tc>
                <w:tcPr>
                  <w:tcW w:w="2181" w:type="dxa"/>
                  <w:noWrap w:val="0"/>
                  <w:vAlign w:val="center"/>
                </w:tcPr>
                <w:p w14:paraId="7C7BDBEB">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设备噪声</w:t>
                  </w:r>
                </w:p>
              </w:tc>
              <w:tc>
                <w:tcPr>
                  <w:tcW w:w="2222" w:type="dxa"/>
                  <w:noWrap w:val="0"/>
                  <w:vAlign w:val="center"/>
                </w:tcPr>
                <w:p w14:paraId="6B897962">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噪声</w:t>
                  </w:r>
                </w:p>
              </w:tc>
            </w:tr>
            <w:tr w14:paraId="60BA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restart"/>
                  <w:noWrap w:val="0"/>
                  <w:vAlign w:val="center"/>
                </w:tcPr>
                <w:p w14:paraId="2BA2935A">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固废</w:t>
                  </w:r>
                </w:p>
              </w:tc>
              <w:tc>
                <w:tcPr>
                  <w:tcW w:w="1035" w:type="dxa"/>
                  <w:noWrap w:val="0"/>
                  <w:vAlign w:val="center"/>
                </w:tcPr>
                <w:p w14:paraId="1D63C2CF">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S1</w:t>
                  </w:r>
                </w:p>
              </w:tc>
              <w:tc>
                <w:tcPr>
                  <w:tcW w:w="1995" w:type="dxa"/>
                  <w:noWrap w:val="0"/>
                  <w:vAlign w:val="center"/>
                </w:tcPr>
                <w:p w14:paraId="17361E60">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过滤</w:t>
                  </w:r>
                </w:p>
              </w:tc>
              <w:tc>
                <w:tcPr>
                  <w:tcW w:w="2181" w:type="dxa"/>
                  <w:noWrap w:val="0"/>
                  <w:vAlign w:val="center"/>
                </w:tcPr>
                <w:p w14:paraId="6DD15495">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杂质</w:t>
                  </w:r>
                </w:p>
              </w:tc>
              <w:tc>
                <w:tcPr>
                  <w:tcW w:w="2222" w:type="dxa"/>
                  <w:vMerge w:val="restart"/>
                  <w:noWrap w:val="0"/>
                  <w:vAlign w:val="center"/>
                </w:tcPr>
                <w:p w14:paraId="74C42C18">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一般工业固废</w:t>
                  </w:r>
                </w:p>
              </w:tc>
            </w:tr>
            <w:tr w14:paraId="0BDC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17DEDFB8">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noWrap w:val="0"/>
                  <w:vAlign w:val="center"/>
                </w:tcPr>
                <w:p w14:paraId="4269B89C">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S2</w:t>
                  </w:r>
                </w:p>
              </w:tc>
              <w:tc>
                <w:tcPr>
                  <w:tcW w:w="1995" w:type="dxa"/>
                  <w:noWrap w:val="0"/>
                  <w:vAlign w:val="center"/>
                </w:tcPr>
                <w:p w14:paraId="73FBF808">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脱酸</w:t>
                  </w:r>
                </w:p>
              </w:tc>
              <w:tc>
                <w:tcPr>
                  <w:tcW w:w="2181" w:type="dxa"/>
                  <w:noWrap w:val="0"/>
                  <w:vAlign w:val="center"/>
                </w:tcPr>
                <w:p w14:paraId="22610A4F">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皂脚</w:t>
                  </w:r>
                </w:p>
              </w:tc>
              <w:tc>
                <w:tcPr>
                  <w:tcW w:w="2222" w:type="dxa"/>
                  <w:vMerge w:val="continue"/>
                  <w:noWrap w:val="0"/>
                  <w:vAlign w:val="center"/>
                </w:tcPr>
                <w:p w14:paraId="2E4940C1">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r w14:paraId="000A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5D28FC47">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noWrap w:val="0"/>
                  <w:vAlign w:val="center"/>
                </w:tcPr>
                <w:p w14:paraId="702DB1F2">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S3</w:t>
                  </w:r>
                </w:p>
              </w:tc>
              <w:tc>
                <w:tcPr>
                  <w:tcW w:w="1995" w:type="dxa"/>
                  <w:noWrap w:val="0"/>
                  <w:vAlign w:val="center"/>
                </w:tcPr>
                <w:p w14:paraId="5CA8597E">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脱色</w:t>
                  </w:r>
                </w:p>
              </w:tc>
              <w:tc>
                <w:tcPr>
                  <w:tcW w:w="2181" w:type="dxa"/>
                  <w:noWrap w:val="0"/>
                  <w:vAlign w:val="center"/>
                </w:tcPr>
                <w:p w14:paraId="3C37E7CB">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废白土</w:t>
                  </w:r>
                </w:p>
              </w:tc>
              <w:tc>
                <w:tcPr>
                  <w:tcW w:w="2222" w:type="dxa"/>
                  <w:vMerge w:val="continue"/>
                  <w:noWrap w:val="0"/>
                  <w:vAlign w:val="center"/>
                </w:tcPr>
                <w:p w14:paraId="65D637F3">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r w14:paraId="2F20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67633286">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noWrap w:val="0"/>
                  <w:vAlign w:val="center"/>
                </w:tcPr>
                <w:p w14:paraId="7C96D6B5">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S4</w:t>
                  </w:r>
                </w:p>
              </w:tc>
              <w:tc>
                <w:tcPr>
                  <w:tcW w:w="1995" w:type="dxa"/>
                  <w:noWrap w:val="0"/>
                  <w:vAlign w:val="center"/>
                </w:tcPr>
                <w:p w14:paraId="595F2640">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脱蜡</w:t>
                  </w:r>
                </w:p>
              </w:tc>
              <w:tc>
                <w:tcPr>
                  <w:tcW w:w="2181" w:type="dxa"/>
                  <w:noWrap w:val="0"/>
                  <w:vAlign w:val="center"/>
                </w:tcPr>
                <w:p w14:paraId="6A8BB83C">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废助滤剂</w:t>
                  </w:r>
                </w:p>
              </w:tc>
              <w:tc>
                <w:tcPr>
                  <w:tcW w:w="2222" w:type="dxa"/>
                  <w:vMerge w:val="continue"/>
                  <w:noWrap w:val="0"/>
                  <w:vAlign w:val="center"/>
                </w:tcPr>
                <w:p w14:paraId="3B335C6D">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r w14:paraId="1975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71834380">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shd w:val="clear" w:color="auto" w:fill="auto"/>
                  <w:noWrap w:val="0"/>
                  <w:vAlign w:val="center"/>
                </w:tcPr>
                <w:p w14:paraId="46364964">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S5</w:t>
                  </w:r>
                </w:p>
              </w:tc>
              <w:tc>
                <w:tcPr>
                  <w:tcW w:w="1995" w:type="dxa"/>
                  <w:noWrap w:val="0"/>
                  <w:vAlign w:val="center"/>
                </w:tcPr>
                <w:p w14:paraId="2F4A3650">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ascii="Times New Roman" w:hAnsi="Times New Roman" w:cs="Times New Roman"/>
                      <w:color w:val="auto"/>
                      <w:kern w:val="2"/>
                      <w:sz w:val="21"/>
                      <w:szCs w:val="21"/>
                      <w:highlight w:val="none"/>
                      <w:vertAlign w:val="baseline"/>
                      <w:lang w:val="en-US" w:eastAsia="zh-CN" w:bidi="ar"/>
                    </w:rPr>
                    <w:t>脱臭</w:t>
                  </w:r>
                </w:p>
              </w:tc>
              <w:tc>
                <w:tcPr>
                  <w:tcW w:w="2181" w:type="dxa"/>
                  <w:noWrap w:val="0"/>
                  <w:vAlign w:val="center"/>
                </w:tcPr>
                <w:p w14:paraId="2D80FD14">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ascii="Times New Roman" w:hAnsi="Times New Roman" w:cs="Times New Roman"/>
                      <w:color w:val="auto"/>
                      <w:kern w:val="2"/>
                      <w:sz w:val="21"/>
                      <w:szCs w:val="21"/>
                      <w:highlight w:val="none"/>
                      <w:vertAlign w:val="baseline"/>
                      <w:lang w:val="en-US" w:eastAsia="zh-CN" w:bidi="ar"/>
                    </w:rPr>
                    <w:t>脂肪酸</w:t>
                  </w:r>
                </w:p>
              </w:tc>
              <w:tc>
                <w:tcPr>
                  <w:tcW w:w="2222" w:type="dxa"/>
                  <w:vMerge w:val="continue"/>
                  <w:noWrap w:val="0"/>
                  <w:vAlign w:val="center"/>
                </w:tcPr>
                <w:p w14:paraId="109C5F65">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r w14:paraId="00AD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410E3DF3">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shd w:val="clear" w:color="auto" w:fill="auto"/>
                  <w:noWrap w:val="0"/>
                  <w:vAlign w:val="center"/>
                </w:tcPr>
                <w:p w14:paraId="3FF72D31">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S6</w:t>
                  </w:r>
                </w:p>
              </w:tc>
              <w:tc>
                <w:tcPr>
                  <w:tcW w:w="1995" w:type="dxa"/>
                  <w:shd w:val="clear" w:color="auto" w:fill="auto"/>
                  <w:noWrap w:val="0"/>
                  <w:vAlign w:val="center"/>
                </w:tcPr>
                <w:p w14:paraId="6DE31B2F">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纯水制备</w:t>
                  </w:r>
                </w:p>
              </w:tc>
              <w:tc>
                <w:tcPr>
                  <w:tcW w:w="2181" w:type="dxa"/>
                  <w:shd w:val="clear" w:color="auto" w:fill="auto"/>
                  <w:noWrap w:val="0"/>
                  <w:vAlign w:val="center"/>
                </w:tcPr>
                <w:p w14:paraId="402AAFC9">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废RO膜</w:t>
                  </w:r>
                </w:p>
              </w:tc>
              <w:tc>
                <w:tcPr>
                  <w:tcW w:w="2222" w:type="dxa"/>
                  <w:vMerge w:val="continue"/>
                  <w:noWrap w:val="0"/>
                  <w:vAlign w:val="center"/>
                </w:tcPr>
                <w:p w14:paraId="34DBE93B">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r w14:paraId="7DC5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66D04CCB">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shd w:val="clear" w:color="auto" w:fill="auto"/>
                  <w:noWrap w:val="0"/>
                  <w:vAlign w:val="center"/>
                </w:tcPr>
                <w:p w14:paraId="579F54C5">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ascii="Times New Roman" w:hAnsi="Times New Roman" w:cs="Times New Roman"/>
                      <w:color w:val="auto"/>
                      <w:kern w:val="2"/>
                      <w:sz w:val="21"/>
                      <w:szCs w:val="21"/>
                      <w:highlight w:val="none"/>
                      <w:vertAlign w:val="baseline"/>
                      <w:lang w:val="en-US" w:eastAsia="zh-CN" w:bidi="ar"/>
                    </w:rPr>
                    <w:t>S7</w:t>
                  </w:r>
                </w:p>
              </w:tc>
              <w:tc>
                <w:tcPr>
                  <w:tcW w:w="1995" w:type="dxa"/>
                  <w:shd w:val="clear" w:color="auto" w:fill="auto"/>
                  <w:noWrap w:val="0"/>
                  <w:vAlign w:val="center"/>
                </w:tcPr>
                <w:p w14:paraId="293431EA">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包装</w:t>
                  </w:r>
                </w:p>
              </w:tc>
              <w:tc>
                <w:tcPr>
                  <w:tcW w:w="2181" w:type="dxa"/>
                  <w:shd w:val="clear" w:color="auto" w:fill="auto"/>
                  <w:noWrap w:val="0"/>
                  <w:vAlign w:val="center"/>
                </w:tcPr>
                <w:p w14:paraId="0554F374">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
                    </w:rPr>
                    <w:t>废包装袋</w:t>
                  </w:r>
                </w:p>
              </w:tc>
              <w:tc>
                <w:tcPr>
                  <w:tcW w:w="2222" w:type="dxa"/>
                  <w:vMerge w:val="continue"/>
                  <w:noWrap w:val="0"/>
                  <w:vAlign w:val="center"/>
                </w:tcPr>
                <w:p w14:paraId="259F8013">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r w14:paraId="54A2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dxa"/>
                  <w:vMerge w:val="continue"/>
                  <w:noWrap w:val="0"/>
                  <w:vAlign w:val="center"/>
                </w:tcPr>
                <w:p w14:paraId="531ED86B">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c>
                <w:tcPr>
                  <w:tcW w:w="1035" w:type="dxa"/>
                  <w:noWrap w:val="0"/>
                  <w:vAlign w:val="center"/>
                </w:tcPr>
                <w:p w14:paraId="62F8650A">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S8</w:t>
                  </w:r>
                </w:p>
              </w:tc>
              <w:tc>
                <w:tcPr>
                  <w:tcW w:w="1995" w:type="dxa"/>
                  <w:shd w:val="clear" w:color="auto" w:fill="auto"/>
                  <w:noWrap w:val="0"/>
                  <w:vAlign w:val="center"/>
                </w:tcPr>
                <w:p w14:paraId="5673AA65">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废气处置</w:t>
                  </w:r>
                </w:p>
              </w:tc>
              <w:tc>
                <w:tcPr>
                  <w:tcW w:w="2181" w:type="dxa"/>
                  <w:shd w:val="clear" w:color="auto" w:fill="auto"/>
                  <w:noWrap w:val="0"/>
                  <w:vAlign w:val="center"/>
                </w:tcPr>
                <w:p w14:paraId="1548349F">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cs="Times New Roman"/>
                      <w:color w:val="auto"/>
                      <w:kern w:val="2"/>
                      <w:sz w:val="21"/>
                      <w:szCs w:val="21"/>
                      <w:highlight w:val="none"/>
                      <w:vertAlign w:val="baseline"/>
                      <w:lang w:val="en-US" w:eastAsia="zh-CN" w:bidi="ar"/>
                    </w:rPr>
                    <w:t>废活性炭</w:t>
                  </w:r>
                </w:p>
              </w:tc>
              <w:tc>
                <w:tcPr>
                  <w:tcW w:w="2222" w:type="dxa"/>
                  <w:vMerge w:val="continue"/>
                  <w:noWrap w:val="0"/>
                  <w:vAlign w:val="center"/>
                </w:tcPr>
                <w:p w14:paraId="44A4D966">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p>
              </w:tc>
            </w:tr>
          </w:tbl>
          <w:p w14:paraId="523697B2">
            <w:pPr>
              <w:pStyle w:val="13"/>
              <w:pageBreakBefore w:val="0"/>
              <w:kinsoku/>
              <w:wordWrap/>
              <w:overflowPunct w:val="0"/>
              <w:topLinePunct/>
              <w:bidi w:val="0"/>
              <w:ind w:left="0" w:leftChars="0" w:firstLine="0" w:firstLineChars="0"/>
              <w:jc w:val="center"/>
              <w:rPr>
                <w:rFonts w:hint="default" w:ascii="Times New Roman" w:hAnsi="Times New Roman" w:eastAsia="宋体" w:cs="Times New Roman"/>
                <w:color w:val="auto"/>
                <w:spacing w:val="0"/>
                <w:kern w:val="2"/>
                <w:position w:val="0"/>
                <w:sz w:val="24"/>
                <w:szCs w:val="24"/>
                <w:highlight w:val="none"/>
                <w:lang w:val="en-US" w:eastAsia="zh-CN" w:bidi="ar-SA"/>
              </w:rPr>
            </w:pPr>
          </w:p>
        </w:tc>
      </w:tr>
      <w:tr w14:paraId="5A0CA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1" w:type="pct"/>
            <w:noWrap w:val="0"/>
            <w:vAlign w:val="center"/>
          </w:tcPr>
          <w:p w14:paraId="7055A282">
            <w:pPr>
              <w:pStyle w:val="16"/>
              <w:pageBreakBefore w:val="0"/>
              <w:kinsoku/>
              <w:wordWrap/>
              <w:overflowPunct w:val="0"/>
              <w:topLinePunct/>
              <w:bidi w:val="0"/>
              <w:adjustRightInd w:val="0"/>
              <w:snapToGrid w:val="0"/>
              <w:spacing w:before="0" w:beforeAutospacing="0" w:after="0" w:afterAutospacing="0"/>
              <w:jc w:val="center"/>
              <w:outlineLvl w:val="1"/>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与项目有关的原有环境污染问题</w:t>
            </w:r>
          </w:p>
          <w:p w14:paraId="6AF5E05F">
            <w:pPr>
              <w:pStyle w:val="16"/>
              <w:pageBreakBefore w:val="0"/>
              <w:kinsoku/>
              <w:wordWrap/>
              <w:overflowPunct w:val="0"/>
              <w:topLinePunct/>
              <w:bidi w:val="0"/>
              <w:adjustRightInd w:val="0"/>
              <w:snapToGrid w:val="0"/>
              <w:spacing w:before="0" w:beforeAutospacing="0" w:after="0" w:afterAutospacing="0"/>
              <w:jc w:val="both"/>
              <w:outlineLvl w:val="1"/>
              <w:rPr>
                <w:rFonts w:hint="default" w:ascii="Times New Roman" w:hAnsi="Times New Roman" w:eastAsia="宋体" w:cs="Times New Roman"/>
                <w:bCs/>
                <w:color w:val="auto"/>
                <w:kern w:val="2"/>
                <w:sz w:val="24"/>
                <w:szCs w:val="24"/>
                <w:highlight w:val="none"/>
              </w:rPr>
            </w:pPr>
          </w:p>
        </w:tc>
        <w:tc>
          <w:tcPr>
            <w:tcW w:w="4778" w:type="pct"/>
            <w:noWrap w:val="0"/>
            <w:vAlign w:val="center"/>
          </w:tcPr>
          <w:p w14:paraId="08C6A807">
            <w:pPr>
              <w:keepNext w:val="0"/>
              <w:keepLines w:val="0"/>
              <w:pageBreakBefore w:val="0"/>
              <w:widowControl w:val="0"/>
              <w:kinsoku/>
              <w:wordWrap/>
              <w:overflowPunct w:val="0"/>
              <w:topLinePunct/>
              <w:autoSpaceDE/>
              <w:autoSpaceDN/>
              <w:bidi w:val="0"/>
              <w:adjustRightInd/>
              <w:snapToGrid/>
              <w:spacing w:line="460" w:lineRule="exact"/>
              <w:textAlignment w:val="auto"/>
              <w:outlineLvl w:val="1"/>
              <w:rPr>
                <w:rFonts w:hint="default" w:ascii="Times New Roman" w:hAnsi="Times New Roman" w:cs="Times New Roman"/>
                <w:b/>
                <w:bCs/>
                <w:color w:val="auto"/>
                <w:sz w:val="26"/>
                <w:szCs w:val="26"/>
                <w:highlight w:val="none"/>
                <w:lang w:val="en-US" w:eastAsia="zh-CN"/>
              </w:rPr>
            </w:pPr>
            <w:r>
              <w:rPr>
                <w:rFonts w:hint="default" w:ascii="Times New Roman" w:hAnsi="Times New Roman" w:cs="Times New Roman"/>
                <w:b/>
                <w:bCs/>
                <w:color w:val="auto"/>
                <w:sz w:val="26"/>
                <w:szCs w:val="26"/>
                <w:highlight w:val="none"/>
                <w:lang w:val="en-US" w:eastAsia="zh-CN"/>
              </w:rPr>
              <w:t>2.5现有项目概况</w:t>
            </w:r>
          </w:p>
          <w:p w14:paraId="67BA3A3B">
            <w:pPr>
              <w:keepNext w:val="0"/>
              <w:keepLines w:val="0"/>
              <w:pageBreakBefore w:val="0"/>
              <w:widowControl w:val="0"/>
              <w:kinsoku/>
              <w:wordWrap/>
              <w:overflowPunct w:val="0"/>
              <w:topLinePunct/>
              <w:autoSpaceDE/>
              <w:autoSpaceDN/>
              <w:bidi w:val="0"/>
              <w:adjustRightInd/>
              <w:snapToGrid/>
              <w:spacing w:line="460" w:lineRule="exact"/>
              <w:ind w:firstLine="482" w:firstLineChars="200"/>
              <w:textAlignment w:val="auto"/>
              <w:outlineLvl w:val="1"/>
              <w:rPr>
                <w:rFonts w:hint="default" w:ascii="Times New Roman" w:hAnsi="Times New Roman" w:cs="Times New Roman"/>
                <w:b/>
                <w:bCs/>
                <w:color w:val="auto"/>
                <w:sz w:val="24"/>
                <w:szCs w:val="32"/>
                <w:highlight w:val="none"/>
                <w:lang w:val="en-US" w:eastAsia="zh-CN"/>
              </w:rPr>
            </w:pPr>
            <w:r>
              <w:rPr>
                <w:rFonts w:hint="default" w:ascii="Times New Roman" w:hAnsi="Times New Roman" w:cs="Times New Roman"/>
                <w:b/>
                <w:bCs/>
                <w:color w:val="auto"/>
                <w:sz w:val="24"/>
                <w:szCs w:val="32"/>
                <w:highlight w:val="none"/>
                <w:lang w:val="en-US" w:eastAsia="zh-CN"/>
              </w:rPr>
              <w:t>2.5.1基本情况</w:t>
            </w:r>
          </w:p>
          <w:p w14:paraId="0A42A13A">
            <w:pPr>
              <w:pageBreakBefore w:val="0"/>
              <w:numPr>
                <w:ilvl w:val="0"/>
                <w:numId w:val="0"/>
              </w:numPr>
              <w:kinsoku/>
              <w:wordWrap/>
              <w:overflowPunct w:val="0"/>
              <w:topLinePunct/>
              <w:bidi w:val="0"/>
              <w:snapToGrid w:val="0"/>
              <w:spacing w:line="440" w:lineRule="exact"/>
              <w:ind w:firstLine="480" w:firstLineChars="200"/>
              <w:outlineLvl w:val="1"/>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bCs w:val="0"/>
                <w:color w:val="auto"/>
                <w:kern w:val="0"/>
                <w:sz w:val="24"/>
                <w:szCs w:val="24"/>
                <w:highlight w:val="none"/>
                <w:lang w:val="en-US" w:eastAsia="zh-CN" w:bidi="ar"/>
              </w:rPr>
              <w:t>红蜻蜓（重庆）植物油脂有限公司</w:t>
            </w:r>
            <w:r>
              <w:rPr>
                <w:rFonts w:hint="default" w:ascii="Times New Roman" w:hAnsi="Times New Roman" w:cs="Times New Roman"/>
                <w:bCs w:val="0"/>
                <w:color w:val="auto"/>
                <w:kern w:val="0"/>
                <w:sz w:val="24"/>
                <w:szCs w:val="24"/>
                <w:highlight w:val="none"/>
                <w:lang w:val="en-US" w:eastAsia="zh-CN" w:bidi="ar"/>
              </w:rPr>
              <w:t>前身为凯欣粮油有限公司，</w:t>
            </w:r>
            <w:r>
              <w:rPr>
                <w:rFonts w:hint="default" w:ascii="Times New Roman" w:hAnsi="Times New Roman" w:eastAsia="宋体" w:cs="Times New Roman"/>
                <w:color w:val="auto"/>
                <w:sz w:val="24"/>
                <w:szCs w:val="24"/>
                <w:highlight w:val="none"/>
                <w:lang w:val="en-US" w:eastAsia="zh-CN"/>
              </w:rPr>
              <w:t>属重庆粮食集团旗下国有企业</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bCs w:val="0"/>
                <w:color w:val="auto"/>
                <w:kern w:val="0"/>
                <w:sz w:val="24"/>
                <w:szCs w:val="24"/>
                <w:highlight w:val="none"/>
                <w:lang w:val="en-US" w:eastAsia="zh-CN" w:bidi="ar"/>
              </w:rPr>
              <w:t>于2007年2月选址于九龙坡区铜罐驿镇建厂，占地面积</w:t>
            </w:r>
            <w:r>
              <w:rPr>
                <w:rFonts w:hint="eastAsia" w:cs="Times New Roman"/>
                <w:color w:val="auto"/>
                <w:sz w:val="24"/>
                <w:szCs w:val="24"/>
                <w:highlight w:val="none"/>
                <w:lang w:val="en-US" w:eastAsia="zh-CN"/>
              </w:rPr>
              <w:t>97521.6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，建筑面积约29847m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主要从事食品油的精炼和灌装，</w:t>
            </w:r>
            <w:r>
              <w:rPr>
                <w:rFonts w:hint="eastAsia" w:ascii="Times New Roman" w:hAnsi="Times New Roman" w:cs="Times New Roman"/>
                <w:color w:val="auto"/>
                <w:sz w:val="24"/>
                <w:szCs w:val="24"/>
                <w:highlight w:val="none"/>
                <w:lang w:val="en-US" w:eastAsia="zh-CN"/>
              </w:rPr>
              <w:t>另配套开展代储油服务</w:t>
            </w:r>
            <w:r>
              <w:rPr>
                <w:rFonts w:hint="default" w:ascii="Times New Roman" w:hAnsi="Times New Roman" w:cs="Times New Roman"/>
                <w:color w:val="auto"/>
                <w:sz w:val="24"/>
                <w:szCs w:val="24"/>
                <w:highlight w:val="none"/>
                <w:lang w:val="en-US" w:eastAsia="zh-CN"/>
              </w:rPr>
              <w:t>，现已建成精炼油生产规模400t/d，灌装规模1500t/d，储油规模</w:t>
            </w:r>
            <w:r>
              <w:rPr>
                <w:rFonts w:hint="eastAsia" w:ascii="Times New Roman" w:hAnsi="Times New Roman" w:cs="Times New Roman"/>
                <w:color w:val="auto"/>
                <w:sz w:val="24"/>
                <w:szCs w:val="24"/>
                <w:highlight w:val="none"/>
                <w:lang w:val="en-US" w:eastAsia="zh-CN"/>
              </w:rPr>
              <w:t>10.59</w:t>
            </w:r>
            <w:r>
              <w:rPr>
                <w:rFonts w:hint="default" w:ascii="Times New Roman" w:hAnsi="Times New Roman" w:cs="Times New Roman"/>
                <w:color w:val="auto"/>
                <w:sz w:val="24"/>
                <w:szCs w:val="24"/>
                <w:highlight w:val="none"/>
                <w:lang w:val="en-US" w:eastAsia="zh-CN"/>
              </w:rPr>
              <w:t>万t，建设有精炼车间、包装车间、库房、锅炉房等生产厂房若干。</w:t>
            </w:r>
          </w:p>
          <w:p w14:paraId="7B2BEDD1">
            <w:pPr>
              <w:pageBreakBefore w:val="0"/>
              <w:numPr>
                <w:ilvl w:val="0"/>
                <w:numId w:val="0"/>
              </w:numPr>
              <w:kinsoku/>
              <w:wordWrap/>
              <w:overflowPunct w:val="0"/>
              <w:topLinePunct/>
              <w:bidi w:val="0"/>
              <w:snapToGrid w:val="0"/>
              <w:spacing w:line="440" w:lineRule="exact"/>
              <w:ind w:firstLine="480" w:firstLineChars="200"/>
              <w:outlineLvl w:val="1"/>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现有员工180人，年</w:t>
            </w:r>
            <w:r>
              <w:rPr>
                <w:rFonts w:hint="default" w:ascii="Times New Roman" w:hAnsi="Times New Roman" w:cs="Times New Roman"/>
                <w:color w:val="auto"/>
                <w:sz w:val="24"/>
                <w:szCs w:val="24"/>
                <w:highlight w:val="none"/>
                <w:lang w:val="en-US" w:eastAsia="zh-CN"/>
              </w:rPr>
              <w:t>生产时间30</w:t>
            </w:r>
            <w:r>
              <w:rPr>
                <w:rFonts w:hint="default" w:ascii="Times New Roman" w:hAnsi="Times New Roman" w:eastAsia="宋体" w:cs="Times New Roman"/>
                <w:color w:val="auto"/>
                <w:sz w:val="24"/>
                <w:szCs w:val="24"/>
                <w:highlight w:val="none"/>
                <w:lang w:val="en-US" w:eastAsia="zh-CN"/>
              </w:rPr>
              <w:t>0日，</w:t>
            </w:r>
            <w:r>
              <w:rPr>
                <w:rFonts w:hint="default" w:ascii="Times New Roman" w:hAnsi="Times New Roman" w:cs="Times New Roman"/>
                <w:color w:val="auto"/>
                <w:sz w:val="24"/>
                <w:szCs w:val="24"/>
                <w:highlight w:val="none"/>
                <w:lang w:val="en-US" w:eastAsia="zh-CN"/>
              </w:rPr>
              <w:t>每天</w:t>
            </w:r>
            <w:r>
              <w:rPr>
                <w:rFonts w:hint="default" w:ascii="Times New Roman" w:hAnsi="Times New Roman" w:eastAsia="宋体" w:cs="Times New Roman"/>
                <w:color w:val="auto"/>
                <w:sz w:val="24"/>
                <w:szCs w:val="24"/>
                <w:highlight w:val="none"/>
                <w:lang w:val="en-US" w:eastAsia="zh-CN"/>
              </w:rPr>
              <w:t>24小时运转。</w:t>
            </w:r>
          </w:p>
          <w:p w14:paraId="3A936CE4">
            <w:pPr>
              <w:keepNext w:val="0"/>
              <w:keepLines w:val="0"/>
              <w:pageBreakBefore w:val="0"/>
              <w:widowControl w:val="0"/>
              <w:kinsoku/>
              <w:wordWrap/>
              <w:overflowPunct w:val="0"/>
              <w:topLinePunct/>
              <w:autoSpaceDE/>
              <w:autoSpaceDN/>
              <w:bidi w:val="0"/>
              <w:adjustRightInd/>
              <w:snapToGrid/>
              <w:spacing w:line="460" w:lineRule="exact"/>
              <w:ind w:firstLine="482" w:firstLineChars="200"/>
              <w:textAlignment w:val="auto"/>
              <w:outlineLvl w:val="1"/>
              <w:rPr>
                <w:rFonts w:hint="default" w:ascii="Times New Roman" w:hAnsi="Times New Roman" w:cs="Times New Roman"/>
                <w:color w:val="auto"/>
                <w:highlight w:val="none"/>
              </w:rPr>
            </w:pPr>
            <w:r>
              <w:rPr>
                <w:rFonts w:hint="default" w:ascii="Times New Roman" w:hAnsi="Times New Roman" w:cs="Times New Roman"/>
                <w:b/>
                <w:bCs/>
                <w:color w:val="auto"/>
                <w:sz w:val="24"/>
                <w:szCs w:val="32"/>
                <w:highlight w:val="none"/>
                <w:lang w:val="en-US" w:eastAsia="zh-CN"/>
              </w:rPr>
              <w:t>2.5.2历史沿革及环保“三同时”执行情况</w:t>
            </w:r>
          </w:p>
          <w:p w14:paraId="70556437">
            <w:pPr>
              <w:pStyle w:val="24"/>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outlineLvl w:val="1"/>
              <w:rPr>
                <w:rFonts w:hint="default" w:ascii="Times New Roman" w:hAnsi="Times New Roman" w:cs="Times New Roman"/>
                <w:bCs w:val="0"/>
                <w:color w:val="auto"/>
                <w:kern w:val="0"/>
                <w:sz w:val="24"/>
                <w:szCs w:val="24"/>
                <w:highlight w:val="none"/>
                <w:lang w:val="en-US" w:eastAsia="zh-CN" w:bidi="ar"/>
              </w:rPr>
            </w:pPr>
            <w:r>
              <w:rPr>
                <w:rFonts w:hint="default" w:ascii="Times New Roman" w:hAnsi="Times New Roman" w:eastAsia="宋体" w:cs="Times New Roman"/>
                <w:bCs w:val="0"/>
                <w:color w:val="auto"/>
                <w:kern w:val="0"/>
                <w:sz w:val="24"/>
                <w:szCs w:val="24"/>
                <w:highlight w:val="none"/>
                <w:lang w:val="en-US" w:eastAsia="zh-CN" w:bidi="ar"/>
              </w:rPr>
              <w:t>2007年2月，</w:t>
            </w:r>
            <w:r>
              <w:rPr>
                <w:rFonts w:hint="default" w:ascii="Times New Roman" w:hAnsi="Times New Roman" w:cs="Times New Roman"/>
                <w:bCs w:val="0"/>
                <w:color w:val="auto"/>
                <w:kern w:val="0"/>
                <w:sz w:val="24"/>
                <w:szCs w:val="24"/>
                <w:highlight w:val="none"/>
                <w:lang w:val="en-US" w:eastAsia="zh-CN" w:bidi="ar"/>
              </w:rPr>
              <w:t>厂址自江北区搬迁至九龙坡区铜罐驿镇，精炼规模200t/d、灌装规模1000</w:t>
            </w:r>
            <w:r>
              <w:rPr>
                <w:rFonts w:hint="default" w:ascii="Times New Roman" w:hAnsi="Times New Roman" w:cs="Times New Roman"/>
                <w:color w:val="auto"/>
                <w:sz w:val="24"/>
                <w:szCs w:val="24"/>
                <w:highlight w:val="none"/>
                <w:lang w:val="en-US" w:eastAsia="zh-CN"/>
              </w:rPr>
              <w:t>t/d，储油规模4万t，</w:t>
            </w:r>
            <w:r>
              <w:rPr>
                <w:rFonts w:hint="default" w:ascii="Times New Roman" w:hAnsi="Times New Roman" w:cs="Times New Roman"/>
                <w:bCs w:val="0"/>
                <w:color w:val="auto"/>
                <w:kern w:val="0"/>
                <w:sz w:val="24"/>
                <w:szCs w:val="24"/>
                <w:highlight w:val="none"/>
                <w:lang w:val="en-US" w:eastAsia="zh-CN" w:bidi="ar"/>
              </w:rPr>
              <w:t>编制了《重庆市油脂公司江北油脂储炼厂迁（扩）建工程环境影响报告表》，取得“</w:t>
            </w:r>
            <w:r>
              <w:rPr>
                <w:rFonts w:hint="default" w:ascii="Times New Roman" w:hAnsi="Times New Roman" w:eastAsia="宋体" w:cs="Times New Roman"/>
                <w:bCs w:val="0"/>
                <w:color w:val="auto"/>
                <w:kern w:val="0"/>
                <w:sz w:val="24"/>
                <w:szCs w:val="24"/>
                <w:highlight w:val="none"/>
                <w:lang w:val="en-US" w:eastAsia="zh-CN" w:bidi="ar"/>
              </w:rPr>
              <w:t>渝（九）环准〔2007</w:t>
            </w:r>
            <w:r>
              <w:rPr>
                <w:rFonts w:hint="default" w:ascii="Times New Roman" w:hAnsi="Times New Roman" w:cs="Times New Roman"/>
                <w:bCs w:val="0"/>
                <w:color w:val="auto"/>
                <w:kern w:val="0"/>
                <w:sz w:val="24"/>
                <w:szCs w:val="24"/>
                <w:highlight w:val="none"/>
                <w:lang w:val="en-US" w:eastAsia="zh-CN" w:bidi="ar"/>
              </w:rPr>
              <w:t>〕</w:t>
            </w:r>
            <w:r>
              <w:rPr>
                <w:rFonts w:hint="default" w:ascii="Times New Roman" w:hAnsi="Times New Roman" w:eastAsia="宋体" w:cs="Times New Roman"/>
                <w:bCs w:val="0"/>
                <w:color w:val="auto"/>
                <w:kern w:val="0"/>
                <w:sz w:val="24"/>
                <w:szCs w:val="24"/>
                <w:highlight w:val="none"/>
                <w:lang w:val="en-US" w:eastAsia="zh-CN" w:bidi="ar"/>
              </w:rPr>
              <w:t>024号</w:t>
            </w:r>
            <w:r>
              <w:rPr>
                <w:rFonts w:hint="default" w:ascii="Times New Roman" w:hAnsi="Times New Roman" w:cs="Times New Roman"/>
                <w:bCs w:val="0"/>
                <w:color w:val="auto"/>
                <w:kern w:val="0"/>
                <w:sz w:val="24"/>
                <w:szCs w:val="24"/>
                <w:highlight w:val="none"/>
                <w:lang w:val="en-US" w:eastAsia="zh-CN" w:bidi="ar"/>
              </w:rPr>
              <w:t>”批准书。</w:t>
            </w:r>
          </w:p>
          <w:p w14:paraId="31954F9B">
            <w:pPr>
              <w:pStyle w:val="24"/>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outlineLvl w:val="1"/>
              <w:rPr>
                <w:rFonts w:hint="default" w:ascii="Times New Roman" w:hAnsi="Times New Roman" w:cs="Times New Roman"/>
                <w:bCs w:val="0"/>
                <w:color w:val="auto"/>
                <w:kern w:val="0"/>
                <w:sz w:val="24"/>
                <w:szCs w:val="24"/>
                <w:highlight w:val="none"/>
                <w:lang w:val="en-US" w:eastAsia="zh-CN" w:bidi="ar"/>
              </w:rPr>
            </w:pPr>
            <w:r>
              <w:rPr>
                <w:rFonts w:hint="default" w:ascii="Times New Roman" w:hAnsi="Times New Roman" w:cs="Times New Roman"/>
                <w:bCs w:val="0"/>
                <w:color w:val="auto"/>
                <w:kern w:val="0"/>
                <w:sz w:val="24"/>
                <w:szCs w:val="24"/>
                <w:highlight w:val="none"/>
                <w:lang w:val="en-US" w:eastAsia="zh-CN" w:bidi="ar"/>
              </w:rPr>
              <w:t>2010年8月，因建设方案发生变化，导致精炼规模和灌装能力超过2007年已批复环评，精炼规模扩大到400t/a，灌装规模扩大到1500</w:t>
            </w:r>
            <w:r>
              <w:rPr>
                <w:rFonts w:hint="default" w:ascii="Times New Roman" w:hAnsi="Times New Roman" w:cs="Times New Roman"/>
                <w:color w:val="auto"/>
                <w:sz w:val="24"/>
                <w:szCs w:val="24"/>
                <w:highlight w:val="none"/>
                <w:lang w:val="en-US" w:eastAsia="zh-CN"/>
              </w:rPr>
              <w:t>t/d，储油规模扩大到10.</w:t>
            </w:r>
            <w:r>
              <w:rPr>
                <w:rFonts w:hint="eastAsia" w:ascii="Times New Roman" w:hAnsi="Times New Roman" w:cs="Times New Roman"/>
                <w:color w:val="auto"/>
                <w:sz w:val="24"/>
                <w:szCs w:val="24"/>
                <w:highlight w:val="none"/>
                <w:lang w:val="en-US" w:eastAsia="zh-CN"/>
              </w:rPr>
              <w:t>59</w:t>
            </w:r>
            <w:r>
              <w:rPr>
                <w:rFonts w:hint="default" w:ascii="Times New Roman" w:hAnsi="Times New Roman" w:cs="Times New Roman"/>
                <w:color w:val="auto"/>
                <w:sz w:val="24"/>
                <w:szCs w:val="24"/>
                <w:highlight w:val="none"/>
                <w:lang w:val="en-US" w:eastAsia="zh-CN"/>
              </w:rPr>
              <w:t>万t。故重新报批</w:t>
            </w:r>
            <w:r>
              <w:rPr>
                <w:rFonts w:hint="default" w:ascii="Times New Roman" w:hAnsi="Times New Roman" w:cs="Times New Roman"/>
                <w:bCs w:val="0"/>
                <w:color w:val="auto"/>
                <w:kern w:val="0"/>
                <w:sz w:val="24"/>
                <w:szCs w:val="24"/>
                <w:highlight w:val="none"/>
                <w:lang w:val="en-US" w:eastAsia="zh-CN" w:bidi="ar"/>
              </w:rPr>
              <w:t>《重庆市油脂公司江北油脂储炼厂迁（扩）建工程环境影响报告表》，取</w:t>
            </w:r>
            <w:r>
              <w:rPr>
                <w:rFonts w:hint="default" w:ascii="Times New Roman" w:hAnsi="Times New Roman" w:cs="Times New Roman"/>
                <w:color w:val="auto"/>
                <w:sz w:val="24"/>
                <w:szCs w:val="24"/>
                <w:highlight w:val="none"/>
                <w:lang w:val="en-US" w:eastAsia="zh-CN"/>
              </w:rPr>
              <w:t>得</w:t>
            </w:r>
            <w:r>
              <w:rPr>
                <w:rFonts w:hint="default" w:ascii="Times New Roman" w:hAnsi="Times New Roman" w:cs="Times New Roman"/>
                <w:bCs w:val="0"/>
                <w:color w:val="auto"/>
                <w:kern w:val="0"/>
                <w:sz w:val="24"/>
                <w:szCs w:val="24"/>
                <w:highlight w:val="none"/>
                <w:lang w:val="en-US" w:eastAsia="zh-CN" w:bidi="ar"/>
              </w:rPr>
              <w:t>“</w:t>
            </w:r>
            <w:r>
              <w:rPr>
                <w:rFonts w:hint="default" w:ascii="Times New Roman" w:hAnsi="Times New Roman" w:cs="Times New Roman"/>
                <w:color w:val="auto"/>
                <w:sz w:val="24"/>
                <w:szCs w:val="24"/>
                <w:highlight w:val="none"/>
                <w:lang w:val="en-US" w:eastAsia="zh-CN"/>
              </w:rPr>
              <w:t>渝（九）环准[2010]158号</w:t>
            </w:r>
            <w:r>
              <w:rPr>
                <w:rFonts w:hint="default" w:ascii="Times New Roman" w:hAnsi="Times New Roman" w:cs="Times New Roman"/>
                <w:bCs w:val="0"/>
                <w:color w:val="auto"/>
                <w:kern w:val="0"/>
                <w:sz w:val="24"/>
                <w:szCs w:val="24"/>
                <w:highlight w:val="none"/>
                <w:lang w:val="en-US" w:eastAsia="zh-CN" w:bidi="ar"/>
              </w:rPr>
              <w:t>”批准书。</w:t>
            </w:r>
          </w:p>
          <w:p w14:paraId="59C458A2">
            <w:pPr>
              <w:pStyle w:val="24"/>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outlineLvl w:val="1"/>
              <w:rPr>
                <w:rFonts w:hint="default" w:ascii="Times New Roman" w:hAnsi="Times New Roman" w:cs="Times New Roman"/>
                <w:bCs w:val="0"/>
                <w:color w:val="auto"/>
                <w:kern w:val="0"/>
                <w:sz w:val="24"/>
                <w:szCs w:val="24"/>
                <w:highlight w:val="none"/>
                <w:lang w:val="en-US" w:eastAsia="zh-CN" w:bidi="ar"/>
              </w:rPr>
            </w:pPr>
            <w:r>
              <w:rPr>
                <w:rFonts w:hint="default" w:ascii="Times New Roman" w:hAnsi="Times New Roman" w:cs="Times New Roman"/>
                <w:bCs w:val="0"/>
                <w:color w:val="auto"/>
                <w:kern w:val="0"/>
                <w:sz w:val="24"/>
                <w:szCs w:val="24"/>
                <w:highlight w:val="none"/>
                <w:lang w:val="en-US" w:eastAsia="zh-CN" w:bidi="ar"/>
              </w:rPr>
              <w:t>2012年11月，对以上项目办理竣工环保验收手续，取得“</w:t>
            </w:r>
            <w:r>
              <w:rPr>
                <w:rFonts w:hint="default" w:ascii="Times New Roman" w:hAnsi="Times New Roman" w:eastAsia="宋体" w:cs="Times New Roman"/>
                <w:bCs w:val="0"/>
                <w:color w:val="auto"/>
                <w:kern w:val="0"/>
                <w:sz w:val="24"/>
                <w:szCs w:val="24"/>
                <w:highlight w:val="none"/>
                <w:lang w:val="en-US" w:eastAsia="zh-CN" w:bidi="ar"/>
              </w:rPr>
              <w:t>渝（九）环验〔2012〕081号</w:t>
            </w:r>
            <w:r>
              <w:rPr>
                <w:rFonts w:hint="default" w:ascii="Times New Roman" w:hAnsi="Times New Roman" w:cs="Times New Roman"/>
                <w:bCs w:val="0"/>
                <w:color w:val="auto"/>
                <w:kern w:val="0"/>
                <w:sz w:val="24"/>
                <w:szCs w:val="24"/>
                <w:highlight w:val="none"/>
                <w:lang w:val="en-US" w:eastAsia="zh-CN" w:bidi="ar"/>
              </w:rPr>
              <w:t>”验收批复。</w:t>
            </w:r>
          </w:p>
          <w:p w14:paraId="73A9601F">
            <w:pPr>
              <w:pStyle w:val="24"/>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outlineLvl w:val="1"/>
              <w:rPr>
                <w:rFonts w:hint="default" w:ascii="Times New Roman" w:hAnsi="Times New Roman" w:cs="Times New Roman"/>
                <w:bCs w:val="0"/>
                <w:color w:val="auto"/>
                <w:kern w:val="0"/>
                <w:sz w:val="24"/>
                <w:szCs w:val="24"/>
                <w:highlight w:val="none"/>
                <w:lang w:val="en-US" w:eastAsia="zh-CN" w:bidi="ar"/>
              </w:rPr>
            </w:pPr>
            <w:r>
              <w:rPr>
                <w:rFonts w:hint="default" w:ascii="Times New Roman" w:hAnsi="Times New Roman" w:cs="Times New Roman"/>
                <w:bCs w:val="0"/>
                <w:color w:val="auto"/>
                <w:kern w:val="0"/>
                <w:sz w:val="24"/>
                <w:szCs w:val="24"/>
                <w:highlight w:val="none"/>
                <w:lang w:val="en-US" w:eastAsia="zh-CN" w:bidi="ar"/>
              </w:rPr>
              <w:t>2015年10月，新建制瓶车间一座，年产PET油瓶1765万个，编制了《制瓶车间配套生产线项目环境影响报告表》，取得“渝（九）环准（四清四治第44号）”批准书</w:t>
            </w:r>
            <w:r>
              <w:rPr>
                <w:rFonts w:hint="eastAsia" w:ascii="Times New Roman" w:hAnsi="Times New Roman" w:cs="Times New Roman"/>
                <w:bCs w:val="0"/>
                <w:color w:val="auto"/>
                <w:kern w:val="0"/>
                <w:sz w:val="24"/>
                <w:szCs w:val="24"/>
                <w:highlight w:val="none"/>
                <w:lang w:val="en-US" w:eastAsia="zh-CN" w:bidi="ar"/>
              </w:rPr>
              <w:t>，由于现有工程</w:t>
            </w:r>
            <w:r>
              <w:rPr>
                <w:rFonts w:hint="default" w:ascii="Times New Roman" w:hAnsi="Times New Roman" w:cs="Times New Roman"/>
                <w:bCs w:val="0"/>
                <w:color w:val="auto"/>
                <w:kern w:val="0"/>
                <w:sz w:val="24"/>
                <w:szCs w:val="24"/>
                <w:highlight w:val="none"/>
                <w:lang w:val="en-US" w:eastAsia="zh-CN" w:bidi="ar"/>
              </w:rPr>
              <w:t>制瓶车间配套生产线项目</w:t>
            </w:r>
            <w:r>
              <w:rPr>
                <w:rFonts w:hint="eastAsia" w:ascii="Times New Roman" w:hAnsi="Times New Roman" w:cs="Times New Roman"/>
                <w:bCs w:val="0"/>
                <w:color w:val="auto"/>
                <w:kern w:val="0"/>
                <w:sz w:val="24"/>
                <w:szCs w:val="24"/>
                <w:highlight w:val="none"/>
                <w:lang w:val="en-US" w:eastAsia="zh-CN" w:bidi="ar"/>
              </w:rPr>
              <w:t>按照《重庆市九龙坡区环境保护局环境保护四清四治工业企业整治工作方案》要求开展“</w:t>
            </w:r>
            <w:r>
              <w:rPr>
                <w:rFonts w:hint="default" w:ascii="Times New Roman" w:hAnsi="Times New Roman" w:cs="Times New Roman"/>
                <w:bCs w:val="0"/>
                <w:color w:val="auto"/>
                <w:kern w:val="0"/>
                <w:sz w:val="24"/>
                <w:szCs w:val="24"/>
                <w:highlight w:val="none"/>
                <w:lang w:val="en-US" w:eastAsia="zh-CN" w:bidi="ar"/>
              </w:rPr>
              <w:t>四清四治</w:t>
            </w:r>
            <w:r>
              <w:rPr>
                <w:rFonts w:hint="eastAsia" w:ascii="Times New Roman" w:hAnsi="Times New Roman" w:cs="Times New Roman"/>
                <w:bCs w:val="0"/>
                <w:color w:val="auto"/>
                <w:kern w:val="0"/>
                <w:sz w:val="24"/>
                <w:szCs w:val="24"/>
                <w:highlight w:val="none"/>
                <w:lang w:val="en-US" w:eastAsia="zh-CN" w:bidi="ar"/>
              </w:rPr>
              <w:t>”项目环评，无需进行竣工环境保护验收</w:t>
            </w:r>
            <w:r>
              <w:rPr>
                <w:rFonts w:hint="default" w:ascii="Times New Roman" w:hAnsi="Times New Roman" w:cs="Times New Roman"/>
                <w:bCs w:val="0"/>
                <w:color w:val="auto"/>
                <w:kern w:val="0"/>
                <w:sz w:val="24"/>
                <w:szCs w:val="24"/>
                <w:highlight w:val="none"/>
                <w:lang w:val="en-US" w:eastAsia="zh-CN" w:bidi="ar"/>
              </w:rPr>
              <w:t>。</w:t>
            </w:r>
          </w:p>
          <w:p w14:paraId="0F71C09B">
            <w:pPr>
              <w:pStyle w:val="24"/>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outlineLvl w:val="1"/>
              <w:rPr>
                <w:rFonts w:hint="default" w:ascii="Times New Roman" w:hAnsi="Times New Roman" w:cs="Times New Roman"/>
                <w:bCs w:val="0"/>
                <w:color w:val="auto"/>
                <w:kern w:val="0"/>
                <w:sz w:val="24"/>
                <w:szCs w:val="24"/>
                <w:highlight w:val="none"/>
                <w:lang w:val="en-US" w:eastAsia="zh-CN" w:bidi="ar"/>
              </w:rPr>
            </w:pPr>
            <w:r>
              <w:rPr>
                <w:rFonts w:hint="default" w:ascii="Times New Roman" w:hAnsi="Times New Roman" w:cs="Times New Roman"/>
                <w:bCs w:val="0"/>
                <w:color w:val="auto"/>
                <w:kern w:val="0"/>
                <w:sz w:val="24"/>
                <w:szCs w:val="24"/>
                <w:highlight w:val="none"/>
                <w:lang w:val="en-US" w:eastAsia="zh-CN" w:bidi="ar"/>
              </w:rPr>
              <w:t>2024年2月，编制了《红蜻蜓（重庆）植物油脂有限公司突发环境事件风险评估报告（2024年）》《红蜻蜓（重庆）植物油脂有限公司突发环境事件风险应急预案》，备案编号：500107-2024-004-M、5001072024010003。</w:t>
            </w:r>
          </w:p>
          <w:p w14:paraId="53608F9B">
            <w:pPr>
              <w:pStyle w:val="24"/>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outlineLvl w:val="1"/>
              <w:rPr>
                <w:rFonts w:hint="default" w:ascii="Times New Roman" w:hAnsi="Times New Roman" w:cs="Times New Roman"/>
                <w:bCs w:val="0"/>
                <w:color w:val="auto"/>
                <w:kern w:val="0"/>
                <w:sz w:val="24"/>
                <w:szCs w:val="24"/>
                <w:highlight w:val="none"/>
                <w:lang w:val="en-US" w:eastAsia="zh-CN" w:bidi="ar"/>
              </w:rPr>
            </w:pPr>
            <w:r>
              <w:rPr>
                <w:rFonts w:hint="default" w:ascii="Times New Roman" w:hAnsi="Times New Roman" w:cs="Times New Roman"/>
                <w:bCs w:val="0"/>
                <w:color w:val="auto"/>
                <w:kern w:val="0"/>
                <w:sz w:val="24"/>
                <w:szCs w:val="24"/>
                <w:highlight w:val="none"/>
                <w:lang w:val="en-US" w:eastAsia="zh-CN" w:bidi="ar"/>
              </w:rPr>
              <w:t>2024年7月，取得排污许可证，证书编号：91500107MA605YFE8K002Q。</w:t>
            </w:r>
          </w:p>
          <w:p w14:paraId="39D9B3C7">
            <w:pPr>
              <w:pStyle w:val="24"/>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outlineLvl w:val="1"/>
              <w:rPr>
                <w:rFonts w:hint="default" w:ascii="Times New Roman" w:hAnsi="Times New Roman" w:cs="Times New Roman"/>
                <w:bCs w:val="0"/>
                <w:color w:val="auto"/>
                <w:kern w:val="0"/>
                <w:sz w:val="24"/>
                <w:szCs w:val="24"/>
                <w:highlight w:val="none"/>
                <w:lang w:val="en-US" w:eastAsia="zh-CN" w:bidi="ar"/>
              </w:rPr>
            </w:pPr>
            <w:r>
              <w:rPr>
                <w:rFonts w:hint="default" w:ascii="Times New Roman" w:hAnsi="Times New Roman" w:cs="Times New Roman"/>
                <w:bCs w:val="0"/>
                <w:color w:val="auto"/>
                <w:kern w:val="0"/>
                <w:sz w:val="24"/>
                <w:szCs w:val="24"/>
                <w:highlight w:val="none"/>
                <w:lang w:val="en-US" w:eastAsia="zh-CN" w:bidi="ar"/>
              </w:rPr>
              <w:t>2025年3月，进行灌装车间升级改造，于建设项目环境影响登记平台进行备案登记，备案号：202550010700000065。</w:t>
            </w:r>
          </w:p>
          <w:p w14:paraId="1876DAF7">
            <w:pPr>
              <w:pStyle w:val="24"/>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outlineLvl w:val="1"/>
              <w:rPr>
                <w:rFonts w:hint="default" w:ascii="Times New Roman" w:hAnsi="Times New Roman" w:cs="Times New Roman"/>
                <w:bCs w:val="0"/>
                <w:color w:val="auto"/>
                <w:kern w:val="0"/>
                <w:sz w:val="24"/>
                <w:szCs w:val="24"/>
                <w:highlight w:val="none"/>
                <w:lang w:val="en-US" w:eastAsia="zh-CN" w:bidi="ar"/>
              </w:rPr>
            </w:pPr>
            <w:r>
              <w:rPr>
                <w:rFonts w:hint="default" w:ascii="Times New Roman" w:hAnsi="Times New Roman" w:cs="Times New Roman"/>
                <w:bCs w:val="0"/>
                <w:color w:val="auto"/>
                <w:kern w:val="0"/>
                <w:sz w:val="24"/>
                <w:szCs w:val="24"/>
                <w:highlight w:val="none"/>
                <w:lang w:val="en-US" w:eastAsia="zh-CN" w:bidi="ar"/>
              </w:rPr>
              <w:t>现有项目环保手续汇总见表2.5-1。</w:t>
            </w:r>
          </w:p>
          <w:p w14:paraId="50EA4476">
            <w:pPr>
              <w:keepNext w:val="0"/>
              <w:keepLines w:val="0"/>
              <w:pageBreakBefore w:val="0"/>
              <w:widowControl w:val="0"/>
              <w:kinsoku/>
              <w:wordWrap/>
              <w:overflowPunct w:val="0"/>
              <w:topLinePunct/>
              <w:autoSpaceDE/>
              <w:autoSpaceDN/>
              <w:bidi w:val="0"/>
              <w:adjustRightInd/>
              <w:snapToGrid/>
              <w:spacing w:line="460" w:lineRule="exact"/>
              <w:jc w:val="center"/>
              <w:textAlignment w:val="auto"/>
              <w:outlineLvl w:val="1"/>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2.5-1现有项目环保手续一览表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598"/>
              <w:gridCol w:w="369"/>
              <w:gridCol w:w="836"/>
              <w:gridCol w:w="1591"/>
              <w:gridCol w:w="751"/>
              <w:gridCol w:w="2117"/>
              <w:gridCol w:w="1650"/>
            </w:tblGrid>
            <w:tr w14:paraId="2DFB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226F60FE">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时间</w:t>
                  </w:r>
                </w:p>
              </w:tc>
              <w:tc>
                <w:tcPr>
                  <w:tcW w:w="0" w:type="auto"/>
                  <w:noWrap w:val="0"/>
                  <w:vAlign w:val="center"/>
                </w:tcPr>
                <w:p w14:paraId="499DF15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项目名称</w:t>
                  </w:r>
                </w:p>
              </w:tc>
              <w:tc>
                <w:tcPr>
                  <w:tcW w:w="0" w:type="auto"/>
                  <w:noWrap w:val="0"/>
                  <w:vAlign w:val="center"/>
                </w:tcPr>
                <w:p w14:paraId="6F3100C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建设性质</w:t>
                  </w:r>
                </w:p>
              </w:tc>
              <w:tc>
                <w:tcPr>
                  <w:tcW w:w="0" w:type="auto"/>
                  <w:noWrap w:val="0"/>
                  <w:vAlign w:val="center"/>
                </w:tcPr>
                <w:p w14:paraId="588512AF">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建设规模</w:t>
                  </w:r>
                </w:p>
              </w:tc>
              <w:tc>
                <w:tcPr>
                  <w:tcW w:w="0" w:type="auto"/>
                  <w:noWrap w:val="0"/>
                  <w:vAlign w:val="center"/>
                </w:tcPr>
                <w:p w14:paraId="7F59DF81">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环评批复</w:t>
                  </w:r>
                </w:p>
              </w:tc>
              <w:tc>
                <w:tcPr>
                  <w:tcW w:w="0" w:type="auto"/>
                  <w:noWrap w:val="0"/>
                  <w:vAlign w:val="center"/>
                </w:tcPr>
                <w:p w14:paraId="7CE67BC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验收情况</w:t>
                  </w:r>
                </w:p>
              </w:tc>
              <w:tc>
                <w:tcPr>
                  <w:tcW w:w="0" w:type="auto"/>
                  <w:noWrap w:val="0"/>
                  <w:vAlign w:val="center"/>
                </w:tcPr>
                <w:p w14:paraId="1E924E2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排污许可情况</w:t>
                  </w:r>
                </w:p>
              </w:tc>
              <w:tc>
                <w:tcPr>
                  <w:tcW w:w="0" w:type="auto"/>
                  <w:noWrap w:val="0"/>
                  <w:vAlign w:val="center"/>
                </w:tcPr>
                <w:p w14:paraId="0703AAF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风险评估应急预案办理情况</w:t>
                  </w:r>
                </w:p>
              </w:tc>
            </w:tr>
            <w:tr w14:paraId="4AC7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9681A81">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2007年2月</w:t>
                  </w:r>
                </w:p>
              </w:tc>
              <w:tc>
                <w:tcPr>
                  <w:tcW w:w="0" w:type="auto"/>
                  <w:noWrap w:val="0"/>
                  <w:vAlign w:val="center"/>
                </w:tcPr>
                <w:p w14:paraId="1CF43A49">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重庆市油脂公司江北油脂储炼厂迁（扩）建工程</w:t>
                  </w:r>
                </w:p>
              </w:tc>
              <w:tc>
                <w:tcPr>
                  <w:tcW w:w="0" w:type="auto"/>
                  <w:noWrap w:val="0"/>
                  <w:vAlign w:val="center"/>
                </w:tcPr>
                <w:p w14:paraId="04CA45EE">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改扩建</w:t>
                  </w:r>
                </w:p>
              </w:tc>
              <w:tc>
                <w:tcPr>
                  <w:tcW w:w="0" w:type="auto"/>
                  <w:noWrap w:val="0"/>
                  <w:vAlign w:val="center"/>
                </w:tcPr>
                <w:p w14:paraId="5ED780E6">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厂址自江北区搬迁至九龙坡区铜罐驿镇，精炼规模200t/a、灌装规模1000t/d，储油规模4万t</w:t>
                  </w:r>
                </w:p>
              </w:tc>
              <w:tc>
                <w:tcPr>
                  <w:tcW w:w="0" w:type="auto"/>
                  <w:noWrap w:val="0"/>
                  <w:vAlign w:val="center"/>
                </w:tcPr>
                <w:p w14:paraId="05D7CC5F">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渝（九）环准〔2007〕024号</w:t>
                  </w:r>
                </w:p>
              </w:tc>
              <w:tc>
                <w:tcPr>
                  <w:tcW w:w="0" w:type="auto"/>
                  <w:vMerge w:val="restart"/>
                  <w:noWrap w:val="0"/>
                  <w:vAlign w:val="center"/>
                </w:tcPr>
                <w:p w14:paraId="0DE05251">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2012年11月取得“渝（九）环验〔2012〕081号”验收批复</w:t>
                  </w:r>
                </w:p>
              </w:tc>
              <w:tc>
                <w:tcPr>
                  <w:tcW w:w="0" w:type="auto"/>
                  <w:vMerge w:val="restart"/>
                  <w:noWrap w:val="0"/>
                  <w:vAlign w:val="center"/>
                </w:tcPr>
                <w:p w14:paraId="31A40913">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2024年7月取得排污许可证，编号为：91500107MA605YFE8K002Q</w:t>
                  </w:r>
                </w:p>
              </w:tc>
              <w:tc>
                <w:tcPr>
                  <w:tcW w:w="0" w:type="auto"/>
                  <w:vMerge w:val="restart"/>
                  <w:noWrap w:val="0"/>
                  <w:vAlign w:val="center"/>
                </w:tcPr>
                <w:p w14:paraId="31AC650D">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已备案，备案号：500107-2024-004-M、5001072024010003。</w:t>
                  </w:r>
                </w:p>
              </w:tc>
            </w:tr>
            <w:tr w14:paraId="026A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2467DC84">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2010年8月</w:t>
                  </w:r>
                </w:p>
              </w:tc>
              <w:tc>
                <w:tcPr>
                  <w:tcW w:w="0" w:type="auto"/>
                  <w:noWrap w:val="0"/>
                  <w:vAlign w:val="center"/>
                </w:tcPr>
                <w:p w14:paraId="78D1B5D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重庆市油脂公司江北油脂储炼厂迁（扩）建工程</w:t>
                  </w:r>
                </w:p>
              </w:tc>
              <w:tc>
                <w:tcPr>
                  <w:tcW w:w="0" w:type="auto"/>
                  <w:noWrap w:val="0"/>
                  <w:vAlign w:val="center"/>
                </w:tcPr>
                <w:p w14:paraId="43E282F2">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改扩建</w:t>
                  </w:r>
                </w:p>
              </w:tc>
              <w:tc>
                <w:tcPr>
                  <w:tcW w:w="0" w:type="auto"/>
                  <w:noWrap w:val="0"/>
                  <w:vAlign w:val="center"/>
                </w:tcPr>
                <w:p w14:paraId="3118AE7E">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精炼规模扩大到400t/a，灌装规模扩大到1500t/d，储油规模扩大到</w:t>
                  </w:r>
                  <w:r>
                    <w:rPr>
                      <w:rFonts w:hint="eastAsia" w:cs="Times New Roman"/>
                      <w:b w:val="0"/>
                      <w:bCs/>
                      <w:color w:val="auto"/>
                      <w:kern w:val="0"/>
                      <w:sz w:val="21"/>
                      <w:szCs w:val="21"/>
                      <w:highlight w:val="none"/>
                      <w:vertAlign w:val="baseline"/>
                      <w:lang w:val="en-US" w:eastAsia="zh-CN" w:bidi="ar-SA"/>
                    </w:rPr>
                    <w:t>10.59</w:t>
                  </w:r>
                  <w:r>
                    <w:rPr>
                      <w:rFonts w:hint="default" w:ascii="Times New Roman" w:hAnsi="Times New Roman" w:eastAsia="宋体" w:cs="Times New Roman"/>
                      <w:b w:val="0"/>
                      <w:bCs/>
                      <w:color w:val="auto"/>
                      <w:kern w:val="0"/>
                      <w:sz w:val="21"/>
                      <w:szCs w:val="21"/>
                      <w:highlight w:val="none"/>
                      <w:vertAlign w:val="baseline"/>
                      <w:lang w:val="en-US" w:eastAsia="zh-CN" w:bidi="ar-SA"/>
                    </w:rPr>
                    <w:t>万t</w:t>
                  </w:r>
                </w:p>
              </w:tc>
              <w:tc>
                <w:tcPr>
                  <w:tcW w:w="0" w:type="auto"/>
                  <w:noWrap w:val="0"/>
                  <w:vAlign w:val="center"/>
                </w:tcPr>
                <w:p w14:paraId="102EFFB7">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渝（九）环准[2010]158号</w:t>
                  </w:r>
                </w:p>
              </w:tc>
              <w:tc>
                <w:tcPr>
                  <w:tcW w:w="0" w:type="auto"/>
                  <w:vMerge w:val="continue"/>
                  <w:noWrap w:val="0"/>
                  <w:vAlign w:val="center"/>
                </w:tcPr>
                <w:p w14:paraId="7C08CF7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p>
              </w:tc>
              <w:tc>
                <w:tcPr>
                  <w:tcW w:w="0" w:type="auto"/>
                  <w:vMerge w:val="continue"/>
                  <w:noWrap w:val="0"/>
                  <w:vAlign w:val="center"/>
                </w:tcPr>
                <w:p w14:paraId="18767C8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p>
              </w:tc>
              <w:tc>
                <w:tcPr>
                  <w:tcW w:w="0" w:type="auto"/>
                  <w:vMerge w:val="continue"/>
                  <w:noWrap w:val="0"/>
                  <w:vAlign w:val="center"/>
                </w:tcPr>
                <w:p w14:paraId="02A16D72">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p>
              </w:tc>
            </w:tr>
            <w:tr w14:paraId="509F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2881EE42">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2012年11月</w:t>
                  </w:r>
                </w:p>
              </w:tc>
              <w:tc>
                <w:tcPr>
                  <w:tcW w:w="0" w:type="auto"/>
                  <w:noWrap w:val="0"/>
                  <w:vAlign w:val="center"/>
                </w:tcPr>
                <w:p w14:paraId="64CB06B6">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凯欣粮油有限公司重庆食用油厂制瓶车间配套生产线项目</w:t>
                  </w:r>
                </w:p>
              </w:tc>
              <w:tc>
                <w:tcPr>
                  <w:tcW w:w="0" w:type="auto"/>
                  <w:noWrap w:val="0"/>
                  <w:vAlign w:val="center"/>
                </w:tcPr>
                <w:p w14:paraId="4B45D246">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改扩建</w:t>
                  </w:r>
                </w:p>
              </w:tc>
              <w:tc>
                <w:tcPr>
                  <w:tcW w:w="0" w:type="auto"/>
                  <w:noWrap w:val="0"/>
                  <w:vAlign w:val="center"/>
                </w:tcPr>
                <w:p w14:paraId="45F61CC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年产PET油瓶1765万个</w:t>
                  </w:r>
                </w:p>
              </w:tc>
              <w:tc>
                <w:tcPr>
                  <w:tcW w:w="0" w:type="auto"/>
                  <w:noWrap w:val="0"/>
                  <w:vAlign w:val="center"/>
                </w:tcPr>
                <w:p w14:paraId="4E6A08D6">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渝（九）环准（四清四治第44号）</w:t>
                  </w:r>
                </w:p>
              </w:tc>
              <w:tc>
                <w:tcPr>
                  <w:tcW w:w="0" w:type="auto"/>
                  <w:noWrap w:val="0"/>
                  <w:vAlign w:val="center"/>
                </w:tcPr>
                <w:p w14:paraId="5FC129D6">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w:t>
                  </w:r>
                </w:p>
              </w:tc>
              <w:tc>
                <w:tcPr>
                  <w:tcW w:w="0" w:type="auto"/>
                  <w:vMerge w:val="continue"/>
                  <w:noWrap w:val="0"/>
                  <w:vAlign w:val="center"/>
                </w:tcPr>
                <w:p w14:paraId="5F72FC4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p>
              </w:tc>
              <w:tc>
                <w:tcPr>
                  <w:tcW w:w="0" w:type="auto"/>
                  <w:vMerge w:val="continue"/>
                  <w:noWrap w:val="0"/>
                  <w:vAlign w:val="center"/>
                </w:tcPr>
                <w:p w14:paraId="7EF3C01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p>
              </w:tc>
            </w:tr>
            <w:tr w14:paraId="1808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4ED07F56">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2025年3月</w:t>
                  </w:r>
                </w:p>
              </w:tc>
              <w:tc>
                <w:tcPr>
                  <w:tcW w:w="0" w:type="auto"/>
                  <w:noWrap w:val="0"/>
                  <w:vAlign w:val="center"/>
                </w:tcPr>
                <w:p w14:paraId="5A2AA4A3">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灌装车间升级改造项目</w:t>
                  </w:r>
                </w:p>
              </w:tc>
              <w:tc>
                <w:tcPr>
                  <w:tcW w:w="0" w:type="auto"/>
                  <w:noWrap w:val="0"/>
                  <w:vAlign w:val="center"/>
                </w:tcPr>
                <w:p w14:paraId="70942939">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改造</w:t>
                  </w:r>
                </w:p>
              </w:tc>
              <w:tc>
                <w:tcPr>
                  <w:tcW w:w="0" w:type="auto"/>
                  <w:noWrap w:val="0"/>
                  <w:vAlign w:val="center"/>
                </w:tcPr>
                <w:p w14:paraId="6C476933">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灌装车间升级改造</w:t>
                  </w:r>
                </w:p>
              </w:tc>
              <w:tc>
                <w:tcPr>
                  <w:tcW w:w="0" w:type="auto"/>
                  <w:noWrap w:val="0"/>
                  <w:vAlign w:val="center"/>
                </w:tcPr>
                <w:p w14:paraId="67B8A508">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登记备案号：202550010700000065</w:t>
                  </w:r>
                </w:p>
              </w:tc>
              <w:tc>
                <w:tcPr>
                  <w:tcW w:w="0" w:type="auto"/>
                  <w:noWrap w:val="0"/>
                  <w:vAlign w:val="center"/>
                </w:tcPr>
                <w:p w14:paraId="6F18A2B6">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w:t>
                  </w:r>
                </w:p>
              </w:tc>
              <w:tc>
                <w:tcPr>
                  <w:tcW w:w="0" w:type="auto"/>
                  <w:noWrap w:val="0"/>
                  <w:vAlign w:val="center"/>
                </w:tcPr>
                <w:p w14:paraId="513DE54E">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w:t>
                  </w:r>
                </w:p>
              </w:tc>
              <w:tc>
                <w:tcPr>
                  <w:tcW w:w="0" w:type="auto"/>
                  <w:noWrap w:val="0"/>
                  <w:vAlign w:val="center"/>
                </w:tcPr>
                <w:p w14:paraId="43C5CE45">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240" w:lineRule="auto"/>
                    <w:ind w:right="0" w:rightChars="0"/>
                    <w:jc w:val="center"/>
                    <w:textAlignment w:val="auto"/>
                    <w:outlineLvl w:val="1"/>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vertAlign w:val="baseline"/>
                      <w:lang w:val="en-US" w:eastAsia="zh-CN" w:bidi="ar-SA"/>
                    </w:rPr>
                    <w:t>/</w:t>
                  </w:r>
                </w:p>
              </w:tc>
            </w:tr>
          </w:tbl>
          <w:p w14:paraId="30F05EB0">
            <w:pPr>
              <w:keepNext w:val="0"/>
              <w:keepLines w:val="0"/>
              <w:pageBreakBefore w:val="0"/>
              <w:widowControl w:val="0"/>
              <w:kinsoku/>
              <w:wordWrap/>
              <w:overflowPunct w:val="0"/>
              <w:topLinePunct/>
              <w:autoSpaceDE/>
              <w:autoSpaceDN/>
              <w:bidi w:val="0"/>
              <w:adjustRightInd/>
              <w:snapToGrid/>
              <w:spacing w:line="460" w:lineRule="exact"/>
              <w:ind w:firstLine="482" w:firstLineChars="200"/>
              <w:textAlignment w:val="auto"/>
              <w:outlineLvl w:val="1"/>
              <w:rPr>
                <w:rFonts w:hint="default" w:ascii="Times New Roman" w:hAnsi="Times New Roman" w:cs="Times New Roman"/>
                <w:b/>
                <w:bCs/>
                <w:color w:val="auto"/>
                <w:sz w:val="24"/>
                <w:szCs w:val="32"/>
                <w:highlight w:val="none"/>
                <w:lang w:val="en-US" w:eastAsia="zh-CN"/>
              </w:rPr>
            </w:pPr>
            <w:r>
              <w:rPr>
                <w:rFonts w:hint="default" w:ascii="Times New Roman" w:hAnsi="Times New Roman" w:cs="Times New Roman"/>
                <w:b/>
                <w:bCs/>
                <w:color w:val="auto"/>
                <w:sz w:val="24"/>
                <w:szCs w:val="32"/>
                <w:highlight w:val="none"/>
                <w:lang w:val="en-US" w:eastAsia="zh-CN"/>
              </w:rPr>
              <w:t>2.5.3现有项目建设内容</w:t>
            </w:r>
          </w:p>
          <w:p w14:paraId="1E3E806F">
            <w:pPr>
              <w:pStyle w:val="24"/>
              <w:keepNext w:val="0"/>
              <w:keepLines w:val="0"/>
              <w:pageBreakBefore w:val="0"/>
              <w:widowControl w:val="0"/>
              <w:kinsoku/>
              <w:wordWrap/>
              <w:overflowPunct w:val="0"/>
              <w:topLinePunct/>
              <w:autoSpaceDE/>
              <w:autoSpaceDN/>
              <w:bidi w:val="0"/>
              <w:adjustRightInd/>
              <w:snapToGrid/>
              <w:spacing w:line="460" w:lineRule="exact"/>
              <w:ind w:firstLine="464" w:firstLineChars="200"/>
              <w:textAlignment w:val="auto"/>
              <w:outlineLvl w:val="1"/>
              <w:rPr>
                <w:rFonts w:hint="default" w:ascii="Times New Roman" w:hAnsi="Times New Roman"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现有项目建设有精炼车间1座、包装车间2座、</w:t>
            </w:r>
            <w:r>
              <w:rPr>
                <w:rFonts w:hint="default" w:ascii="Times New Roman" w:hAnsi="Times New Roman" w:cs="Times New Roman"/>
                <w:color w:val="auto"/>
                <w:spacing w:val="-4"/>
                <w:sz w:val="24"/>
                <w:szCs w:val="24"/>
                <w:highlight w:val="none"/>
                <w:lang w:val="en-US" w:eastAsia="zh-CN"/>
              </w:rPr>
              <w:t>制瓶车间2座、</w:t>
            </w:r>
            <w:r>
              <w:rPr>
                <w:rFonts w:hint="default" w:ascii="Times New Roman" w:hAnsi="Times New Roman" w:eastAsia="宋体" w:cs="Times New Roman"/>
                <w:color w:val="auto"/>
                <w:spacing w:val="-4"/>
                <w:sz w:val="24"/>
                <w:szCs w:val="24"/>
                <w:highlight w:val="none"/>
                <w:lang w:val="en-US" w:eastAsia="zh-CN"/>
              </w:rPr>
              <w:t>库房2座、储油罐区3个，配套建设</w:t>
            </w:r>
            <w:r>
              <w:rPr>
                <w:rFonts w:hint="default" w:ascii="Times New Roman" w:hAnsi="Times New Roman" w:cs="Times New Roman"/>
                <w:color w:val="auto"/>
                <w:spacing w:val="-4"/>
                <w:sz w:val="24"/>
                <w:szCs w:val="24"/>
                <w:highlight w:val="none"/>
                <w:lang w:val="en-US" w:eastAsia="zh-CN"/>
              </w:rPr>
              <w:t>倒班楼、办公楼、食堂、</w:t>
            </w:r>
            <w:r>
              <w:rPr>
                <w:rFonts w:hint="default" w:ascii="Times New Roman" w:hAnsi="Times New Roman" w:eastAsia="宋体" w:cs="Times New Roman"/>
                <w:color w:val="auto"/>
                <w:spacing w:val="-4"/>
                <w:sz w:val="24"/>
                <w:szCs w:val="24"/>
                <w:highlight w:val="none"/>
                <w:lang w:val="en-US" w:eastAsia="zh-CN"/>
              </w:rPr>
              <w:t>锅炉房</w:t>
            </w:r>
            <w:r>
              <w:rPr>
                <w:rFonts w:hint="default" w:ascii="Times New Roman" w:hAnsi="Times New Roman" w:cs="Times New Roman"/>
                <w:color w:val="auto"/>
                <w:spacing w:val="-4"/>
                <w:sz w:val="24"/>
                <w:szCs w:val="24"/>
                <w:highlight w:val="none"/>
                <w:lang w:val="en-US" w:eastAsia="zh-CN"/>
              </w:rPr>
              <w:t>、</w:t>
            </w:r>
            <w:r>
              <w:rPr>
                <w:rFonts w:hint="eastAsia" w:ascii="Times New Roman" w:hAnsi="Times New Roman" w:cs="Times New Roman"/>
                <w:color w:val="auto"/>
                <w:spacing w:val="-4"/>
                <w:sz w:val="24"/>
                <w:szCs w:val="24"/>
                <w:highlight w:val="none"/>
                <w:lang w:val="en-US" w:eastAsia="zh-CN"/>
              </w:rPr>
              <w:t>污水处理站</w:t>
            </w:r>
            <w:r>
              <w:rPr>
                <w:rFonts w:hint="default" w:ascii="Times New Roman" w:hAnsi="Times New Roman" w:cs="Times New Roman"/>
                <w:color w:val="auto"/>
                <w:spacing w:val="-4"/>
                <w:sz w:val="24"/>
                <w:szCs w:val="24"/>
                <w:highlight w:val="none"/>
                <w:lang w:val="en-US" w:eastAsia="zh-CN"/>
              </w:rPr>
              <w:t>等建构筑物。</w:t>
            </w:r>
          </w:p>
          <w:p w14:paraId="7EAB4B3B">
            <w:pPr>
              <w:pStyle w:val="24"/>
              <w:keepNext w:val="0"/>
              <w:keepLines w:val="0"/>
              <w:pageBreakBefore w:val="0"/>
              <w:widowControl w:val="0"/>
              <w:kinsoku/>
              <w:wordWrap/>
              <w:overflowPunct w:val="0"/>
              <w:topLinePunct/>
              <w:autoSpaceDE/>
              <w:autoSpaceDN/>
              <w:bidi w:val="0"/>
              <w:adjustRightInd/>
              <w:snapToGrid/>
              <w:spacing w:line="460" w:lineRule="exact"/>
              <w:ind w:firstLine="464" w:firstLineChars="200"/>
              <w:textAlignment w:val="auto"/>
              <w:outlineLvl w:val="1"/>
              <w:rPr>
                <w:rFonts w:hint="default" w:ascii="Times New Roman" w:hAnsi="Times New Roman" w:cs="Times New Roman"/>
                <w:color w:val="auto"/>
                <w:highlight w:val="none"/>
              </w:rPr>
            </w:pPr>
            <w:r>
              <w:rPr>
                <w:rFonts w:hint="default" w:ascii="Times New Roman" w:hAnsi="Times New Roman" w:eastAsia="宋体" w:cs="Times New Roman"/>
                <w:color w:val="auto"/>
                <w:spacing w:val="-4"/>
                <w:sz w:val="24"/>
                <w:szCs w:val="24"/>
                <w:highlight w:val="none"/>
                <w:lang w:val="en-US" w:eastAsia="zh-CN"/>
              </w:rPr>
              <w:t>现有项目</w:t>
            </w:r>
            <w:r>
              <w:rPr>
                <w:rFonts w:hint="default" w:ascii="Times New Roman" w:hAnsi="Times New Roman" w:eastAsia="宋体" w:cs="Times New Roman"/>
                <w:color w:val="auto"/>
                <w:spacing w:val="-1"/>
                <w:sz w:val="24"/>
                <w:szCs w:val="24"/>
                <w:highlight w:val="none"/>
                <w:lang w:val="en-US" w:eastAsia="zh-CN"/>
              </w:rPr>
              <w:t>建设内容见表2.5-2。</w:t>
            </w:r>
          </w:p>
          <w:p w14:paraId="5E9EE4BE">
            <w:pPr>
              <w:pStyle w:val="10"/>
              <w:keepNext w:val="0"/>
              <w:keepLines w:val="0"/>
              <w:pageBreakBefore w:val="0"/>
              <w:numPr>
                <w:ilvl w:val="0"/>
                <w:numId w:val="0"/>
              </w:numPr>
              <w:suppressLineNumbers w:val="0"/>
              <w:tabs>
                <w:tab w:val="left" w:pos="540"/>
                <w:tab w:val="left" w:pos="1080"/>
                <w:tab w:val="left" w:pos="1800"/>
              </w:tabs>
              <w:kinsoku/>
              <w:wordWrap/>
              <w:overflowPunct w:val="0"/>
              <w:topLinePunct/>
              <w:bidi w:val="0"/>
              <w:spacing w:before="0" w:beforeAutospacing="0" w:after="0" w:afterAutospacing="0" w:line="460" w:lineRule="exact"/>
              <w:ind w:left="0" w:leftChars="0" w:right="0" w:rightChars="0"/>
              <w:jc w:val="center"/>
              <w:textAlignment w:val="auto"/>
              <w:outlineLvl w:val="1"/>
              <w:rPr>
                <w:rFonts w:hint="default" w:ascii="Times New Roman" w:hAnsi="Times New Roman" w:eastAsia="宋体" w:cs="Times New Roman"/>
                <w:b/>
                <w:bCs/>
                <w:color w:val="auto"/>
                <w:kern w:val="2"/>
                <w:sz w:val="22"/>
                <w:szCs w:val="22"/>
                <w:highlight w:val="none"/>
                <w:lang w:val="en-US" w:eastAsia="zh-CN" w:bidi="ar-SA"/>
              </w:rPr>
            </w:pPr>
            <w:r>
              <w:rPr>
                <w:rFonts w:hint="default" w:ascii="Times New Roman" w:hAnsi="Times New Roman" w:eastAsia="宋体" w:cs="Times New Roman"/>
                <w:b/>
                <w:bCs/>
                <w:color w:val="auto"/>
                <w:kern w:val="2"/>
                <w:sz w:val="22"/>
                <w:szCs w:val="22"/>
                <w:highlight w:val="none"/>
                <w:lang w:val="en-US" w:eastAsia="zh-CN" w:bidi="ar-SA"/>
              </w:rPr>
              <w:t>表2.5-2现有项目建设内容</w:t>
            </w:r>
          </w:p>
          <w:tbl>
            <w:tblPr>
              <w:tblStyle w:val="18"/>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799"/>
              <w:gridCol w:w="1046"/>
              <w:gridCol w:w="5856"/>
            </w:tblGrid>
            <w:tr w14:paraId="3DF9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pct"/>
                  <w:gridSpan w:val="2"/>
                  <w:noWrap w:val="0"/>
                  <w:vAlign w:val="center"/>
                </w:tcPr>
                <w:p w14:paraId="210D0C63">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val="en-US" w:eastAsia="zh-CN"/>
                    </w:rPr>
                    <w:t>分类</w:t>
                  </w:r>
                </w:p>
              </w:tc>
              <w:tc>
                <w:tcPr>
                  <w:tcW w:w="4111" w:type="pct"/>
                  <w:gridSpan w:val="2"/>
                  <w:noWrap w:val="0"/>
                  <w:vAlign w:val="center"/>
                </w:tcPr>
                <w:p w14:paraId="40918CD5">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项目组成</w:t>
                  </w:r>
                </w:p>
              </w:tc>
            </w:tr>
            <w:tr w14:paraId="7114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12" w:type="pct"/>
                  <w:vMerge w:val="restart"/>
                  <w:noWrap w:val="0"/>
                  <w:vAlign w:val="center"/>
                </w:tcPr>
                <w:p w14:paraId="6F641151">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主体工程</w:t>
                  </w:r>
                </w:p>
              </w:tc>
              <w:tc>
                <w:tcPr>
                  <w:tcW w:w="475" w:type="pct"/>
                  <w:noWrap w:val="0"/>
                  <w:vAlign w:val="center"/>
                </w:tcPr>
                <w:p w14:paraId="30B00D58">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精炼车间</w:t>
                  </w:r>
                </w:p>
              </w:tc>
              <w:tc>
                <w:tcPr>
                  <w:tcW w:w="4111" w:type="pct"/>
                  <w:gridSpan w:val="2"/>
                  <w:noWrap w:val="0"/>
                  <w:vAlign w:val="center"/>
                </w:tcPr>
                <w:p w14:paraId="32FE1E05">
                  <w:pPr>
                    <w:keepNext w:val="0"/>
                    <w:keepLines w:val="0"/>
                    <w:pageBreakBefore w:val="0"/>
                    <w:widowControl/>
                    <w:kinsoku/>
                    <w:wordWrap/>
                    <w:overflowPunct w:val="0"/>
                    <w:topLinePunct/>
                    <w:autoSpaceDE/>
                    <w:autoSpaceDN/>
                    <w:bidi w:val="0"/>
                    <w:snapToGrid w:val="0"/>
                    <w:spacing w:line="240" w:lineRule="auto"/>
                    <w:jc w:val="both"/>
                    <w:outlineLvl w:val="1"/>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1座，位于厂区北侧，</w:t>
                  </w:r>
                  <w:r>
                    <w:rPr>
                      <w:rFonts w:hint="default" w:ascii="Times New Roman" w:hAnsi="Times New Roman" w:eastAsia="宋体" w:cs="Times New Roman"/>
                      <w:color w:val="auto"/>
                      <w:sz w:val="21"/>
                      <w:szCs w:val="21"/>
                      <w:highlight w:val="none"/>
                    </w:rPr>
                    <w:t>建筑面积</w:t>
                  </w:r>
                  <w:r>
                    <w:rPr>
                      <w:rFonts w:hint="default" w:ascii="Times New Roman" w:hAnsi="Times New Roman" w:eastAsia="宋体" w:cs="Times New Roman"/>
                      <w:color w:val="auto"/>
                      <w:sz w:val="21"/>
                      <w:szCs w:val="21"/>
                      <w:highlight w:val="none"/>
                      <w:lang w:val="en-US" w:eastAsia="zh-CN"/>
                    </w:rPr>
                    <w:t>2818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lang w:eastAsia="zh-CN"/>
                    </w:rPr>
                    <w:t>；</w:t>
                  </w:r>
                </w:p>
                <w:p w14:paraId="438B1EAE">
                  <w:pPr>
                    <w:keepNext w:val="0"/>
                    <w:keepLines w:val="0"/>
                    <w:pageBreakBefore w:val="0"/>
                    <w:widowControl/>
                    <w:kinsoku/>
                    <w:wordWrap/>
                    <w:overflowPunct w:val="0"/>
                    <w:topLinePunct/>
                    <w:autoSpaceDE/>
                    <w:autoSpaceDN/>
                    <w:bidi w:val="0"/>
                    <w:snapToGrid w:val="0"/>
                    <w:spacing w:line="240" w:lineRule="auto"/>
                    <w:jc w:val="both"/>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车间内设置1条400t/d的食用油精炼生产线，设过滤、加热、脱胶、脱酸、水洗、脱色、脱臭、冷却等工序设备，设计日产精炼食用油400t</w:t>
                  </w:r>
                  <w:r>
                    <w:rPr>
                      <w:rFonts w:hint="default" w:ascii="Times New Roman" w:hAnsi="Times New Roman" w:eastAsia="宋体" w:cs="Times New Roman"/>
                      <w:color w:val="auto"/>
                      <w:sz w:val="21"/>
                      <w:szCs w:val="21"/>
                      <w:highlight w:val="none"/>
                    </w:rPr>
                    <w:t>：</w:t>
                  </w:r>
                </w:p>
              </w:tc>
            </w:tr>
            <w:tr w14:paraId="0657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5AF97EB2">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1A2FE099">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包装车间</w:t>
                  </w:r>
                </w:p>
              </w:tc>
              <w:tc>
                <w:tcPr>
                  <w:tcW w:w="4111" w:type="pct"/>
                  <w:gridSpan w:val="2"/>
                  <w:noWrap w:val="0"/>
                  <w:vAlign w:val="center"/>
                </w:tcPr>
                <w:p w14:paraId="7BFDF4F7">
                  <w:pPr>
                    <w:pStyle w:val="24"/>
                    <w:keepNext w:val="0"/>
                    <w:keepLines w:val="0"/>
                    <w:pageBreakBefore w:val="0"/>
                    <w:widowControl w:val="0"/>
                    <w:kinsoku/>
                    <w:wordWrap/>
                    <w:overflowPunct/>
                    <w:topLinePunct w:val="0"/>
                    <w:autoSpaceDE/>
                    <w:autoSpaceDN/>
                    <w:bidi w:val="0"/>
                    <w:adjustRightInd/>
                    <w:snapToGrid w:val="0"/>
                    <w:spacing w:line="240" w:lineRule="auto"/>
                    <w:ind w:left="0"/>
                    <w:jc w:val="both"/>
                    <w:textAlignment w:val="auto"/>
                    <w:outlineLvl w:val="1"/>
                    <w:rPr>
                      <w:rFonts w:hint="default" w:ascii="Times New Roman" w:hAnsi="Times New Roman" w:eastAsia="宋体" w:cs="Times New Roman"/>
                      <w:color w:val="auto"/>
                      <w:sz w:val="21"/>
                      <w:szCs w:val="21"/>
                      <w:highlight w:val="none"/>
                      <w:vertAlign w:val="superscript"/>
                      <w:lang w:eastAsia="zh-CN"/>
                    </w:rPr>
                  </w:pPr>
                  <w:r>
                    <w:rPr>
                      <w:rFonts w:hint="default" w:ascii="Times New Roman" w:hAnsi="Times New Roman" w:eastAsia="宋体" w:cs="Times New Roman"/>
                      <w:color w:val="auto"/>
                      <w:spacing w:val="4"/>
                      <w:position w:val="1"/>
                      <w:sz w:val="21"/>
                      <w:szCs w:val="21"/>
                      <w:highlight w:val="none"/>
                      <w:lang w:val="en-US" w:eastAsia="zh-CN"/>
                    </w:rPr>
                    <w:t>2座，1#包装车间位于厂区中部北侧，建筑面积5066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2#包装车间位于厂区西侧，建筑面积3987</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p w14:paraId="05BFC5F8">
                  <w:pPr>
                    <w:pStyle w:val="24"/>
                    <w:keepNext w:val="0"/>
                    <w:keepLines w:val="0"/>
                    <w:pageBreakBefore w:val="0"/>
                    <w:widowControl w:val="0"/>
                    <w:kinsoku/>
                    <w:wordWrap/>
                    <w:overflowPunct/>
                    <w:topLinePunct w:val="0"/>
                    <w:autoSpaceDE/>
                    <w:autoSpaceDN/>
                    <w:bidi w:val="0"/>
                    <w:adjustRightInd/>
                    <w:snapToGrid w:val="0"/>
                    <w:spacing w:line="240" w:lineRule="auto"/>
                    <w:ind w:left="0"/>
                    <w:jc w:val="both"/>
                    <w:textAlignment w:val="auto"/>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车间内</w:t>
                  </w:r>
                  <w:r>
                    <w:rPr>
                      <w:rFonts w:hint="default" w:ascii="Times New Roman" w:hAnsi="Times New Roman" w:eastAsia="宋体" w:cs="Times New Roman"/>
                      <w:color w:val="auto"/>
                      <w:spacing w:val="4"/>
                      <w:position w:val="1"/>
                      <w:sz w:val="21"/>
                      <w:szCs w:val="21"/>
                      <w:highlight w:val="none"/>
                      <w:lang w:val="en-US" w:eastAsia="zh-CN"/>
                    </w:rPr>
                    <w:t>设置自动罐装机、全自动液体包装机、喷码机、封箱机等设备，并设置21</w:t>
                  </w:r>
                  <w:r>
                    <w:rPr>
                      <w:rFonts w:hint="default" w:ascii="Times New Roman" w:hAnsi="Times New Roman" w:eastAsia="宋体" w:cs="Times New Roman"/>
                      <w:color w:val="auto"/>
                      <w:spacing w:val="4"/>
                      <w:position w:val="1"/>
                      <w:sz w:val="21"/>
                      <w:szCs w:val="21"/>
                      <w:highlight w:val="none"/>
                    </w:rPr>
                    <w:t>个成品油周转罐，2个100t、</w:t>
                  </w:r>
                  <w:r>
                    <w:rPr>
                      <w:rFonts w:hint="default" w:ascii="Times New Roman" w:hAnsi="Times New Roman" w:eastAsia="宋体" w:cs="Times New Roman"/>
                      <w:color w:val="auto"/>
                      <w:spacing w:val="4"/>
                      <w:position w:val="1"/>
                      <w:sz w:val="21"/>
                      <w:szCs w:val="21"/>
                      <w:highlight w:val="none"/>
                      <w:lang w:val="en-US" w:eastAsia="zh-CN"/>
                    </w:rPr>
                    <w:t>9</w:t>
                  </w:r>
                  <w:r>
                    <w:rPr>
                      <w:rFonts w:hint="default" w:ascii="Times New Roman" w:hAnsi="Times New Roman" w:eastAsia="宋体" w:cs="Times New Roman"/>
                      <w:color w:val="auto"/>
                      <w:spacing w:val="4"/>
                      <w:position w:val="1"/>
                      <w:sz w:val="21"/>
                      <w:szCs w:val="21"/>
                      <w:highlight w:val="none"/>
                    </w:rPr>
                    <w:t>个60t、6个50t、</w:t>
                  </w:r>
                  <w:r>
                    <w:rPr>
                      <w:rFonts w:hint="default" w:ascii="Times New Roman" w:hAnsi="Times New Roman" w:eastAsia="宋体" w:cs="Times New Roman"/>
                      <w:color w:val="auto"/>
                      <w:spacing w:val="3"/>
                      <w:position w:val="1"/>
                      <w:sz w:val="21"/>
                      <w:szCs w:val="21"/>
                      <w:highlight w:val="none"/>
                    </w:rPr>
                    <w:t>4</w:t>
                  </w:r>
                  <w:r>
                    <w:rPr>
                      <w:rFonts w:hint="default" w:ascii="Times New Roman" w:hAnsi="Times New Roman" w:eastAsia="宋体" w:cs="Times New Roman"/>
                      <w:color w:val="auto"/>
                      <w:spacing w:val="6"/>
                      <w:position w:val="1"/>
                      <w:sz w:val="21"/>
                      <w:szCs w:val="21"/>
                      <w:highlight w:val="none"/>
                    </w:rPr>
                    <w:t>个</w:t>
                  </w:r>
                  <w:r>
                    <w:rPr>
                      <w:rFonts w:hint="default" w:ascii="Times New Roman" w:hAnsi="Times New Roman" w:eastAsia="宋体" w:cs="Times New Roman"/>
                      <w:color w:val="auto"/>
                      <w:spacing w:val="3"/>
                      <w:position w:val="1"/>
                      <w:sz w:val="21"/>
                      <w:szCs w:val="21"/>
                      <w:highlight w:val="none"/>
                    </w:rPr>
                    <w:t>40t</w:t>
                  </w:r>
                  <w:r>
                    <w:rPr>
                      <w:rFonts w:hint="default" w:ascii="Times New Roman" w:hAnsi="Times New Roman" w:eastAsia="宋体" w:cs="Times New Roman"/>
                      <w:color w:val="auto"/>
                      <w:spacing w:val="5"/>
                      <w:position w:val="1"/>
                      <w:sz w:val="21"/>
                      <w:szCs w:val="21"/>
                      <w:highlight w:val="none"/>
                    </w:rPr>
                    <w:t>。</w:t>
                  </w:r>
                  <w:r>
                    <w:rPr>
                      <w:rFonts w:hint="default" w:ascii="Times New Roman" w:hAnsi="Times New Roman" w:eastAsia="宋体" w:cs="Times New Roman"/>
                      <w:color w:val="auto"/>
                      <w:spacing w:val="5"/>
                      <w:position w:val="1"/>
                      <w:sz w:val="21"/>
                      <w:szCs w:val="21"/>
                      <w:highlight w:val="none"/>
                      <w:lang w:val="en-US" w:eastAsia="zh-CN"/>
                    </w:rPr>
                    <w:t>设计灌装规模</w:t>
                  </w:r>
                  <w:r>
                    <w:rPr>
                      <w:rFonts w:hint="default" w:ascii="Times New Roman" w:hAnsi="Times New Roman" w:eastAsia="宋体" w:cs="Times New Roman"/>
                      <w:color w:val="auto"/>
                      <w:spacing w:val="4"/>
                      <w:position w:val="1"/>
                      <w:sz w:val="21"/>
                      <w:szCs w:val="21"/>
                      <w:highlight w:val="none"/>
                      <w:lang w:val="en-US" w:eastAsia="zh-CN"/>
                    </w:rPr>
                    <w:t>1500t/d</w:t>
                  </w:r>
                </w:p>
              </w:tc>
            </w:tr>
            <w:tr w14:paraId="461A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0F0A2E2C">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4954EC50">
                  <w:pPr>
                    <w:keepNext w:val="0"/>
                    <w:keepLines w:val="0"/>
                    <w:pageBreakBefore w:val="0"/>
                    <w:widowControl/>
                    <w:kinsoku/>
                    <w:wordWrap/>
                    <w:overflowPunct w:val="0"/>
                    <w:topLinePunct/>
                    <w:autoSpaceDE/>
                    <w:autoSpaceDN/>
                    <w:bidi w:val="0"/>
                    <w:adjustRightInd w:val="0"/>
                    <w:snapToGrid w:val="0"/>
                    <w:spacing w:line="240" w:lineRule="auto"/>
                    <w:jc w:val="both"/>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制瓶车间</w:t>
                  </w:r>
                </w:p>
              </w:tc>
              <w:tc>
                <w:tcPr>
                  <w:tcW w:w="4111" w:type="pct"/>
                  <w:gridSpan w:val="2"/>
                  <w:noWrap w:val="0"/>
                  <w:vAlign w:val="center"/>
                </w:tcPr>
                <w:p w14:paraId="3B9467D4">
                  <w:pPr>
                    <w:pStyle w:val="24"/>
                    <w:keepNext w:val="0"/>
                    <w:keepLines w:val="0"/>
                    <w:pageBreakBefore w:val="0"/>
                    <w:widowControl w:val="0"/>
                    <w:kinsoku/>
                    <w:wordWrap/>
                    <w:overflowPunct/>
                    <w:topLinePunct w:val="0"/>
                    <w:autoSpaceDE/>
                    <w:autoSpaceDN/>
                    <w:bidi w:val="0"/>
                    <w:adjustRightInd/>
                    <w:snapToGrid w:val="0"/>
                    <w:spacing w:line="240" w:lineRule="auto"/>
                    <w:ind w:left="0"/>
                    <w:jc w:val="both"/>
                    <w:textAlignment w:val="auto"/>
                    <w:outlineLvl w:val="1"/>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2间，1#制瓶车间位于1#包装车间2F北侧，建筑面积600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2#制瓶车间位于2#包装车间2F北侧，建筑面积1300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vertAlign w:val="baseline"/>
                      <w:lang w:eastAsia="zh-CN"/>
                    </w:rPr>
                    <w:t>；</w:t>
                  </w:r>
                </w:p>
                <w:p w14:paraId="16396E8E">
                  <w:pPr>
                    <w:pStyle w:val="24"/>
                    <w:keepNext w:val="0"/>
                    <w:keepLines w:val="0"/>
                    <w:pageBreakBefore w:val="0"/>
                    <w:widowControl w:val="0"/>
                    <w:kinsoku/>
                    <w:wordWrap/>
                    <w:overflowPunct/>
                    <w:topLinePunct w:val="0"/>
                    <w:autoSpaceDE/>
                    <w:autoSpaceDN/>
                    <w:bidi w:val="0"/>
                    <w:adjustRightInd/>
                    <w:snapToGrid w:val="0"/>
                    <w:spacing w:line="240" w:lineRule="auto"/>
                    <w:ind w:left="0"/>
                    <w:jc w:val="both"/>
                    <w:textAlignment w:val="auto"/>
                    <w:outlineLvl w:val="1"/>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车间内设置吹瓶机、刷标机等设备，设计生产PET油瓶</w:t>
                  </w:r>
                  <w:r>
                    <w:rPr>
                      <w:rFonts w:hint="default" w:ascii="Times New Roman" w:hAnsi="Times New Roman" w:eastAsia="宋体" w:cs="Times New Roman"/>
                      <w:b w:val="0"/>
                      <w:bCs/>
                      <w:color w:val="auto"/>
                      <w:kern w:val="0"/>
                      <w:sz w:val="21"/>
                      <w:szCs w:val="21"/>
                      <w:highlight w:val="none"/>
                      <w:vertAlign w:val="baseline"/>
                      <w:lang w:val="en-US" w:eastAsia="zh-CN" w:bidi="ar-SA"/>
                    </w:rPr>
                    <w:t>1765万个/a</w:t>
                  </w:r>
                </w:p>
              </w:tc>
            </w:tr>
            <w:tr w14:paraId="0312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12" w:type="pct"/>
                  <w:vMerge w:val="restart"/>
                  <w:noWrap w:val="0"/>
                  <w:vAlign w:val="center"/>
                </w:tcPr>
                <w:p w14:paraId="1BACCD40">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储运工程</w:t>
                  </w:r>
                </w:p>
              </w:tc>
              <w:tc>
                <w:tcPr>
                  <w:tcW w:w="475" w:type="pct"/>
                  <w:noWrap w:val="0"/>
                  <w:vAlign w:val="top"/>
                </w:tcPr>
                <w:p w14:paraId="18239477">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spacing w:val="7"/>
                      <w:sz w:val="21"/>
                      <w:szCs w:val="21"/>
                      <w:highlight w:val="none"/>
                      <w:lang w:val="en-US" w:eastAsia="zh-CN"/>
                    </w:rPr>
                    <w:t>1#</w:t>
                  </w:r>
                  <w:r>
                    <w:rPr>
                      <w:rFonts w:hint="default" w:ascii="Times New Roman" w:hAnsi="Times New Roman" w:eastAsia="宋体" w:cs="Times New Roman"/>
                      <w:color w:val="auto"/>
                      <w:spacing w:val="7"/>
                      <w:sz w:val="21"/>
                      <w:szCs w:val="21"/>
                      <w:highlight w:val="none"/>
                    </w:rPr>
                    <w:t>库房</w:t>
                  </w:r>
                </w:p>
              </w:tc>
              <w:tc>
                <w:tcPr>
                  <w:tcW w:w="4111" w:type="pct"/>
                  <w:gridSpan w:val="2"/>
                  <w:noWrap w:val="0"/>
                  <w:vAlign w:val="center"/>
                </w:tcPr>
                <w:p w14:paraId="736A0AE8">
                  <w:pPr>
                    <w:pStyle w:val="24"/>
                    <w:keepNext w:val="0"/>
                    <w:keepLines w:val="0"/>
                    <w:pageBreakBefore w:val="0"/>
                    <w:kinsoku/>
                    <w:wordWrap/>
                    <w:autoSpaceDE/>
                    <w:autoSpaceDN/>
                    <w:bidi w:val="0"/>
                    <w:snapToGrid w:val="0"/>
                    <w:spacing w:line="240" w:lineRule="auto"/>
                    <w:jc w:val="both"/>
                    <w:outlineLvl w:val="1"/>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default" w:ascii="Times New Roman" w:hAnsi="Times New Roman" w:eastAsia="宋体" w:cs="Times New Roman"/>
                      <w:color w:val="auto"/>
                      <w:spacing w:val="4"/>
                      <w:position w:val="1"/>
                      <w:sz w:val="21"/>
                      <w:szCs w:val="21"/>
                      <w:highlight w:val="none"/>
                      <w:lang w:val="en-US" w:eastAsia="zh-CN"/>
                    </w:rPr>
                    <w:t>位于厂区东侧，</w:t>
                  </w:r>
                  <w:r>
                    <w:rPr>
                      <w:rFonts w:hint="default" w:ascii="Times New Roman" w:hAnsi="Times New Roman" w:eastAsia="宋体" w:cs="Times New Roman"/>
                      <w:color w:val="auto"/>
                      <w:spacing w:val="4"/>
                      <w:position w:val="1"/>
                      <w:sz w:val="21"/>
                      <w:szCs w:val="21"/>
                      <w:highlight w:val="none"/>
                    </w:rPr>
                    <w:t>建筑面积5066m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6"/>
                      <w:position w:val="1"/>
                      <w:sz w:val="21"/>
                      <w:szCs w:val="21"/>
                      <w:highlight w:val="none"/>
                      <w:vertAlign w:val="baseline"/>
                      <w:lang w:val="en-US" w:eastAsia="zh-CN"/>
                    </w:rPr>
                    <w:t>，用于产品包装油的储存</w:t>
                  </w:r>
                </w:p>
              </w:tc>
            </w:tr>
            <w:tr w14:paraId="75AE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12316D9F">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top"/>
                </w:tcPr>
                <w:p w14:paraId="4512F181">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rPr>
                    <w:t>库房</w:t>
                  </w:r>
                </w:p>
              </w:tc>
              <w:tc>
                <w:tcPr>
                  <w:tcW w:w="4111" w:type="pct"/>
                  <w:gridSpan w:val="2"/>
                  <w:noWrap w:val="0"/>
                  <w:vAlign w:val="center"/>
                </w:tcPr>
                <w:p w14:paraId="2D2F928E">
                  <w:pPr>
                    <w:pStyle w:val="24"/>
                    <w:keepNext w:val="0"/>
                    <w:keepLines w:val="0"/>
                    <w:pageBreakBefore w:val="0"/>
                    <w:kinsoku/>
                    <w:wordWrap/>
                    <w:autoSpaceDE/>
                    <w:autoSpaceDN/>
                    <w:bidi w:val="0"/>
                    <w:snapToGrid w:val="0"/>
                    <w:spacing w:line="240" w:lineRule="auto"/>
                    <w:jc w:val="both"/>
                    <w:outlineLvl w:val="1"/>
                    <w:rPr>
                      <w:rFonts w:hint="default" w:ascii="Times New Roman" w:hAnsi="Times New Roman" w:eastAsia="宋体" w:cs="Times New Roman"/>
                      <w:bCs/>
                      <w:snapToGrid w:val="0"/>
                      <w:color w:val="auto"/>
                      <w:kern w:val="0"/>
                      <w:sz w:val="21"/>
                      <w:szCs w:val="21"/>
                      <w:highlight w:val="none"/>
                      <w:vertAlign w:val="baseline"/>
                      <w:lang w:val="en-US"/>
                    </w:rPr>
                  </w:pPr>
                  <w:r>
                    <w:rPr>
                      <w:rFonts w:hint="default" w:ascii="Times New Roman" w:hAnsi="Times New Roman" w:eastAsia="宋体" w:cs="Times New Roman"/>
                      <w:color w:val="auto"/>
                      <w:spacing w:val="4"/>
                      <w:position w:val="1"/>
                      <w:sz w:val="21"/>
                      <w:szCs w:val="21"/>
                      <w:highlight w:val="none"/>
                      <w:lang w:val="en-US" w:eastAsia="zh-CN"/>
                    </w:rPr>
                    <w:t>位于厂区中部，</w:t>
                  </w:r>
                  <w:r>
                    <w:rPr>
                      <w:rFonts w:hint="default" w:ascii="Times New Roman" w:hAnsi="Times New Roman" w:eastAsia="宋体" w:cs="Times New Roman"/>
                      <w:color w:val="auto"/>
                      <w:spacing w:val="4"/>
                      <w:position w:val="1"/>
                      <w:sz w:val="21"/>
                      <w:szCs w:val="21"/>
                      <w:highlight w:val="none"/>
                    </w:rPr>
                    <w:t>建筑面积3026m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6"/>
                      <w:position w:val="1"/>
                      <w:sz w:val="21"/>
                      <w:szCs w:val="21"/>
                      <w:highlight w:val="none"/>
                      <w:vertAlign w:val="baseline"/>
                      <w:lang w:val="en-US" w:eastAsia="zh-CN"/>
                    </w:rPr>
                    <w:t>，用于成品包装油及包装材料储存</w:t>
                  </w:r>
                </w:p>
              </w:tc>
            </w:tr>
            <w:tr w14:paraId="6533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412" w:type="pct"/>
                  <w:vMerge w:val="continue"/>
                  <w:noWrap w:val="0"/>
                  <w:vAlign w:val="center"/>
                </w:tcPr>
                <w:p w14:paraId="52F5B553">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479147D8">
                  <w:pPr>
                    <w:pStyle w:val="24"/>
                    <w:keepNext w:val="0"/>
                    <w:keepLines w:val="0"/>
                    <w:pageBreakBefore w:val="0"/>
                    <w:widowControl w:val="0"/>
                    <w:kinsoku/>
                    <w:wordWrap/>
                    <w:autoSpaceDE/>
                    <w:autoSpaceDN/>
                    <w:bidi w:val="0"/>
                    <w:snapToGrid w:val="0"/>
                    <w:spacing w:line="240" w:lineRule="auto"/>
                    <w:ind w:left="0"/>
                    <w:jc w:val="center"/>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储油罐区</w:t>
                  </w:r>
                </w:p>
              </w:tc>
              <w:tc>
                <w:tcPr>
                  <w:tcW w:w="4111" w:type="pct"/>
                  <w:gridSpan w:val="2"/>
                  <w:noWrap w:val="0"/>
                  <w:vAlign w:val="top"/>
                </w:tcPr>
                <w:p w14:paraId="563FF80F">
                  <w:pPr>
                    <w:pStyle w:val="24"/>
                    <w:keepNext w:val="0"/>
                    <w:keepLines w:val="0"/>
                    <w:pageBreakBefore w:val="0"/>
                    <w:widowControl/>
                    <w:kinsoku/>
                    <w:wordWrap/>
                    <w:overflowPunct/>
                    <w:topLinePunct w:val="0"/>
                    <w:autoSpaceDE/>
                    <w:autoSpaceDN/>
                    <w:bidi w:val="0"/>
                    <w:adjustRightInd/>
                    <w:snapToGrid w:val="0"/>
                    <w:spacing w:line="240" w:lineRule="auto"/>
                    <w:ind w:left="59"/>
                    <w:jc w:val="left"/>
                    <w:textAlignment w:val="auto"/>
                    <w:outlineLvl w:val="1"/>
                    <w:rPr>
                      <w:rFonts w:hint="eastAsia" w:ascii="Times New Roman" w:hAnsi="Times New Roman" w:cs="Times New Roman"/>
                      <w:color w:val="auto"/>
                      <w:spacing w:val="-2"/>
                      <w:sz w:val="21"/>
                      <w:szCs w:val="21"/>
                      <w:highlight w:val="none"/>
                      <w:lang w:eastAsia="zh-CN"/>
                    </w:rPr>
                  </w:pPr>
                  <w:r>
                    <w:rPr>
                      <w:rFonts w:hint="eastAsia" w:ascii="Times New Roman" w:hAnsi="Times New Roman" w:cs="Times New Roman"/>
                      <w:color w:val="auto"/>
                      <w:spacing w:val="-4"/>
                      <w:sz w:val="21"/>
                      <w:szCs w:val="21"/>
                      <w:highlight w:val="none"/>
                      <w:lang w:val="en-US" w:eastAsia="zh-CN"/>
                    </w:rPr>
                    <w:t>全厂共</w:t>
                  </w:r>
                  <w:r>
                    <w:rPr>
                      <w:rFonts w:hint="default" w:ascii="Times New Roman" w:hAnsi="Times New Roman" w:eastAsia="宋体" w:cs="Times New Roman"/>
                      <w:color w:val="auto"/>
                      <w:spacing w:val="-4"/>
                      <w:sz w:val="21"/>
                      <w:szCs w:val="21"/>
                      <w:highlight w:val="none"/>
                      <w:lang w:val="en-US" w:eastAsia="zh-CN"/>
                    </w:rPr>
                    <w:t>3个</w:t>
                  </w:r>
                  <w:r>
                    <w:rPr>
                      <w:rFonts w:hint="default" w:ascii="Times New Roman" w:hAnsi="Times New Roman" w:eastAsia="宋体" w:cs="Times New Roman"/>
                      <w:color w:val="auto"/>
                      <w:spacing w:val="6"/>
                      <w:position w:val="1"/>
                      <w:sz w:val="21"/>
                      <w:szCs w:val="21"/>
                      <w:highlight w:val="none"/>
                    </w:rPr>
                    <w:t>储油罐区</w:t>
                  </w:r>
                  <w:r>
                    <w:rPr>
                      <w:rFonts w:hint="default" w:ascii="Times New Roman" w:hAnsi="Times New Roman" w:eastAsia="宋体" w:cs="Times New Roman"/>
                      <w:color w:val="auto"/>
                      <w:spacing w:val="6"/>
                      <w:position w:val="1"/>
                      <w:sz w:val="21"/>
                      <w:szCs w:val="21"/>
                      <w:highlight w:val="none"/>
                      <w:lang w:eastAsia="zh-CN"/>
                    </w:rPr>
                    <w:t>，</w:t>
                  </w:r>
                  <w:r>
                    <w:rPr>
                      <w:rFonts w:hint="default" w:ascii="Times New Roman" w:hAnsi="Times New Roman" w:eastAsia="宋体" w:cs="Times New Roman"/>
                      <w:color w:val="auto"/>
                      <w:spacing w:val="-4"/>
                      <w:sz w:val="21"/>
                      <w:szCs w:val="21"/>
                      <w:highlight w:val="none"/>
                    </w:rPr>
                    <w:t>均采用立式钢罐，</w:t>
                  </w:r>
                  <w:r>
                    <w:rPr>
                      <w:rFonts w:hint="default" w:ascii="Times New Roman" w:hAnsi="Times New Roman" w:eastAsia="宋体" w:cs="Times New Roman"/>
                      <w:color w:val="auto"/>
                      <w:spacing w:val="-4"/>
                      <w:sz w:val="21"/>
                      <w:szCs w:val="21"/>
                      <w:highlight w:val="none"/>
                      <w:lang w:val="en-US" w:eastAsia="zh-CN"/>
                    </w:rPr>
                    <w:t>总</w:t>
                  </w:r>
                  <w:r>
                    <w:rPr>
                      <w:rFonts w:hint="default" w:ascii="Times New Roman" w:hAnsi="Times New Roman" w:eastAsia="宋体" w:cs="Times New Roman"/>
                      <w:b w:val="0"/>
                      <w:bCs/>
                      <w:color w:val="auto"/>
                      <w:kern w:val="0"/>
                      <w:sz w:val="21"/>
                      <w:szCs w:val="21"/>
                      <w:highlight w:val="none"/>
                      <w:vertAlign w:val="baseline"/>
                      <w:lang w:val="en-US" w:eastAsia="zh-CN" w:bidi="ar-SA"/>
                    </w:rPr>
                    <w:t>储油规模</w:t>
                  </w:r>
                  <w:r>
                    <w:rPr>
                      <w:rFonts w:hint="eastAsia" w:ascii="Times New Roman" w:hAnsi="Times New Roman" w:cs="Times New Roman"/>
                      <w:color w:val="auto"/>
                      <w:spacing w:val="3"/>
                      <w:position w:val="1"/>
                      <w:sz w:val="21"/>
                      <w:szCs w:val="21"/>
                      <w:highlight w:val="none"/>
                      <w:lang w:val="en-US" w:eastAsia="zh-CN"/>
                    </w:rPr>
                    <w:t>10.59</w:t>
                  </w:r>
                  <w:r>
                    <w:rPr>
                      <w:rFonts w:hint="default" w:ascii="Times New Roman" w:hAnsi="Times New Roman" w:eastAsia="宋体" w:cs="Times New Roman"/>
                      <w:color w:val="auto"/>
                      <w:spacing w:val="-2"/>
                      <w:sz w:val="21"/>
                      <w:szCs w:val="21"/>
                      <w:highlight w:val="none"/>
                    </w:rPr>
                    <w:t>万t</w:t>
                  </w:r>
                  <w:r>
                    <w:rPr>
                      <w:rFonts w:hint="eastAsia" w:ascii="Times New Roman" w:hAnsi="Times New Roman" w:cs="Times New Roman"/>
                      <w:color w:val="auto"/>
                      <w:spacing w:val="-2"/>
                      <w:sz w:val="21"/>
                      <w:szCs w:val="21"/>
                      <w:highlight w:val="none"/>
                      <w:lang w:eastAsia="zh-CN"/>
                    </w:rPr>
                    <w:t>：</w:t>
                  </w:r>
                </w:p>
                <w:p w14:paraId="31C55856">
                  <w:pPr>
                    <w:pStyle w:val="24"/>
                    <w:keepNext w:val="0"/>
                    <w:keepLines w:val="0"/>
                    <w:pageBreakBefore w:val="0"/>
                    <w:widowControl/>
                    <w:kinsoku/>
                    <w:wordWrap/>
                    <w:overflowPunct/>
                    <w:topLinePunct w:val="0"/>
                    <w:autoSpaceDE/>
                    <w:autoSpaceDN/>
                    <w:bidi w:val="0"/>
                    <w:adjustRightInd/>
                    <w:snapToGrid w:val="0"/>
                    <w:spacing w:line="240" w:lineRule="auto"/>
                    <w:ind w:left="59"/>
                    <w:jc w:val="left"/>
                    <w:textAlignment w:val="auto"/>
                    <w:outlineLvl w:val="1"/>
                    <w:rPr>
                      <w:rFonts w:hint="default" w:ascii="Times New Roman" w:hAnsi="Times New Roman" w:eastAsia="宋体" w:cs="Times New Roman"/>
                      <w:color w:val="auto"/>
                      <w:spacing w:val="6"/>
                      <w:position w:val="1"/>
                      <w:sz w:val="21"/>
                      <w:szCs w:val="21"/>
                      <w:highlight w:val="none"/>
                      <w:lang w:val="en-US" w:eastAsia="zh-CN"/>
                    </w:rPr>
                  </w:pPr>
                  <w:r>
                    <w:rPr>
                      <w:rFonts w:hint="default" w:ascii="Times New Roman" w:hAnsi="Times New Roman" w:eastAsia="宋体" w:cs="Times New Roman"/>
                      <w:color w:val="auto"/>
                      <w:spacing w:val="6"/>
                      <w:position w:val="1"/>
                      <w:sz w:val="21"/>
                      <w:szCs w:val="21"/>
                      <w:highlight w:val="none"/>
                    </w:rPr>
                    <w:t>1#罐区</w:t>
                  </w:r>
                  <w:r>
                    <w:rPr>
                      <w:rFonts w:hint="default" w:ascii="Times New Roman" w:hAnsi="Times New Roman" w:eastAsia="宋体" w:cs="Times New Roman"/>
                      <w:color w:val="auto"/>
                      <w:spacing w:val="6"/>
                      <w:position w:val="1"/>
                      <w:sz w:val="21"/>
                      <w:szCs w:val="21"/>
                      <w:highlight w:val="none"/>
                      <w:lang w:val="en-US" w:eastAsia="zh-CN"/>
                    </w:rPr>
                    <w:t>位于厂区东侧，共设</w:t>
                  </w:r>
                  <w:r>
                    <w:rPr>
                      <w:rFonts w:hint="default" w:ascii="Times New Roman" w:hAnsi="Times New Roman" w:eastAsia="宋体" w:cs="Times New Roman"/>
                      <w:color w:val="auto"/>
                      <w:spacing w:val="6"/>
                      <w:position w:val="1"/>
                      <w:sz w:val="21"/>
                      <w:szCs w:val="21"/>
                      <w:highlight w:val="none"/>
                    </w:rPr>
                    <w:t>储油罐</w:t>
                  </w:r>
                  <w:r>
                    <w:rPr>
                      <w:rFonts w:hint="eastAsia" w:ascii="Times New Roman" w:hAnsi="Times New Roman" w:eastAsia="宋体" w:cs="Times New Roman"/>
                      <w:color w:val="auto"/>
                      <w:spacing w:val="6"/>
                      <w:position w:val="1"/>
                      <w:sz w:val="21"/>
                      <w:szCs w:val="21"/>
                      <w:highlight w:val="none"/>
                      <w:lang w:val="en-US" w:eastAsia="zh-CN"/>
                    </w:rPr>
                    <w:t>2</w:t>
                  </w:r>
                  <w:r>
                    <w:rPr>
                      <w:rFonts w:hint="eastAsia" w:ascii="Times New Roman" w:hAnsi="Times New Roman" w:cs="Times New Roman"/>
                      <w:color w:val="auto"/>
                      <w:spacing w:val="6"/>
                      <w:position w:val="1"/>
                      <w:sz w:val="21"/>
                      <w:szCs w:val="21"/>
                      <w:highlight w:val="none"/>
                      <w:lang w:val="en-US" w:eastAsia="zh-CN"/>
                    </w:rPr>
                    <w:t>9</w:t>
                  </w:r>
                  <w:r>
                    <w:rPr>
                      <w:rFonts w:hint="default" w:ascii="Times New Roman" w:hAnsi="Times New Roman" w:eastAsia="宋体" w:cs="Times New Roman"/>
                      <w:color w:val="auto"/>
                      <w:spacing w:val="6"/>
                      <w:position w:val="1"/>
                      <w:sz w:val="21"/>
                      <w:szCs w:val="21"/>
                      <w:highlight w:val="none"/>
                    </w:rPr>
                    <w:t>个</w:t>
                  </w:r>
                  <w:r>
                    <w:rPr>
                      <w:rFonts w:hint="default" w:ascii="Times New Roman" w:hAnsi="Times New Roman" w:eastAsia="宋体" w:cs="Times New Roman"/>
                      <w:color w:val="auto"/>
                      <w:spacing w:val="6"/>
                      <w:position w:val="1"/>
                      <w:sz w:val="21"/>
                      <w:szCs w:val="21"/>
                      <w:highlight w:val="none"/>
                      <w:lang w:eastAsia="zh-CN"/>
                    </w:rPr>
                    <w:t>，</w:t>
                  </w:r>
                  <w:r>
                    <w:rPr>
                      <w:rFonts w:hint="eastAsia" w:ascii="Times New Roman" w:hAnsi="Times New Roman" w:cs="Times New Roman"/>
                      <w:color w:val="auto"/>
                      <w:spacing w:val="5"/>
                      <w:kern w:val="2"/>
                      <w:sz w:val="21"/>
                      <w:szCs w:val="21"/>
                      <w:highlight w:val="none"/>
                      <w:lang w:val="en-US" w:eastAsia="zh-CN" w:bidi="ar-SA"/>
                    </w:rPr>
                    <w:t>设</w:t>
                  </w:r>
                  <w:r>
                    <w:rPr>
                      <w:rFonts w:hint="eastAsia" w:ascii="Times New Roman" w:hAnsi="Times New Roman" w:cs="Times New Roman"/>
                      <w:color w:val="auto"/>
                      <w:spacing w:val="6"/>
                      <w:position w:val="1"/>
                      <w:sz w:val="21"/>
                      <w:szCs w:val="21"/>
                      <w:highlight w:val="none"/>
                      <w:lang w:val="en-US" w:eastAsia="zh-CN"/>
                    </w:rPr>
                    <w:t>7</w:t>
                  </w:r>
                  <w:r>
                    <w:rPr>
                      <w:rFonts w:hint="default" w:ascii="Times New Roman" w:hAnsi="Times New Roman" w:eastAsia="宋体" w:cs="Times New Roman"/>
                      <w:color w:val="auto"/>
                      <w:spacing w:val="6"/>
                      <w:position w:val="1"/>
                      <w:sz w:val="21"/>
                      <w:szCs w:val="21"/>
                      <w:highlight w:val="none"/>
                      <w:lang w:val="en-US" w:eastAsia="zh-CN"/>
                    </w:rPr>
                    <w:t>个300t，1</w:t>
                  </w:r>
                  <w:r>
                    <w:rPr>
                      <w:rFonts w:hint="eastAsia" w:ascii="Times New Roman" w:hAnsi="Times New Roman" w:cs="Times New Roman"/>
                      <w:color w:val="auto"/>
                      <w:spacing w:val="6"/>
                      <w:position w:val="1"/>
                      <w:sz w:val="21"/>
                      <w:szCs w:val="21"/>
                      <w:highlight w:val="none"/>
                      <w:lang w:val="en-US" w:eastAsia="zh-CN"/>
                    </w:rPr>
                    <w:t>8</w:t>
                  </w:r>
                  <w:r>
                    <w:rPr>
                      <w:rFonts w:hint="default" w:ascii="Times New Roman" w:hAnsi="Times New Roman" w:eastAsia="宋体" w:cs="Times New Roman"/>
                      <w:color w:val="auto"/>
                      <w:spacing w:val="6"/>
                      <w:position w:val="1"/>
                      <w:sz w:val="21"/>
                      <w:szCs w:val="21"/>
                      <w:highlight w:val="none"/>
                      <w:lang w:val="en-US" w:eastAsia="zh-CN"/>
                    </w:rPr>
                    <w:t>个1200t，3个2200t，1个10000t</w:t>
                  </w:r>
                  <w:r>
                    <w:rPr>
                      <w:rFonts w:hint="default" w:ascii="Times New Roman" w:hAnsi="Times New Roman" w:eastAsia="宋体" w:cs="Times New Roman"/>
                      <w:color w:val="auto"/>
                      <w:spacing w:val="6"/>
                      <w:position w:val="1"/>
                      <w:sz w:val="21"/>
                      <w:szCs w:val="21"/>
                      <w:highlight w:val="none"/>
                    </w:rPr>
                    <w:t>储油罐</w:t>
                  </w:r>
                  <w:r>
                    <w:rPr>
                      <w:rFonts w:hint="default" w:ascii="Times New Roman" w:hAnsi="Times New Roman" w:eastAsia="宋体" w:cs="Times New Roman"/>
                      <w:color w:val="auto"/>
                      <w:spacing w:val="6"/>
                      <w:position w:val="1"/>
                      <w:sz w:val="21"/>
                      <w:szCs w:val="21"/>
                      <w:highlight w:val="none"/>
                      <w:lang w:val="en-US" w:eastAsia="zh-CN"/>
                    </w:rPr>
                    <w:t>，</w:t>
                  </w:r>
                  <w:r>
                    <w:rPr>
                      <w:rFonts w:hint="eastAsia" w:ascii="Times New Roman" w:hAnsi="Times New Roman" w:cs="Times New Roman"/>
                      <w:color w:val="auto"/>
                      <w:spacing w:val="6"/>
                      <w:position w:val="1"/>
                      <w:sz w:val="21"/>
                      <w:szCs w:val="21"/>
                      <w:highlight w:val="none"/>
                      <w:lang w:val="en-US" w:eastAsia="zh-CN"/>
                    </w:rPr>
                    <w:t>总储存规模4.03万</w:t>
                  </w:r>
                  <w:r>
                    <w:rPr>
                      <w:rFonts w:hint="default" w:ascii="Times New Roman" w:hAnsi="Times New Roman" w:eastAsia="宋体" w:cs="Times New Roman"/>
                      <w:color w:val="auto"/>
                      <w:spacing w:val="6"/>
                      <w:position w:val="1"/>
                      <w:sz w:val="21"/>
                      <w:szCs w:val="21"/>
                      <w:highlight w:val="none"/>
                      <w:lang w:val="en-US" w:eastAsia="zh-CN"/>
                    </w:rPr>
                    <w:t>t</w:t>
                  </w:r>
                  <w:r>
                    <w:rPr>
                      <w:rFonts w:hint="eastAsia" w:ascii="Times New Roman" w:hAnsi="Times New Roman" w:eastAsia="宋体" w:cs="Times New Roman"/>
                      <w:color w:val="auto"/>
                      <w:spacing w:val="6"/>
                      <w:position w:val="1"/>
                      <w:sz w:val="21"/>
                      <w:szCs w:val="21"/>
                      <w:highlight w:val="none"/>
                      <w:lang w:val="en-US" w:eastAsia="zh-CN"/>
                    </w:rPr>
                    <w:t>，考虑2个</w:t>
                  </w:r>
                  <w:r>
                    <w:rPr>
                      <w:rFonts w:hint="default" w:ascii="Times New Roman" w:hAnsi="Times New Roman" w:eastAsia="宋体" w:cs="Times New Roman"/>
                      <w:color w:val="auto"/>
                      <w:spacing w:val="6"/>
                      <w:position w:val="1"/>
                      <w:sz w:val="21"/>
                      <w:szCs w:val="21"/>
                      <w:highlight w:val="none"/>
                      <w:lang w:val="en-US" w:eastAsia="zh-CN"/>
                    </w:rPr>
                    <w:t>1200t</w:t>
                  </w:r>
                  <w:r>
                    <w:rPr>
                      <w:rFonts w:hint="eastAsia" w:ascii="Times New Roman" w:hAnsi="Times New Roman" w:eastAsia="宋体" w:cs="Times New Roman"/>
                      <w:color w:val="auto"/>
                      <w:spacing w:val="6"/>
                      <w:position w:val="1"/>
                      <w:sz w:val="21"/>
                      <w:szCs w:val="21"/>
                      <w:highlight w:val="none"/>
                      <w:lang w:val="en-US" w:eastAsia="zh-CN"/>
                    </w:rPr>
                    <w:t>作为应急备用油罐，储油规模3.79万t，该油罐区</w:t>
                  </w:r>
                  <w:r>
                    <w:rPr>
                      <w:rFonts w:hint="default" w:ascii="Times New Roman" w:hAnsi="Times New Roman" w:eastAsia="宋体" w:cs="Times New Roman"/>
                      <w:color w:val="auto"/>
                      <w:spacing w:val="6"/>
                      <w:position w:val="1"/>
                      <w:sz w:val="21"/>
                      <w:szCs w:val="21"/>
                      <w:highlight w:val="none"/>
                      <w:lang w:val="en-US" w:eastAsia="zh-CN"/>
                    </w:rPr>
                    <w:t>用于成品油</w:t>
                  </w:r>
                  <w:r>
                    <w:rPr>
                      <w:rFonts w:hint="eastAsia" w:ascii="Times New Roman" w:hAnsi="Times New Roman" w:cs="Times New Roman"/>
                      <w:color w:val="auto"/>
                      <w:spacing w:val="6"/>
                      <w:position w:val="1"/>
                      <w:sz w:val="21"/>
                      <w:szCs w:val="21"/>
                      <w:highlight w:val="none"/>
                      <w:lang w:val="en-US" w:eastAsia="zh-CN"/>
                    </w:rPr>
                    <w:t>和代储油</w:t>
                  </w:r>
                  <w:r>
                    <w:rPr>
                      <w:rFonts w:hint="default" w:ascii="Times New Roman" w:hAnsi="Times New Roman" w:eastAsia="宋体" w:cs="Times New Roman"/>
                      <w:color w:val="auto"/>
                      <w:spacing w:val="6"/>
                      <w:position w:val="1"/>
                      <w:sz w:val="21"/>
                      <w:szCs w:val="21"/>
                      <w:highlight w:val="none"/>
                      <w:lang w:val="en-US" w:eastAsia="zh-CN"/>
                    </w:rPr>
                    <w:t>的储存。</w:t>
                  </w:r>
                </w:p>
                <w:p w14:paraId="0DF230F9">
                  <w:pPr>
                    <w:pStyle w:val="24"/>
                    <w:keepNext w:val="0"/>
                    <w:keepLines w:val="0"/>
                    <w:pageBreakBefore w:val="0"/>
                    <w:widowControl/>
                    <w:kinsoku/>
                    <w:wordWrap/>
                    <w:overflowPunct/>
                    <w:topLinePunct w:val="0"/>
                    <w:autoSpaceDE/>
                    <w:autoSpaceDN/>
                    <w:bidi w:val="0"/>
                    <w:adjustRightInd/>
                    <w:snapToGrid w:val="0"/>
                    <w:spacing w:line="240" w:lineRule="auto"/>
                    <w:ind w:left="59"/>
                    <w:jc w:val="left"/>
                    <w:textAlignment w:val="auto"/>
                    <w:outlineLvl w:val="1"/>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position w:val="1"/>
                      <w:sz w:val="21"/>
                      <w:szCs w:val="21"/>
                      <w:highlight w:val="none"/>
                      <w:lang w:val="en-US" w:eastAsia="zh-CN"/>
                    </w:rPr>
                    <w:t>2#</w:t>
                  </w:r>
                  <w:r>
                    <w:rPr>
                      <w:rFonts w:hint="default" w:ascii="Times New Roman" w:hAnsi="Times New Roman" w:eastAsia="宋体" w:cs="Times New Roman"/>
                      <w:color w:val="auto"/>
                      <w:spacing w:val="5"/>
                      <w:sz w:val="21"/>
                      <w:szCs w:val="21"/>
                      <w:highlight w:val="none"/>
                    </w:rPr>
                    <w:t>储油罐区</w:t>
                  </w:r>
                  <w:r>
                    <w:rPr>
                      <w:rFonts w:hint="default" w:ascii="Times New Roman" w:hAnsi="Times New Roman" w:eastAsia="宋体" w:cs="Times New Roman"/>
                      <w:color w:val="auto"/>
                      <w:spacing w:val="5"/>
                      <w:sz w:val="21"/>
                      <w:szCs w:val="21"/>
                      <w:highlight w:val="none"/>
                      <w:lang w:val="en-US" w:eastAsia="zh-CN"/>
                    </w:rPr>
                    <w:t>位于厂区西南侧，共设</w:t>
                  </w:r>
                  <w:r>
                    <w:rPr>
                      <w:rFonts w:hint="default" w:ascii="Times New Roman" w:hAnsi="Times New Roman" w:eastAsia="宋体" w:cs="Times New Roman"/>
                      <w:color w:val="auto"/>
                      <w:spacing w:val="5"/>
                      <w:sz w:val="21"/>
                      <w:szCs w:val="21"/>
                      <w:highlight w:val="none"/>
                    </w:rPr>
                    <w:t>储油罐</w:t>
                  </w:r>
                  <w:r>
                    <w:rPr>
                      <w:rFonts w:hint="default" w:ascii="Times New Roman" w:hAnsi="Times New Roman" w:eastAsia="宋体" w:cs="Times New Roman"/>
                      <w:color w:val="auto"/>
                      <w:spacing w:val="5"/>
                      <w:sz w:val="21"/>
                      <w:szCs w:val="21"/>
                      <w:highlight w:val="none"/>
                      <w:lang w:val="en-US" w:eastAsia="zh-CN"/>
                    </w:rPr>
                    <w:t>17个，6个500t，10个4500t，1个10000t，</w:t>
                  </w:r>
                  <w:r>
                    <w:rPr>
                      <w:rFonts w:hint="eastAsia" w:ascii="Times New Roman" w:hAnsi="Times New Roman" w:cs="Times New Roman"/>
                      <w:color w:val="auto"/>
                      <w:spacing w:val="6"/>
                      <w:position w:val="1"/>
                      <w:sz w:val="21"/>
                      <w:szCs w:val="21"/>
                      <w:highlight w:val="none"/>
                      <w:lang w:val="en-US" w:eastAsia="zh-CN"/>
                    </w:rPr>
                    <w:t>总储存规模5.8万</w:t>
                  </w:r>
                  <w:r>
                    <w:rPr>
                      <w:rFonts w:hint="default" w:ascii="Times New Roman" w:hAnsi="Times New Roman" w:eastAsia="宋体" w:cs="Times New Roman"/>
                      <w:color w:val="auto"/>
                      <w:spacing w:val="6"/>
                      <w:position w:val="1"/>
                      <w:sz w:val="21"/>
                      <w:szCs w:val="21"/>
                      <w:highlight w:val="none"/>
                      <w:lang w:val="en-US" w:eastAsia="zh-CN"/>
                    </w:rPr>
                    <w:t>t</w:t>
                  </w:r>
                  <w:r>
                    <w:rPr>
                      <w:rFonts w:hint="eastAsia" w:ascii="Times New Roman" w:hAnsi="Times New Roman" w:eastAsia="宋体" w:cs="Times New Roman"/>
                      <w:color w:val="auto"/>
                      <w:spacing w:val="6"/>
                      <w:position w:val="1"/>
                      <w:sz w:val="21"/>
                      <w:szCs w:val="21"/>
                      <w:highlight w:val="none"/>
                      <w:lang w:val="en-US" w:eastAsia="zh-CN"/>
                    </w:rPr>
                    <w:t>，考虑2个</w:t>
                  </w:r>
                  <w:r>
                    <w:rPr>
                      <w:rFonts w:hint="default" w:ascii="Times New Roman" w:hAnsi="Times New Roman" w:eastAsia="宋体" w:cs="Times New Roman"/>
                      <w:color w:val="auto"/>
                      <w:spacing w:val="5"/>
                      <w:sz w:val="21"/>
                      <w:szCs w:val="21"/>
                      <w:highlight w:val="none"/>
                      <w:lang w:val="en-US" w:eastAsia="zh-CN"/>
                    </w:rPr>
                    <w:t>4500t</w:t>
                  </w:r>
                  <w:r>
                    <w:rPr>
                      <w:rFonts w:hint="eastAsia" w:ascii="Times New Roman" w:hAnsi="Times New Roman" w:eastAsia="宋体" w:cs="Times New Roman"/>
                      <w:color w:val="auto"/>
                      <w:spacing w:val="6"/>
                      <w:position w:val="1"/>
                      <w:sz w:val="21"/>
                      <w:szCs w:val="21"/>
                      <w:highlight w:val="none"/>
                      <w:lang w:val="en-US" w:eastAsia="zh-CN"/>
                    </w:rPr>
                    <w:t>作为应急备用油罐，储油规模4.9万t，</w:t>
                  </w:r>
                  <w:r>
                    <w:rPr>
                      <w:rFonts w:hint="default" w:ascii="Times New Roman" w:hAnsi="Times New Roman" w:eastAsia="宋体" w:cs="Times New Roman"/>
                      <w:color w:val="auto"/>
                      <w:spacing w:val="5"/>
                      <w:sz w:val="21"/>
                      <w:szCs w:val="21"/>
                      <w:highlight w:val="none"/>
                      <w:lang w:val="en-US" w:eastAsia="zh-CN"/>
                    </w:rPr>
                    <w:t>主要用于原料油的储存。</w:t>
                  </w:r>
                </w:p>
                <w:p w14:paraId="63143E64">
                  <w:pPr>
                    <w:pStyle w:val="24"/>
                    <w:keepNext w:val="0"/>
                    <w:keepLines w:val="0"/>
                    <w:pageBreakBefore w:val="0"/>
                    <w:kinsoku/>
                    <w:wordWrap/>
                    <w:autoSpaceDE/>
                    <w:autoSpaceDN/>
                    <w:bidi w:val="0"/>
                    <w:snapToGrid w:val="0"/>
                    <w:spacing w:line="240" w:lineRule="auto"/>
                    <w:ind w:left="59"/>
                    <w:jc w:val="left"/>
                    <w:outlineLvl w:val="1"/>
                    <w:rPr>
                      <w:rFonts w:hint="default" w:ascii="Times New Roman" w:hAnsi="Times New Roman" w:eastAsia="宋体" w:cs="Times New Roman"/>
                      <w:color w:val="auto"/>
                      <w:spacing w:val="6"/>
                      <w:position w:val="1"/>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3#</w:t>
                  </w:r>
                  <w:r>
                    <w:rPr>
                      <w:rFonts w:hint="default" w:ascii="Times New Roman" w:hAnsi="Times New Roman" w:eastAsia="宋体" w:cs="Times New Roman"/>
                      <w:color w:val="auto"/>
                      <w:spacing w:val="5"/>
                      <w:sz w:val="21"/>
                      <w:szCs w:val="21"/>
                      <w:highlight w:val="none"/>
                    </w:rPr>
                    <w:t>储油罐区</w:t>
                  </w:r>
                  <w:r>
                    <w:rPr>
                      <w:rFonts w:hint="default" w:ascii="Times New Roman" w:hAnsi="Times New Roman" w:eastAsia="宋体" w:cs="Times New Roman"/>
                      <w:color w:val="auto"/>
                      <w:spacing w:val="5"/>
                      <w:sz w:val="21"/>
                      <w:szCs w:val="21"/>
                      <w:highlight w:val="none"/>
                      <w:lang w:val="en-US" w:eastAsia="zh-CN"/>
                    </w:rPr>
                    <w:t>位于厂区西侧</w:t>
                  </w:r>
                  <w:r>
                    <w:rPr>
                      <w:rFonts w:hint="default" w:ascii="Times New Roman" w:hAnsi="Times New Roman" w:eastAsia="宋体" w:cs="Times New Roman"/>
                      <w:color w:val="auto"/>
                      <w:spacing w:val="6"/>
                      <w:position w:val="1"/>
                      <w:sz w:val="21"/>
                      <w:szCs w:val="21"/>
                      <w:highlight w:val="none"/>
                      <w:lang w:val="en-US" w:eastAsia="zh-CN"/>
                    </w:rPr>
                    <w:t>，</w:t>
                  </w:r>
                  <w:r>
                    <w:rPr>
                      <w:rFonts w:hint="default" w:ascii="Times New Roman" w:hAnsi="Times New Roman" w:eastAsia="宋体" w:cs="Times New Roman"/>
                      <w:color w:val="auto"/>
                      <w:spacing w:val="5"/>
                      <w:sz w:val="21"/>
                      <w:szCs w:val="21"/>
                      <w:highlight w:val="none"/>
                      <w:lang w:val="en-US" w:eastAsia="zh-CN"/>
                    </w:rPr>
                    <w:t>共设</w:t>
                  </w:r>
                  <w:r>
                    <w:rPr>
                      <w:rFonts w:hint="default" w:ascii="Times New Roman" w:hAnsi="Times New Roman" w:eastAsia="宋体" w:cs="Times New Roman"/>
                      <w:color w:val="auto"/>
                      <w:spacing w:val="7"/>
                      <w:position w:val="1"/>
                      <w:sz w:val="21"/>
                      <w:szCs w:val="21"/>
                      <w:highlight w:val="none"/>
                    </w:rPr>
                    <w:t>8个储油罐</w:t>
                  </w:r>
                  <w:r>
                    <w:rPr>
                      <w:rFonts w:hint="default" w:ascii="Times New Roman" w:hAnsi="Times New Roman" w:eastAsia="宋体" w:cs="Times New Roman"/>
                      <w:color w:val="auto"/>
                      <w:spacing w:val="7"/>
                      <w:position w:val="1"/>
                      <w:sz w:val="21"/>
                      <w:szCs w:val="21"/>
                      <w:highlight w:val="none"/>
                      <w:lang w:eastAsia="zh-CN"/>
                    </w:rPr>
                    <w:t>，</w:t>
                  </w:r>
                  <w:r>
                    <w:rPr>
                      <w:rFonts w:hint="default" w:ascii="Times New Roman" w:hAnsi="Times New Roman" w:eastAsia="宋体" w:cs="Times New Roman"/>
                      <w:color w:val="auto"/>
                      <w:spacing w:val="7"/>
                      <w:position w:val="1"/>
                      <w:sz w:val="21"/>
                      <w:szCs w:val="21"/>
                      <w:highlight w:val="none"/>
                      <w:lang w:val="en-US" w:eastAsia="zh-CN"/>
                    </w:rPr>
                    <w:t>2个500t，6个4500t</w:t>
                  </w:r>
                  <w:r>
                    <w:rPr>
                      <w:rFonts w:hint="default" w:ascii="Times New Roman" w:hAnsi="Times New Roman" w:eastAsia="宋体" w:cs="Times New Roman"/>
                      <w:color w:val="auto"/>
                      <w:spacing w:val="5"/>
                      <w:sz w:val="21"/>
                      <w:szCs w:val="21"/>
                      <w:highlight w:val="none"/>
                      <w:lang w:val="en-US" w:eastAsia="zh-CN"/>
                    </w:rPr>
                    <w:t>，</w:t>
                  </w:r>
                  <w:r>
                    <w:rPr>
                      <w:rFonts w:hint="eastAsia" w:ascii="Times New Roman" w:hAnsi="Times New Roman" w:cs="Times New Roman"/>
                      <w:color w:val="auto"/>
                      <w:spacing w:val="6"/>
                      <w:position w:val="1"/>
                      <w:sz w:val="21"/>
                      <w:szCs w:val="21"/>
                      <w:highlight w:val="none"/>
                      <w:lang w:val="en-US" w:eastAsia="zh-CN"/>
                    </w:rPr>
                    <w:t>总储存规模2.8万</w:t>
                  </w:r>
                  <w:r>
                    <w:rPr>
                      <w:rFonts w:hint="default" w:ascii="Times New Roman" w:hAnsi="Times New Roman" w:eastAsia="宋体" w:cs="Times New Roman"/>
                      <w:color w:val="auto"/>
                      <w:spacing w:val="6"/>
                      <w:position w:val="1"/>
                      <w:sz w:val="21"/>
                      <w:szCs w:val="21"/>
                      <w:highlight w:val="none"/>
                      <w:lang w:val="en-US" w:eastAsia="zh-CN"/>
                    </w:rPr>
                    <w:t>t</w:t>
                  </w:r>
                  <w:r>
                    <w:rPr>
                      <w:rFonts w:hint="eastAsia" w:ascii="Times New Roman" w:hAnsi="Times New Roman" w:eastAsia="宋体" w:cs="Times New Roman"/>
                      <w:color w:val="auto"/>
                      <w:spacing w:val="6"/>
                      <w:position w:val="1"/>
                      <w:sz w:val="21"/>
                      <w:szCs w:val="21"/>
                      <w:highlight w:val="none"/>
                      <w:lang w:val="en-US" w:eastAsia="zh-CN"/>
                    </w:rPr>
                    <w:t>，考虑2个</w:t>
                  </w:r>
                  <w:r>
                    <w:rPr>
                      <w:rFonts w:hint="default" w:ascii="Times New Roman" w:hAnsi="Times New Roman" w:eastAsia="宋体" w:cs="Times New Roman"/>
                      <w:color w:val="auto"/>
                      <w:spacing w:val="5"/>
                      <w:sz w:val="21"/>
                      <w:szCs w:val="21"/>
                      <w:highlight w:val="none"/>
                      <w:lang w:val="en-US" w:eastAsia="zh-CN"/>
                    </w:rPr>
                    <w:t>4500t</w:t>
                  </w:r>
                  <w:r>
                    <w:rPr>
                      <w:rFonts w:hint="eastAsia" w:ascii="Times New Roman" w:hAnsi="Times New Roman" w:eastAsia="宋体" w:cs="Times New Roman"/>
                      <w:color w:val="auto"/>
                      <w:spacing w:val="6"/>
                      <w:position w:val="1"/>
                      <w:sz w:val="21"/>
                      <w:szCs w:val="21"/>
                      <w:highlight w:val="none"/>
                      <w:lang w:val="en-US" w:eastAsia="zh-CN"/>
                    </w:rPr>
                    <w:t>作为应急备用油罐，储油规模1.9万t，</w:t>
                  </w:r>
                  <w:r>
                    <w:rPr>
                      <w:rFonts w:hint="default" w:ascii="Times New Roman" w:hAnsi="Times New Roman" w:eastAsia="宋体" w:cs="Times New Roman"/>
                      <w:color w:val="auto"/>
                      <w:spacing w:val="6"/>
                      <w:position w:val="1"/>
                      <w:sz w:val="21"/>
                      <w:szCs w:val="21"/>
                      <w:highlight w:val="none"/>
                      <w:lang w:val="en-US" w:eastAsia="zh-CN"/>
                    </w:rPr>
                    <w:t>用于成品油</w:t>
                  </w:r>
                  <w:r>
                    <w:rPr>
                      <w:rFonts w:hint="eastAsia" w:ascii="Times New Roman" w:hAnsi="Times New Roman" w:cs="Times New Roman"/>
                      <w:color w:val="auto"/>
                      <w:spacing w:val="6"/>
                      <w:position w:val="1"/>
                      <w:sz w:val="21"/>
                      <w:szCs w:val="21"/>
                      <w:highlight w:val="none"/>
                      <w:lang w:val="en-US" w:eastAsia="zh-CN"/>
                    </w:rPr>
                    <w:t>和代储油</w:t>
                  </w:r>
                  <w:r>
                    <w:rPr>
                      <w:rFonts w:hint="default" w:ascii="Times New Roman" w:hAnsi="Times New Roman" w:eastAsia="宋体" w:cs="Times New Roman"/>
                      <w:color w:val="auto"/>
                      <w:spacing w:val="6"/>
                      <w:position w:val="1"/>
                      <w:sz w:val="21"/>
                      <w:szCs w:val="21"/>
                      <w:highlight w:val="none"/>
                      <w:lang w:val="en-US" w:eastAsia="zh-CN"/>
                    </w:rPr>
                    <w:t>的储存</w:t>
                  </w:r>
                </w:p>
              </w:tc>
            </w:tr>
            <w:tr w14:paraId="46C4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1E108C34">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top"/>
                </w:tcPr>
                <w:p w14:paraId="1999B422">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皂脚罐</w:t>
                  </w:r>
                </w:p>
              </w:tc>
              <w:tc>
                <w:tcPr>
                  <w:tcW w:w="4111" w:type="pct"/>
                  <w:gridSpan w:val="2"/>
                  <w:noWrap w:val="0"/>
                  <w:vAlign w:val="center"/>
                </w:tcPr>
                <w:p w14:paraId="157F3CF0">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both"/>
                    <w:textAlignment w:val="auto"/>
                    <w:outlineLvl w:val="1"/>
                    <w:rPr>
                      <w:rFonts w:hint="default" w:ascii="Times New Roman" w:hAnsi="Times New Roman" w:eastAsia="宋体" w:cs="Times New Roman"/>
                      <w:bCs/>
                      <w:snapToGrid w:val="0"/>
                      <w:color w:val="auto"/>
                      <w:kern w:val="0"/>
                      <w:sz w:val="21"/>
                      <w:szCs w:val="21"/>
                      <w:highlight w:val="none"/>
                      <w:vertAlign w:val="baseline"/>
                      <w:lang w:val="en-US"/>
                    </w:rPr>
                  </w:pPr>
                  <w:r>
                    <w:rPr>
                      <w:rFonts w:hint="default" w:ascii="Times New Roman" w:hAnsi="Times New Roman" w:eastAsia="宋体" w:cs="Times New Roman"/>
                      <w:color w:val="auto"/>
                      <w:spacing w:val="10"/>
                      <w:position w:val="1"/>
                      <w:sz w:val="21"/>
                      <w:szCs w:val="21"/>
                      <w:highlight w:val="none"/>
                      <w:lang w:val="en-US" w:eastAsia="zh-CN"/>
                    </w:rPr>
                    <w:t>2个，位于</w:t>
                  </w:r>
                  <w:r>
                    <w:rPr>
                      <w:rFonts w:hint="default" w:ascii="Times New Roman" w:hAnsi="Times New Roman" w:eastAsia="宋体" w:cs="Times New Roman"/>
                      <w:bCs/>
                      <w:snapToGrid w:val="0"/>
                      <w:color w:val="auto"/>
                      <w:kern w:val="0"/>
                      <w:sz w:val="21"/>
                      <w:szCs w:val="21"/>
                      <w:highlight w:val="none"/>
                      <w:lang w:val="en-US" w:eastAsia="zh-CN"/>
                    </w:rPr>
                    <w:t>精炼车间</w:t>
                  </w:r>
                  <w:r>
                    <w:rPr>
                      <w:rFonts w:hint="default" w:ascii="Times New Roman" w:hAnsi="Times New Roman" w:cs="Times New Roman"/>
                      <w:bCs/>
                      <w:snapToGrid w:val="0"/>
                      <w:color w:val="auto"/>
                      <w:kern w:val="0"/>
                      <w:sz w:val="21"/>
                      <w:szCs w:val="21"/>
                      <w:highlight w:val="none"/>
                      <w:lang w:val="en-US" w:eastAsia="zh-CN"/>
                    </w:rPr>
                    <w:t>，采用</w:t>
                  </w:r>
                  <w:r>
                    <w:rPr>
                      <w:rFonts w:hint="default" w:ascii="Times New Roman" w:hAnsi="Times New Roman" w:eastAsia="宋体" w:cs="Times New Roman"/>
                      <w:color w:val="auto"/>
                      <w:spacing w:val="10"/>
                      <w:position w:val="1"/>
                      <w:sz w:val="21"/>
                      <w:szCs w:val="21"/>
                      <w:highlight w:val="none"/>
                    </w:rPr>
                    <w:t>立式钢罐，60m</w:t>
                  </w:r>
                  <w:r>
                    <w:rPr>
                      <w:rFonts w:hint="default" w:ascii="Times New Roman" w:hAnsi="Times New Roman" w:eastAsia="宋体" w:cs="Times New Roman"/>
                      <w:color w:val="auto"/>
                      <w:spacing w:val="6"/>
                      <w:position w:val="1"/>
                      <w:sz w:val="21"/>
                      <w:szCs w:val="21"/>
                      <w:highlight w:val="none"/>
                      <w:vertAlign w:val="superscript"/>
                      <w:lang w:val="en-US" w:eastAsia="zh-CN"/>
                    </w:rPr>
                    <w:t>3</w:t>
                  </w:r>
                  <w:r>
                    <w:rPr>
                      <w:rFonts w:hint="default" w:ascii="Times New Roman" w:hAnsi="Times New Roman" w:eastAsia="宋体" w:cs="Times New Roman"/>
                      <w:color w:val="auto"/>
                      <w:spacing w:val="6"/>
                      <w:position w:val="1"/>
                      <w:sz w:val="21"/>
                      <w:szCs w:val="21"/>
                      <w:highlight w:val="none"/>
                      <w:vertAlign w:val="baseline"/>
                      <w:lang w:val="en-US" w:eastAsia="zh-CN"/>
                    </w:rPr>
                    <w:t>/个，用于皂脚储存</w:t>
                  </w:r>
                </w:p>
              </w:tc>
            </w:tr>
            <w:tr w14:paraId="6DF6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43A64896">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top"/>
                </w:tcPr>
                <w:p w14:paraId="276C5B4E">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脂肪酸罐</w:t>
                  </w:r>
                </w:p>
              </w:tc>
              <w:tc>
                <w:tcPr>
                  <w:tcW w:w="4111" w:type="pct"/>
                  <w:gridSpan w:val="2"/>
                  <w:noWrap w:val="0"/>
                  <w:vAlign w:val="center"/>
                </w:tcPr>
                <w:p w14:paraId="51201D13">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both"/>
                    <w:textAlignment w:val="auto"/>
                    <w:outlineLvl w:val="1"/>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9"/>
                      <w:position w:val="1"/>
                      <w:sz w:val="21"/>
                      <w:szCs w:val="21"/>
                      <w:highlight w:val="none"/>
                      <w:lang w:val="en-US" w:eastAsia="zh-CN"/>
                    </w:rPr>
                    <w:t>1个，位于精炼车间内，</w:t>
                  </w:r>
                  <w:r>
                    <w:rPr>
                      <w:rFonts w:hint="default" w:ascii="Times New Roman" w:hAnsi="Times New Roman" w:cs="Times New Roman"/>
                      <w:bCs/>
                      <w:snapToGrid w:val="0"/>
                      <w:color w:val="auto"/>
                      <w:kern w:val="0"/>
                      <w:sz w:val="21"/>
                      <w:szCs w:val="21"/>
                      <w:highlight w:val="none"/>
                      <w:lang w:val="en-US" w:eastAsia="zh-CN"/>
                    </w:rPr>
                    <w:t>采用</w:t>
                  </w:r>
                  <w:r>
                    <w:rPr>
                      <w:rFonts w:hint="default" w:ascii="Times New Roman" w:hAnsi="Times New Roman" w:eastAsia="宋体" w:cs="Times New Roman"/>
                      <w:color w:val="auto"/>
                      <w:spacing w:val="9"/>
                      <w:position w:val="1"/>
                      <w:sz w:val="21"/>
                      <w:szCs w:val="21"/>
                      <w:highlight w:val="none"/>
                    </w:rPr>
                    <w:t>立式钢罐，60m</w:t>
                  </w:r>
                  <w:r>
                    <w:rPr>
                      <w:rFonts w:hint="default" w:ascii="Times New Roman" w:hAnsi="Times New Roman" w:eastAsia="宋体" w:cs="Times New Roman"/>
                      <w:color w:val="auto"/>
                      <w:spacing w:val="6"/>
                      <w:position w:val="1"/>
                      <w:sz w:val="21"/>
                      <w:szCs w:val="21"/>
                      <w:highlight w:val="none"/>
                      <w:vertAlign w:val="superscript"/>
                      <w:lang w:val="en-US" w:eastAsia="zh-CN"/>
                    </w:rPr>
                    <w:t>3</w:t>
                  </w:r>
                  <w:r>
                    <w:rPr>
                      <w:rFonts w:hint="default" w:ascii="Times New Roman" w:hAnsi="Times New Roman" w:eastAsia="宋体" w:cs="Times New Roman"/>
                      <w:color w:val="auto"/>
                      <w:spacing w:val="6"/>
                      <w:position w:val="1"/>
                      <w:sz w:val="21"/>
                      <w:szCs w:val="21"/>
                      <w:highlight w:val="none"/>
                      <w:vertAlign w:val="baseline"/>
                      <w:lang w:val="en-US" w:eastAsia="zh-CN"/>
                    </w:rPr>
                    <w:t>/个，</w:t>
                  </w:r>
                  <w:r>
                    <w:rPr>
                      <w:rFonts w:hint="default" w:ascii="Times New Roman" w:hAnsi="Times New Roman" w:cs="Times New Roman"/>
                      <w:color w:val="auto"/>
                      <w:spacing w:val="6"/>
                      <w:position w:val="1"/>
                      <w:sz w:val="21"/>
                      <w:szCs w:val="21"/>
                      <w:highlight w:val="none"/>
                      <w:vertAlign w:val="baseline"/>
                      <w:lang w:val="en-US" w:eastAsia="zh-CN"/>
                    </w:rPr>
                    <w:t>用于脂肪酸储存</w:t>
                  </w:r>
                </w:p>
              </w:tc>
            </w:tr>
            <w:tr w14:paraId="2C55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018D9F1A">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top"/>
                </w:tcPr>
                <w:p w14:paraId="2B7CF1C0">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碱液罐</w:t>
                  </w:r>
                </w:p>
              </w:tc>
              <w:tc>
                <w:tcPr>
                  <w:tcW w:w="4111" w:type="pct"/>
                  <w:gridSpan w:val="2"/>
                  <w:noWrap w:val="0"/>
                  <w:vAlign w:val="center"/>
                </w:tcPr>
                <w:p w14:paraId="38D69B81">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both"/>
                    <w:textAlignment w:val="auto"/>
                    <w:outlineLvl w:val="1"/>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pacing w:val="6"/>
                      <w:position w:val="1"/>
                      <w:sz w:val="21"/>
                      <w:szCs w:val="21"/>
                      <w:highlight w:val="none"/>
                      <w:lang w:val="en-US" w:eastAsia="zh-CN"/>
                    </w:rPr>
                    <w:t>1个，</w:t>
                  </w:r>
                  <w:r>
                    <w:rPr>
                      <w:rFonts w:hint="default" w:ascii="Times New Roman" w:hAnsi="Times New Roman" w:eastAsia="宋体" w:cs="Times New Roman"/>
                      <w:color w:val="auto"/>
                      <w:spacing w:val="9"/>
                      <w:position w:val="1"/>
                      <w:sz w:val="21"/>
                      <w:szCs w:val="21"/>
                      <w:highlight w:val="none"/>
                      <w:lang w:val="en-US" w:eastAsia="zh-CN"/>
                    </w:rPr>
                    <w:t>位于精炼车间内，</w:t>
                  </w:r>
                  <w:r>
                    <w:rPr>
                      <w:rFonts w:hint="default" w:ascii="Times New Roman" w:hAnsi="Times New Roman" w:eastAsia="宋体" w:cs="Times New Roman"/>
                      <w:color w:val="auto"/>
                      <w:spacing w:val="6"/>
                      <w:position w:val="1"/>
                      <w:sz w:val="21"/>
                      <w:szCs w:val="21"/>
                      <w:highlight w:val="none"/>
                      <w:lang w:val="en-US" w:eastAsia="zh-CN"/>
                    </w:rPr>
                    <w:t>采用</w:t>
                  </w:r>
                  <w:r>
                    <w:rPr>
                      <w:rFonts w:hint="default" w:ascii="Times New Roman" w:hAnsi="Times New Roman" w:eastAsia="宋体" w:cs="Times New Roman"/>
                      <w:color w:val="auto"/>
                      <w:spacing w:val="6"/>
                      <w:position w:val="1"/>
                      <w:sz w:val="21"/>
                      <w:szCs w:val="21"/>
                      <w:highlight w:val="none"/>
                    </w:rPr>
                    <w:t>立式钢罐，规模为60m</w:t>
                  </w:r>
                  <w:r>
                    <w:rPr>
                      <w:rFonts w:hint="default" w:ascii="Times New Roman" w:hAnsi="Times New Roman" w:eastAsia="宋体" w:cs="Times New Roman"/>
                      <w:color w:val="auto"/>
                      <w:spacing w:val="6"/>
                      <w:position w:val="1"/>
                      <w:sz w:val="21"/>
                      <w:szCs w:val="21"/>
                      <w:highlight w:val="none"/>
                      <w:vertAlign w:val="superscript"/>
                      <w:lang w:val="en-US" w:eastAsia="zh-CN"/>
                    </w:rPr>
                    <w:t>3</w:t>
                  </w:r>
                  <w:r>
                    <w:rPr>
                      <w:rFonts w:hint="default" w:ascii="Times New Roman" w:hAnsi="Times New Roman" w:eastAsia="宋体" w:cs="Times New Roman"/>
                      <w:color w:val="auto"/>
                      <w:spacing w:val="6"/>
                      <w:position w:val="1"/>
                      <w:sz w:val="21"/>
                      <w:szCs w:val="21"/>
                      <w:highlight w:val="none"/>
                      <w:vertAlign w:val="baseline"/>
                      <w:lang w:val="en-US" w:eastAsia="zh-CN"/>
                    </w:rPr>
                    <w:t>/个，</w:t>
                  </w:r>
                  <w:r>
                    <w:rPr>
                      <w:rFonts w:hint="default" w:ascii="Times New Roman" w:hAnsi="Times New Roman" w:cs="Times New Roman"/>
                      <w:color w:val="auto"/>
                      <w:spacing w:val="6"/>
                      <w:position w:val="1"/>
                      <w:sz w:val="21"/>
                      <w:szCs w:val="21"/>
                      <w:highlight w:val="none"/>
                      <w:vertAlign w:val="baseline"/>
                      <w:lang w:val="en-US" w:eastAsia="zh-CN"/>
                    </w:rPr>
                    <w:t>用于原料碱液储存</w:t>
                  </w:r>
                </w:p>
              </w:tc>
            </w:tr>
            <w:tr w14:paraId="233F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4CB704D0">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top"/>
                </w:tcPr>
                <w:p w14:paraId="0FBFEA0B">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磷酸库房</w:t>
                  </w:r>
                </w:p>
              </w:tc>
              <w:tc>
                <w:tcPr>
                  <w:tcW w:w="4111" w:type="pct"/>
                  <w:gridSpan w:val="2"/>
                  <w:noWrap w:val="0"/>
                  <w:vAlign w:val="center"/>
                </w:tcPr>
                <w:p w14:paraId="6CEF6219">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both"/>
                    <w:textAlignment w:val="auto"/>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position w:val="1"/>
                      <w:sz w:val="21"/>
                      <w:szCs w:val="21"/>
                      <w:highlight w:val="none"/>
                    </w:rPr>
                    <w:t>1个，位于精炼车间内</w:t>
                  </w:r>
                  <w:r>
                    <w:rPr>
                      <w:rFonts w:hint="default" w:ascii="Times New Roman" w:hAnsi="Times New Roman" w:eastAsia="宋体" w:cs="Times New Roman"/>
                      <w:color w:val="auto"/>
                      <w:spacing w:val="6"/>
                      <w:position w:val="1"/>
                      <w:sz w:val="21"/>
                      <w:szCs w:val="21"/>
                      <w:highlight w:val="none"/>
                      <w:lang w:eastAsia="zh-CN"/>
                    </w:rPr>
                    <w:t>，</w:t>
                  </w:r>
                  <w:r>
                    <w:rPr>
                      <w:rFonts w:hint="default" w:ascii="Times New Roman" w:hAnsi="Times New Roman" w:eastAsia="宋体" w:cs="Times New Roman"/>
                      <w:color w:val="auto"/>
                      <w:spacing w:val="6"/>
                      <w:position w:val="1"/>
                      <w:sz w:val="21"/>
                      <w:szCs w:val="21"/>
                      <w:highlight w:val="none"/>
                      <w:lang w:val="en-US" w:eastAsia="zh-CN"/>
                    </w:rPr>
                    <w:t>用于原料磷酸储存</w:t>
                  </w:r>
                </w:p>
              </w:tc>
            </w:tr>
            <w:tr w14:paraId="1BC4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noWrap w:val="0"/>
                  <w:vAlign w:val="center"/>
                </w:tcPr>
                <w:p w14:paraId="4A203BEA">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辅助工程</w:t>
                  </w:r>
                </w:p>
              </w:tc>
              <w:tc>
                <w:tcPr>
                  <w:tcW w:w="475" w:type="pct"/>
                  <w:noWrap w:val="0"/>
                  <w:vAlign w:val="top"/>
                </w:tcPr>
                <w:p w14:paraId="69BFFF1D">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收发油及泵站</w:t>
                  </w:r>
                </w:p>
              </w:tc>
              <w:tc>
                <w:tcPr>
                  <w:tcW w:w="4111" w:type="pct"/>
                  <w:gridSpan w:val="2"/>
                  <w:noWrap w:val="0"/>
                  <w:vAlign w:val="center"/>
                </w:tcPr>
                <w:p w14:paraId="56321F2C">
                  <w:pPr>
                    <w:pStyle w:val="24"/>
                    <w:keepNext w:val="0"/>
                    <w:keepLines w:val="0"/>
                    <w:pageBreakBefore w:val="0"/>
                    <w:kinsoku/>
                    <w:wordWrap/>
                    <w:autoSpaceDE/>
                    <w:autoSpaceDN/>
                    <w:bidi w:val="0"/>
                    <w:snapToGrid w:val="0"/>
                    <w:spacing w:line="240" w:lineRule="auto"/>
                    <w:jc w:val="both"/>
                    <w:outlineLvl w:val="1"/>
                    <w:rPr>
                      <w:rFonts w:hint="default" w:ascii="Times New Roman" w:hAnsi="Times New Roman" w:eastAsia="宋体" w:cs="Times New Roman"/>
                      <w:bCs/>
                      <w:snapToGrid w:val="0"/>
                      <w:color w:val="auto"/>
                      <w:kern w:val="0"/>
                      <w:sz w:val="21"/>
                      <w:szCs w:val="21"/>
                      <w:highlight w:val="none"/>
                      <w:lang w:val="en-US"/>
                    </w:rPr>
                  </w:pPr>
                  <w:r>
                    <w:rPr>
                      <w:rFonts w:hint="default" w:ascii="Times New Roman" w:hAnsi="Times New Roman" w:eastAsia="宋体" w:cs="Times New Roman"/>
                      <w:color w:val="auto"/>
                      <w:spacing w:val="4"/>
                      <w:position w:val="1"/>
                      <w:sz w:val="21"/>
                      <w:szCs w:val="21"/>
                      <w:highlight w:val="none"/>
                      <w:lang w:val="en-US" w:eastAsia="zh-CN"/>
                    </w:rPr>
                    <w:t>位于1#库房南侧，</w:t>
                  </w:r>
                  <w:r>
                    <w:rPr>
                      <w:rFonts w:hint="default" w:ascii="Times New Roman" w:hAnsi="Times New Roman" w:eastAsia="宋体" w:cs="Times New Roman"/>
                      <w:color w:val="auto"/>
                      <w:spacing w:val="4"/>
                      <w:position w:val="1"/>
                      <w:sz w:val="21"/>
                      <w:szCs w:val="21"/>
                      <w:highlight w:val="none"/>
                    </w:rPr>
                    <w:t>建筑面积509m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6"/>
                      <w:position w:val="1"/>
                      <w:sz w:val="21"/>
                      <w:szCs w:val="21"/>
                      <w:highlight w:val="none"/>
                      <w:lang w:val="en-US" w:eastAsia="zh-CN"/>
                    </w:rPr>
                    <w:t>，用于成品油装车</w:t>
                  </w:r>
                </w:p>
              </w:tc>
            </w:tr>
            <w:tr w14:paraId="4A1D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51AB96D4">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shd w:val="clear" w:color="auto" w:fill="auto"/>
                  <w:noWrap w:val="0"/>
                  <w:vAlign w:val="center"/>
                </w:tcPr>
                <w:p w14:paraId="6A2076C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倒班楼</w:t>
                  </w:r>
                </w:p>
              </w:tc>
              <w:tc>
                <w:tcPr>
                  <w:tcW w:w="4111" w:type="pct"/>
                  <w:gridSpan w:val="2"/>
                  <w:noWrap w:val="0"/>
                  <w:vAlign w:val="center"/>
                </w:tcPr>
                <w:p w14:paraId="397C1EEA">
                  <w:pPr>
                    <w:pStyle w:val="24"/>
                    <w:keepNext w:val="0"/>
                    <w:keepLines w:val="0"/>
                    <w:pageBreakBefore w:val="0"/>
                    <w:kinsoku/>
                    <w:wordWrap/>
                    <w:autoSpaceDE/>
                    <w:autoSpaceDN/>
                    <w:bidi w:val="0"/>
                    <w:snapToGrid w:val="0"/>
                    <w:spacing w:line="240" w:lineRule="auto"/>
                    <w:ind w:left="0" w:leftChars="0"/>
                    <w:jc w:val="both"/>
                    <w:textAlignment w:val="auto"/>
                    <w:outlineLvl w:val="1"/>
                    <w:rPr>
                      <w:rFonts w:hint="default" w:ascii="Times New Roman" w:hAnsi="Times New Roman" w:eastAsia="宋体" w:cs="Times New Roman"/>
                      <w:color w:val="auto"/>
                      <w:spacing w:val="6"/>
                      <w:position w:val="1"/>
                      <w:sz w:val="21"/>
                      <w:szCs w:val="21"/>
                      <w:highlight w:val="none"/>
                      <w:vertAlign w:val="baseline"/>
                      <w:lang w:val="en-US" w:eastAsia="zh-CN"/>
                    </w:rPr>
                  </w:pPr>
                  <w:r>
                    <w:rPr>
                      <w:rFonts w:hint="default" w:ascii="Times New Roman" w:hAnsi="Times New Roman" w:eastAsia="宋体" w:cs="Times New Roman"/>
                      <w:color w:val="auto"/>
                      <w:spacing w:val="4"/>
                      <w:position w:val="1"/>
                      <w:sz w:val="21"/>
                      <w:szCs w:val="21"/>
                      <w:highlight w:val="none"/>
                      <w:lang w:val="en-US" w:eastAsia="zh-CN"/>
                    </w:rPr>
                    <w:t>位于厂区西侧，</w:t>
                  </w:r>
                  <w:r>
                    <w:rPr>
                      <w:rFonts w:hint="default" w:ascii="Times New Roman" w:hAnsi="Times New Roman" w:eastAsia="宋体" w:cs="Times New Roman"/>
                      <w:color w:val="auto"/>
                      <w:spacing w:val="4"/>
                      <w:position w:val="1"/>
                      <w:sz w:val="21"/>
                      <w:szCs w:val="21"/>
                      <w:highlight w:val="none"/>
                    </w:rPr>
                    <w:t>建筑面积</w:t>
                  </w:r>
                  <w:r>
                    <w:rPr>
                      <w:rFonts w:hint="default" w:ascii="Times New Roman" w:hAnsi="Times New Roman" w:eastAsia="宋体" w:cs="Times New Roman"/>
                      <w:color w:val="auto"/>
                      <w:spacing w:val="4"/>
                      <w:position w:val="1"/>
                      <w:sz w:val="21"/>
                      <w:szCs w:val="21"/>
                      <w:highlight w:val="none"/>
                      <w:lang w:val="en-US" w:eastAsia="zh-CN"/>
                    </w:rPr>
                    <w:t>1162</w:t>
                  </w:r>
                  <w:r>
                    <w:rPr>
                      <w:rFonts w:hint="default" w:ascii="Times New Roman" w:hAnsi="Times New Roman" w:eastAsia="宋体" w:cs="Times New Roman"/>
                      <w:color w:val="auto"/>
                      <w:spacing w:val="4"/>
                      <w:position w:val="1"/>
                      <w:sz w:val="21"/>
                      <w:szCs w:val="21"/>
                      <w:highlight w:val="none"/>
                    </w:rPr>
                    <w:t>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6"/>
                      <w:position w:val="1"/>
                      <w:sz w:val="21"/>
                      <w:szCs w:val="21"/>
                      <w:highlight w:val="none"/>
                      <w:vertAlign w:val="baseline"/>
                      <w:lang w:val="en-US" w:eastAsia="zh-CN"/>
                    </w:rPr>
                    <w:t>；</w:t>
                  </w:r>
                </w:p>
                <w:p w14:paraId="0B5B52B7">
                  <w:pPr>
                    <w:pStyle w:val="24"/>
                    <w:keepNext w:val="0"/>
                    <w:keepLines w:val="0"/>
                    <w:pageBreakBefore w:val="0"/>
                    <w:kinsoku/>
                    <w:wordWrap/>
                    <w:autoSpaceDE/>
                    <w:autoSpaceDN/>
                    <w:bidi w:val="0"/>
                    <w:snapToGrid w:val="0"/>
                    <w:spacing w:line="240" w:lineRule="auto"/>
                    <w:ind w:left="0" w:leftChars="0"/>
                    <w:jc w:val="both"/>
                    <w:textAlignment w:val="auto"/>
                    <w:outlineLvl w:val="1"/>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pacing w:val="6"/>
                      <w:position w:val="1"/>
                      <w:sz w:val="21"/>
                      <w:szCs w:val="21"/>
                      <w:highlight w:val="none"/>
                      <w:vertAlign w:val="baseline"/>
                      <w:lang w:val="en-US" w:eastAsia="zh-CN"/>
                    </w:rPr>
                    <w:t>内设化验室1个，用于成品油检验检测，化验试剂包括氢氧化钾、氢氧化钠、甲醇、乙醇等。</w:t>
                  </w:r>
                </w:p>
              </w:tc>
            </w:tr>
            <w:tr w14:paraId="6164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38056408">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shd w:val="clear" w:color="auto" w:fill="auto"/>
                  <w:noWrap w:val="0"/>
                  <w:vAlign w:val="center"/>
                </w:tcPr>
                <w:p w14:paraId="400FE991">
                  <w:pPr>
                    <w:keepNext w:val="0"/>
                    <w:keepLines w:val="0"/>
                    <w:pageBreakBefore w:val="0"/>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机修车间</w:t>
                  </w:r>
                </w:p>
              </w:tc>
              <w:tc>
                <w:tcPr>
                  <w:tcW w:w="4111" w:type="pct"/>
                  <w:gridSpan w:val="2"/>
                  <w:noWrap w:val="0"/>
                  <w:vAlign w:val="center"/>
                </w:tcPr>
                <w:p w14:paraId="23CEAB77">
                  <w:pPr>
                    <w:pStyle w:val="24"/>
                    <w:keepNext w:val="0"/>
                    <w:keepLines w:val="0"/>
                    <w:pageBreakBefore w:val="0"/>
                    <w:kinsoku/>
                    <w:wordWrap/>
                    <w:autoSpaceDE/>
                    <w:autoSpaceDN/>
                    <w:bidi w:val="0"/>
                    <w:snapToGrid w:val="0"/>
                    <w:spacing w:line="240" w:lineRule="auto"/>
                    <w:ind w:left="0" w:leftChars="0"/>
                    <w:jc w:val="both"/>
                    <w:textAlignment w:val="auto"/>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color w:val="auto"/>
                      <w:spacing w:val="4"/>
                      <w:position w:val="1"/>
                      <w:sz w:val="21"/>
                      <w:szCs w:val="21"/>
                      <w:highlight w:val="none"/>
                      <w:lang w:val="en-US" w:eastAsia="zh-CN"/>
                    </w:rPr>
                    <w:t>位于厂区北侧，</w:t>
                  </w:r>
                  <w:r>
                    <w:rPr>
                      <w:rFonts w:hint="default" w:ascii="Times New Roman" w:hAnsi="Times New Roman" w:eastAsia="宋体" w:cs="Times New Roman"/>
                      <w:color w:val="auto"/>
                      <w:spacing w:val="4"/>
                      <w:position w:val="1"/>
                      <w:sz w:val="21"/>
                      <w:szCs w:val="21"/>
                      <w:highlight w:val="none"/>
                    </w:rPr>
                    <w:t>建筑面积307m</w:t>
                  </w:r>
                  <w:r>
                    <w:rPr>
                      <w:rFonts w:hint="default" w:ascii="Times New Roman" w:hAnsi="Times New Roman" w:eastAsia="宋体" w:cs="Times New Roman"/>
                      <w:color w:val="auto"/>
                      <w:spacing w:val="6"/>
                      <w:position w:val="1"/>
                      <w:sz w:val="21"/>
                      <w:szCs w:val="21"/>
                      <w:highlight w:val="none"/>
                      <w:vertAlign w:val="superscript"/>
                      <w:lang w:val="en-US" w:eastAsia="zh-CN"/>
                    </w:rPr>
                    <w:t>2</w:t>
                  </w:r>
                </w:p>
              </w:tc>
            </w:tr>
            <w:tr w14:paraId="28F7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276855E5">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shd w:val="clear" w:color="auto" w:fill="auto"/>
                  <w:noWrap w:val="0"/>
                  <w:vAlign w:val="top"/>
                </w:tcPr>
                <w:p w14:paraId="5AE2457D">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5"/>
                      <w:sz w:val="21"/>
                      <w:szCs w:val="21"/>
                      <w:highlight w:val="none"/>
                    </w:rPr>
                    <w:t>办公楼</w:t>
                  </w:r>
                </w:p>
              </w:tc>
              <w:tc>
                <w:tcPr>
                  <w:tcW w:w="4111" w:type="pct"/>
                  <w:gridSpan w:val="2"/>
                  <w:noWrap w:val="0"/>
                  <w:vAlign w:val="center"/>
                </w:tcPr>
                <w:p w14:paraId="372F02A0">
                  <w:pPr>
                    <w:pStyle w:val="24"/>
                    <w:keepNext w:val="0"/>
                    <w:keepLines w:val="0"/>
                    <w:pageBreakBefore w:val="0"/>
                    <w:kinsoku/>
                    <w:wordWrap/>
                    <w:autoSpaceDE/>
                    <w:autoSpaceDN/>
                    <w:bidi w:val="0"/>
                    <w:snapToGrid w:val="0"/>
                    <w:spacing w:line="240" w:lineRule="auto"/>
                    <w:ind w:left="0" w:leftChars="0"/>
                    <w:jc w:val="both"/>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position w:val="1"/>
                      <w:sz w:val="21"/>
                      <w:szCs w:val="21"/>
                      <w:highlight w:val="none"/>
                      <w:lang w:val="en-US" w:eastAsia="zh-CN"/>
                    </w:rPr>
                    <w:t>位于厂区西南侧，</w:t>
                  </w:r>
                  <w:r>
                    <w:rPr>
                      <w:rFonts w:hint="default" w:ascii="Times New Roman" w:hAnsi="Times New Roman" w:eastAsia="宋体" w:cs="Times New Roman"/>
                      <w:color w:val="auto"/>
                      <w:spacing w:val="4"/>
                      <w:position w:val="1"/>
                      <w:sz w:val="21"/>
                      <w:szCs w:val="21"/>
                      <w:highlight w:val="none"/>
                    </w:rPr>
                    <w:t>建筑面积232</w:t>
                  </w:r>
                  <w:r>
                    <w:rPr>
                      <w:rFonts w:hint="default" w:ascii="Times New Roman" w:hAnsi="Times New Roman" w:eastAsia="宋体" w:cs="Times New Roman"/>
                      <w:color w:val="auto"/>
                      <w:spacing w:val="4"/>
                      <w:position w:val="1"/>
                      <w:sz w:val="21"/>
                      <w:szCs w:val="21"/>
                      <w:highlight w:val="none"/>
                      <w:lang w:val="en-US" w:eastAsia="zh-CN"/>
                    </w:rPr>
                    <w:t>9</w:t>
                  </w:r>
                  <w:r>
                    <w:rPr>
                      <w:rFonts w:hint="default" w:ascii="Times New Roman" w:hAnsi="Times New Roman" w:eastAsia="宋体" w:cs="Times New Roman"/>
                      <w:color w:val="auto"/>
                      <w:spacing w:val="4"/>
                      <w:position w:val="1"/>
                      <w:sz w:val="21"/>
                      <w:szCs w:val="21"/>
                      <w:highlight w:val="none"/>
                    </w:rPr>
                    <w:t>m</w:t>
                  </w:r>
                  <w:r>
                    <w:rPr>
                      <w:rFonts w:hint="default" w:ascii="Times New Roman" w:hAnsi="Times New Roman" w:eastAsia="宋体" w:cs="Times New Roman"/>
                      <w:color w:val="auto"/>
                      <w:spacing w:val="6"/>
                      <w:position w:val="1"/>
                      <w:sz w:val="21"/>
                      <w:szCs w:val="21"/>
                      <w:highlight w:val="none"/>
                      <w:vertAlign w:val="superscript"/>
                      <w:lang w:val="en-US" w:eastAsia="zh-CN"/>
                    </w:rPr>
                    <w:t>2</w:t>
                  </w:r>
                </w:p>
              </w:tc>
            </w:tr>
            <w:tr w14:paraId="0412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0BF91C4C">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top"/>
                </w:tcPr>
                <w:p w14:paraId="7618E6EF">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食堂</w:t>
                  </w:r>
                </w:p>
              </w:tc>
              <w:tc>
                <w:tcPr>
                  <w:tcW w:w="4111" w:type="pct"/>
                  <w:gridSpan w:val="2"/>
                  <w:noWrap w:val="0"/>
                  <w:vAlign w:val="center"/>
                </w:tcPr>
                <w:p w14:paraId="51C5FF47">
                  <w:pPr>
                    <w:pStyle w:val="24"/>
                    <w:keepNext w:val="0"/>
                    <w:keepLines w:val="0"/>
                    <w:pageBreakBefore w:val="0"/>
                    <w:kinsoku/>
                    <w:wordWrap/>
                    <w:autoSpaceDE/>
                    <w:autoSpaceDN/>
                    <w:bidi w:val="0"/>
                    <w:snapToGrid w:val="0"/>
                    <w:spacing w:line="240" w:lineRule="auto"/>
                    <w:ind w:left="0" w:leftChars="0"/>
                    <w:jc w:val="both"/>
                    <w:textAlignment w:val="auto"/>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position w:val="1"/>
                      <w:sz w:val="21"/>
                      <w:szCs w:val="21"/>
                      <w:highlight w:val="none"/>
                      <w:lang w:val="en-US" w:eastAsia="zh-CN"/>
                    </w:rPr>
                    <w:t>位于厂区西南侧，</w:t>
                  </w:r>
                  <w:r>
                    <w:rPr>
                      <w:rFonts w:hint="default" w:ascii="Times New Roman" w:hAnsi="Times New Roman" w:eastAsia="宋体" w:cs="Times New Roman"/>
                      <w:color w:val="auto"/>
                      <w:spacing w:val="4"/>
                      <w:position w:val="1"/>
                      <w:sz w:val="21"/>
                      <w:szCs w:val="21"/>
                      <w:highlight w:val="none"/>
                    </w:rPr>
                    <w:t>建筑面积43</w:t>
                  </w:r>
                  <w:r>
                    <w:rPr>
                      <w:rFonts w:hint="default" w:ascii="Times New Roman" w:hAnsi="Times New Roman" w:eastAsia="宋体" w:cs="Times New Roman"/>
                      <w:color w:val="auto"/>
                      <w:spacing w:val="4"/>
                      <w:position w:val="1"/>
                      <w:sz w:val="21"/>
                      <w:szCs w:val="21"/>
                      <w:highlight w:val="none"/>
                      <w:lang w:val="en-US" w:eastAsia="zh-CN"/>
                    </w:rPr>
                    <w:t>4</w:t>
                  </w:r>
                  <w:r>
                    <w:rPr>
                      <w:rFonts w:hint="default" w:ascii="Times New Roman" w:hAnsi="Times New Roman" w:eastAsia="宋体" w:cs="Times New Roman"/>
                      <w:color w:val="auto"/>
                      <w:spacing w:val="4"/>
                      <w:position w:val="1"/>
                      <w:sz w:val="21"/>
                      <w:szCs w:val="21"/>
                      <w:highlight w:val="none"/>
                    </w:rPr>
                    <w:t>m</w:t>
                  </w:r>
                  <w:r>
                    <w:rPr>
                      <w:rFonts w:hint="default" w:ascii="Times New Roman" w:hAnsi="Times New Roman" w:eastAsia="宋体" w:cs="Times New Roman"/>
                      <w:color w:val="auto"/>
                      <w:spacing w:val="6"/>
                      <w:position w:val="1"/>
                      <w:sz w:val="21"/>
                      <w:szCs w:val="21"/>
                      <w:highlight w:val="none"/>
                      <w:vertAlign w:val="superscript"/>
                      <w:lang w:val="en-US" w:eastAsia="zh-CN"/>
                    </w:rPr>
                    <w:t>2</w:t>
                  </w:r>
                </w:p>
              </w:tc>
            </w:tr>
            <w:tr w14:paraId="29D3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noWrap w:val="0"/>
                  <w:vAlign w:val="center"/>
                </w:tcPr>
                <w:p w14:paraId="4E682927">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公用工程</w:t>
                  </w:r>
                </w:p>
              </w:tc>
              <w:tc>
                <w:tcPr>
                  <w:tcW w:w="475" w:type="pct"/>
                  <w:noWrap w:val="0"/>
                  <w:vAlign w:val="center"/>
                </w:tcPr>
                <w:p w14:paraId="52C17FA2">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供水</w:t>
                  </w:r>
                </w:p>
              </w:tc>
              <w:tc>
                <w:tcPr>
                  <w:tcW w:w="4111" w:type="pct"/>
                  <w:gridSpan w:val="2"/>
                  <w:noWrap w:val="0"/>
                  <w:vAlign w:val="center"/>
                </w:tcPr>
                <w:p w14:paraId="33F9C1DE">
                  <w:pPr>
                    <w:keepNext w:val="0"/>
                    <w:keepLines w:val="0"/>
                    <w:pageBreakBefore w:val="0"/>
                    <w:widowControl/>
                    <w:kinsoku/>
                    <w:wordWrap/>
                    <w:overflowPunct w:val="0"/>
                    <w:topLinePunct/>
                    <w:autoSpaceDE/>
                    <w:autoSpaceDN/>
                    <w:bidi w:val="0"/>
                    <w:adjustRightInd w:val="0"/>
                    <w:snapToGrid w:val="0"/>
                    <w:spacing w:line="240" w:lineRule="auto"/>
                    <w:ind w:left="0"/>
                    <w:jc w:val="left"/>
                    <w:textAlignment w:val="auto"/>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依托市政给水管网供给；</w:t>
                  </w:r>
                </w:p>
              </w:tc>
            </w:tr>
            <w:tr w14:paraId="2276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6570C795">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3B63DAF2">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排水</w:t>
                  </w:r>
                </w:p>
              </w:tc>
              <w:tc>
                <w:tcPr>
                  <w:tcW w:w="4111" w:type="pct"/>
                  <w:gridSpan w:val="2"/>
                  <w:noWrap w:val="0"/>
                  <w:vAlign w:val="center"/>
                </w:tcPr>
                <w:p w14:paraId="497D50D7">
                  <w:pPr>
                    <w:keepNext w:val="0"/>
                    <w:keepLines w:val="0"/>
                    <w:pageBreakBefore w:val="0"/>
                    <w:widowControl/>
                    <w:kinsoku/>
                    <w:wordWrap/>
                    <w:overflowPunct w:val="0"/>
                    <w:topLinePunct/>
                    <w:autoSpaceDE/>
                    <w:autoSpaceDN/>
                    <w:bidi w:val="0"/>
                    <w:adjustRightInd w:val="0"/>
                    <w:snapToGrid w:val="0"/>
                    <w:spacing w:line="240" w:lineRule="auto"/>
                    <w:ind w:left="0"/>
                    <w:jc w:val="left"/>
                    <w:textAlignment w:val="auto"/>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雨污、清污分流，雨水接入市政雨水管网；</w:t>
                  </w:r>
                </w:p>
                <w:p w14:paraId="1DA3F027">
                  <w:pPr>
                    <w:keepNext w:val="0"/>
                    <w:keepLines w:val="0"/>
                    <w:widowControl/>
                    <w:suppressLineNumbers w:val="0"/>
                    <w:jc w:val="left"/>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食堂废水经隔油处理后与生活污水收集至</w:t>
                  </w:r>
                  <w:r>
                    <w:rPr>
                      <w:rFonts w:hint="eastAsia" w:cs="Times New Roman"/>
                      <w:bCs/>
                      <w:snapToGrid w:val="0"/>
                      <w:color w:val="auto"/>
                      <w:kern w:val="0"/>
                      <w:sz w:val="21"/>
                      <w:szCs w:val="21"/>
                      <w:highlight w:val="none"/>
                      <w:lang w:val="en-US" w:eastAsia="zh-CN"/>
                    </w:rPr>
                    <w:t>生化池</w:t>
                  </w:r>
                  <w:r>
                    <w:rPr>
                      <w:rFonts w:hint="default" w:ascii="Times New Roman" w:hAnsi="Times New Roman" w:eastAsia="宋体" w:cs="Times New Roman"/>
                      <w:bCs/>
                      <w:snapToGrid w:val="0"/>
                      <w:color w:val="auto"/>
                      <w:kern w:val="0"/>
                      <w:sz w:val="21"/>
                      <w:szCs w:val="21"/>
                      <w:highlight w:val="none"/>
                      <w:lang w:val="en-US" w:eastAsia="zh-CN"/>
                    </w:rPr>
                    <w:t>，后与生产废水进入</w:t>
                  </w:r>
                  <w:r>
                    <w:rPr>
                      <w:rFonts w:hint="eastAsia" w:cs="Times New Roman"/>
                      <w:bCs/>
                      <w:snapToGrid w:val="0"/>
                      <w:color w:val="auto"/>
                      <w:kern w:val="0"/>
                      <w:sz w:val="21"/>
                      <w:szCs w:val="21"/>
                      <w:highlight w:val="none"/>
                      <w:lang w:val="en-US" w:eastAsia="zh-CN"/>
                    </w:rPr>
                    <w:t>污水处理站</w:t>
                  </w:r>
                  <w:r>
                    <w:rPr>
                      <w:rFonts w:hint="default" w:ascii="Times New Roman" w:hAnsi="Times New Roman" w:cs="Times New Roman"/>
                      <w:bCs/>
                      <w:snapToGrid w:val="0"/>
                      <w:color w:val="auto"/>
                      <w:kern w:val="0"/>
                      <w:sz w:val="21"/>
                      <w:szCs w:val="21"/>
                      <w:highlight w:val="none"/>
                      <w:lang w:val="en-US" w:eastAsia="zh-CN"/>
                    </w:rPr>
                    <w:t>进行处理，</w:t>
                  </w:r>
                  <w:r>
                    <w:rPr>
                      <w:rFonts w:hint="default" w:ascii="Times New Roman" w:hAnsi="Times New Roman" w:eastAsia="宋体" w:cs="Times New Roman"/>
                      <w:bCs/>
                      <w:snapToGrid w:val="0"/>
                      <w:color w:val="auto"/>
                      <w:kern w:val="0"/>
                      <w:sz w:val="21"/>
                      <w:szCs w:val="21"/>
                      <w:highlight w:val="none"/>
                      <w:lang w:val="en-US" w:eastAsia="zh-CN"/>
                    </w:rPr>
                    <w:t>处理达《污水综合排放标准》（GB8978-1996）</w:t>
                  </w:r>
                </w:p>
                <w:p w14:paraId="65C0AD2E">
                  <w:pPr>
                    <w:keepNext w:val="0"/>
                    <w:keepLines w:val="0"/>
                    <w:widowControl/>
                    <w:suppressLineNumbers w:val="0"/>
                    <w:jc w:val="left"/>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三级标准后经市政污水管网排至铜罐驿污水处理厂进一步处理，处理达《地表水环境质量标准》（GB3838-2002）IV类标准（其中TN、SS满足《城镇污水处理厂污染物排放标准》（GB18918-2002）一级A标准），尾水排入金竹沟，最终汇入长江</w:t>
                  </w:r>
                </w:p>
              </w:tc>
            </w:tr>
            <w:tr w14:paraId="4C6C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04D4EA6F">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157EE769">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供电</w:t>
                  </w:r>
                </w:p>
              </w:tc>
              <w:tc>
                <w:tcPr>
                  <w:tcW w:w="4111" w:type="pct"/>
                  <w:gridSpan w:val="2"/>
                  <w:noWrap w:val="0"/>
                  <w:vAlign w:val="center"/>
                </w:tcPr>
                <w:p w14:paraId="4EBAE36F">
                  <w:pPr>
                    <w:keepNext w:val="0"/>
                    <w:keepLines w:val="0"/>
                    <w:pageBreakBefore w:val="0"/>
                    <w:widowControl/>
                    <w:kinsoku/>
                    <w:wordWrap/>
                    <w:overflowPunct w:val="0"/>
                    <w:topLinePunct/>
                    <w:autoSpaceDE/>
                    <w:autoSpaceDN/>
                    <w:bidi w:val="0"/>
                    <w:adjustRightInd w:val="0"/>
                    <w:snapToGrid w:val="0"/>
                    <w:spacing w:line="240" w:lineRule="auto"/>
                    <w:ind w:left="0"/>
                    <w:jc w:val="left"/>
                    <w:textAlignment w:val="auto"/>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依托市政供电管网供给；</w:t>
                  </w:r>
                </w:p>
              </w:tc>
            </w:tr>
            <w:tr w14:paraId="4686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6407BAB3">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71442005">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供气</w:t>
                  </w:r>
                </w:p>
              </w:tc>
              <w:tc>
                <w:tcPr>
                  <w:tcW w:w="4111" w:type="pct"/>
                  <w:gridSpan w:val="2"/>
                  <w:noWrap w:val="0"/>
                  <w:vAlign w:val="center"/>
                </w:tcPr>
                <w:p w14:paraId="1B4FF72D">
                  <w:pPr>
                    <w:keepNext w:val="0"/>
                    <w:keepLines w:val="0"/>
                    <w:pageBreakBefore w:val="0"/>
                    <w:widowControl/>
                    <w:kinsoku/>
                    <w:wordWrap/>
                    <w:overflowPunct w:val="0"/>
                    <w:topLinePunct/>
                    <w:autoSpaceDE/>
                    <w:autoSpaceDN/>
                    <w:bidi w:val="0"/>
                    <w:adjustRightInd w:val="0"/>
                    <w:snapToGrid w:val="0"/>
                    <w:spacing w:line="240" w:lineRule="auto"/>
                    <w:ind w:left="0"/>
                    <w:jc w:val="left"/>
                    <w:textAlignment w:val="auto"/>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重庆燃气公司供气</w:t>
                  </w:r>
                </w:p>
              </w:tc>
            </w:tr>
            <w:tr w14:paraId="50E3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1E01246F">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44F73272">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消防</w:t>
                  </w:r>
                </w:p>
              </w:tc>
              <w:tc>
                <w:tcPr>
                  <w:tcW w:w="4111" w:type="pct"/>
                  <w:gridSpan w:val="2"/>
                  <w:noWrap w:val="0"/>
                  <w:vAlign w:val="center"/>
                </w:tcPr>
                <w:p w14:paraId="159608B1">
                  <w:pPr>
                    <w:keepNext w:val="0"/>
                    <w:keepLines w:val="0"/>
                    <w:pageBreakBefore w:val="0"/>
                    <w:widowControl/>
                    <w:kinsoku/>
                    <w:wordWrap/>
                    <w:overflowPunct w:val="0"/>
                    <w:topLinePunct/>
                    <w:autoSpaceDE/>
                    <w:autoSpaceDN/>
                    <w:bidi w:val="0"/>
                    <w:adjustRightInd w:val="0"/>
                    <w:snapToGrid w:val="0"/>
                    <w:spacing w:line="240" w:lineRule="auto"/>
                    <w:ind w:left="0"/>
                    <w:jc w:val="left"/>
                    <w:textAlignment w:val="auto"/>
                    <w:outlineLvl w:val="1"/>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厂内配备完善的消防系统，于油罐区设置消防沙池各1个，厂区北侧设置1200m</w:t>
                  </w:r>
                  <w:r>
                    <w:rPr>
                      <w:rFonts w:hint="default" w:ascii="Times New Roman" w:hAnsi="Times New Roman" w:eastAsia="宋体" w:cs="Times New Roman"/>
                      <w:bCs/>
                      <w:snapToGrid w:val="0"/>
                      <w:color w:val="auto"/>
                      <w:kern w:val="0"/>
                      <w:sz w:val="21"/>
                      <w:szCs w:val="21"/>
                      <w:highlight w:val="none"/>
                      <w:vertAlign w:val="superscript"/>
                      <w:lang w:val="en-US" w:eastAsia="zh-CN"/>
                    </w:rPr>
                    <w:t>3</w:t>
                  </w:r>
                  <w:r>
                    <w:rPr>
                      <w:rFonts w:hint="default" w:ascii="Times New Roman" w:hAnsi="Times New Roman" w:eastAsia="宋体" w:cs="Times New Roman"/>
                      <w:bCs/>
                      <w:snapToGrid w:val="0"/>
                      <w:color w:val="auto"/>
                      <w:kern w:val="0"/>
                      <w:sz w:val="21"/>
                      <w:szCs w:val="21"/>
                      <w:highlight w:val="none"/>
                      <w:lang w:val="en-US" w:eastAsia="zh-CN"/>
                    </w:rPr>
                    <w:t>消防水池和2000m</w:t>
                  </w:r>
                  <w:r>
                    <w:rPr>
                      <w:rFonts w:hint="default" w:ascii="Times New Roman" w:hAnsi="Times New Roman" w:eastAsia="宋体" w:cs="Times New Roman"/>
                      <w:bCs/>
                      <w:snapToGrid w:val="0"/>
                      <w:color w:val="auto"/>
                      <w:kern w:val="0"/>
                      <w:sz w:val="21"/>
                      <w:szCs w:val="21"/>
                      <w:highlight w:val="none"/>
                      <w:vertAlign w:val="superscript"/>
                      <w:lang w:val="en-US" w:eastAsia="zh-CN"/>
                    </w:rPr>
                    <w:t>3</w:t>
                  </w:r>
                  <w:r>
                    <w:rPr>
                      <w:rFonts w:hint="default" w:ascii="Times New Roman" w:hAnsi="Times New Roman" w:cs="Times New Roman"/>
                      <w:bCs/>
                      <w:snapToGrid w:val="0"/>
                      <w:color w:val="auto"/>
                      <w:kern w:val="0"/>
                      <w:sz w:val="21"/>
                      <w:szCs w:val="21"/>
                      <w:highlight w:val="none"/>
                      <w:lang w:val="en-US" w:eastAsia="zh-CN"/>
                    </w:rPr>
                    <w:t>消防水罐</w:t>
                  </w:r>
                </w:p>
              </w:tc>
            </w:tr>
            <w:tr w14:paraId="769A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692FEB98">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5B89E3C2">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空压站</w:t>
                  </w:r>
                </w:p>
              </w:tc>
              <w:tc>
                <w:tcPr>
                  <w:tcW w:w="4111" w:type="pct"/>
                  <w:gridSpan w:val="2"/>
                  <w:noWrap w:val="0"/>
                  <w:vAlign w:val="center"/>
                </w:tcPr>
                <w:p w14:paraId="52BF5BCD">
                  <w:pPr>
                    <w:keepNext w:val="0"/>
                    <w:keepLines w:val="0"/>
                    <w:pageBreakBefore w:val="0"/>
                    <w:widowControl/>
                    <w:kinsoku/>
                    <w:wordWrap/>
                    <w:overflowPunct w:val="0"/>
                    <w:topLinePunct/>
                    <w:autoSpaceDE/>
                    <w:autoSpaceDN/>
                    <w:bidi w:val="0"/>
                    <w:adjustRightInd w:val="0"/>
                    <w:snapToGrid w:val="0"/>
                    <w:spacing w:line="240" w:lineRule="auto"/>
                    <w:jc w:val="left"/>
                    <w:outlineLvl w:val="1"/>
                    <w:rPr>
                      <w:rFonts w:hint="default" w:ascii="Times New Roman" w:hAnsi="Times New Roman" w:eastAsia="宋体" w:cs="Times New Roman"/>
                      <w:bCs/>
                      <w:snapToGrid w:val="0"/>
                      <w:color w:val="auto"/>
                      <w:kern w:val="0"/>
                      <w:sz w:val="21"/>
                      <w:szCs w:val="21"/>
                      <w:highlight w:val="none"/>
                      <w:lang w:val="en-US"/>
                    </w:rPr>
                  </w:pPr>
                  <w:r>
                    <w:rPr>
                      <w:rFonts w:hint="default" w:ascii="Times New Roman" w:hAnsi="Times New Roman" w:eastAsia="宋体" w:cs="Times New Roman"/>
                      <w:color w:val="auto"/>
                      <w:spacing w:val="4"/>
                      <w:position w:val="1"/>
                      <w:sz w:val="21"/>
                      <w:szCs w:val="21"/>
                      <w:highlight w:val="none"/>
                      <w:lang w:val="en-US" w:eastAsia="zh-CN"/>
                    </w:rPr>
                    <w:t>位于厂区北侧，</w:t>
                  </w:r>
                  <w:r>
                    <w:rPr>
                      <w:rFonts w:hint="default" w:ascii="Times New Roman" w:hAnsi="Times New Roman" w:eastAsia="宋体" w:cs="Times New Roman"/>
                      <w:color w:val="auto"/>
                      <w:spacing w:val="4"/>
                      <w:position w:val="1"/>
                      <w:sz w:val="21"/>
                      <w:szCs w:val="21"/>
                      <w:highlight w:val="none"/>
                    </w:rPr>
                    <w:t>建筑面积5</w:t>
                  </w:r>
                  <w:r>
                    <w:rPr>
                      <w:rFonts w:hint="default" w:ascii="Times New Roman" w:hAnsi="Times New Roman" w:eastAsia="宋体" w:cs="Times New Roman"/>
                      <w:color w:val="auto"/>
                      <w:spacing w:val="4"/>
                      <w:position w:val="1"/>
                      <w:sz w:val="21"/>
                      <w:szCs w:val="21"/>
                      <w:highlight w:val="none"/>
                      <w:lang w:val="en-US" w:eastAsia="zh-CN"/>
                    </w:rPr>
                    <w:t>5</w:t>
                  </w:r>
                  <w:r>
                    <w:rPr>
                      <w:rFonts w:hint="default" w:ascii="Times New Roman" w:hAnsi="Times New Roman" w:eastAsia="宋体" w:cs="Times New Roman"/>
                      <w:color w:val="auto"/>
                      <w:spacing w:val="4"/>
                      <w:position w:val="1"/>
                      <w:sz w:val="21"/>
                      <w:szCs w:val="21"/>
                      <w:highlight w:val="none"/>
                    </w:rPr>
                    <w:t>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eastAsia="宋体" w:cs="Times New Roman"/>
                      <w:color w:val="auto"/>
                      <w:spacing w:val="4"/>
                      <w:position w:val="1"/>
                      <w:sz w:val="21"/>
                      <w:szCs w:val="21"/>
                      <w:highlight w:val="none"/>
                      <w:lang w:val="en-US" w:eastAsia="zh-CN"/>
                    </w:rPr>
                    <w:t>，设空压机2台</w:t>
                  </w:r>
                </w:p>
              </w:tc>
            </w:tr>
            <w:tr w14:paraId="2A66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3FF1FBA0">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799" w:type="dxa"/>
                  <w:noWrap w:val="0"/>
                  <w:vAlign w:val="center"/>
                </w:tcPr>
                <w:p w14:paraId="3A448717">
                  <w:pPr>
                    <w:keepNext w:val="0"/>
                    <w:keepLines w:val="0"/>
                    <w:pageBreakBefore w:val="0"/>
                    <w:widowControl w:val="0"/>
                    <w:kinsoku/>
                    <w:wordWrap/>
                    <w:overflowPunct w:val="0"/>
                    <w:topLinePunct/>
                    <w:autoSpaceDE/>
                    <w:autoSpaceDN/>
                    <w:bidi w:val="0"/>
                    <w:adjustRightInd/>
                    <w:snapToGrid/>
                    <w:spacing w:line="240" w:lineRule="auto"/>
                    <w:ind w:left="0" w:leftChars="0" w:firstLine="0" w:firstLineChars="0"/>
                    <w:jc w:val="center"/>
                    <w:textAlignment w:val="auto"/>
                    <w:outlineLvl w:val="1"/>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color w:val="auto"/>
                      <w:sz w:val="21"/>
                      <w:szCs w:val="21"/>
                      <w:highlight w:val="none"/>
                      <w:lang w:val="en-US" w:eastAsia="zh-CN"/>
                    </w:rPr>
                    <w:t>冷冻系统</w:t>
                  </w:r>
                </w:p>
              </w:tc>
              <w:tc>
                <w:tcPr>
                  <w:tcW w:w="6902" w:type="dxa"/>
                  <w:gridSpan w:val="2"/>
                  <w:noWrap w:val="0"/>
                  <w:vAlign w:val="center"/>
                </w:tcPr>
                <w:p w14:paraId="712CE401">
                  <w:pPr>
                    <w:pStyle w:val="24"/>
                    <w:keepNext w:val="0"/>
                    <w:keepLines w:val="0"/>
                    <w:pageBreakBefore w:val="0"/>
                    <w:kinsoku/>
                    <w:wordWrap/>
                    <w:overflowPunct w:val="0"/>
                    <w:topLinePunct/>
                    <w:autoSpaceDE/>
                    <w:autoSpaceDN/>
                    <w:bidi w:val="0"/>
                    <w:adjustRightInd/>
                    <w:snapToGrid/>
                    <w:spacing w:line="240" w:lineRule="auto"/>
                    <w:ind w:left="0" w:leftChars="0"/>
                    <w:jc w:val="center"/>
                    <w:textAlignment w:val="auto"/>
                    <w:outlineLvl w:val="1"/>
                    <w:rPr>
                      <w:rFonts w:hint="default" w:ascii="Times New Roman" w:hAnsi="Times New Roman" w:eastAsia="宋体" w:cs="Times New Roman"/>
                      <w:color w:val="auto"/>
                      <w:spacing w:val="4"/>
                      <w:position w:val="1"/>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设冷冻系统1套，最低温度为-7℃，配套蒸发器、冷凝器、控制系统</w:t>
                  </w:r>
                </w:p>
              </w:tc>
            </w:tr>
            <w:tr w14:paraId="2A01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3A26B32C">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6C8556D7">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锅炉房</w:t>
                  </w:r>
                </w:p>
              </w:tc>
              <w:tc>
                <w:tcPr>
                  <w:tcW w:w="4111" w:type="pct"/>
                  <w:gridSpan w:val="2"/>
                  <w:noWrap w:val="0"/>
                  <w:vAlign w:val="center"/>
                </w:tcPr>
                <w:p w14:paraId="7C1226FE">
                  <w:pPr>
                    <w:keepNext w:val="0"/>
                    <w:keepLines w:val="0"/>
                    <w:pageBreakBefore w:val="0"/>
                    <w:widowControl/>
                    <w:kinsoku/>
                    <w:wordWrap/>
                    <w:overflowPunct w:val="0"/>
                    <w:topLinePunct/>
                    <w:autoSpaceDE/>
                    <w:autoSpaceDN/>
                    <w:bidi w:val="0"/>
                    <w:adjustRightInd w:val="0"/>
                    <w:snapToGrid w:val="0"/>
                    <w:spacing w:line="240" w:lineRule="auto"/>
                    <w:jc w:val="left"/>
                    <w:outlineLvl w:val="1"/>
                    <w:rPr>
                      <w:rFonts w:hint="default" w:ascii="Times New Roman" w:hAnsi="Times New Roman" w:eastAsia="宋体" w:cs="Times New Roman"/>
                      <w:color w:val="auto"/>
                      <w:spacing w:val="4"/>
                      <w:position w:val="1"/>
                      <w:sz w:val="21"/>
                      <w:szCs w:val="21"/>
                      <w:highlight w:val="none"/>
                      <w:lang w:val="en-US" w:eastAsia="zh-CN"/>
                    </w:rPr>
                  </w:pPr>
                  <w:r>
                    <w:rPr>
                      <w:rFonts w:hint="default" w:ascii="Times New Roman" w:hAnsi="Times New Roman" w:eastAsia="宋体" w:cs="Times New Roman"/>
                      <w:color w:val="auto"/>
                      <w:spacing w:val="4"/>
                      <w:position w:val="1"/>
                      <w:sz w:val="21"/>
                      <w:szCs w:val="21"/>
                      <w:highlight w:val="none"/>
                      <w:lang w:val="en-US" w:eastAsia="zh-CN"/>
                    </w:rPr>
                    <w:t>位于厂区北侧，</w:t>
                  </w:r>
                  <w:r>
                    <w:rPr>
                      <w:rFonts w:hint="default" w:ascii="Times New Roman" w:hAnsi="Times New Roman" w:eastAsia="宋体" w:cs="Times New Roman"/>
                      <w:color w:val="auto"/>
                      <w:spacing w:val="4"/>
                      <w:position w:val="1"/>
                      <w:sz w:val="21"/>
                      <w:szCs w:val="21"/>
                      <w:highlight w:val="none"/>
                    </w:rPr>
                    <w:t>建筑面积388m</w:t>
                  </w:r>
                  <w:r>
                    <w:rPr>
                      <w:rFonts w:hint="default" w:ascii="Times New Roman" w:hAnsi="Times New Roman" w:eastAsia="宋体" w:cs="Times New Roman"/>
                      <w:color w:val="auto"/>
                      <w:spacing w:val="6"/>
                      <w:position w:val="1"/>
                      <w:sz w:val="21"/>
                      <w:szCs w:val="21"/>
                      <w:highlight w:val="none"/>
                      <w:vertAlign w:val="superscript"/>
                      <w:lang w:val="en-US" w:eastAsia="zh-CN"/>
                    </w:rPr>
                    <w:t>2</w:t>
                  </w:r>
                  <w:r>
                    <w:rPr>
                      <w:rFonts w:hint="default" w:ascii="Times New Roman" w:hAnsi="Times New Roman" w:cs="Times New Roman"/>
                      <w:color w:val="auto"/>
                      <w:spacing w:val="6"/>
                      <w:position w:val="1"/>
                      <w:sz w:val="21"/>
                      <w:szCs w:val="21"/>
                      <w:highlight w:val="none"/>
                      <w:vertAlign w:val="baseline"/>
                      <w:lang w:val="en-US" w:eastAsia="zh-CN"/>
                    </w:rPr>
                    <w:t>，</w:t>
                  </w:r>
                  <w:r>
                    <w:rPr>
                      <w:rFonts w:hint="default" w:ascii="Times New Roman" w:hAnsi="Times New Roman" w:eastAsia="宋体" w:cs="Times New Roman"/>
                      <w:color w:val="auto"/>
                      <w:spacing w:val="4"/>
                      <w:position w:val="1"/>
                      <w:sz w:val="21"/>
                      <w:szCs w:val="21"/>
                      <w:highlight w:val="none"/>
                      <w:lang w:val="en-US" w:eastAsia="zh-CN"/>
                    </w:rPr>
                    <w:t>设置高压蒸汽锅炉和蒸汽锅炉</w:t>
                  </w:r>
                  <w:r>
                    <w:rPr>
                      <w:rFonts w:hint="default" w:ascii="Times New Roman" w:hAnsi="Times New Roman" w:cs="Times New Roman"/>
                      <w:color w:val="auto"/>
                      <w:spacing w:val="4"/>
                      <w:position w:val="1"/>
                      <w:sz w:val="21"/>
                      <w:szCs w:val="21"/>
                      <w:highlight w:val="none"/>
                      <w:lang w:val="en-US" w:eastAsia="zh-CN"/>
                    </w:rPr>
                    <w:t>各</w:t>
                  </w:r>
                  <w:r>
                    <w:rPr>
                      <w:rFonts w:hint="default" w:ascii="Times New Roman" w:hAnsi="Times New Roman" w:eastAsia="宋体" w:cs="Times New Roman"/>
                      <w:color w:val="auto"/>
                      <w:spacing w:val="4"/>
                      <w:position w:val="1"/>
                      <w:sz w:val="21"/>
                      <w:szCs w:val="21"/>
                      <w:highlight w:val="none"/>
                      <w:lang w:val="en-US" w:eastAsia="zh-CN"/>
                    </w:rPr>
                    <w:t>1个，规模分别是3t/h和4t/h，主要为精炼车间</w:t>
                  </w:r>
                  <w:r>
                    <w:rPr>
                      <w:rFonts w:hint="eastAsia" w:cs="Times New Roman"/>
                      <w:color w:val="auto"/>
                      <w:spacing w:val="4"/>
                      <w:position w:val="1"/>
                      <w:sz w:val="21"/>
                      <w:szCs w:val="21"/>
                      <w:highlight w:val="none"/>
                      <w:lang w:val="en-US" w:eastAsia="zh-CN"/>
                    </w:rPr>
                    <w:t>加热</w:t>
                  </w:r>
                  <w:r>
                    <w:rPr>
                      <w:rFonts w:hint="default" w:ascii="Times New Roman" w:hAnsi="Times New Roman" w:eastAsia="宋体" w:cs="Times New Roman"/>
                      <w:color w:val="auto"/>
                      <w:spacing w:val="4"/>
                      <w:position w:val="1"/>
                      <w:sz w:val="21"/>
                      <w:szCs w:val="21"/>
                      <w:highlight w:val="none"/>
                      <w:lang w:val="en-US" w:eastAsia="zh-CN"/>
                    </w:rPr>
                    <w:t>单元和除臭单元提供蒸汽</w:t>
                  </w:r>
                  <w:r>
                    <w:rPr>
                      <w:rFonts w:hint="eastAsia" w:cs="Times New Roman"/>
                      <w:color w:val="auto"/>
                      <w:spacing w:val="4"/>
                      <w:position w:val="1"/>
                      <w:sz w:val="21"/>
                      <w:szCs w:val="21"/>
                      <w:highlight w:val="none"/>
                      <w:lang w:val="en-US" w:eastAsia="zh-CN"/>
                    </w:rPr>
                    <w:t>，耗气量为403.2万m</w:t>
                  </w:r>
                  <w:r>
                    <w:rPr>
                      <w:rFonts w:hint="eastAsia" w:cs="Times New Roman"/>
                      <w:color w:val="auto"/>
                      <w:spacing w:val="4"/>
                      <w:position w:val="1"/>
                      <w:sz w:val="21"/>
                      <w:szCs w:val="21"/>
                      <w:highlight w:val="none"/>
                      <w:vertAlign w:val="superscript"/>
                      <w:lang w:val="en-US" w:eastAsia="zh-CN"/>
                    </w:rPr>
                    <w:t>3</w:t>
                  </w:r>
                </w:p>
              </w:tc>
            </w:tr>
            <w:tr w14:paraId="4B80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412" w:type="pct"/>
                  <w:vMerge w:val="restart"/>
                  <w:noWrap w:val="0"/>
                  <w:vAlign w:val="center"/>
                </w:tcPr>
                <w:p w14:paraId="1FF06108">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环保工程</w:t>
                  </w:r>
                </w:p>
              </w:tc>
              <w:tc>
                <w:tcPr>
                  <w:tcW w:w="475" w:type="pct"/>
                  <w:vMerge w:val="restart"/>
                  <w:noWrap w:val="0"/>
                  <w:vAlign w:val="center"/>
                </w:tcPr>
                <w:p w14:paraId="279EC7EE">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废水</w:t>
                  </w:r>
                </w:p>
                <w:p w14:paraId="287377C6">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处理</w:t>
                  </w:r>
                </w:p>
              </w:tc>
              <w:tc>
                <w:tcPr>
                  <w:tcW w:w="4111" w:type="pct"/>
                  <w:gridSpan w:val="2"/>
                  <w:noWrap w:val="0"/>
                  <w:vAlign w:val="center"/>
                </w:tcPr>
                <w:p w14:paraId="1735D291">
                  <w:pPr>
                    <w:keepNext w:val="0"/>
                    <w:keepLines w:val="0"/>
                    <w:pageBreakBefore w:val="0"/>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隔油池1个，位于食堂东南侧，处理能力</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default" w:ascii="Times New Roman" w:hAnsi="Times New Roman" w:cs="Times New Roman"/>
                      <w:color w:val="auto"/>
                      <w:sz w:val="21"/>
                      <w:szCs w:val="21"/>
                      <w:highlight w:val="none"/>
                      <w:lang w:val="en-US" w:eastAsia="zh-CN"/>
                    </w:rPr>
                    <w:t>用于食堂废水的隔油处理</w:t>
                  </w:r>
                </w:p>
              </w:tc>
            </w:tr>
            <w:tr w14:paraId="7646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412" w:type="pct"/>
                  <w:vMerge w:val="continue"/>
                  <w:noWrap w:val="0"/>
                  <w:vAlign w:val="center"/>
                </w:tcPr>
                <w:p w14:paraId="5908CD23">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54CC4867">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snapToGrid w:val="0"/>
                      <w:color w:val="auto"/>
                      <w:kern w:val="0"/>
                      <w:sz w:val="21"/>
                      <w:szCs w:val="21"/>
                      <w:highlight w:val="none"/>
                    </w:rPr>
                  </w:pPr>
                </w:p>
              </w:tc>
              <w:tc>
                <w:tcPr>
                  <w:tcW w:w="4111" w:type="pct"/>
                  <w:gridSpan w:val="2"/>
                  <w:noWrap w:val="0"/>
                  <w:vAlign w:val="center"/>
                </w:tcPr>
                <w:p w14:paraId="42BEC237">
                  <w:pPr>
                    <w:keepNext w:val="0"/>
                    <w:keepLines w:val="0"/>
                    <w:pageBreakBefore w:val="0"/>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生化池</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个，</w:t>
                  </w:r>
                  <w:r>
                    <w:rPr>
                      <w:rFonts w:hint="default" w:ascii="Times New Roman" w:hAnsi="Times New Roman" w:cs="Times New Roman"/>
                      <w:color w:val="auto"/>
                      <w:sz w:val="21"/>
                      <w:szCs w:val="21"/>
                      <w:highlight w:val="none"/>
                      <w:lang w:val="en-US" w:eastAsia="zh-CN"/>
                    </w:rPr>
                    <w:t>位于办公楼、倒班楼及精炼车间旁，</w:t>
                  </w:r>
                  <w:r>
                    <w:rPr>
                      <w:rFonts w:hint="default" w:ascii="Times New Roman" w:hAnsi="Times New Roman" w:eastAsia="宋体" w:cs="Times New Roman"/>
                      <w:color w:val="auto"/>
                      <w:sz w:val="21"/>
                      <w:szCs w:val="21"/>
                      <w:highlight w:val="none"/>
                    </w:rPr>
                    <w:t>处理能力</w:t>
                  </w:r>
                  <w:r>
                    <w:rPr>
                      <w:rFonts w:hint="default" w:ascii="Times New Roman" w:hAnsi="Times New Roman" w:cs="Times New Roman"/>
                      <w:color w:val="auto"/>
                      <w:sz w:val="21"/>
                      <w:szCs w:val="21"/>
                      <w:highlight w:val="none"/>
                      <w:lang w:val="en-US" w:eastAsia="zh-CN"/>
                    </w:rPr>
                    <w:t>共计</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default" w:ascii="Times New Roman" w:hAnsi="Times New Roman" w:cs="Times New Roman"/>
                      <w:color w:val="auto"/>
                      <w:sz w:val="21"/>
                      <w:szCs w:val="21"/>
                      <w:highlight w:val="none"/>
                      <w:lang w:val="en-US" w:eastAsia="zh-CN"/>
                    </w:rPr>
                    <w:t>用于收集</w:t>
                  </w:r>
                  <w:r>
                    <w:rPr>
                      <w:rFonts w:hint="default" w:ascii="Times New Roman" w:hAnsi="Times New Roman" w:eastAsia="宋体" w:cs="Times New Roman"/>
                      <w:color w:val="auto"/>
                      <w:sz w:val="21"/>
                      <w:szCs w:val="21"/>
                      <w:highlight w:val="none"/>
                    </w:rPr>
                    <w:t>处理生活污水</w:t>
                  </w:r>
                </w:p>
              </w:tc>
            </w:tr>
            <w:tr w14:paraId="2845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412" w:type="pct"/>
                  <w:vMerge w:val="continue"/>
                  <w:noWrap w:val="0"/>
                  <w:vAlign w:val="center"/>
                </w:tcPr>
                <w:p w14:paraId="2325C22D">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0A42C308">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snapToGrid w:val="0"/>
                      <w:color w:val="auto"/>
                      <w:kern w:val="0"/>
                      <w:sz w:val="21"/>
                      <w:szCs w:val="21"/>
                      <w:highlight w:val="none"/>
                    </w:rPr>
                  </w:pPr>
                </w:p>
              </w:tc>
              <w:tc>
                <w:tcPr>
                  <w:tcW w:w="4111" w:type="pct"/>
                  <w:gridSpan w:val="2"/>
                  <w:noWrap w:val="0"/>
                  <w:vAlign w:val="center"/>
                </w:tcPr>
                <w:p w14:paraId="1553F72E">
                  <w:pPr>
                    <w:keepNext w:val="0"/>
                    <w:keepLines w:val="0"/>
                    <w:pageBreakBefore w:val="0"/>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污水处理站</w:t>
                  </w:r>
                  <w:r>
                    <w:rPr>
                      <w:rFonts w:hint="default" w:ascii="Times New Roman" w:hAnsi="Times New Roman" w:eastAsia="宋体" w:cs="Times New Roman"/>
                      <w:color w:val="auto"/>
                      <w:sz w:val="21"/>
                      <w:szCs w:val="21"/>
                      <w:highlight w:val="none"/>
                      <w:lang w:val="en-US" w:eastAsia="zh-CN"/>
                    </w:rPr>
                    <w:t>1座，</w:t>
                  </w:r>
                  <w:r>
                    <w:rPr>
                      <w:rFonts w:hint="default" w:ascii="Times New Roman" w:hAnsi="Times New Roman" w:cs="Times New Roman"/>
                      <w:color w:val="auto"/>
                      <w:sz w:val="21"/>
                      <w:szCs w:val="21"/>
                      <w:highlight w:val="none"/>
                      <w:lang w:val="en-US" w:eastAsia="zh-CN"/>
                    </w:rPr>
                    <w:t>位</w:t>
                  </w:r>
                  <w:r>
                    <w:rPr>
                      <w:rFonts w:hint="default" w:ascii="Times New Roman" w:hAnsi="Times New Roman" w:eastAsia="宋体" w:cs="Times New Roman"/>
                      <w:color w:val="auto"/>
                      <w:sz w:val="21"/>
                      <w:szCs w:val="21"/>
                      <w:highlight w:val="none"/>
                      <w:lang w:val="en-US" w:eastAsia="zh-CN"/>
                    </w:rPr>
                    <w:t>于厂区东北侧，</w:t>
                  </w:r>
                  <w:r>
                    <w:rPr>
                      <w:rFonts w:hint="default" w:ascii="Times New Roman" w:hAnsi="Times New Roman" w:eastAsia="宋体" w:cs="Times New Roman"/>
                      <w:color w:val="auto"/>
                      <w:kern w:val="0"/>
                      <w:sz w:val="21"/>
                      <w:szCs w:val="21"/>
                      <w:highlight w:val="none"/>
                    </w:rPr>
                    <w:t>处理规模为</w:t>
                  </w:r>
                  <w:r>
                    <w:rPr>
                      <w:rFonts w:hint="default"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/d，</w:t>
                  </w:r>
                  <w:r>
                    <w:rPr>
                      <w:rFonts w:hint="default" w:ascii="Times New Roman" w:hAnsi="Times New Roman" w:eastAsia="宋体" w:cs="Times New Roman"/>
                      <w:color w:val="auto"/>
                      <w:sz w:val="21"/>
                      <w:szCs w:val="21"/>
                      <w:highlight w:val="none"/>
                      <w:lang w:val="en-US" w:eastAsia="zh-CN"/>
                    </w:rPr>
                    <w:t>采用隔油+气浮+沉淀+水解酸化+缺氧+生物接触氧化+沉淀工艺</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用于处理全厂生产废水和生活污水</w:t>
                  </w:r>
                </w:p>
              </w:tc>
            </w:tr>
            <w:tr w14:paraId="444F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31816132">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restart"/>
                  <w:noWrap w:val="0"/>
                  <w:vAlign w:val="center"/>
                </w:tcPr>
                <w:p w14:paraId="25EDD68E">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p w14:paraId="7BE689F8">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w:t>
                  </w:r>
                </w:p>
              </w:tc>
              <w:tc>
                <w:tcPr>
                  <w:tcW w:w="623" w:type="pct"/>
                  <w:noWrap w:val="0"/>
                  <w:vAlign w:val="center"/>
                </w:tcPr>
                <w:p w14:paraId="2BDBCD4D">
                  <w:pPr>
                    <w:keepNext w:val="0"/>
                    <w:keepLines w:val="0"/>
                    <w:pageBreakBefore w:val="0"/>
                    <w:widowControl/>
                    <w:kinsoku/>
                    <w:wordWrap/>
                    <w:overflowPunct w:val="0"/>
                    <w:topLinePunct/>
                    <w:autoSpaceDE/>
                    <w:autoSpaceDN/>
                    <w:bidi w:val="0"/>
                    <w:snapToGrid w:val="0"/>
                    <w:spacing w:line="240" w:lineRule="auto"/>
                    <w:jc w:val="center"/>
                    <w:textAlignment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锅炉废气</w:t>
                  </w:r>
                </w:p>
              </w:tc>
              <w:tc>
                <w:tcPr>
                  <w:tcW w:w="3488" w:type="pct"/>
                  <w:shd w:val="clear" w:color="auto" w:fill="auto"/>
                  <w:noWrap w:val="0"/>
                  <w:vAlign w:val="center"/>
                </w:tcPr>
                <w:p w14:paraId="30D4522B">
                  <w:pPr>
                    <w:keepNext w:val="0"/>
                    <w:keepLines w:val="0"/>
                    <w:pageBreakBefore w:val="0"/>
                    <w:widowControl/>
                    <w:kinsoku/>
                    <w:wordWrap/>
                    <w:overflowPunct w:val="0"/>
                    <w:topLinePunct/>
                    <w:autoSpaceDE/>
                    <w:autoSpaceDN/>
                    <w:bidi w:val="0"/>
                    <w:snapToGrid w:val="0"/>
                    <w:spacing w:line="240" w:lineRule="auto"/>
                    <w:jc w:val="both"/>
                    <w:textAlignment w:val="center"/>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采用低氮燃烧技术，废气经8m</w:t>
                  </w:r>
                  <w:r>
                    <w:rPr>
                      <w:rFonts w:hint="default" w:ascii="Times New Roman" w:hAnsi="Times New Roman" w:cs="Times New Roman"/>
                      <w:color w:val="auto"/>
                      <w:sz w:val="21"/>
                      <w:szCs w:val="21"/>
                      <w:highlight w:val="none"/>
                      <w:lang w:val="en-US" w:eastAsia="zh-CN"/>
                    </w:rPr>
                    <w:t>高</w:t>
                  </w:r>
                  <w:r>
                    <w:rPr>
                      <w:rFonts w:hint="default" w:ascii="Times New Roman" w:hAnsi="Times New Roman" w:eastAsia="宋体" w:cs="Times New Roman"/>
                      <w:color w:val="auto"/>
                      <w:sz w:val="21"/>
                      <w:szCs w:val="21"/>
                      <w:highlight w:val="none"/>
                      <w:lang w:val="en-US" w:eastAsia="zh-CN"/>
                    </w:rPr>
                    <w:t>排气筒排放</w:t>
                  </w:r>
                </w:p>
              </w:tc>
            </w:tr>
            <w:tr w14:paraId="69CE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2AB64BC5">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60A7F1BF">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p>
              </w:tc>
              <w:tc>
                <w:tcPr>
                  <w:tcW w:w="623" w:type="pct"/>
                  <w:noWrap w:val="0"/>
                  <w:vAlign w:val="center"/>
                </w:tcPr>
                <w:p w14:paraId="58DCB224">
                  <w:pPr>
                    <w:keepNext w:val="0"/>
                    <w:keepLines w:val="0"/>
                    <w:pageBreakBefore w:val="0"/>
                    <w:widowControl/>
                    <w:kinsoku/>
                    <w:wordWrap/>
                    <w:overflowPunct w:val="0"/>
                    <w:topLinePunct/>
                    <w:autoSpaceDE/>
                    <w:autoSpaceDN/>
                    <w:bidi w:val="0"/>
                    <w:snapToGrid w:val="0"/>
                    <w:spacing w:line="240" w:lineRule="auto"/>
                    <w:jc w:val="center"/>
                    <w:textAlignment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精炼废气</w:t>
                  </w:r>
                </w:p>
              </w:tc>
              <w:tc>
                <w:tcPr>
                  <w:tcW w:w="3488" w:type="pct"/>
                  <w:shd w:val="clear" w:color="auto" w:fill="auto"/>
                  <w:noWrap w:val="0"/>
                  <w:vAlign w:val="center"/>
                </w:tcPr>
                <w:p w14:paraId="3CF82F80">
                  <w:pPr>
                    <w:keepNext w:val="0"/>
                    <w:keepLines w:val="0"/>
                    <w:pageBreakBefore w:val="0"/>
                    <w:widowControl/>
                    <w:kinsoku/>
                    <w:wordWrap/>
                    <w:overflowPunct w:val="0"/>
                    <w:topLinePunct/>
                    <w:autoSpaceDE/>
                    <w:autoSpaceDN/>
                    <w:bidi w:val="0"/>
                    <w:snapToGrid w:val="0"/>
                    <w:spacing w:line="240" w:lineRule="auto"/>
                    <w:jc w:val="both"/>
                    <w:textAlignment w:val="center"/>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设精炼废气处理装置1套，采用碱洗+次氯酸钠吸附工艺处理，风量</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r>
                    <w:rPr>
                      <w:rFonts w:hint="default" w:ascii="Times New Roman" w:hAnsi="Times New Roman" w:eastAsia="宋体" w:cs="Times New Roman"/>
                      <w:color w:val="auto"/>
                      <w:sz w:val="21"/>
                      <w:szCs w:val="21"/>
                      <w:highlight w:val="none"/>
                      <w:lang w:val="en-US" w:eastAsia="zh-CN"/>
                    </w:rPr>
                    <w:t>配套排气筒1根，高度35m</w:t>
                  </w:r>
                </w:p>
              </w:tc>
            </w:tr>
            <w:tr w14:paraId="71F7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12" w:type="pct"/>
                  <w:vMerge w:val="continue"/>
                  <w:noWrap w:val="0"/>
                  <w:vAlign w:val="center"/>
                </w:tcPr>
                <w:p w14:paraId="2A9F71DC">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10D8E176">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p>
              </w:tc>
              <w:tc>
                <w:tcPr>
                  <w:tcW w:w="623" w:type="pct"/>
                  <w:noWrap w:val="0"/>
                  <w:vAlign w:val="center"/>
                </w:tcPr>
                <w:p w14:paraId="3B0D5F85">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PET吹瓶工序废气</w:t>
                  </w:r>
                </w:p>
              </w:tc>
              <w:tc>
                <w:tcPr>
                  <w:tcW w:w="3488" w:type="pct"/>
                  <w:shd w:val="clear" w:color="auto" w:fill="auto"/>
                  <w:noWrap w:val="0"/>
                  <w:vAlign w:val="center"/>
                </w:tcPr>
                <w:p w14:paraId="5CDDD4E6">
                  <w:pPr>
                    <w:keepNext w:val="0"/>
                    <w:keepLines w:val="0"/>
                    <w:pageBreakBefore w:val="0"/>
                    <w:kinsoku/>
                    <w:wordWrap/>
                    <w:overflowPunct w:val="0"/>
                    <w:topLinePunct/>
                    <w:autoSpaceDE/>
                    <w:autoSpaceDN/>
                    <w:bidi w:val="0"/>
                    <w:snapToGrid w:val="0"/>
                    <w:spacing w:line="240" w:lineRule="auto"/>
                    <w:jc w:val="both"/>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PET吹瓶工序产生非甲烷总烃以无组织形式排放</w:t>
                  </w:r>
                </w:p>
              </w:tc>
            </w:tr>
            <w:tr w14:paraId="27F7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41374222">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20B3BFFA">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p>
              </w:tc>
              <w:tc>
                <w:tcPr>
                  <w:tcW w:w="623" w:type="pct"/>
                  <w:noWrap w:val="0"/>
                  <w:vAlign w:val="center"/>
                </w:tcPr>
                <w:p w14:paraId="0D9AC781">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污水处理站臭气</w:t>
                  </w:r>
                </w:p>
              </w:tc>
              <w:tc>
                <w:tcPr>
                  <w:tcW w:w="3488" w:type="pct"/>
                  <w:shd w:val="clear" w:color="auto" w:fill="auto"/>
                  <w:noWrap w:val="0"/>
                  <w:vAlign w:val="center"/>
                </w:tcPr>
                <w:p w14:paraId="512192D5">
                  <w:pPr>
                    <w:keepNext w:val="0"/>
                    <w:keepLines w:val="0"/>
                    <w:pageBreakBefore w:val="0"/>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设臭气处理装置1套，采用</w:t>
                  </w:r>
                  <w:r>
                    <w:rPr>
                      <w:rFonts w:hint="eastAsia" w:cs="Times New Roman"/>
                      <w:color w:val="auto"/>
                      <w:sz w:val="21"/>
                      <w:szCs w:val="21"/>
                      <w:highlight w:val="none"/>
                      <w:lang w:val="en-US" w:eastAsia="zh-CN"/>
                    </w:rPr>
                    <w:t>碱液喷淋+次氯酸钠吸附+UV光氧除臭</w:t>
                  </w:r>
                  <w:r>
                    <w:rPr>
                      <w:rFonts w:hint="default" w:ascii="Times New Roman" w:hAnsi="Times New Roman" w:eastAsia="宋体" w:cs="Times New Roman"/>
                      <w:color w:val="auto"/>
                      <w:sz w:val="21"/>
                      <w:szCs w:val="21"/>
                      <w:highlight w:val="none"/>
                      <w:lang w:val="en-US" w:eastAsia="zh-CN"/>
                    </w:rPr>
                    <w:t>工艺，风量</w:t>
                  </w:r>
                  <w:r>
                    <w:rPr>
                      <w:rFonts w:hint="default" w:ascii="Times New Roman" w:hAnsi="Times New Roman"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lang w:val="en-US" w:eastAsia="zh-CN"/>
                    </w:rPr>
                    <w:t>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r>
                    <w:rPr>
                      <w:rFonts w:hint="default" w:ascii="Times New Roman" w:hAnsi="Times New Roman" w:eastAsia="宋体" w:cs="Times New Roman"/>
                      <w:color w:val="auto"/>
                      <w:sz w:val="21"/>
                      <w:szCs w:val="21"/>
                      <w:highlight w:val="none"/>
                      <w:lang w:val="en-US" w:eastAsia="zh-CN"/>
                    </w:rPr>
                    <w:t>配套排气筒1根，高度15m</w:t>
                  </w:r>
                </w:p>
              </w:tc>
            </w:tr>
            <w:tr w14:paraId="6AC6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483334DB">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0521A3BF">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p>
              </w:tc>
              <w:tc>
                <w:tcPr>
                  <w:tcW w:w="623" w:type="pct"/>
                  <w:noWrap w:val="0"/>
                  <w:vAlign w:val="center"/>
                </w:tcPr>
                <w:p w14:paraId="7338C161">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食堂油烟</w:t>
                  </w:r>
                </w:p>
              </w:tc>
              <w:tc>
                <w:tcPr>
                  <w:tcW w:w="3488" w:type="pct"/>
                  <w:shd w:val="clear" w:color="auto" w:fill="auto"/>
                  <w:noWrap w:val="0"/>
                  <w:vAlign w:val="center"/>
                </w:tcPr>
                <w:p w14:paraId="2D95AFE4">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食堂油烟经油烟净化器处理</w:t>
                  </w:r>
                  <w:r>
                    <w:rPr>
                      <w:rFonts w:hint="default" w:ascii="Times New Roman" w:hAnsi="Times New Roman" w:eastAsia="宋体" w:cs="Times New Roman"/>
                      <w:color w:val="auto"/>
                      <w:sz w:val="21"/>
                      <w:szCs w:val="21"/>
                      <w:highlight w:val="none"/>
                      <w:lang w:val="en-US" w:eastAsia="zh-CN"/>
                    </w:rPr>
                    <w:t>后引至食堂楼顶排放</w:t>
                  </w:r>
                </w:p>
              </w:tc>
            </w:tr>
            <w:tr w14:paraId="28A8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2AD807A6">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noWrap w:val="0"/>
                  <w:vAlign w:val="center"/>
                </w:tcPr>
                <w:p w14:paraId="1C99A6E5">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p w14:paraId="77F60587">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w:t>
                  </w:r>
                </w:p>
              </w:tc>
              <w:tc>
                <w:tcPr>
                  <w:tcW w:w="4111" w:type="pct"/>
                  <w:gridSpan w:val="2"/>
                  <w:noWrap w:val="0"/>
                  <w:vAlign w:val="center"/>
                </w:tcPr>
                <w:p w14:paraId="08E3F063">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选用低噪声设备，同时采取减震、墙体隔声等措施，并定期维护。</w:t>
                  </w:r>
                </w:p>
              </w:tc>
            </w:tr>
            <w:tr w14:paraId="1021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7F1D33DE">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restart"/>
                  <w:noWrap w:val="0"/>
                  <w:vAlign w:val="center"/>
                </w:tcPr>
                <w:p w14:paraId="016A58D5">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固废</w:t>
                  </w:r>
                  <w:r>
                    <w:rPr>
                      <w:rFonts w:hint="default" w:ascii="Times New Roman" w:hAnsi="Times New Roman" w:eastAsia="宋体" w:cs="Times New Roman"/>
                      <w:color w:val="auto"/>
                      <w:sz w:val="21"/>
                      <w:szCs w:val="21"/>
                      <w:highlight w:val="none"/>
                      <w:lang w:val="en-US" w:eastAsia="zh-CN"/>
                    </w:rPr>
                    <w:t>处置</w:t>
                  </w:r>
                </w:p>
              </w:tc>
              <w:tc>
                <w:tcPr>
                  <w:tcW w:w="623" w:type="pct"/>
                  <w:noWrap w:val="0"/>
                  <w:vAlign w:val="center"/>
                </w:tcPr>
                <w:p w14:paraId="3DB2BCAA">
                  <w:pPr>
                    <w:keepNext w:val="0"/>
                    <w:keepLines w:val="0"/>
                    <w:pageBreakBefore w:val="0"/>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3488" w:type="pct"/>
                  <w:noWrap w:val="0"/>
                  <w:vAlign w:val="center"/>
                </w:tcPr>
                <w:p w14:paraId="68ED655E">
                  <w:pPr>
                    <w:pStyle w:val="11"/>
                    <w:jc w:val="left"/>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皂脚、脂肪酸收集</w:t>
                  </w:r>
                  <w:r>
                    <w:rPr>
                      <w:rFonts w:hint="default" w:ascii="Times New Roman" w:hAnsi="Times New Roman" w:cs="Times New Roman"/>
                      <w:color w:val="auto"/>
                      <w:kern w:val="2"/>
                      <w:sz w:val="21"/>
                      <w:szCs w:val="21"/>
                      <w:highlight w:val="none"/>
                      <w:lang w:val="en-US" w:eastAsia="zh-CN" w:bidi="ar-SA"/>
                    </w:rPr>
                    <w:t>于</w:t>
                  </w:r>
                  <w:r>
                    <w:rPr>
                      <w:rFonts w:hint="default" w:ascii="Times New Roman" w:hAnsi="Times New Roman" w:eastAsia="宋体" w:cs="Times New Roman"/>
                      <w:color w:val="auto"/>
                      <w:kern w:val="2"/>
                      <w:sz w:val="21"/>
                      <w:szCs w:val="21"/>
                      <w:highlight w:val="none"/>
                      <w:lang w:val="en-US" w:eastAsia="zh-CN" w:bidi="ar-SA"/>
                    </w:rPr>
                    <w:t>皂脚罐和脂肪酸罐内，</w:t>
                  </w:r>
                  <w:r>
                    <w:rPr>
                      <w:rFonts w:hint="eastAsia" w:cs="Times New Roman"/>
                      <w:color w:val="auto"/>
                      <w:sz w:val="21"/>
                      <w:szCs w:val="21"/>
                      <w:highlight w:val="none"/>
                      <w:lang w:val="en-US" w:eastAsia="zh-CN"/>
                    </w:rPr>
                    <w:t>外售</w:t>
                  </w:r>
                  <w:r>
                    <w:rPr>
                      <w:rFonts w:hint="eastAsia" w:cs="Times New Roman"/>
                      <w:color w:val="auto"/>
                      <w:spacing w:val="8"/>
                      <w:sz w:val="21"/>
                      <w:szCs w:val="21"/>
                      <w:highlight w:val="none"/>
                      <w:lang w:val="en-US" w:eastAsia="zh-CN"/>
                    </w:rPr>
                    <w:t>给四川宝汉丰废弃资源综合利用有限公司处置</w:t>
                  </w:r>
                  <w:r>
                    <w:rPr>
                      <w:rFonts w:hint="default" w:ascii="Times New Roman" w:hAnsi="Times New Roman" w:eastAsia="宋体" w:cs="Times New Roman"/>
                      <w:color w:val="auto"/>
                      <w:kern w:val="2"/>
                      <w:sz w:val="21"/>
                      <w:szCs w:val="21"/>
                      <w:highlight w:val="none"/>
                      <w:lang w:val="en-US" w:eastAsia="zh-CN" w:bidi="ar-SA"/>
                    </w:rPr>
                    <w:t>；</w:t>
                  </w:r>
                </w:p>
                <w:p w14:paraId="12C11045">
                  <w:pPr>
                    <w:keepNext w:val="0"/>
                    <w:keepLines w:val="0"/>
                    <w:pageBreakBefore w:val="0"/>
                    <w:kinsoku/>
                    <w:wordWrap/>
                    <w:overflowPunct w:val="0"/>
                    <w:topLinePunct/>
                    <w:autoSpaceDE/>
                    <w:autoSpaceDN/>
                    <w:bidi w:val="0"/>
                    <w:adjustRightInd w:val="0"/>
                    <w:snapToGrid w:val="0"/>
                    <w:spacing w:line="240" w:lineRule="auto"/>
                    <w:jc w:val="left"/>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废白土暂存于精炼车间内的</w:t>
                  </w:r>
                  <w:r>
                    <w:rPr>
                      <w:rFonts w:hint="default" w:ascii="Times New Roman" w:hAnsi="Times New Roman" w:cs="Times New Roman"/>
                      <w:color w:val="auto"/>
                      <w:kern w:val="2"/>
                      <w:sz w:val="21"/>
                      <w:szCs w:val="21"/>
                      <w:highlight w:val="none"/>
                      <w:lang w:val="en-US" w:eastAsia="zh-CN" w:bidi="ar-SA"/>
                    </w:rPr>
                    <w:t>废白土</w:t>
                  </w:r>
                  <w:r>
                    <w:rPr>
                      <w:rFonts w:hint="default" w:ascii="Times New Roman" w:hAnsi="Times New Roman" w:eastAsia="宋体" w:cs="Times New Roman"/>
                      <w:color w:val="auto"/>
                      <w:kern w:val="2"/>
                      <w:sz w:val="21"/>
                      <w:szCs w:val="21"/>
                      <w:highlight w:val="none"/>
                      <w:lang w:val="en-US" w:eastAsia="zh-CN" w:bidi="ar-SA"/>
                    </w:rPr>
                    <w:t>暂存间，</w:t>
                  </w:r>
                  <w:r>
                    <w:rPr>
                      <w:rFonts w:hint="eastAsia" w:cs="Times New Roman"/>
                      <w:color w:val="auto"/>
                      <w:sz w:val="21"/>
                      <w:szCs w:val="21"/>
                      <w:highlight w:val="none"/>
                      <w:lang w:val="en-US" w:eastAsia="zh-CN"/>
                    </w:rPr>
                    <w:t>外售</w:t>
                  </w:r>
                  <w:r>
                    <w:rPr>
                      <w:rFonts w:hint="eastAsia" w:cs="Times New Roman"/>
                      <w:color w:val="auto"/>
                      <w:spacing w:val="8"/>
                      <w:sz w:val="21"/>
                      <w:szCs w:val="21"/>
                      <w:highlight w:val="none"/>
                      <w:lang w:val="en-US" w:eastAsia="zh-CN"/>
                    </w:rPr>
                    <w:t>给四川宝汉丰废弃资源综合利用有限公司处置</w:t>
                  </w:r>
                  <w:r>
                    <w:rPr>
                      <w:rFonts w:hint="default" w:ascii="Times New Roman" w:hAnsi="Times New Roman" w:cs="Times New Roman"/>
                      <w:color w:val="auto"/>
                      <w:kern w:val="2"/>
                      <w:sz w:val="21"/>
                      <w:szCs w:val="21"/>
                      <w:highlight w:val="none"/>
                      <w:lang w:val="en-US" w:eastAsia="zh-CN" w:bidi="ar-SA"/>
                    </w:rPr>
                    <w:t>；</w:t>
                  </w:r>
                </w:p>
                <w:p w14:paraId="22A2B657">
                  <w:pPr>
                    <w:keepNext w:val="0"/>
                    <w:keepLines w:val="0"/>
                    <w:pageBreakBefore w:val="0"/>
                    <w:kinsoku/>
                    <w:wordWrap/>
                    <w:overflowPunct w:val="0"/>
                    <w:topLinePunct/>
                    <w:autoSpaceDE/>
                    <w:autoSpaceDN/>
                    <w:bidi w:val="0"/>
                    <w:adjustRightInd w:val="0"/>
                    <w:snapToGrid w:val="0"/>
                    <w:spacing w:line="240" w:lineRule="auto"/>
                    <w:jc w:val="left"/>
                    <w:outlineLvl w:val="1"/>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废包装袋</w:t>
                  </w:r>
                  <w:r>
                    <w:rPr>
                      <w:rFonts w:hint="default" w:ascii="Times New Roman" w:hAnsi="Times New Roman" w:eastAsia="宋体" w:cs="Times New Roman"/>
                      <w:color w:val="auto"/>
                      <w:kern w:val="2"/>
                      <w:sz w:val="21"/>
                      <w:szCs w:val="21"/>
                      <w:highlight w:val="none"/>
                      <w:lang w:val="en-US" w:eastAsia="zh-CN" w:bidi="ar-SA"/>
                    </w:rPr>
                    <w:t>暂存于</w:t>
                  </w:r>
                  <w:r>
                    <w:rPr>
                      <w:rFonts w:hint="default" w:ascii="Times New Roman" w:hAnsi="Times New Roman" w:cs="Times New Roman"/>
                      <w:color w:val="auto"/>
                      <w:kern w:val="2"/>
                      <w:sz w:val="21"/>
                      <w:szCs w:val="21"/>
                      <w:highlight w:val="none"/>
                      <w:lang w:val="en-US" w:eastAsia="zh-CN" w:bidi="ar-SA"/>
                    </w:rPr>
                    <w:t>包装</w:t>
                  </w:r>
                  <w:r>
                    <w:rPr>
                      <w:rFonts w:hint="default" w:ascii="Times New Roman" w:hAnsi="Times New Roman" w:eastAsia="宋体" w:cs="Times New Roman"/>
                      <w:color w:val="auto"/>
                      <w:kern w:val="2"/>
                      <w:sz w:val="21"/>
                      <w:szCs w:val="21"/>
                      <w:highlight w:val="none"/>
                      <w:lang w:val="en-US" w:eastAsia="zh-CN" w:bidi="ar-SA"/>
                    </w:rPr>
                    <w:t>车间内的一般固废暂存间</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后交回收单位处置</w:t>
                  </w:r>
                </w:p>
              </w:tc>
            </w:tr>
            <w:tr w14:paraId="7101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5E6D7240">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51CE5021">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p>
              </w:tc>
              <w:tc>
                <w:tcPr>
                  <w:tcW w:w="623" w:type="pct"/>
                  <w:noWrap w:val="0"/>
                  <w:vAlign w:val="center"/>
                </w:tcPr>
                <w:p w14:paraId="30D4C037">
                  <w:pPr>
                    <w:keepNext w:val="0"/>
                    <w:keepLines w:val="0"/>
                    <w:pageBreakBefore w:val="0"/>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化验室废液</w:t>
                  </w:r>
                </w:p>
              </w:tc>
              <w:tc>
                <w:tcPr>
                  <w:tcW w:w="3488" w:type="pct"/>
                  <w:noWrap w:val="0"/>
                  <w:vAlign w:val="center"/>
                </w:tcPr>
                <w:p w14:paraId="52840241">
                  <w:pPr>
                    <w:keepNext w:val="0"/>
                    <w:keepLines w:val="0"/>
                    <w:pageBreakBefore w:val="0"/>
                    <w:kinsoku/>
                    <w:wordWrap/>
                    <w:overflowPunct w:val="0"/>
                    <w:topLinePunct/>
                    <w:autoSpaceDE/>
                    <w:autoSpaceDN/>
                    <w:bidi w:val="0"/>
                    <w:adjustRightInd w:val="0"/>
                    <w:snapToGrid w:val="0"/>
                    <w:spacing w:line="240" w:lineRule="auto"/>
                    <w:jc w:val="left"/>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暂存于化验室内的危险废物贮存间</w:t>
                  </w:r>
                  <w:r>
                    <w:rPr>
                      <w:rFonts w:hint="eastAsia" w:cs="Times New Roman"/>
                      <w:color w:val="auto"/>
                      <w:sz w:val="21"/>
                      <w:szCs w:val="21"/>
                      <w:highlight w:val="none"/>
                      <w:lang w:val="en-US" w:eastAsia="zh-CN"/>
                    </w:rPr>
                    <w:t>（15m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，定期交</w:t>
                  </w:r>
                  <w:r>
                    <w:rPr>
                      <w:rFonts w:hint="eastAsia" w:cs="Times New Roman"/>
                      <w:color w:val="auto"/>
                      <w:sz w:val="21"/>
                      <w:szCs w:val="21"/>
                      <w:highlight w:val="none"/>
                      <w:lang w:val="en-US" w:eastAsia="zh-CN"/>
                    </w:rPr>
                    <w:t>重庆融聚瑞环保科技有限公司处置</w:t>
                  </w:r>
                </w:p>
              </w:tc>
            </w:tr>
            <w:tr w14:paraId="70B7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579546DD">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58F450D2">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rPr>
                  </w:pPr>
                </w:p>
              </w:tc>
              <w:tc>
                <w:tcPr>
                  <w:tcW w:w="623" w:type="pct"/>
                  <w:noWrap w:val="0"/>
                  <w:vAlign w:val="center"/>
                </w:tcPr>
                <w:p w14:paraId="610769E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3488" w:type="pct"/>
                  <w:noWrap w:val="0"/>
                  <w:vAlign w:val="center"/>
                </w:tcPr>
                <w:p w14:paraId="0FE7C84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袋装分类收集，交环卫部门统一清运</w:t>
                  </w:r>
                </w:p>
              </w:tc>
            </w:tr>
            <w:tr w14:paraId="1DA2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56EE159E">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restart"/>
                  <w:noWrap w:val="0"/>
                  <w:vAlign w:val="center"/>
                </w:tcPr>
                <w:p w14:paraId="38F60B59">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w:t>
                  </w:r>
                </w:p>
              </w:tc>
              <w:tc>
                <w:tcPr>
                  <w:tcW w:w="623" w:type="pct"/>
                  <w:noWrap w:val="0"/>
                  <w:vAlign w:val="center"/>
                </w:tcPr>
                <w:p w14:paraId="7C0F699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rPr>
                    <w:t>应急油罐</w:t>
                  </w:r>
                </w:p>
              </w:tc>
              <w:tc>
                <w:tcPr>
                  <w:tcW w:w="3488" w:type="pct"/>
                  <w:noWrap w:val="0"/>
                  <w:vAlign w:val="center"/>
                </w:tcPr>
                <w:p w14:paraId="3CE1E88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rPr>
                    <w:t>总存储</w:t>
                  </w:r>
                  <w:r>
                    <w:rPr>
                      <w:rFonts w:hint="default" w:ascii="Times New Roman" w:hAnsi="Times New Roman" w:eastAsia="宋体" w:cs="Times New Roman"/>
                      <w:color w:val="auto"/>
                      <w:spacing w:val="3"/>
                      <w:sz w:val="21"/>
                      <w:szCs w:val="21"/>
                      <w:highlight w:val="none"/>
                    </w:rPr>
                    <w:t>规模为2.04万t</w:t>
                  </w:r>
                  <w:r>
                    <w:rPr>
                      <w:rFonts w:hint="default" w:ascii="Times New Roman" w:hAnsi="Times New Roman" w:cs="Times New Roman"/>
                      <w:color w:val="auto"/>
                      <w:spacing w:val="3"/>
                      <w:sz w:val="21"/>
                      <w:szCs w:val="21"/>
                      <w:highlight w:val="none"/>
                      <w:lang w:eastAsia="zh-CN"/>
                    </w:rPr>
                    <w:t>，</w:t>
                  </w:r>
                  <w:r>
                    <w:rPr>
                      <w:rFonts w:hint="default" w:ascii="Times New Roman" w:hAnsi="Times New Roman" w:eastAsia="宋体" w:cs="Times New Roman"/>
                      <w:color w:val="auto"/>
                      <w:spacing w:val="5"/>
                      <w:position w:val="1"/>
                      <w:sz w:val="21"/>
                      <w:szCs w:val="21"/>
                      <w:highlight w:val="none"/>
                    </w:rPr>
                    <w:t>共6个空置油罐；1#罐区</w:t>
                  </w:r>
                  <w:r>
                    <w:rPr>
                      <w:rFonts w:hint="default" w:ascii="Times New Roman" w:hAnsi="Times New Roman" w:cs="Times New Roman"/>
                      <w:color w:val="auto"/>
                      <w:spacing w:val="5"/>
                      <w:position w:val="1"/>
                      <w:sz w:val="21"/>
                      <w:szCs w:val="21"/>
                      <w:highlight w:val="none"/>
                      <w:lang w:val="en-US" w:eastAsia="zh-CN"/>
                    </w:rPr>
                    <w:t>2个，</w:t>
                  </w:r>
                  <w:r>
                    <w:rPr>
                      <w:rFonts w:hint="default" w:ascii="Times New Roman" w:hAnsi="Times New Roman" w:eastAsia="宋体" w:cs="Times New Roman"/>
                      <w:color w:val="auto"/>
                      <w:spacing w:val="5"/>
                      <w:position w:val="1"/>
                      <w:sz w:val="21"/>
                      <w:szCs w:val="21"/>
                      <w:highlight w:val="none"/>
                    </w:rPr>
                    <w:t>1200t/</w:t>
                  </w:r>
                  <w:r>
                    <w:rPr>
                      <w:rFonts w:hint="default" w:ascii="Times New Roman" w:hAnsi="Times New Roman" w:eastAsia="宋体" w:cs="Times New Roman"/>
                      <w:color w:val="auto"/>
                      <w:spacing w:val="4"/>
                      <w:position w:val="1"/>
                      <w:sz w:val="21"/>
                      <w:szCs w:val="21"/>
                      <w:highlight w:val="none"/>
                    </w:rPr>
                    <w:t>个；2#罐区</w:t>
                  </w:r>
                  <w:r>
                    <w:rPr>
                      <w:rFonts w:hint="default" w:ascii="Times New Roman" w:hAnsi="Times New Roman" w:cs="Times New Roman"/>
                      <w:color w:val="auto"/>
                      <w:spacing w:val="4"/>
                      <w:position w:val="1"/>
                      <w:sz w:val="21"/>
                      <w:szCs w:val="21"/>
                      <w:highlight w:val="none"/>
                      <w:lang w:val="en-US" w:eastAsia="zh-CN"/>
                    </w:rPr>
                    <w:t>2个，</w:t>
                  </w:r>
                  <w:r>
                    <w:rPr>
                      <w:rFonts w:hint="default" w:ascii="Times New Roman" w:hAnsi="Times New Roman" w:eastAsia="宋体" w:cs="Times New Roman"/>
                      <w:color w:val="auto"/>
                      <w:spacing w:val="4"/>
                      <w:position w:val="1"/>
                      <w:sz w:val="21"/>
                      <w:szCs w:val="21"/>
                      <w:highlight w:val="none"/>
                    </w:rPr>
                    <w:t>4500t/个；3#罐区</w:t>
                  </w:r>
                  <w:r>
                    <w:rPr>
                      <w:rFonts w:hint="default" w:ascii="Times New Roman" w:hAnsi="Times New Roman" w:cs="Times New Roman"/>
                      <w:color w:val="auto"/>
                      <w:spacing w:val="4"/>
                      <w:position w:val="1"/>
                      <w:sz w:val="21"/>
                      <w:szCs w:val="21"/>
                      <w:highlight w:val="none"/>
                      <w:lang w:val="en-US" w:eastAsia="zh-CN"/>
                    </w:rPr>
                    <w:t>2个，</w:t>
                  </w:r>
                  <w:r>
                    <w:rPr>
                      <w:rFonts w:hint="default" w:ascii="Times New Roman" w:hAnsi="Times New Roman" w:eastAsia="宋体" w:cs="Times New Roman"/>
                      <w:color w:val="auto"/>
                      <w:spacing w:val="7"/>
                      <w:position w:val="1"/>
                      <w:sz w:val="21"/>
                      <w:szCs w:val="21"/>
                      <w:highlight w:val="none"/>
                    </w:rPr>
                    <w:t>4500t/个</w:t>
                  </w:r>
                </w:p>
              </w:tc>
            </w:tr>
            <w:tr w14:paraId="34F9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71AF4EFE">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2CE4FA88">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p>
              </w:tc>
              <w:tc>
                <w:tcPr>
                  <w:tcW w:w="623" w:type="pct"/>
                  <w:noWrap w:val="0"/>
                  <w:vAlign w:val="center"/>
                </w:tcPr>
                <w:p w14:paraId="5BCCC00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7"/>
                      <w:sz w:val="21"/>
                      <w:szCs w:val="21"/>
                      <w:highlight w:val="none"/>
                    </w:rPr>
                    <w:t>围堰</w:t>
                  </w:r>
                </w:p>
              </w:tc>
              <w:tc>
                <w:tcPr>
                  <w:tcW w:w="3488" w:type="pct"/>
                  <w:noWrap w:val="0"/>
                  <w:vAlign w:val="center"/>
                </w:tcPr>
                <w:p w14:paraId="5314BE8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6"/>
                      <w:sz w:val="21"/>
                      <w:szCs w:val="21"/>
                      <w:highlight w:val="none"/>
                    </w:rPr>
                    <w:t>1#储油罐区</w:t>
                  </w:r>
                  <w:r>
                    <w:rPr>
                      <w:rFonts w:hint="eastAsia" w:cs="Times New Roman"/>
                      <w:color w:val="auto"/>
                      <w:spacing w:val="6"/>
                      <w:sz w:val="21"/>
                      <w:szCs w:val="21"/>
                      <w:highlight w:val="none"/>
                      <w:lang w:val="en-US" w:eastAsia="zh-CN"/>
                    </w:rPr>
                    <w:t>围堰高度为1.55m，</w:t>
                  </w:r>
                  <w:r>
                    <w:rPr>
                      <w:rFonts w:hint="default" w:ascii="Times New Roman" w:hAnsi="Times New Roman" w:eastAsia="宋体" w:cs="Times New Roman"/>
                      <w:color w:val="auto"/>
                      <w:spacing w:val="6"/>
                      <w:sz w:val="21"/>
                      <w:szCs w:val="21"/>
                      <w:highlight w:val="none"/>
                    </w:rPr>
                    <w:t>围堰容积为</w:t>
                  </w:r>
                  <w:r>
                    <w:rPr>
                      <w:rFonts w:hint="eastAsia" w:cs="Times New Roman"/>
                      <w:color w:val="auto"/>
                      <w:spacing w:val="6"/>
                      <w:sz w:val="21"/>
                      <w:szCs w:val="21"/>
                      <w:highlight w:val="none"/>
                      <w:lang w:val="en-US" w:eastAsia="zh-CN"/>
                    </w:rPr>
                    <w:t>12207</w:t>
                  </w:r>
                  <w:r>
                    <w:rPr>
                      <w:rFonts w:hint="default" w:ascii="Times New Roman" w:hAnsi="Times New Roman" w:eastAsia="宋体" w:cs="Times New Roman"/>
                      <w:color w:val="auto"/>
                      <w:spacing w:val="6"/>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6"/>
                      <w:sz w:val="21"/>
                      <w:szCs w:val="21"/>
                      <w:highlight w:val="none"/>
                    </w:rPr>
                    <w:t>，2#</w:t>
                  </w:r>
                  <w:r>
                    <w:rPr>
                      <w:rFonts w:hint="default" w:ascii="Times New Roman" w:hAnsi="Times New Roman" w:eastAsia="宋体" w:cs="Times New Roman"/>
                      <w:color w:val="auto"/>
                      <w:spacing w:val="5"/>
                      <w:sz w:val="21"/>
                      <w:szCs w:val="21"/>
                      <w:highlight w:val="none"/>
                    </w:rPr>
                    <w:t>储油罐区围堰</w:t>
                  </w:r>
                  <w:r>
                    <w:rPr>
                      <w:rFonts w:hint="eastAsia" w:cs="Times New Roman"/>
                      <w:color w:val="auto"/>
                      <w:spacing w:val="5"/>
                      <w:sz w:val="21"/>
                      <w:szCs w:val="21"/>
                      <w:highlight w:val="none"/>
                      <w:lang w:val="en-US" w:eastAsia="zh-CN"/>
                    </w:rPr>
                    <w:t>高度为2m，</w:t>
                  </w:r>
                  <w:r>
                    <w:rPr>
                      <w:rFonts w:hint="default" w:ascii="Times New Roman" w:hAnsi="Times New Roman" w:eastAsia="宋体" w:cs="Times New Roman"/>
                      <w:color w:val="auto"/>
                      <w:spacing w:val="5"/>
                      <w:sz w:val="21"/>
                      <w:szCs w:val="21"/>
                      <w:highlight w:val="none"/>
                    </w:rPr>
                    <w:t>容积为</w:t>
                  </w:r>
                  <w:r>
                    <w:rPr>
                      <w:rFonts w:hint="eastAsia" w:cs="Times New Roman"/>
                      <w:color w:val="auto"/>
                      <w:spacing w:val="5"/>
                      <w:sz w:val="21"/>
                      <w:szCs w:val="21"/>
                      <w:highlight w:val="none"/>
                      <w:lang w:val="en-US" w:eastAsia="zh-CN"/>
                    </w:rPr>
                    <w:t>15130</w:t>
                  </w:r>
                  <w:r>
                    <w:rPr>
                      <w:rFonts w:hint="default" w:ascii="Times New Roman" w:hAnsi="Times New Roman" w:eastAsia="宋体" w:cs="Times New Roman"/>
                      <w:color w:val="auto"/>
                      <w:spacing w:val="5"/>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5"/>
                      <w:sz w:val="21"/>
                      <w:szCs w:val="21"/>
                      <w:highlight w:val="none"/>
                    </w:rPr>
                    <w:t>，3#储油罐区围堰</w:t>
                  </w:r>
                  <w:r>
                    <w:rPr>
                      <w:rFonts w:hint="eastAsia" w:cs="Times New Roman"/>
                      <w:color w:val="auto"/>
                      <w:spacing w:val="5"/>
                      <w:sz w:val="21"/>
                      <w:szCs w:val="21"/>
                      <w:highlight w:val="none"/>
                      <w:lang w:val="en-US" w:eastAsia="zh-CN"/>
                    </w:rPr>
                    <w:t>高度为1.65m，</w:t>
                  </w:r>
                  <w:r>
                    <w:rPr>
                      <w:rFonts w:hint="default" w:ascii="Times New Roman" w:hAnsi="Times New Roman" w:eastAsia="宋体" w:cs="Times New Roman"/>
                      <w:color w:val="auto"/>
                      <w:spacing w:val="5"/>
                      <w:sz w:val="21"/>
                      <w:szCs w:val="21"/>
                      <w:highlight w:val="none"/>
                    </w:rPr>
                    <w:t>容积为</w:t>
                  </w:r>
                  <w:r>
                    <w:rPr>
                      <w:rFonts w:hint="eastAsia" w:cs="Times New Roman"/>
                      <w:color w:val="auto"/>
                      <w:spacing w:val="5"/>
                      <w:sz w:val="21"/>
                      <w:szCs w:val="21"/>
                      <w:highlight w:val="none"/>
                      <w:lang w:val="en-US" w:eastAsia="zh-CN"/>
                    </w:rPr>
                    <w:t>6562</w:t>
                  </w:r>
                  <w:r>
                    <w:rPr>
                      <w:rFonts w:hint="default" w:ascii="Times New Roman" w:hAnsi="Times New Roman" w:eastAsia="宋体" w:cs="Times New Roman"/>
                      <w:color w:val="auto"/>
                      <w:spacing w:val="4"/>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4"/>
                      <w:sz w:val="21"/>
                      <w:szCs w:val="21"/>
                      <w:highlight w:val="none"/>
                    </w:rPr>
                    <w:t>。</w:t>
                  </w:r>
                </w:p>
                <w:p w14:paraId="789610E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1#</w:t>
                  </w:r>
                  <w:r>
                    <w:rPr>
                      <w:rFonts w:hint="default" w:ascii="Times New Roman" w:hAnsi="Times New Roman" w:eastAsia="宋体" w:cs="Times New Roman"/>
                      <w:color w:val="auto"/>
                      <w:spacing w:val="5"/>
                      <w:sz w:val="21"/>
                      <w:szCs w:val="21"/>
                      <w:highlight w:val="none"/>
                    </w:rPr>
                    <w:t>包装车间成品油周转油罐区围堰高度为1.2m，容积为1180m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5"/>
                      <w:sz w:val="21"/>
                      <w:szCs w:val="21"/>
                      <w:highlight w:val="none"/>
                    </w:rPr>
                    <w:t>，2#</w:t>
                  </w:r>
                  <w:r>
                    <w:rPr>
                      <w:rFonts w:hint="default" w:ascii="Times New Roman" w:hAnsi="Times New Roman" w:eastAsia="宋体" w:cs="Times New Roman"/>
                      <w:color w:val="auto"/>
                      <w:spacing w:val="6"/>
                      <w:position w:val="1"/>
                      <w:sz w:val="21"/>
                      <w:szCs w:val="21"/>
                      <w:highlight w:val="none"/>
                    </w:rPr>
                    <w:t>包装车间成品油周转油罐区围堰高度为1.2m，容积为95m</w:t>
                  </w:r>
                  <w:r>
                    <w:rPr>
                      <w:rFonts w:hint="default" w:ascii="Times New Roman" w:hAnsi="Times New Roman" w:eastAsia="宋体" w:cs="Times New Roman"/>
                      <w:color w:val="auto"/>
                      <w:sz w:val="21"/>
                      <w:szCs w:val="21"/>
                      <w:highlight w:val="none"/>
                      <w:vertAlign w:val="superscript"/>
                    </w:rPr>
                    <w:t>3</w:t>
                  </w:r>
                </w:p>
              </w:tc>
            </w:tr>
            <w:tr w14:paraId="7EEE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58386B14">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3BCE3A2E">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p>
              </w:tc>
              <w:tc>
                <w:tcPr>
                  <w:tcW w:w="623" w:type="pct"/>
                  <w:noWrap w:val="0"/>
                  <w:vAlign w:val="center"/>
                </w:tcPr>
                <w:p w14:paraId="346BD68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9"/>
                      <w:position w:val="1"/>
                      <w:sz w:val="21"/>
                      <w:szCs w:val="21"/>
                      <w:highlight w:val="none"/>
                    </w:rPr>
                    <w:t>储油罐区</w:t>
                  </w:r>
                  <w:r>
                    <w:rPr>
                      <w:rFonts w:hint="default" w:ascii="Times New Roman" w:hAnsi="Times New Roman" w:cs="Times New Roman"/>
                      <w:color w:val="auto"/>
                      <w:spacing w:val="9"/>
                      <w:position w:val="1"/>
                      <w:sz w:val="21"/>
                      <w:szCs w:val="21"/>
                      <w:highlight w:val="none"/>
                      <w:lang w:val="en-US" w:eastAsia="zh-CN"/>
                    </w:rPr>
                    <w:t>排水</w:t>
                  </w:r>
                </w:p>
              </w:tc>
              <w:tc>
                <w:tcPr>
                  <w:tcW w:w="3488" w:type="pct"/>
                  <w:noWrap w:val="0"/>
                  <w:vAlign w:val="center"/>
                </w:tcPr>
                <w:p w14:paraId="7B8A76F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9"/>
                      <w:position w:val="1"/>
                      <w:sz w:val="21"/>
                      <w:szCs w:val="21"/>
                      <w:highlight w:val="none"/>
                    </w:rPr>
                    <w:t>储油罐区均设有排水沟</w:t>
                  </w:r>
                  <w:r>
                    <w:rPr>
                      <w:rFonts w:hint="default" w:ascii="Times New Roman" w:hAnsi="Times New Roman" w:cs="Times New Roman"/>
                      <w:color w:val="auto"/>
                      <w:spacing w:val="9"/>
                      <w:position w:val="1"/>
                      <w:sz w:val="21"/>
                      <w:szCs w:val="21"/>
                      <w:highlight w:val="none"/>
                      <w:lang w:val="en-US" w:eastAsia="zh-CN"/>
                    </w:rPr>
                    <w:t>及雨污截断阀，</w:t>
                  </w:r>
                  <w:r>
                    <w:rPr>
                      <w:rFonts w:hint="default" w:ascii="Times New Roman" w:hAnsi="Times New Roman" w:eastAsia="宋体" w:cs="Times New Roman"/>
                      <w:color w:val="auto"/>
                      <w:spacing w:val="9"/>
                      <w:position w:val="1"/>
                      <w:sz w:val="21"/>
                      <w:szCs w:val="21"/>
                      <w:highlight w:val="none"/>
                    </w:rPr>
                    <w:t>收集雨污废水全部接</w:t>
                  </w:r>
                  <w:r>
                    <w:rPr>
                      <w:rFonts w:hint="default" w:ascii="Times New Roman" w:hAnsi="Times New Roman" w:eastAsia="宋体" w:cs="Times New Roman"/>
                      <w:color w:val="auto"/>
                      <w:spacing w:val="7"/>
                      <w:position w:val="1"/>
                      <w:sz w:val="21"/>
                      <w:szCs w:val="21"/>
                      <w:highlight w:val="none"/>
                    </w:rPr>
                    <w:t>入隔油池</w:t>
                  </w:r>
                  <w:r>
                    <w:rPr>
                      <w:rFonts w:hint="default" w:ascii="Times New Roman" w:hAnsi="Times New Roman" w:cs="Times New Roman"/>
                      <w:color w:val="auto"/>
                      <w:spacing w:val="7"/>
                      <w:position w:val="1"/>
                      <w:sz w:val="21"/>
                      <w:szCs w:val="21"/>
                      <w:highlight w:val="none"/>
                      <w:lang w:val="en-US" w:eastAsia="zh-CN"/>
                    </w:rPr>
                    <w:t>处理后</w:t>
                  </w:r>
                  <w:r>
                    <w:rPr>
                      <w:rFonts w:hint="default" w:ascii="Times New Roman" w:hAnsi="Times New Roman" w:eastAsia="宋体" w:cs="Times New Roman"/>
                      <w:color w:val="auto"/>
                      <w:spacing w:val="7"/>
                      <w:position w:val="1"/>
                      <w:sz w:val="21"/>
                      <w:szCs w:val="21"/>
                      <w:highlight w:val="none"/>
                    </w:rPr>
                    <w:t>排放</w:t>
                  </w:r>
                  <w:r>
                    <w:rPr>
                      <w:rFonts w:hint="default" w:ascii="Times New Roman" w:hAnsi="Times New Roman" w:cs="Times New Roman"/>
                      <w:color w:val="auto"/>
                      <w:spacing w:val="7"/>
                      <w:position w:val="1"/>
                      <w:sz w:val="21"/>
                      <w:szCs w:val="21"/>
                      <w:highlight w:val="none"/>
                      <w:lang w:eastAsia="zh-CN"/>
                    </w:rPr>
                    <w:t>，</w:t>
                  </w:r>
                  <w:r>
                    <w:rPr>
                      <w:rFonts w:hint="eastAsia" w:cs="Times New Roman"/>
                      <w:color w:val="auto"/>
                      <w:spacing w:val="7"/>
                      <w:position w:val="1"/>
                      <w:sz w:val="21"/>
                      <w:szCs w:val="21"/>
                      <w:highlight w:val="none"/>
                      <w:lang w:val="en-US" w:eastAsia="zh-CN"/>
                    </w:rPr>
                    <w:t>在3个储罐区均设隔油池1个，共3个，</w:t>
                  </w:r>
                  <w:r>
                    <w:rPr>
                      <w:rFonts w:hint="default" w:ascii="Times New Roman" w:hAnsi="Times New Roman" w:eastAsia="宋体" w:cs="Times New Roman"/>
                      <w:color w:val="auto"/>
                      <w:spacing w:val="7"/>
                      <w:position w:val="1"/>
                      <w:sz w:val="21"/>
                      <w:szCs w:val="21"/>
                      <w:highlight w:val="none"/>
                    </w:rPr>
                    <w:t>5.6m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6"/>
                      <w:position w:val="1"/>
                      <w:sz w:val="21"/>
                      <w:szCs w:val="21"/>
                      <w:highlight w:val="none"/>
                    </w:rPr>
                    <w:t>/个</w:t>
                  </w:r>
                </w:p>
              </w:tc>
            </w:tr>
            <w:tr w14:paraId="75AE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noWrap w:val="0"/>
                  <w:vAlign w:val="center"/>
                </w:tcPr>
                <w:p w14:paraId="5EED978D">
                  <w:pPr>
                    <w:keepNext w:val="0"/>
                    <w:keepLines w:val="0"/>
                    <w:pageBreakBefore w:val="0"/>
                    <w:widowControl/>
                    <w:kinsoku/>
                    <w:wordWrap/>
                    <w:overflowPunct w:val="0"/>
                    <w:topLinePunct/>
                    <w:autoSpaceDE/>
                    <w:autoSpaceDN/>
                    <w:bidi w:val="0"/>
                    <w:adjustRightInd w:val="0"/>
                    <w:snapToGrid w:val="0"/>
                    <w:spacing w:line="240" w:lineRule="auto"/>
                    <w:jc w:val="center"/>
                    <w:outlineLvl w:val="1"/>
                    <w:rPr>
                      <w:rFonts w:hint="default" w:ascii="Times New Roman" w:hAnsi="Times New Roman" w:eastAsia="宋体" w:cs="Times New Roman"/>
                      <w:bCs/>
                      <w:snapToGrid w:val="0"/>
                      <w:color w:val="auto"/>
                      <w:kern w:val="0"/>
                      <w:sz w:val="21"/>
                      <w:szCs w:val="21"/>
                      <w:highlight w:val="none"/>
                    </w:rPr>
                  </w:pPr>
                </w:p>
              </w:tc>
              <w:tc>
                <w:tcPr>
                  <w:tcW w:w="475" w:type="pct"/>
                  <w:vMerge w:val="continue"/>
                  <w:noWrap w:val="0"/>
                  <w:vAlign w:val="center"/>
                </w:tcPr>
                <w:p w14:paraId="0B2E09A0">
                  <w:pPr>
                    <w:keepNext w:val="0"/>
                    <w:keepLines w:val="0"/>
                    <w:pageBreakBefore w:val="0"/>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z w:val="21"/>
                      <w:szCs w:val="21"/>
                      <w:highlight w:val="none"/>
                      <w:lang w:val="en-US" w:eastAsia="zh-CN"/>
                    </w:rPr>
                  </w:pPr>
                </w:p>
              </w:tc>
              <w:tc>
                <w:tcPr>
                  <w:tcW w:w="623" w:type="pct"/>
                  <w:noWrap w:val="0"/>
                  <w:vAlign w:val="center"/>
                </w:tcPr>
                <w:p w14:paraId="525DD4D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center"/>
                    <w:outlineLvl w:val="1"/>
                    <w:rPr>
                      <w:rFonts w:hint="default" w:ascii="Times New Roman" w:hAnsi="Times New Roman" w:eastAsia="宋体" w:cs="Times New Roman"/>
                      <w:color w:val="auto"/>
                      <w:spacing w:val="9"/>
                      <w:position w:val="1"/>
                      <w:sz w:val="21"/>
                      <w:szCs w:val="21"/>
                      <w:highlight w:val="none"/>
                    </w:rPr>
                  </w:pPr>
                  <w:r>
                    <w:rPr>
                      <w:rFonts w:hint="default" w:ascii="Times New Roman" w:hAnsi="Times New Roman" w:eastAsia="宋体" w:cs="Times New Roman"/>
                      <w:color w:val="auto"/>
                      <w:spacing w:val="6"/>
                      <w:sz w:val="21"/>
                      <w:szCs w:val="21"/>
                      <w:highlight w:val="none"/>
                    </w:rPr>
                    <w:t>事故池</w:t>
                  </w:r>
                </w:p>
              </w:tc>
              <w:tc>
                <w:tcPr>
                  <w:tcW w:w="3488" w:type="pct"/>
                  <w:noWrap w:val="0"/>
                  <w:vAlign w:val="center"/>
                </w:tcPr>
                <w:p w14:paraId="257A6DB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val="0"/>
                    <w:topLinePunct/>
                    <w:autoSpaceDE/>
                    <w:autoSpaceDN/>
                    <w:bidi w:val="0"/>
                    <w:snapToGrid w:val="0"/>
                    <w:spacing w:line="240" w:lineRule="auto"/>
                    <w:jc w:val="left"/>
                    <w:outlineLvl w:val="1"/>
                    <w:rPr>
                      <w:rFonts w:hint="default" w:ascii="Times New Roman" w:hAnsi="Times New Roman" w:eastAsia="宋体" w:cs="Times New Roman"/>
                      <w:color w:val="auto"/>
                      <w:spacing w:val="9"/>
                      <w:position w:val="1"/>
                      <w:sz w:val="21"/>
                      <w:szCs w:val="21"/>
                      <w:highlight w:val="none"/>
                      <w:lang w:val="en-US" w:eastAsia="zh-CN"/>
                    </w:rPr>
                  </w:pPr>
                  <w:r>
                    <w:rPr>
                      <w:rFonts w:hint="default" w:ascii="Times New Roman" w:hAnsi="Times New Roman" w:eastAsia="宋体" w:cs="Times New Roman"/>
                      <w:color w:val="auto"/>
                      <w:spacing w:val="6"/>
                      <w:position w:val="1"/>
                      <w:sz w:val="21"/>
                      <w:szCs w:val="21"/>
                      <w:highlight w:val="none"/>
                    </w:rPr>
                    <w:t>厂区北面的</w:t>
                  </w:r>
                  <w:r>
                    <w:rPr>
                      <w:rFonts w:hint="eastAsia" w:cs="Times New Roman"/>
                      <w:color w:val="auto"/>
                      <w:spacing w:val="6"/>
                      <w:position w:val="1"/>
                      <w:sz w:val="21"/>
                      <w:szCs w:val="21"/>
                      <w:highlight w:val="none"/>
                      <w:lang w:val="en-US" w:eastAsia="zh-CN"/>
                    </w:rPr>
                    <w:t>污水处理站</w:t>
                  </w:r>
                  <w:r>
                    <w:rPr>
                      <w:rFonts w:hint="default" w:ascii="Times New Roman" w:hAnsi="Times New Roman" w:cs="Times New Roman"/>
                      <w:color w:val="auto"/>
                      <w:spacing w:val="6"/>
                      <w:position w:val="1"/>
                      <w:sz w:val="21"/>
                      <w:szCs w:val="21"/>
                      <w:highlight w:val="none"/>
                      <w:lang w:val="en-US" w:eastAsia="zh-CN"/>
                    </w:rPr>
                    <w:t>旁</w:t>
                  </w:r>
                  <w:r>
                    <w:rPr>
                      <w:rFonts w:hint="default" w:ascii="Times New Roman" w:hAnsi="Times New Roman" w:eastAsia="宋体" w:cs="Times New Roman"/>
                      <w:color w:val="auto"/>
                      <w:spacing w:val="6"/>
                      <w:position w:val="1"/>
                      <w:sz w:val="21"/>
                      <w:szCs w:val="21"/>
                      <w:highlight w:val="none"/>
                    </w:rPr>
                    <w:t>设有1个200m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pacing w:val="6"/>
                      <w:position w:val="1"/>
                      <w:sz w:val="21"/>
                      <w:szCs w:val="21"/>
                      <w:highlight w:val="none"/>
                    </w:rPr>
                    <w:t>事故池</w:t>
                  </w:r>
                  <w:r>
                    <w:rPr>
                      <w:rFonts w:hint="eastAsia" w:cs="Times New Roman"/>
                      <w:color w:val="auto"/>
                      <w:spacing w:val="6"/>
                      <w:position w:val="1"/>
                      <w:sz w:val="21"/>
                      <w:szCs w:val="21"/>
                      <w:highlight w:val="none"/>
                      <w:lang w:eastAsia="zh-CN"/>
                    </w:rPr>
                    <w:t>，</w:t>
                  </w:r>
                  <w:r>
                    <w:rPr>
                      <w:rFonts w:hint="eastAsia" w:cs="Times New Roman"/>
                      <w:color w:val="auto"/>
                      <w:spacing w:val="6"/>
                      <w:position w:val="1"/>
                      <w:sz w:val="21"/>
                      <w:szCs w:val="21"/>
                      <w:highlight w:val="none"/>
                      <w:lang w:val="en-US" w:eastAsia="zh-CN"/>
                    </w:rPr>
                    <w:t>项目储罐区、生产区排水管线与事故池相连，确保事故废水不外排</w:t>
                  </w:r>
                </w:p>
              </w:tc>
            </w:tr>
          </w:tbl>
          <w:p w14:paraId="7D420D6D">
            <w:pPr>
              <w:keepNext w:val="0"/>
              <w:keepLines w:val="0"/>
              <w:pageBreakBefore w:val="0"/>
              <w:widowControl/>
              <w:kinsoku/>
              <w:wordWrap/>
              <w:overflowPunct w:val="0"/>
              <w:topLinePunct/>
              <w:autoSpaceDE/>
              <w:autoSpaceDN/>
              <w:bidi w:val="0"/>
              <w:adjustRightInd w:val="0"/>
              <w:snapToGrid/>
              <w:spacing w:before="157" w:beforeLines="50" w:line="360" w:lineRule="auto"/>
              <w:ind w:firstLine="482" w:firstLineChars="200"/>
              <w:textAlignment w:val="auto"/>
              <w:outlineLvl w:val="1"/>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2.5.</w:t>
            </w:r>
            <w:r>
              <w:rPr>
                <w:rFonts w:hint="eastAsia" w:cs="Times New Roman"/>
                <w:b/>
                <w:bCs/>
                <w:color w:val="auto"/>
                <w:sz w:val="24"/>
                <w:szCs w:val="32"/>
                <w:highlight w:val="none"/>
                <w:lang w:val="en-US" w:eastAsia="zh-CN"/>
              </w:rPr>
              <w:t>4</w:t>
            </w:r>
            <w:r>
              <w:rPr>
                <w:rFonts w:hint="default" w:ascii="Times New Roman" w:hAnsi="Times New Roman" w:eastAsia="宋体" w:cs="Times New Roman"/>
                <w:b/>
                <w:bCs/>
                <w:color w:val="auto"/>
                <w:sz w:val="24"/>
                <w:szCs w:val="32"/>
                <w:highlight w:val="none"/>
                <w:lang w:val="en-US" w:eastAsia="zh-CN"/>
              </w:rPr>
              <w:t>现有项目生产工艺及产排污环节</w:t>
            </w:r>
          </w:p>
          <w:p w14:paraId="2900BC7D">
            <w:pPr>
              <w:keepNext w:val="0"/>
              <w:keepLines w:val="0"/>
              <w:pageBreakBefore w:val="0"/>
              <w:kinsoku/>
              <w:wordWrap/>
              <w:autoSpaceDE/>
              <w:autoSpaceDN/>
              <w:bidi w:val="0"/>
              <w:snapToGrid/>
              <w:spacing w:line="360" w:lineRule="auto"/>
              <w:ind w:left="0" w:firstLine="470" w:firstLineChars="200"/>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3"/>
                <w:sz w:val="24"/>
                <w:szCs w:val="24"/>
                <w:highlight w:val="none"/>
                <w:lang w:eastAsia="zh-CN"/>
              </w:rPr>
              <w:t>（</w:t>
            </w:r>
            <w:r>
              <w:rPr>
                <w:rFonts w:hint="default" w:ascii="Times New Roman" w:hAnsi="Times New Roman" w:eastAsia="宋体" w:cs="Times New Roman"/>
                <w:b/>
                <w:bCs/>
                <w:color w:val="auto"/>
                <w:spacing w:val="-3"/>
                <w:sz w:val="24"/>
                <w:szCs w:val="24"/>
                <w:highlight w:val="none"/>
                <w:lang w:val="en-US" w:eastAsia="zh-CN"/>
              </w:rPr>
              <w:t>1</w:t>
            </w:r>
            <w:r>
              <w:rPr>
                <w:rFonts w:hint="default" w:ascii="Times New Roman" w:hAnsi="Times New Roman" w:eastAsia="宋体" w:cs="Times New Roman"/>
                <w:b/>
                <w:bCs/>
                <w:color w:val="auto"/>
                <w:spacing w:val="-3"/>
                <w:sz w:val="24"/>
                <w:szCs w:val="24"/>
                <w:highlight w:val="none"/>
                <w:lang w:eastAsia="zh-CN"/>
              </w:rPr>
              <w:t>）</w:t>
            </w:r>
            <w:r>
              <w:rPr>
                <w:rFonts w:hint="default" w:ascii="Times New Roman" w:hAnsi="Times New Roman" w:eastAsia="宋体" w:cs="Times New Roman"/>
                <w:b/>
                <w:bCs/>
                <w:color w:val="auto"/>
                <w:spacing w:val="-3"/>
                <w:sz w:val="24"/>
                <w:szCs w:val="24"/>
                <w:highlight w:val="none"/>
                <w:lang w:val="en-US" w:eastAsia="zh-CN"/>
              </w:rPr>
              <w:t>食用油精炼生产线</w:t>
            </w:r>
            <w:r>
              <w:rPr>
                <w:rFonts w:hint="default" w:ascii="Times New Roman" w:hAnsi="Times New Roman" w:eastAsia="宋体" w:cs="Times New Roman"/>
                <w:b/>
                <w:bCs/>
                <w:color w:val="auto"/>
                <w:spacing w:val="-3"/>
                <w:sz w:val="24"/>
                <w:szCs w:val="24"/>
                <w:highlight w:val="none"/>
              </w:rPr>
              <w:t>工艺流程简述</w:t>
            </w:r>
          </w:p>
          <w:p w14:paraId="2FA621B5">
            <w:pPr>
              <w:keepNext w:val="0"/>
              <w:keepLines w:val="0"/>
              <w:pageBreakBefore w:val="0"/>
              <w:widowControl/>
              <w:kinsoku/>
              <w:wordWrap/>
              <w:overflowPunct w:val="0"/>
              <w:topLinePunct/>
              <w:autoSpaceDE/>
              <w:autoSpaceDN/>
              <w:bidi w:val="0"/>
              <w:adjustRightInd w:val="0"/>
              <w:snapToGrid/>
              <w:spacing w:line="360" w:lineRule="auto"/>
              <w:ind w:left="0" w:firstLine="464"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4"/>
                <w:sz w:val="24"/>
                <w:szCs w:val="24"/>
                <w:highlight w:val="none"/>
              </w:rPr>
              <w:t>由原料油储罐来的毛油泵入过滤器除去残留的杂质，经加热后</w:t>
            </w:r>
            <w:r>
              <w:rPr>
                <w:rFonts w:hint="default" w:ascii="Times New Roman" w:hAnsi="Times New Roman" w:eastAsia="宋体" w:cs="Times New Roman"/>
                <w:color w:val="auto"/>
                <w:spacing w:val="-2"/>
                <w:sz w:val="24"/>
                <w:szCs w:val="24"/>
                <w:highlight w:val="none"/>
              </w:rPr>
              <w:t>送入酸炼混合器，与酸定量泵输入的磷酸一起充分接触混合，让油中的胶质析出，</w:t>
            </w:r>
            <w:r>
              <w:rPr>
                <w:rFonts w:hint="default" w:ascii="Times New Roman" w:hAnsi="Times New Roman" w:eastAsia="宋体" w:cs="Times New Roman"/>
                <w:color w:val="auto"/>
                <w:spacing w:val="-3"/>
                <w:sz w:val="24"/>
                <w:szCs w:val="24"/>
                <w:highlight w:val="none"/>
              </w:rPr>
              <w:t>送入脱胶离心机分出胶质（即油脚）。脱胶后的油再泵入碱炼混合器与定量的一定浓度的碱液进行中和反应，使油中的游离脂肪酸生成皂，送入脱皂离心机分出皂脚。同时分出的油经一道水洗洗涤油中的残皂再由水洗离心机分离干燥后得到碱炼油，碱炼油送入</w:t>
            </w:r>
            <w:r>
              <w:rPr>
                <w:rFonts w:hint="default" w:ascii="Times New Roman" w:hAnsi="Times New Roman" w:eastAsia="宋体" w:cs="Times New Roman"/>
                <w:color w:val="auto"/>
                <w:spacing w:val="-2"/>
                <w:sz w:val="24"/>
                <w:szCs w:val="24"/>
                <w:highlight w:val="none"/>
              </w:rPr>
              <w:t>脱色塔与经正确定量的脱色白土相混合，并在一定温度、时间、真空度的脱色处理后，</w:t>
            </w:r>
            <w:r>
              <w:rPr>
                <w:rFonts w:hint="default" w:ascii="Times New Roman" w:hAnsi="Times New Roman" w:eastAsia="宋体" w:cs="Times New Roman"/>
                <w:color w:val="auto"/>
                <w:spacing w:val="-3"/>
                <w:sz w:val="24"/>
                <w:szCs w:val="24"/>
                <w:highlight w:val="none"/>
              </w:rPr>
              <w:t>把吸附了油中有色物质及其它杂质的白土用过滤机过滤分出。所得的脱色油经加热脱气送入脱臭塔，油在脱臭塔中进一步加热至脱臭温度，在真空下由</w:t>
            </w:r>
            <w:r>
              <w:rPr>
                <w:rFonts w:hint="eastAsia" w:cs="Times New Roman"/>
                <w:color w:val="auto"/>
                <w:spacing w:val="-3"/>
                <w:sz w:val="24"/>
                <w:szCs w:val="24"/>
                <w:highlight w:val="none"/>
                <w:lang w:eastAsia="zh-CN"/>
              </w:rPr>
              <w:t>水蒸气</w:t>
            </w:r>
            <w:r>
              <w:rPr>
                <w:rFonts w:hint="default" w:ascii="Times New Roman" w:hAnsi="Times New Roman" w:eastAsia="宋体" w:cs="Times New Roman"/>
                <w:color w:val="auto"/>
                <w:spacing w:val="-3"/>
                <w:sz w:val="24"/>
                <w:szCs w:val="24"/>
                <w:highlight w:val="none"/>
              </w:rPr>
              <w:t>汽提脱臭，产生的脂肪酸废气通过脂肪酸扑集器收集，冷凝形成脂肪酸，脱臭油经冷却过滤即得最终的</w:t>
            </w:r>
            <w:r>
              <w:rPr>
                <w:rFonts w:hint="default" w:ascii="Times New Roman" w:hAnsi="Times New Roman" w:eastAsia="宋体" w:cs="Times New Roman"/>
                <w:color w:val="auto"/>
                <w:spacing w:val="-2"/>
                <w:sz w:val="24"/>
                <w:szCs w:val="24"/>
                <w:highlight w:val="none"/>
              </w:rPr>
              <w:t>一级成品油。</w:t>
            </w:r>
          </w:p>
          <w:p w14:paraId="2509EA74">
            <w:pPr>
              <w:keepNext w:val="0"/>
              <w:keepLines w:val="0"/>
              <w:pageBreakBefore w:val="0"/>
              <w:widowControl/>
              <w:kinsoku/>
              <w:wordWrap/>
              <w:overflowPunct w:val="0"/>
              <w:topLinePunct/>
              <w:autoSpaceDE/>
              <w:autoSpaceDN/>
              <w:bidi w:val="0"/>
              <w:adjustRightInd w:val="0"/>
              <w:snapToGrid/>
              <w:spacing w:line="240" w:lineRule="auto"/>
              <w:ind w:firstLine="0" w:firstLineChars="0"/>
              <w:jc w:val="center"/>
              <w:textAlignment w:val="auto"/>
              <w:outlineLvl w:val="1"/>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object>
                <v:shape id="_x0000_i1030" o:spt="75" type="#_x0000_t75" style="height:188.75pt;width:414.6pt;" o:ole="t" filled="f" o:preferrelative="t" stroked="f" coordsize="21600,21600">
                  <v:path/>
                  <v:fill on="f" focussize="0,0"/>
                  <v:stroke on="f"/>
                  <v:imagedata r:id="rId18" o:title=""/>
                  <o:lock v:ext="edit" aspectratio="f"/>
                  <w10:wrap type="none"/>
                  <w10:anchorlock/>
                </v:shape>
                <o:OLEObject Type="Embed" ProgID="Visio.DrawingConvertable.15" ShapeID="_x0000_i1030" DrawAspect="Content" ObjectID="_1468075730" r:id="rId17">
                  <o:LockedField>false</o:LockedField>
                </o:OLEObject>
              </w:object>
            </w:r>
          </w:p>
          <w:p w14:paraId="37FB9104">
            <w:pPr>
              <w:keepNext w:val="0"/>
              <w:keepLines w:val="0"/>
              <w:pageBreakBefore w:val="0"/>
              <w:widowControl/>
              <w:kinsoku/>
              <w:wordWrap/>
              <w:overflowPunct w:val="0"/>
              <w:topLinePunct/>
              <w:autoSpaceDE/>
              <w:autoSpaceDN/>
              <w:bidi w:val="0"/>
              <w:adjustRightInd w:val="0"/>
              <w:snapToGrid/>
              <w:spacing w:line="240" w:lineRule="auto"/>
              <w:ind w:firstLine="0" w:firstLineChars="0"/>
              <w:jc w:val="center"/>
              <w:textAlignment w:val="auto"/>
              <w:outlineLvl w:val="1"/>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图2</w:t>
            </w:r>
            <w:r>
              <w:rPr>
                <w:rFonts w:hint="eastAsia" w:ascii="Times New Roman" w:hAnsi="Times New Roman" w:cs="Times New Roman"/>
                <w:b/>
                <w:bCs/>
                <w:color w:val="auto"/>
                <w:sz w:val="24"/>
                <w:szCs w:val="32"/>
                <w:highlight w:val="none"/>
                <w:lang w:val="en-US" w:eastAsia="zh-CN"/>
              </w:rPr>
              <w:t>.5</w:t>
            </w:r>
            <w:r>
              <w:rPr>
                <w:rFonts w:hint="default" w:ascii="Times New Roman" w:hAnsi="Times New Roman" w:cs="Times New Roman"/>
                <w:b/>
                <w:bCs/>
                <w:color w:val="auto"/>
                <w:sz w:val="24"/>
                <w:szCs w:val="32"/>
                <w:highlight w:val="none"/>
                <w:lang w:val="en-US" w:eastAsia="zh-CN"/>
              </w:rPr>
              <w:t>-1</w:t>
            </w:r>
            <w:r>
              <w:rPr>
                <w:rFonts w:hint="default" w:ascii="Times New Roman" w:hAnsi="Times New Roman" w:eastAsia="宋体" w:cs="Times New Roman"/>
                <w:b/>
                <w:bCs/>
                <w:color w:val="auto"/>
                <w:sz w:val="24"/>
                <w:szCs w:val="32"/>
                <w:highlight w:val="none"/>
                <w:lang w:val="en-US" w:eastAsia="zh-CN"/>
              </w:rPr>
              <w:t>现有精炼油脂生产线工艺流程示意图</w:t>
            </w:r>
          </w:p>
          <w:p w14:paraId="492242A5">
            <w:pPr>
              <w:keepNext w:val="0"/>
              <w:keepLines w:val="0"/>
              <w:pageBreakBefore w:val="0"/>
              <w:kinsoku/>
              <w:wordWrap/>
              <w:autoSpaceDE/>
              <w:autoSpaceDN/>
              <w:bidi w:val="0"/>
              <w:snapToGrid/>
              <w:spacing w:line="360" w:lineRule="auto"/>
              <w:ind w:left="0" w:firstLine="470" w:firstLineChars="200"/>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3"/>
                <w:sz w:val="24"/>
                <w:szCs w:val="24"/>
                <w:highlight w:val="none"/>
                <w:lang w:eastAsia="zh-CN"/>
              </w:rPr>
              <w:t>（</w:t>
            </w:r>
            <w:r>
              <w:rPr>
                <w:rFonts w:hint="default" w:ascii="Times New Roman" w:hAnsi="Times New Roman" w:eastAsia="宋体" w:cs="Times New Roman"/>
                <w:b/>
                <w:bCs/>
                <w:color w:val="auto"/>
                <w:spacing w:val="-3"/>
                <w:sz w:val="24"/>
                <w:szCs w:val="24"/>
                <w:highlight w:val="none"/>
                <w:lang w:val="en-US" w:eastAsia="zh-CN"/>
              </w:rPr>
              <w:t>2</w:t>
            </w:r>
            <w:r>
              <w:rPr>
                <w:rFonts w:hint="default" w:ascii="Times New Roman" w:hAnsi="Times New Roman" w:eastAsia="宋体" w:cs="Times New Roman"/>
                <w:b/>
                <w:bCs/>
                <w:color w:val="auto"/>
                <w:spacing w:val="-3"/>
                <w:sz w:val="24"/>
                <w:szCs w:val="24"/>
                <w:highlight w:val="none"/>
                <w:lang w:eastAsia="zh-CN"/>
              </w:rPr>
              <w:t>）</w:t>
            </w:r>
            <w:r>
              <w:rPr>
                <w:rFonts w:hint="default" w:ascii="Times New Roman" w:hAnsi="Times New Roman" w:eastAsia="宋体" w:cs="Times New Roman"/>
                <w:b/>
                <w:bCs/>
                <w:color w:val="auto"/>
                <w:spacing w:val="-3"/>
                <w:sz w:val="24"/>
                <w:szCs w:val="24"/>
                <w:highlight w:val="none"/>
              </w:rPr>
              <w:t>灌装工艺流程简述</w:t>
            </w:r>
          </w:p>
          <w:p w14:paraId="536990B5">
            <w:pPr>
              <w:keepNext w:val="0"/>
              <w:keepLines w:val="0"/>
              <w:pageBreakBefore w:val="0"/>
              <w:widowControl/>
              <w:kinsoku/>
              <w:wordWrap/>
              <w:overflowPunct w:val="0"/>
              <w:topLinePunct/>
              <w:autoSpaceDE/>
              <w:autoSpaceDN/>
              <w:bidi w:val="0"/>
              <w:adjustRightInd w:val="0"/>
              <w:snapToGrid/>
              <w:spacing w:line="360" w:lineRule="auto"/>
              <w:ind w:left="0" w:firstLine="468" w:firstLineChars="200"/>
              <w:textAlignment w:val="auto"/>
              <w:outlineLvl w:val="1"/>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pacing w:val="-3"/>
                <w:sz w:val="24"/>
                <w:szCs w:val="24"/>
                <w:highlight w:val="none"/>
              </w:rPr>
              <w:t>储油罐中的散装成品油经管道输送到灌装生产线，对其进行</w:t>
            </w:r>
            <w:r>
              <w:rPr>
                <w:rFonts w:hint="default" w:ascii="Times New Roman" w:hAnsi="Times New Roman" w:cs="Times New Roman"/>
                <w:color w:val="auto"/>
                <w:spacing w:val="-3"/>
                <w:sz w:val="24"/>
                <w:szCs w:val="24"/>
                <w:highlight w:val="none"/>
                <w:lang w:val="en-US" w:eastAsia="zh-CN"/>
              </w:rPr>
              <w:t>过滤、计量</w:t>
            </w:r>
            <w:r>
              <w:rPr>
                <w:rFonts w:hint="default" w:ascii="Times New Roman" w:hAnsi="Times New Roman" w:eastAsia="宋体" w:cs="Times New Roman"/>
                <w:color w:val="auto"/>
                <w:spacing w:val="-3"/>
                <w:sz w:val="24"/>
                <w:szCs w:val="24"/>
                <w:highlight w:val="none"/>
              </w:rPr>
              <w:t>灌装</w:t>
            </w:r>
            <w:r>
              <w:rPr>
                <w:rFonts w:hint="default" w:ascii="Times New Roman" w:hAnsi="Times New Roman" w:cs="Times New Roman"/>
                <w:color w:val="auto"/>
                <w:spacing w:val="-3"/>
                <w:sz w:val="24"/>
                <w:szCs w:val="24"/>
                <w:highlight w:val="none"/>
                <w:lang w:eastAsia="zh-CN"/>
              </w:rPr>
              <w:t>、</w:t>
            </w:r>
            <w:r>
              <w:rPr>
                <w:rFonts w:hint="default" w:ascii="Times New Roman" w:hAnsi="Times New Roman" w:cs="Times New Roman"/>
                <w:color w:val="auto"/>
                <w:spacing w:val="-4"/>
                <w:sz w:val="24"/>
                <w:szCs w:val="24"/>
                <w:highlight w:val="none"/>
                <w:lang w:val="en-US" w:eastAsia="zh-CN"/>
              </w:rPr>
              <w:t>压盖等工序</w:t>
            </w:r>
            <w:r>
              <w:rPr>
                <w:rFonts w:hint="default" w:ascii="Times New Roman" w:hAnsi="Times New Roman" w:eastAsia="宋体" w:cs="Times New Roman"/>
                <w:color w:val="auto"/>
                <w:spacing w:val="-4"/>
                <w:sz w:val="24"/>
                <w:szCs w:val="24"/>
                <w:highlight w:val="none"/>
              </w:rPr>
              <w:t>，最</w:t>
            </w:r>
            <w:r>
              <w:rPr>
                <w:rFonts w:hint="default" w:ascii="Times New Roman" w:hAnsi="Times New Roman" w:eastAsia="宋体" w:cs="Times New Roman"/>
                <w:color w:val="auto"/>
                <w:sz w:val="24"/>
                <w:szCs w:val="24"/>
                <w:highlight w:val="none"/>
              </w:rPr>
              <w:t>后成为桶装油。灌装过程采用真空回吸系统，确保灌</w:t>
            </w:r>
            <w:r>
              <w:rPr>
                <w:rFonts w:hint="default" w:ascii="Times New Roman" w:hAnsi="Times New Roman" w:eastAsia="宋体" w:cs="Times New Roman"/>
                <w:color w:val="auto"/>
                <w:spacing w:val="-1"/>
                <w:sz w:val="24"/>
                <w:szCs w:val="24"/>
                <w:highlight w:val="none"/>
              </w:rPr>
              <w:t>装现场及包装成品免受污染。</w:t>
            </w:r>
          </w:p>
          <w:p w14:paraId="425EE0A0">
            <w:pPr>
              <w:keepNext w:val="0"/>
              <w:keepLines w:val="0"/>
              <w:pageBreakBefore w:val="0"/>
              <w:widowControl/>
              <w:kinsoku/>
              <w:wordWrap/>
              <w:overflowPunct w:val="0"/>
              <w:topLinePunct/>
              <w:autoSpaceDE/>
              <w:autoSpaceDN/>
              <w:bidi w:val="0"/>
              <w:adjustRightInd w:val="0"/>
              <w:snapToGrid/>
              <w:spacing w:line="360" w:lineRule="auto"/>
              <w:ind w:firstLine="0" w:firstLineChars="0"/>
              <w:jc w:val="center"/>
              <w:textAlignment w:val="auto"/>
              <w:outlineLvl w:val="1"/>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object>
                <v:shape id="_x0000_i1031" o:spt="75" type="#_x0000_t75" style="height:69pt;width:371.2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14:paraId="3B08E0F0">
            <w:pPr>
              <w:keepNext w:val="0"/>
              <w:keepLines w:val="0"/>
              <w:pageBreakBefore w:val="0"/>
              <w:widowControl/>
              <w:kinsoku/>
              <w:wordWrap/>
              <w:overflowPunct w:val="0"/>
              <w:topLinePunct/>
              <w:autoSpaceDE/>
              <w:autoSpaceDN/>
              <w:bidi w:val="0"/>
              <w:adjustRightInd w:val="0"/>
              <w:snapToGrid/>
              <w:spacing w:line="360" w:lineRule="auto"/>
              <w:ind w:firstLine="0" w:firstLineChars="0"/>
              <w:jc w:val="center"/>
              <w:textAlignment w:val="auto"/>
              <w:outlineLvl w:val="1"/>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图2</w:t>
            </w:r>
            <w:r>
              <w:rPr>
                <w:rFonts w:hint="eastAsia" w:ascii="Times New Roman" w:hAnsi="Times New Roman" w:cs="Times New Roman"/>
                <w:b/>
                <w:bCs/>
                <w:color w:val="auto"/>
                <w:sz w:val="24"/>
                <w:szCs w:val="32"/>
                <w:highlight w:val="none"/>
                <w:lang w:val="en-US" w:eastAsia="zh-CN"/>
              </w:rPr>
              <w:t>.5</w:t>
            </w:r>
            <w:r>
              <w:rPr>
                <w:rFonts w:hint="default" w:ascii="Times New Roman" w:hAnsi="Times New Roman" w:eastAsia="宋体" w:cs="Times New Roman"/>
                <w:b/>
                <w:bCs/>
                <w:color w:val="auto"/>
                <w:sz w:val="24"/>
                <w:szCs w:val="32"/>
                <w:highlight w:val="none"/>
                <w:lang w:val="en-US" w:eastAsia="zh-CN"/>
              </w:rPr>
              <w:t>-</w:t>
            </w:r>
            <w:r>
              <w:rPr>
                <w:rFonts w:hint="default" w:ascii="Times New Roman" w:hAnsi="Times New Roman" w:cs="Times New Roman"/>
                <w:b/>
                <w:bCs/>
                <w:color w:val="auto"/>
                <w:sz w:val="24"/>
                <w:szCs w:val="32"/>
                <w:highlight w:val="none"/>
                <w:lang w:val="en-US" w:eastAsia="zh-CN"/>
              </w:rPr>
              <w:t>2</w:t>
            </w:r>
            <w:r>
              <w:rPr>
                <w:rFonts w:hint="default" w:ascii="Times New Roman" w:hAnsi="Times New Roman" w:eastAsia="宋体" w:cs="Times New Roman"/>
                <w:b/>
                <w:bCs/>
                <w:color w:val="auto"/>
                <w:sz w:val="24"/>
                <w:szCs w:val="32"/>
                <w:highlight w:val="none"/>
                <w:lang w:val="en-US" w:eastAsia="zh-CN"/>
              </w:rPr>
              <w:t>灌装工艺流程示意图</w:t>
            </w:r>
          </w:p>
          <w:p w14:paraId="49199602">
            <w:pPr>
              <w:pageBreakBefore w:val="0"/>
              <w:widowControl/>
              <w:kinsoku/>
              <w:wordWrap/>
              <w:overflowPunct w:val="0"/>
              <w:topLinePunct/>
              <w:bidi w:val="0"/>
              <w:adjustRightInd w:val="0"/>
              <w:spacing w:line="360" w:lineRule="auto"/>
              <w:ind w:firstLine="480" w:firstLineChars="200"/>
              <w:outlineLvl w:val="1"/>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（3）制瓶工艺流程</w:t>
            </w:r>
          </w:p>
          <w:p w14:paraId="49011782">
            <w:pPr>
              <w:keepNext w:val="0"/>
              <w:keepLines w:val="0"/>
              <w:pageBreakBefore w:val="0"/>
              <w:widowControl/>
              <w:kinsoku/>
              <w:wordWrap/>
              <w:overflowPunct w:val="0"/>
              <w:topLinePunct/>
              <w:autoSpaceDE/>
              <w:autoSpaceDN/>
              <w:bidi w:val="0"/>
              <w:adjustRightInd w:val="0"/>
              <w:snapToGrid/>
              <w:spacing w:line="360" w:lineRule="auto"/>
              <w:ind w:firstLine="468" w:firstLineChars="200"/>
              <w:jc w:val="left"/>
              <w:textAlignment w:val="auto"/>
              <w:outlineLvl w:val="1"/>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3"/>
                <w:sz w:val="24"/>
                <w:szCs w:val="24"/>
                <w:highlight w:val="none"/>
                <w:lang w:val="en-US" w:eastAsia="zh-CN"/>
              </w:rPr>
              <w:t>现有项目将外购的PET瓶胚，经吹瓶机进行加热、吹塑、出模、成型，加热温度170~180℃。</w:t>
            </w:r>
          </w:p>
          <w:p w14:paraId="6C5AB83C">
            <w:pPr>
              <w:keepNext w:val="0"/>
              <w:keepLines w:val="0"/>
              <w:pageBreakBefore w:val="0"/>
              <w:widowControl/>
              <w:kinsoku/>
              <w:wordWrap/>
              <w:overflowPunct w:val="0"/>
              <w:topLinePunct/>
              <w:autoSpaceDE/>
              <w:autoSpaceDN/>
              <w:bidi w:val="0"/>
              <w:adjustRightInd w:val="0"/>
              <w:snapToGrid/>
              <w:spacing w:line="360" w:lineRule="auto"/>
              <w:ind w:firstLine="480" w:firstLineChars="200"/>
              <w:jc w:val="left"/>
              <w:textAlignment w:val="auto"/>
              <w:outlineLvl w:val="1"/>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object>
                <v:shape id="_x0000_i1032" o:spt="75" type="#_x0000_t75" style="height:69pt;width:386.25pt;" o:ole="t" filled="f" o:preferrelative="t" stroked="f" coordsize="21600,21600">
                  <v:path/>
                  <v:fill on="f" focussize="0,0"/>
                  <v:stroke on="f"/>
                  <v:imagedata r:id="rId22" o:title=""/>
                  <o:lock v:ext="edit" aspectratio="f"/>
                  <w10:wrap type="none"/>
                  <w10:anchorlock/>
                </v:shape>
                <o:OLEObject Type="Embed" ProgID="Visio.Drawing.15" ShapeID="_x0000_i1032" DrawAspect="Content" ObjectID="_1468075732" r:id="rId21">
                  <o:LockedField>false</o:LockedField>
                </o:OLEObject>
              </w:object>
            </w:r>
          </w:p>
          <w:p w14:paraId="326592EC">
            <w:pPr>
              <w:keepNext w:val="0"/>
              <w:keepLines w:val="0"/>
              <w:pageBreakBefore w:val="0"/>
              <w:widowControl/>
              <w:kinsoku/>
              <w:wordWrap/>
              <w:overflowPunct w:val="0"/>
              <w:topLinePunct/>
              <w:autoSpaceDE/>
              <w:autoSpaceDN/>
              <w:bidi w:val="0"/>
              <w:adjustRightInd w:val="0"/>
              <w:snapToGrid/>
              <w:spacing w:line="360" w:lineRule="auto"/>
              <w:ind w:firstLine="482" w:firstLineChars="200"/>
              <w:jc w:val="center"/>
              <w:textAlignment w:val="auto"/>
              <w:outlineLvl w:val="1"/>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图2</w:t>
            </w:r>
            <w:r>
              <w:rPr>
                <w:rFonts w:hint="eastAsia" w:ascii="Times New Roman" w:hAnsi="Times New Roman" w:cs="Times New Roman"/>
                <w:b/>
                <w:bCs/>
                <w:color w:val="auto"/>
                <w:sz w:val="24"/>
                <w:szCs w:val="32"/>
                <w:highlight w:val="none"/>
                <w:lang w:val="en-US" w:eastAsia="zh-CN"/>
              </w:rPr>
              <w:t>.5</w:t>
            </w:r>
            <w:r>
              <w:rPr>
                <w:rFonts w:hint="default" w:ascii="Times New Roman" w:hAnsi="Times New Roman" w:eastAsia="宋体" w:cs="Times New Roman"/>
                <w:b/>
                <w:bCs/>
                <w:color w:val="auto"/>
                <w:sz w:val="24"/>
                <w:szCs w:val="32"/>
                <w:highlight w:val="none"/>
                <w:lang w:val="en-US" w:eastAsia="zh-CN"/>
              </w:rPr>
              <w:t>-</w:t>
            </w:r>
            <w:r>
              <w:rPr>
                <w:rFonts w:hint="default" w:ascii="Times New Roman" w:hAnsi="Times New Roman" w:cs="Times New Roman"/>
                <w:b/>
                <w:bCs/>
                <w:color w:val="auto"/>
                <w:sz w:val="24"/>
                <w:szCs w:val="32"/>
                <w:highlight w:val="none"/>
                <w:lang w:val="en-US" w:eastAsia="zh-CN"/>
              </w:rPr>
              <w:t>3</w:t>
            </w:r>
            <w:r>
              <w:rPr>
                <w:rFonts w:hint="default" w:ascii="Times New Roman" w:hAnsi="Times New Roman" w:eastAsia="宋体" w:cs="Times New Roman"/>
                <w:b/>
                <w:bCs/>
                <w:color w:val="auto"/>
                <w:sz w:val="24"/>
                <w:szCs w:val="32"/>
                <w:highlight w:val="none"/>
                <w:lang w:val="en-US" w:eastAsia="zh-CN"/>
              </w:rPr>
              <w:t>制瓶工艺流程示意图</w:t>
            </w:r>
          </w:p>
          <w:p w14:paraId="172AABAD">
            <w:pPr>
              <w:keepNext w:val="0"/>
              <w:keepLines w:val="0"/>
              <w:pageBreakBefore w:val="0"/>
              <w:widowControl w:val="0"/>
              <w:suppressLineNumbers w:val="0"/>
              <w:kinsoku/>
              <w:wordWrap/>
              <w:overflowPunct w:val="0"/>
              <w:topLinePunct/>
              <w:autoSpaceDE/>
              <w:autoSpaceDN/>
              <w:bidi w:val="0"/>
              <w:adjustRightInd w:val="0"/>
              <w:snapToGrid w:val="0"/>
              <w:spacing w:before="0" w:beforeAutospacing="0" w:after="0" w:afterAutospacing="0" w:line="360" w:lineRule="auto"/>
              <w:ind w:left="0" w:right="0" w:firstLine="482" w:firstLineChars="200"/>
              <w:jc w:val="both"/>
              <w:textAlignment w:val="auto"/>
              <w:outlineLvl w:val="1"/>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2.5.</w:t>
            </w:r>
            <w:r>
              <w:rPr>
                <w:rFonts w:hint="eastAsia" w:cs="Times New Roman"/>
                <w:b/>
                <w:bCs/>
                <w:color w:val="auto"/>
                <w:sz w:val="24"/>
                <w:highlight w:val="none"/>
                <w:lang w:val="en-US" w:eastAsia="zh-CN"/>
              </w:rPr>
              <w:t>5</w:t>
            </w:r>
            <w:r>
              <w:rPr>
                <w:rFonts w:hint="default" w:ascii="Times New Roman" w:hAnsi="Times New Roman" w:cs="Times New Roman"/>
                <w:b/>
                <w:bCs/>
                <w:color w:val="auto"/>
                <w:sz w:val="24"/>
                <w:highlight w:val="none"/>
              </w:rPr>
              <w:t>现有</w:t>
            </w:r>
            <w:r>
              <w:rPr>
                <w:rFonts w:hint="default" w:ascii="Times New Roman" w:hAnsi="Times New Roman" w:cs="Times New Roman"/>
                <w:b/>
                <w:bCs/>
                <w:color w:val="auto"/>
                <w:sz w:val="24"/>
                <w:highlight w:val="none"/>
                <w:lang w:val="en-US" w:eastAsia="zh-CN"/>
              </w:rPr>
              <w:t>项目</w:t>
            </w:r>
            <w:r>
              <w:rPr>
                <w:rFonts w:hint="default" w:ascii="Times New Roman" w:hAnsi="Times New Roman" w:cs="Times New Roman"/>
                <w:b/>
                <w:bCs/>
                <w:color w:val="auto"/>
                <w:sz w:val="24"/>
                <w:highlight w:val="none"/>
              </w:rPr>
              <w:t>污染物</w:t>
            </w:r>
            <w:r>
              <w:rPr>
                <w:rFonts w:hint="default" w:ascii="Times New Roman" w:hAnsi="Times New Roman" w:cs="Times New Roman"/>
                <w:b/>
                <w:bCs/>
                <w:color w:val="auto"/>
                <w:sz w:val="24"/>
                <w:highlight w:val="none"/>
                <w:lang w:val="en-US" w:eastAsia="zh-CN"/>
              </w:rPr>
              <w:t>排放情况和防治措施</w:t>
            </w:r>
          </w:p>
          <w:p w14:paraId="7B622FC5">
            <w:pPr>
              <w:keepNext w:val="0"/>
              <w:keepLines w:val="0"/>
              <w:pageBreakBefore w:val="0"/>
              <w:suppressLineNumbers w:val="0"/>
              <w:kinsoku/>
              <w:wordWrap/>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default" w:ascii="Times New Roman" w:hAnsi="Times New Roman" w:cs="Times New Roman"/>
                <w:bCs/>
                <w:color w:val="auto"/>
                <w:sz w:val="24"/>
                <w:szCs w:val="24"/>
                <w:highlight w:val="none"/>
                <w:lang w:eastAsia="zh-CN"/>
              </w:rPr>
            </w:pPr>
            <w:r>
              <w:rPr>
                <w:rFonts w:hint="default" w:ascii="Times New Roman" w:hAnsi="Times New Roman" w:cs="Times New Roman"/>
                <w:color w:val="auto"/>
                <w:sz w:val="24"/>
                <w:highlight w:val="none"/>
                <w:lang w:val="en-US" w:eastAsia="zh-CN"/>
              </w:rPr>
              <w:t>本评价根据现有项目2025年开展的例行监测数据判断现有项目废气、废水及噪声达标情况，并以此为核算废气、废水</w:t>
            </w:r>
            <w:r>
              <w:rPr>
                <w:rFonts w:hint="default" w:ascii="Times New Roman" w:hAnsi="Times New Roman" w:cs="Times New Roman"/>
                <w:color w:val="auto"/>
                <w:sz w:val="24"/>
                <w:highlight w:val="none"/>
              </w:rPr>
              <w:t>污染物排放量</w:t>
            </w:r>
            <w:r>
              <w:rPr>
                <w:rFonts w:hint="default" w:ascii="Times New Roman" w:hAnsi="Times New Roman" w:cs="Times New Roman"/>
                <w:color w:val="auto"/>
                <w:sz w:val="24"/>
                <w:highlight w:val="none"/>
                <w:lang w:val="en-US" w:eastAsia="zh-CN"/>
              </w:rPr>
              <w:t>的依据</w:t>
            </w:r>
            <w:r>
              <w:rPr>
                <w:rFonts w:hint="default" w:ascii="Times New Roman" w:hAnsi="Times New Roman" w:cs="Times New Roman"/>
                <w:color w:val="auto"/>
                <w:sz w:val="24"/>
                <w:highlight w:val="none"/>
                <w:lang w:eastAsia="zh-CN"/>
              </w:rPr>
              <w:t>。</w:t>
            </w:r>
          </w:p>
          <w:p w14:paraId="6C824735">
            <w:pPr>
              <w:keepNext w:val="0"/>
              <w:keepLines w:val="0"/>
              <w:pageBreakBefore w:val="0"/>
              <w:suppressLineNumbers w:val="0"/>
              <w:kinsoku/>
              <w:wordWrap/>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废气</w:t>
            </w:r>
          </w:p>
          <w:p w14:paraId="5C73CE35">
            <w:pPr>
              <w:pStyle w:val="16"/>
              <w:keepNext w:val="0"/>
              <w:keepLines w:val="0"/>
              <w:pageBreakBefore w:val="0"/>
              <w:widowControl/>
              <w:kinsoku/>
              <w:wordWrap/>
              <w:overflowPunct w:val="0"/>
              <w:topLinePunct/>
              <w:autoSpaceDE/>
              <w:autoSpaceDN/>
              <w:bidi w:val="0"/>
              <w:adjustRightInd/>
              <w:snapToGrid/>
              <w:spacing w:before="0" w:beforeAutospacing="0" w:after="0" w:afterAutospacing="0" w:line="360" w:lineRule="auto"/>
              <w:ind w:firstLine="480" w:firstLineChars="200"/>
              <w:jc w:val="left"/>
              <w:textAlignment w:val="auto"/>
              <w:outlineLvl w:val="1"/>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现有项目废气主要来自精炼车间除臭脱酸过程产生的精炼废气、锅炉燃烧天然气废气、制瓶车间产生的PET吹瓶工序废气、</w:t>
            </w:r>
            <w:r>
              <w:rPr>
                <w:rFonts w:hint="eastAsia" w:ascii="Times New Roman" w:hAnsi="Times New Roman" w:cs="Times New Roman"/>
                <w:bCs/>
                <w:color w:val="auto"/>
                <w:sz w:val="24"/>
                <w:szCs w:val="24"/>
                <w:highlight w:val="none"/>
                <w:lang w:val="en-US" w:eastAsia="zh-CN"/>
              </w:rPr>
              <w:t>污水处理站</w:t>
            </w:r>
            <w:r>
              <w:rPr>
                <w:rFonts w:hint="default" w:ascii="Times New Roman" w:hAnsi="Times New Roman" w:cs="Times New Roman"/>
                <w:bCs/>
                <w:color w:val="auto"/>
                <w:sz w:val="24"/>
                <w:szCs w:val="24"/>
                <w:highlight w:val="none"/>
                <w:lang w:val="en-US" w:eastAsia="zh-CN"/>
              </w:rPr>
              <w:t>臭气。</w:t>
            </w:r>
          </w:p>
          <w:p w14:paraId="104826B3">
            <w:pPr>
              <w:pStyle w:val="16"/>
              <w:keepNext w:val="0"/>
              <w:keepLines w:val="0"/>
              <w:pageBreakBefore w:val="0"/>
              <w:widowControl/>
              <w:kinsoku/>
              <w:wordWrap/>
              <w:overflowPunct w:val="0"/>
              <w:topLinePunct/>
              <w:autoSpaceDE/>
              <w:autoSpaceDN/>
              <w:bidi w:val="0"/>
              <w:adjustRightInd/>
              <w:snapToGrid/>
              <w:spacing w:before="0" w:beforeAutospacing="0" w:after="0" w:afterAutospacing="0" w:line="360" w:lineRule="auto"/>
              <w:ind w:firstLine="480" w:firstLineChars="200"/>
              <w:jc w:val="left"/>
              <w:textAlignment w:val="auto"/>
              <w:outlineLvl w:val="1"/>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精炼废气经碱洗+次氯酸钠吸附工艺处理，处理后经35m排气筒有组织排放，风量5000m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lang w:val="en-US" w:eastAsia="zh-CN"/>
              </w:rPr>
              <w:t>/h。</w:t>
            </w:r>
            <w:r>
              <w:rPr>
                <w:rFonts w:hint="eastAsia" w:ascii="Times New Roman" w:hAnsi="Times New Roman" w:cs="Times New Roman"/>
                <w:bCs/>
                <w:color w:val="auto"/>
                <w:sz w:val="24"/>
                <w:szCs w:val="24"/>
                <w:highlight w:val="none"/>
                <w:lang w:val="en-US" w:eastAsia="zh-CN"/>
              </w:rPr>
              <w:t>项目设置3t/h</w:t>
            </w:r>
            <w:r>
              <w:rPr>
                <w:rFonts w:hint="default" w:ascii="Times New Roman" w:hAnsi="Times New Roman" w:cs="Times New Roman"/>
                <w:bCs/>
                <w:color w:val="auto"/>
                <w:sz w:val="24"/>
                <w:szCs w:val="24"/>
                <w:highlight w:val="none"/>
                <w:lang w:val="en-US" w:eastAsia="zh-CN"/>
              </w:rPr>
              <w:t>锅炉</w:t>
            </w:r>
            <w:r>
              <w:rPr>
                <w:rFonts w:hint="eastAsia" w:ascii="Times New Roman" w:hAnsi="Times New Roman" w:cs="Times New Roman"/>
                <w:bCs/>
                <w:color w:val="auto"/>
                <w:sz w:val="24"/>
                <w:szCs w:val="24"/>
                <w:highlight w:val="none"/>
                <w:lang w:val="en-US" w:eastAsia="zh-CN"/>
              </w:rPr>
              <w:t>、4t/h锅炉各1台，于2020年12月建成投运，耗气量总计为560m</w:t>
            </w:r>
            <w:r>
              <w:rPr>
                <w:rFonts w:hint="eastAsia" w:ascii="Times New Roman" w:hAnsi="Times New Roman" w:cs="Times New Roman"/>
                <w:bCs/>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/h，总计耗气量为403.2万m</w:t>
            </w:r>
            <w:r>
              <w:rPr>
                <w:rFonts w:hint="eastAsia" w:ascii="Times New Roman" w:hAnsi="Times New Roman" w:cs="Times New Roman"/>
                <w:bCs/>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/a，</w:t>
            </w:r>
            <w:r>
              <w:rPr>
                <w:rFonts w:hint="default" w:ascii="Times New Roman" w:hAnsi="Times New Roman" w:cs="Times New Roman"/>
                <w:bCs/>
                <w:color w:val="auto"/>
                <w:sz w:val="24"/>
                <w:szCs w:val="24"/>
                <w:highlight w:val="none"/>
                <w:lang w:val="en-US" w:eastAsia="zh-CN"/>
              </w:rPr>
              <w:t>废气通过采用低氮燃烧技术控制氮氧化物产生量，废气经8m高排气筒有组织排放。</w:t>
            </w:r>
            <w:r>
              <w:rPr>
                <w:rFonts w:hint="eastAsia" w:ascii="Times New Roman" w:hAnsi="Times New Roman" w:cs="Times New Roman"/>
                <w:bCs/>
                <w:color w:val="auto"/>
                <w:sz w:val="24"/>
                <w:szCs w:val="24"/>
                <w:highlight w:val="none"/>
                <w:lang w:val="en-US" w:eastAsia="zh-CN"/>
              </w:rPr>
              <w:t>污水处理站</w:t>
            </w:r>
            <w:r>
              <w:rPr>
                <w:rFonts w:hint="default" w:ascii="Times New Roman" w:hAnsi="Times New Roman" w:cs="Times New Roman"/>
                <w:bCs/>
                <w:color w:val="auto"/>
                <w:sz w:val="24"/>
                <w:szCs w:val="24"/>
                <w:highlight w:val="none"/>
                <w:lang w:val="en-US" w:eastAsia="zh-CN"/>
              </w:rPr>
              <w:t>臭气经</w:t>
            </w:r>
            <w:r>
              <w:rPr>
                <w:rFonts w:hint="eastAsia" w:ascii="Times New Roman" w:hAnsi="Times New Roman" w:cs="Times New Roman"/>
                <w:bCs/>
                <w:color w:val="auto"/>
                <w:sz w:val="24"/>
                <w:szCs w:val="24"/>
                <w:highlight w:val="none"/>
                <w:lang w:val="en-US" w:eastAsia="zh-CN"/>
              </w:rPr>
              <w:t>碱液喷淋+次氯酸钠吸附+UV光氧除臭</w:t>
            </w:r>
            <w:r>
              <w:rPr>
                <w:rFonts w:hint="default" w:ascii="Times New Roman" w:hAnsi="Times New Roman" w:cs="Times New Roman"/>
                <w:bCs/>
                <w:color w:val="auto"/>
                <w:sz w:val="24"/>
                <w:szCs w:val="24"/>
                <w:highlight w:val="none"/>
                <w:lang w:val="en-US" w:eastAsia="zh-CN"/>
              </w:rPr>
              <w:t>工艺处理，处理后经15m排气筒有组织排放，风量3500m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lang w:val="en-US" w:eastAsia="zh-CN"/>
              </w:rPr>
              <w:t>/h</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bCs/>
                <w:color w:val="auto"/>
                <w:sz w:val="24"/>
                <w:szCs w:val="24"/>
                <w:highlight w:val="none"/>
                <w:lang w:val="en-US" w:eastAsia="zh-CN"/>
              </w:rPr>
              <w:t>PET吹瓶工序废气以无组织形式排放。</w:t>
            </w:r>
          </w:p>
          <w:p w14:paraId="0D7E242F">
            <w:pPr>
              <w:pStyle w:val="16"/>
              <w:keepNext w:val="0"/>
              <w:keepLines w:val="0"/>
              <w:pageBreakBefore w:val="0"/>
              <w:widowControl/>
              <w:kinsoku/>
              <w:wordWrap/>
              <w:overflowPunct w:val="0"/>
              <w:topLinePunct/>
              <w:autoSpaceDE/>
              <w:autoSpaceDN/>
              <w:bidi w:val="0"/>
              <w:adjustRightInd/>
              <w:snapToGrid/>
              <w:spacing w:before="0" w:beforeAutospacing="0" w:after="0" w:afterAutospacing="0" w:line="360" w:lineRule="auto"/>
              <w:ind w:firstLine="480" w:firstLineChars="200"/>
              <w:jc w:val="left"/>
              <w:textAlignment w:val="auto"/>
              <w:outlineLvl w:val="1"/>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根据现有项目于2025年开展的例行监测结果，现有项目排放的精炼废气污染物排放浓度能够稳定达到</w:t>
            </w:r>
            <w:r>
              <w:rPr>
                <w:rFonts w:hint="default" w:ascii="Times New Roman" w:hAnsi="Times New Roman" w:cs="Times New Roman"/>
                <w:color w:val="auto"/>
                <w:spacing w:val="-1"/>
                <w:sz w:val="24"/>
                <w:szCs w:val="24"/>
                <w:highlight w:val="none"/>
                <w:lang w:val="en-US" w:eastAsia="zh-CN"/>
              </w:rPr>
              <w:t>《大气污染物综合排放标准》（DB50/418-2016）、《恶臭污染物排放标准》（GB14554-1993）标准限值要求；锅炉废气污染物浓度能够</w:t>
            </w:r>
            <w:r>
              <w:rPr>
                <w:rFonts w:hint="default" w:ascii="Times New Roman" w:hAnsi="Times New Roman" w:cs="Times New Roman"/>
                <w:bCs/>
                <w:color w:val="auto"/>
                <w:sz w:val="24"/>
                <w:szCs w:val="24"/>
                <w:highlight w:val="none"/>
                <w:lang w:val="en-US" w:eastAsia="zh-CN"/>
              </w:rPr>
              <w:t>稳定</w:t>
            </w:r>
            <w:r>
              <w:rPr>
                <w:rFonts w:hint="default" w:ascii="Times New Roman" w:hAnsi="Times New Roman" w:cs="Times New Roman"/>
                <w:color w:val="auto"/>
                <w:spacing w:val="-1"/>
                <w:sz w:val="24"/>
                <w:szCs w:val="24"/>
                <w:highlight w:val="none"/>
                <w:lang w:val="en-US" w:eastAsia="zh-CN"/>
              </w:rPr>
              <w:t>达到</w:t>
            </w:r>
            <w:r>
              <w:rPr>
                <w:rFonts w:hint="default" w:ascii="Times New Roman" w:hAnsi="Times New Roman" w:cs="Times New Roman"/>
                <w:color w:val="auto"/>
                <w:sz w:val="24"/>
                <w:highlight w:val="none"/>
              </w:rPr>
              <w:t>《锅炉大气污染物排放标准》（DB50/658－2016）及重庆市地方标准第1号修改单</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污水处理站</w:t>
            </w:r>
            <w:r>
              <w:rPr>
                <w:rFonts w:hint="default" w:ascii="Times New Roman" w:hAnsi="Times New Roman" w:cs="Times New Roman"/>
                <w:color w:val="auto"/>
                <w:sz w:val="24"/>
                <w:highlight w:val="none"/>
                <w:lang w:val="en-US" w:eastAsia="zh-CN"/>
              </w:rPr>
              <w:t>臭气污染物能够</w:t>
            </w:r>
            <w:r>
              <w:rPr>
                <w:rFonts w:hint="default" w:ascii="Times New Roman" w:hAnsi="Times New Roman" w:cs="Times New Roman"/>
                <w:bCs/>
                <w:color w:val="auto"/>
                <w:sz w:val="24"/>
                <w:szCs w:val="24"/>
                <w:highlight w:val="none"/>
                <w:lang w:val="en-US" w:eastAsia="zh-CN"/>
              </w:rPr>
              <w:t>稳定</w:t>
            </w:r>
            <w:r>
              <w:rPr>
                <w:rFonts w:hint="default" w:ascii="Times New Roman" w:hAnsi="Times New Roman" w:cs="Times New Roman"/>
                <w:color w:val="auto"/>
                <w:sz w:val="24"/>
                <w:highlight w:val="none"/>
                <w:lang w:val="en-US" w:eastAsia="zh-CN"/>
              </w:rPr>
              <w:t>达到</w:t>
            </w:r>
            <w:r>
              <w:rPr>
                <w:rFonts w:hint="default" w:ascii="Times New Roman" w:hAnsi="Times New Roman" w:cs="Times New Roman"/>
                <w:color w:val="auto"/>
                <w:spacing w:val="-1"/>
                <w:sz w:val="24"/>
                <w:szCs w:val="24"/>
                <w:highlight w:val="none"/>
                <w:lang w:val="en-US" w:eastAsia="zh-CN"/>
              </w:rPr>
              <w:t>《恶臭污染物排放标准》（GB14554-1993）标准限值要求。厂界无组织废气污染物浓度满足《大气污染物综合排放标准》（DB50/418-2016）、《恶臭污染物排放标准》（GB14554-1993）标准限值要求。因此，现有项目废气污染物均能实现达标排放，现采取的各项废气处理措施合理可行</w:t>
            </w:r>
            <w:r>
              <w:rPr>
                <w:rFonts w:hint="eastAsia" w:ascii="Times New Roman" w:hAnsi="Times New Roman" w:cs="Times New Roman"/>
                <w:color w:val="auto"/>
                <w:spacing w:val="-1"/>
                <w:sz w:val="24"/>
                <w:szCs w:val="24"/>
                <w:highlight w:val="none"/>
                <w:lang w:val="en-US" w:eastAsia="zh-CN"/>
              </w:rPr>
              <w:t>，项目排污许可为简化管理，未对排放总量做限制性规定，项目污染物排放符合排污许可管理要求</w:t>
            </w:r>
            <w:r>
              <w:rPr>
                <w:rFonts w:hint="default" w:ascii="Times New Roman" w:hAnsi="Times New Roman" w:cs="Times New Roman"/>
                <w:color w:val="auto"/>
                <w:spacing w:val="-1"/>
                <w:sz w:val="24"/>
                <w:szCs w:val="24"/>
                <w:highlight w:val="none"/>
                <w:lang w:val="en-US" w:eastAsia="zh-CN"/>
              </w:rPr>
              <w:t>。</w:t>
            </w:r>
          </w:p>
          <w:p w14:paraId="3231AB2C">
            <w:pPr>
              <w:spacing w:line="360" w:lineRule="auto"/>
              <w:ind w:firstLine="480" w:firstLineChars="200"/>
              <w:outlineLvl w:val="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厂界无组织</w:t>
            </w:r>
            <w:r>
              <w:rPr>
                <w:rFonts w:hint="default" w:ascii="Times New Roman" w:hAnsi="Times New Roman" w:cs="Times New Roman"/>
                <w:color w:val="auto"/>
                <w:sz w:val="24"/>
                <w:highlight w:val="none"/>
              </w:rPr>
              <w:t>废气</w:t>
            </w:r>
            <w:r>
              <w:rPr>
                <w:rFonts w:hint="default" w:ascii="Times New Roman" w:hAnsi="Times New Roman" w:cs="Times New Roman"/>
                <w:color w:val="auto"/>
                <w:sz w:val="24"/>
                <w:highlight w:val="none"/>
                <w:lang w:val="en-US" w:eastAsia="zh-CN"/>
              </w:rPr>
              <w:t>污染物达标情况</w:t>
            </w:r>
            <w:r>
              <w:rPr>
                <w:rFonts w:hint="default" w:ascii="Times New Roman" w:hAnsi="Times New Roman" w:cs="Times New Roman"/>
                <w:color w:val="auto"/>
                <w:sz w:val="24"/>
                <w:highlight w:val="none"/>
              </w:rPr>
              <w:t>见表2.</w:t>
            </w:r>
            <w:r>
              <w:rPr>
                <w:rFonts w:hint="default" w:ascii="Times New Roman" w:hAnsi="Times New Roman" w:cs="Times New Roman"/>
                <w:color w:val="auto"/>
                <w:sz w:val="24"/>
                <w:highlight w:val="none"/>
                <w:lang w:val="en-US" w:eastAsia="zh-CN"/>
              </w:rPr>
              <w:t>5-4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现有项目废气排放情况详见</w:t>
            </w:r>
            <w:r>
              <w:rPr>
                <w:rFonts w:hint="default" w:ascii="Times New Roman" w:hAnsi="Times New Roman" w:cs="Times New Roman"/>
                <w:color w:val="auto"/>
                <w:sz w:val="24"/>
                <w:highlight w:val="none"/>
              </w:rPr>
              <w:t>表</w:t>
            </w:r>
            <w:r>
              <w:rPr>
                <w:rFonts w:hint="default" w:ascii="Times New Roman" w:hAnsi="Times New Roman" w:cs="Times New Roman"/>
                <w:color w:val="auto"/>
                <w:sz w:val="24"/>
                <w:highlight w:val="none"/>
                <w:lang w:val="en-US" w:eastAsia="zh-CN"/>
              </w:rPr>
              <w:t>2.5-4</w:t>
            </w:r>
            <w:r>
              <w:rPr>
                <w:rFonts w:hint="default" w:ascii="Times New Roman" w:hAnsi="Times New Roman" w:cs="Times New Roman"/>
                <w:color w:val="auto"/>
                <w:sz w:val="24"/>
                <w:highlight w:val="none"/>
              </w:rPr>
              <w:t>。</w:t>
            </w:r>
          </w:p>
          <w:p w14:paraId="5096FEA1">
            <w:pPr>
              <w:spacing w:line="240" w:lineRule="auto"/>
              <w:jc w:val="center"/>
              <w:outlineLvl w:val="1"/>
              <w:rPr>
                <w:rFonts w:hint="default" w:ascii="Times New Roman" w:hAnsi="Times New Roman" w:cs="Times New Roman"/>
                <w:color w:val="auto"/>
                <w:sz w:val="24"/>
                <w:highlight w:val="none"/>
                <w:lang w:val="en-US"/>
              </w:rPr>
            </w:pPr>
            <w:r>
              <w:rPr>
                <w:rFonts w:hint="default" w:ascii="Times New Roman" w:hAnsi="Times New Roman" w:cs="Times New Roman"/>
                <w:b/>
                <w:bCs/>
                <w:color w:val="auto"/>
                <w:sz w:val="24"/>
                <w:highlight w:val="none"/>
              </w:rPr>
              <w:t>表</w:t>
            </w:r>
            <w:r>
              <w:rPr>
                <w:rFonts w:hint="default" w:ascii="Times New Roman" w:hAnsi="Times New Roman" w:cs="Times New Roman"/>
                <w:b/>
                <w:bCs/>
                <w:color w:val="auto"/>
                <w:sz w:val="24"/>
                <w:highlight w:val="none"/>
                <w:lang w:val="en-US" w:eastAsia="zh-CN"/>
              </w:rPr>
              <w:t>2.5-4厂界无组织</w:t>
            </w:r>
            <w:r>
              <w:rPr>
                <w:rFonts w:hint="default" w:ascii="Times New Roman" w:hAnsi="Times New Roman" w:cs="Times New Roman"/>
                <w:b/>
                <w:bCs/>
                <w:color w:val="auto"/>
                <w:sz w:val="24"/>
                <w:highlight w:val="none"/>
              </w:rPr>
              <w:t>废气污染物</w:t>
            </w:r>
            <w:r>
              <w:rPr>
                <w:rFonts w:hint="default" w:ascii="Times New Roman" w:hAnsi="Times New Roman" w:cs="Times New Roman"/>
                <w:b/>
                <w:bCs/>
                <w:color w:val="auto"/>
                <w:sz w:val="24"/>
                <w:highlight w:val="none"/>
                <w:lang w:val="en-US" w:eastAsia="zh-CN"/>
              </w:rPr>
              <w:t>达标分析表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4"/>
              <w:gridCol w:w="1299"/>
              <w:gridCol w:w="1521"/>
              <w:gridCol w:w="1605"/>
              <w:gridCol w:w="1531"/>
            </w:tblGrid>
            <w:tr w14:paraId="3F2B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7" w:type="pct"/>
                  <w:vMerge w:val="restart"/>
                  <w:noWrap w:val="0"/>
                  <w:vAlign w:val="center"/>
                </w:tcPr>
                <w:p w14:paraId="43159F37">
                  <w:pPr>
                    <w:jc w:val="center"/>
                    <w:outlineLvl w:val="1"/>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监测点/执行标准</w:t>
                  </w:r>
                </w:p>
              </w:tc>
              <w:tc>
                <w:tcPr>
                  <w:tcW w:w="3532" w:type="pct"/>
                  <w:gridSpan w:val="4"/>
                  <w:noWrap w:val="0"/>
                  <w:vAlign w:val="center"/>
                </w:tcPr>
                <w:p w14:paraId="6594CED4">
                  <w:pPr>
                    <w:jc w:val="center"/>
                    <w:outlineLvl w:val="1"/>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监测结果（取最大值）</w:t>
                  </w:r>
                </w:p>
              </w:tc>
            </w:tr>
            <w:tr w14:paraId="4288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7" w:type="pct"/>
                  <w:vMerge w:val="continue"/>
                  <w:noWrap w:val="0"/>
                  <w:vAlign w:val="center"/>
                </w:tcPr>
                <w:p w14:paraId="47F67310">
                  <w:pPr>
                    <w:jc w:val="center"/>
                    <w:outlineLvl w:val="1"/>
                    <w:rPr>
                      <w:rFonts w:hint="default" w:ascii="Times New Roman" w:hAnsi="Times New Roman" w:cs="Times New Roman"/>
                      <w:b/>
                      <w:bCs/>
                      <w:color w:val="auto"/>
                      <w:szCs w:val="21"/>
                      <w:highlight w:val="none"/>
                    </w:rPr>
                  </w:pPr>
                </w:p>
              </w:tc>
              <w:tc>
                <w:tcPr>
                  <w:tcW w:w="770" w:type="pct"/>
                  <w:noWrap w:val="0"/>
                  <w:vAlign w:val="center"/>
                </w:tcPr>
                <w:p w14:paraId="0EA60C19">
                  <w:pPr>
                    <w:jc w:val="center"/>
                    <w:outlineLvl w:val="1"/>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氨mg/m</w:t>
                  </w:r>
                  <w:r>
                    <w:rPr>
                      <w:rFonts w:hint="default" w:ascii="Times New Roman" w:hAnsi="Times New Roman" w:cs="Times New Roman"/>
                      <w:b/>
                      <w:bCs/>
                      <w:color w:val="auto"/>
                      <w:szCs w:val="21"/>
                      <w:highlight w:val="none"/>
                      <w:vertAlign w:val="superscript"/>
                    </w:rPr>
                    <w:t>3</w:t>
                  </w:r>
                </w:p>
              </w:tc>
              <w:tc>
                <w:tcPr>
                  <w:tcW w:w="902" w:type="pct"/>
                  <w:noWrap w:val="0"/>
                  <w:vAlign w:val="center"/>
                </w:tcPr>
                <w:p w14:paraId="76B92CEF">
                  <w:pPr>
                    <w:jc w:val="center"/>
                    <w:outlineLvl w:val="1"/>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硫化氢mg/m</w:t>
                  </w:r>
                  <w:r>
                    <w:rPr>
                      <w:rFonts w:hint="default" w:ascii="Times New Roman" w:hAnsi="Times New Roman" w:cs="Times New Roman"/>
                      <w:b/>
                      <w:bCs/>
                      <w:color w:val="auto"/>
                      <w:szCs w:val="21"/>
                      <w:highlight w:val="none"/>
                      <w:vertAlign w:val="superscript"/>
                    </w:rPr>
                    <w:t>3</w:t>
                  </w:r>
                </w:p>
              </w:tc>
              <w:tc>
                <w:tcPr>
                  <w:tcW w:w="952" w:type="pct"/>
                  <w:noWrap w:val="0"/>
                  <w:vAlign w:val="center"/>
                </w:tcPr>
                <w:p w14:paraId="67B81EF4">
                  <w:pPr>
                    <w:jc w:val="center"/>
                    <w:outlineLvl w:val="1"/>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臭气浓度（无量纲）</w:t>
                  </w:r>
                </w:p>
              </w:tc>
              <w:tc>
                <w:tcPr>
                  <w:tcW w:w="907" w:type="pct"/>
                  <w:noWrap w:val="0"/>
                  <w:vAlign w:val="center"/>
                </w:tcPr>
                <w:p w14:paraId="480BDA8E">
                  <w:pPr>
                    <w:jc w:val="center"/>
                    <w:outlineLvl w:val="1"/>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val="en-US" w:eastAsia="zh-CN"/>
                    </w:rPr>
                    <w:t>非甲烷总烃</w:t>
                  </w:r>
                  <w:r>
                    <w:rPr>
                      <w:rFonts w:hint="default" w:ascii="Times New Roman" w:hAnsi="Times New Roman" w:cs="Times New Roman"/>
                      <w:b/>
                      <w:bCs/>
                      <w:color w:val="auto"/>
                      <w:szCs w:val="21"/>
                      <w:highlight w:val="none"/>
                    </w:rPr>
                    <w:t>mg/m</w:t>
                  </w:r>
                  <w:r>
                    <w:rPr>
                      <w:rFonts w:hint="default" w:ascii="Times New Roman" w:hAnsi="Times New Roman" w:cs="Times New Roman"/>
                      <w:b/>
                      <w:bCs/>
                      <w:color w:val="auto"/>
                      <w:szCs w:val="21"/>
                      <w:highlight w:val="none"/>
                      <w:vertAlign w:val="superscript"/>
                    </w:rPr>
                    <w:t>3</w:t>
                  </w:r>
                </w:p>
              </w:tc>
            </w:tr>
            <w:tr w14:paraId="3A7C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7" w:type="pct"/>
                  <w:noWrap w:val="0"/>
                  <w:vAlign w:val="center"/>
                </w:tcPr>
                <w:p w14:paraId="542A4993">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厂区大门处</w:t>
                  </w:r>
                </w:p>
              </w:tc>
              <w:tc>
                <w:tcPr>
                  <w:tcW w:w="770" w:type="pct"/>
                  <w:noWrap w:val="0"/>
                  <w:vAlign w:val="center"/>
                </w:tcPr>
                <w:p w14:paraId="3ADB8CB1">
                  <w:pPr>
                    <w:jc w:val="center"/>
                    <w:outlineLvl w:val="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0.42</w:t>
                  </w:r>
                </w:p>
              </w:tc>
              <w:tc>
                <w:tcPr>
                  <w:tcW w:w="902" w:type="pct"/>
                  <w:noWrap w:val="0"/>
                  <w:vAlign w:val="center"/>
                </w:tcPr>
                <w:p w14:paraId="210F1509">
                  <w:pPr>
                    <w:jc w:val="center"/>
                    <w:outlineLvl w:val="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0.010</w:t>
                  </w:r>
                </w:p>
              </w:tc>
              <w:tc>
                <w:tcPr>
                  <w:tcW w:w="952" w:type="pct"/>
                  <w:noWrap w:val="0"/>
                  <w:vAlign w:val="center"/>
                </w:tcPr>
                <w:p w14:paraId="43BA7006">
                  <w:pPr>
                    <w:jc w:val="center"/>
                    <w:outlineLvl w:val="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＜10</w:t>
                  </w:r>
                </w:p>
              </w:tc>
              <w:tc>
                <w:tcPr>
                  <w:tcW w:w="907" w:type="pct"/>
                  <w:noWrap w:val="0"/>
                  <w:vAlign w:val="center"/>
                </w:tcPr>
                <w:p w14:paraId="3E1D2726">
                  <w:pPr>
                    <w:jc w:val="center"/>
                    <w:outlineLvl w:val="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2.79</w:t>
                  </w:r>
                </w:p>
              </w:tc>
            </w:tr>
            <w:tr w14:paraId="6CB0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7" w:type="pct"/>
                  <w:noWrap w:val="0"/>
                  <w:vAlign w:val="center"/>
                </w:tcPr>
                <w:p w14:paraId="1B10377A">
                  <w:pPr>
                    <w:jc w:val="center"/>
                    <w:outlineLvl w:val="1"/>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《恶臭污染物排放标准》（GB14554-1993）</w:t>
                  </w:r>
                </w:p>
              </w:tc>
              <w:tc>
                <w:tcPr>
                  <w:tcW w:w="770" w:type="pct"/>
                  <w:noWrap w:val="0"/>
                  <w:vAlign w:val="center"/>
                </w:tcPr>
                <w:p w14:paraId="33D9F743">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w:t>
                  </w:r>
                </w:p>
              </w:tc>
              <w:tc>
                <w:tcPr>
                  <w:tcW w:w="902" w:type="pct"/>
                  <w:noWrap w:val="0"/>
                  <w:vAlign w:val="center"/>
                </w:tcPr>
                <w:p w14:paraId="09DA4A7B">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0.06</w:t>
                  </w:r>
                </w:p>
              </w:tc>
              <w:tc>
                <w:tcPr>
                  <w:tcW w:w="952" w:type="pct"/>
                  <w:noWrap w:val="0"/>
                  <w:vAlign w:val="center"/>
                </w:tcPr>
                <w:p w14:paraId="477C2903">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907" w:type="pct"/>
                  <w:noWrap w:val="0"/>
                  <w:vAlign w:val="center"/>
                </w:tcPr>
                <w:p w14:paraId="55C33456">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r>
            <w:tr w14:paraId="0260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7" w:type="pct"/>
                  <w:noWrap w:val="0"/>
                  <w:vAlign w:val="center"/>
                </w:tcPr>
                <w:p w14:paraId="32A51061">
                  <w:pPr>
                    <w:jc w:val="center"/>
                    <w:outlineLvl w:val="1"/>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《大气污染物综合排放标准》（DB50/418-2016）</w:t>
                  </w:r>
                </w:p>
              </w:tc>
              <w:tc>
                <w:tcPr>
                  <w:tcW w:w="770" w:type="pct"/>
                  <w:noWrap w:val="0"/>
                  <w:vAlign w:val="center"/>
                </w:tcPr>
                <w:p w14:paraId="1944E5A8">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902" w:type="pct"/>
                  <w:noWrap w:val="0"/>
                  <w:vAlign w:val="center"/>
                </w:tcPr>
                <w:p w14:paraId="2F1BC877">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952" w:type="pct"/>
                  <w:noWrap w:val="0"/>
                  <w:vAlign w:val="center"/>
                </w:tcPr>
                <w:p w14:paraId="1496FC37">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907" w:type="pct"/>
                  <w:noWrap w:val="0"/>
                  <w:vAlign w:val="center"/>
                </w:tcPr>
                <w:p w14:paraId="0A00D369">
                  <w:pPr>
                    <w:jc w:val="center"/>
                    <w:outlineLvl w:val="1"/>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w:t>
                  </w:r>
                </w:p>
              </w:tc>
            </w:tr>
            <w:tr w14:paraId="3206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7" w:type="pct"/>
                  <w:noWrap w:val="0"/>
                  <w:vAlign w:val="center"/>
                </w:tcPr>
                <w:p w14:paraId="3DB8AD25">
                  <w:pPr>
                    <w:jc w:val="center"/>
                    <w:outlineLvl w:val="1"/>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达标情况</w:t>
                  </w:r>
                </w:p>
              </w:tc>
              <w:tc>
                <w:tcPr>
                  <w:tcW w:w="770" w:type="pct"/>
                  <w:noWrap w:val="0"/>
                  <w:vAlign w:val="center"/>
                </w:tcPr>
                <w:p w14:paraId="146A3742">
                  <w:pPr>
                    <w:jc w:val="center"/>
                    <w:outlineLvl w:val="1"/>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w:t>
                  </w:r>
                </w:p>
              </w:tc>
              <w:tc>
                <w:tcPr>
                  <w:tcW w:w="902" w:type="pct"/>
                  <w:noWrap w:val="0"/>
                  <w:vAlign w:val="center"/>
                </w:tcPr>
                <w:p w14:paraId="11AB14EC">
                  <w:pPr>
                    <w:jc w:val="center"/>
                    <w:outlineLvl w:val="1"/>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w:t>
                  </w:r>
                </w:p>
              </w:tc>
              <w:tc>
                <w:tcPr>
                  <w:tcW w:w="952" w:type="pct"/>
                  <w:noWrap w:val="0"/>
                  <w:vAlign w:val="center"/>
                </w:tcPr>
                <w:p w14:paraId="0A8976B8">
                  <w:pPr>
                    <w:jc w:val="center"/>
                    <w:outlineLvl w:val="1"/>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w:t>
                  </w:r>
                </w:p>
              </w:tc>
              <w:tc>
                <w:tcPr>
                  <w:tcW w:w="907" w:type="pct"/>
                  <w:noWrap w:val="0"/>
                  <w:vAlign w:val="center"/>
                </w:tcPr>
                <w:p w14:paraId="3572A6D3">
                  <w:pPr>
                    <w:jc w:val="center"/>
                    <w:outlineLvl w:val="1"/>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w:t>
                  </w:r>
                </w:p>
              </w:tc>
            </w:tr>
          </w:tbl>
          <w:p w14:paraId="4D91800C">
            <w:pPr>
              <w:pStyle w:val="24"/>
              <w:keepNext w:val="0"/>
              <w:keepLines w:val="0"/>
              <w:pageBreakBefore w:val="0"/>
              <w:widowControl w:val="0"/>
              <w:kinsoku/>
              <w:wordWrap/>
              <w:overflowPunct w:val="0"/>
              <w:topLinePunct/>
              <w:autoSpaceDE/>
              <w:autoSpaceDN/>
              <w:bidi w:val="0"/>
              <w:adjustRightInd/>
              <w:snapToGrid/>
              <w:spacing w:line="460" w:lineRule="exact"/>
              <w:textAlignment w:val="auto"/>
              <w:outlineLvl w:val="1"/>
              <w:rPr>
                <w:rFonts w:hint="default" w:ascii="Times New Roman" w:hAnsi="Times New Roman" w:cs="Times New Roman"/>
                <w:color w:val="auto"/>
                <w:highlight w:val="none"/>
              </w:rPr>
            </w:pPr>
          </w:p>
        </w:tc>
      </w:tr>
    </w:tbl>
    <w:p w14:paraId="0BDE6755">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rPr>
        <w:sectPr>
          <w:pgSz w:w="11907" w:h="16840"/>
          <w:pgMar w:top="1701" w:right="1531" w:bottom="2127" w:left="1531" w:header="851" w:footer="1814"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12874"/>
      </w:tblGrid>
      <w:tr w14:paraId="7AD9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0" w:hRule="atLeast"/>
        </w:trPr>
        <w:tc>
          <w:tcPr>
            <w:tcW w:w="354" w:type="dxa"/>
            <w:noWrap w:val="0"/>
            <w:vAlign w:val="top"/>
          </w:tcPr>
          <w:p w14:paraId="553D35B3">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vertAlign w:val="baseline"/>
              </w:rPr>
            </w:pPr>
          </w:p>
        </w:tc>
        <w:tc>
          <w:tcPr>
            <w:tcW w:w="12874" w:type="dxa"/>
            <w:noWrap w:val="0"/>
            <w:vAlign w:val="top"/>
          </w:tcPr>
          <w:p w14:paraId="50F19932">
            <w:pPr>
              <w:jc w:val="center"/>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表2.</w:t>
            </w:r>
            <w:r>
              <w:rPr>
                <w:rFonts w:hint="default" w:ascii="Times New Roman" w:hAnsi="Times New Roman" w:cs="Times New Roman"/>
                <w:b/>
                <w:bCs/>
                <w:color w:val="auto"/>
                <w:sz w:val="24"/>
                <w:highlight w:val="none"/>
                <w:lang w:val="en-US" w:eastAsia="zh-CN"/>
              </w:rPr>
              <w:t>5-5</w:t>
            </w:r>
            <w:r>
              <w:rPr>
                <w:rFonts w:hint="default" w:ascii="Times New Roman" w:hAnsi="Times New Roman" w:cs="Times New Roman"/>
                <w:b/>
                <w:bCs/>
                <w:color w:val="auto"/>
                <w:sz w:val="24"/>
                <w:highlight w:val="none"/>
              </w:rPr>
              <w:t>现有</w:t>
            </w:r>
            <w:r>
              <w:rPr>
                <w:rFonts w:hint="default" w:ascii="Times New Roman" w:hAnsi="Times New Roman" w:cs="Times New Roman"/>
                <w:b/>
                <w:bCs/>
                <w:color w:val="auto"/>
                <w:sz w:val="24"/>
                <w:highlight w:val="none"/>
                <w:lang w:val="en-US" w:eastAsia="zh-CN"/>
              </w:rPr>
              <w:t>项目</w:t>
            </w:r>
            <w:r>
              <w:rPr>
                <w:rFonts w:hint="default" w:ascii="Times New Roman" w:hAnsi="Times New Roman" w:cs="Times New Roman"/>
                <w:b/>
                <w:bCs/>
                <w:color w:val="auto"/>
                <w:sz w:val="24"/>
                <w:highlight w:val="none"/>
              </w:rPr>
              <w:t>废气排放情况统计一览表</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456"/>
              <w:gridCol w:w="745"/>
              <w:gridCol w:w="1508"/>
              <w:gridCol w:w="660"/>
              <w:gridCol w:w="898"/>
              <w:gridCol w:w="1098"/>
              <w:gridCol w:w="852"/>
              <w:gridCol w:w="980"/>
              <w:gridCol w:w="1320"/>
              <w:gridCol w:w="1163"/>
              <w:gridCol w:w="2243"/>
            </w:tblGrid>
            <w:tr w14:paraId="5C27C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restart"/>
                  <w:tcBorders>
                    <w:left w:val="single" w:color="auto" w:sz="4" w:space="0"/>
                  </w:tcBorders>
                  <w:noWrap w:val="0"/>
                  <w:vAlign w:val="center"/>
                </w:tcPr>
                <w:p w14:paraId="282D8EF4">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排污口编号</w:t>
                  </w:r>
                </w:p>
              </w:tc>
              <w:tc>
                <w:tcPr>
                  <w:tcW w:w="180" w:type="pct"/>
                  <w:vMerge w:val="restart"/>
                  <w:noWrap w:val="0"/>
                  <w:vAlign w:val="center"/>
                </w:tcPr>
                <w:p w14:paraId="0AD4AEB8">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排放口名称</w:t>
                  </w:r>
                </w:p>
              </w:tc>
              <w:tc>
                <w:tcPr>
                  <w:tcW w:w="294" w:type="pct"/>
                  <w:vMerge w:val="restart"/>
                  <w:tcBorders>
                    <w:right w:val="single" w:color="auto" w:sz="4" w:space="0"/>
                  </w:tcBorders>
                  <w:noWrap w:val="0"/>
                  <w:vAlign w:val="center"/>
                </w:tcPr>
                <w:p w14:paraId="0480CAB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212" w:type="pct"/>
                  <w:gridSpan w:val="3"/>
                  <w:tcBorders>
                    <w:left w:val="single" w:color="auto" w:sz="4" w:space="0"/>
                    <w:bottom w:val="single" w:color="auto" w:sz="4" w:space="0"/>
                  </w:tcBorders>
                  <w:noWrap w:val="0"/>
                  <w:vAlign w:val="center"/>
                </w:tcPr>
                <w:p w14:paraId="70531B6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排放限值</w:t>
                  </w:r>
                </w:p>
              </w:tc>
              <w:tc>
                <w:tcPr>
                  <w:tcW w:w="771" w:type="pct"/>
                  <w:gridSpan w:val="2"/>
                  <w:tcBorders>
                    <w:left w:val="single" w:color="auto" w:sz="4" w:space="0"/>
                    <w:bottom w:val="single" w:color="auto" w:sz="4" w:space="0"/>
                  </w:tcBorders>
                  <w:noWrap w:val="0"/>
                  <w:vAlign w:val="center"/>
                </w:tcPr>
                <w:p w14:paraId="3652997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许可排放</w:t>
                  </w:r>
                </w:p>
              </w:tc>
              <w:tc>
                <w:tcPr>
                  <w:tcW w:w="909" w:type="pct"/>
                  <w:gridSpan w:val="2"/>
                  <w:tcBorders>
                    <w:left w:val="single" w:color="auto" w:sz="4" w:space="0"/>
                    <w:bottom w:val="single" w:color="auto" w:sz="4" w:space="0"/>
                  </w:tcBorders>
                  <w:noWrap w:val="0"/>
                  <w:vAlign w:val="center"/>
                </w:tcPr>
                <w:p w14:paraId="3958FB24">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实际</w:t>
                  </w:r>
                  <w:r>
                    <w:rPr>
                      <w:rFonts w:hint="default" w:ascii="Times New Roman" w:hAnsi="Times New Roman" w:cs="Times New Roman"/>
                      <w:color w:val="auto"/>
                      <w:sz w:val="21"/>
                      <w:szCs w:val="21"/>
                      <w:highlight w:val="none"/>
                      <w:lang w:val="en-US" w:eastAsia="zh-CN"/>
                    </w:rPr>
                    <w:t>排放情况</w:t>
                  </w:r>
                </w:p>
              </w:tc>
              <w:tc>
                <w:tcPr>
                  <w:tcW w:w="459" w:type="pct"/>
                  <w:tcBorders>
                    <w:left w:val="single" w:color="auto" w:sz="4" w:space="0"/>
                    <w:bottom w:val="single" w:color="auto" w:sz="4" w:space="0"/>
                  </w:tcBorders>
                  <w:noWrap w:val="0"/>
                  <w:vAlign w:val="center"/>
                </w:tcPr>
                <w:p w14:paraId="00D0FCDC">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排放情况</w:t>
                  </w:r>
                </w:p>
              </w:tc>
              <w:tc>
                <w:tcPr>
                  <w:tcW w:w="887" w:type="pct"/>
                  <w:vMerge w:val="restart"/>
                  <w:tcBorders>
                    <w:left w:val="single" w:color="auto" w:sz="4" w:space="0"/>
                  </w:tcBorders>
                  <w:noWrap w:val="0"/>
                  <w:vAlign w:val="center"/>
                </w:tcPr>
                <w:p w14:paraId="575B7942">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核算依据</w:t>
                  </w:r>
                </w:p>
              </w:tc>
            </w:tr>
            <w:tr w14:paraId="4694B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continue"/>
                  <w:tcBorders>
                    <w:left w:val="single" w:color="auto" w:sz="4" w:space="0"/>
                  </w:tcBorders>
                  <w:noWrap w:val="0"/>
                  <w:vAlign w:val="center"/>
                </w:tcPr>
                <w:p w14:paraId="6F83860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180" w:type="pct"/>
                  <w:vMerge w:val="continue"/>
                  <w:noWrap w:val="0"/>
                  <w:vAlign w:val="center"/>
                </w:tcPr>
                <w:p w14:paraId="7EAD4CDC">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vMerge w:val="continue"/>
                  <w:tcBorders>
                    <w:right w:val="single" w:color="auto" w:sz="4" w:space="0"/>
                  </w:tcBorders>
                  <w:noWrap w:val="0"/>
                  <w:vAlign w:val="center"/>
                </w:tcPr>
                <w:p w14:paraId="1D433E0E">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596" w:type="pct"/>
                  <w:tcBorders>
                    <w:top w:val="single" w:color="auto" w:sz="4" w:space="0"/>
                    <w:left w:val="single" w:color="auto" w:sz="4" w:space="0"/>
                    <w:right w:val="single" w:color="auto" w:sz="4" w:space="0"/>
                  </w:tcBorders>
                  <w:noWrap w:val="0"/>
                  <w:vAlign w:val="center"/>
                </w:tcPr>
                <w:p w14:paraId="65214BDE">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vertAlign w:val="superscript"/>
                    </w:rPr>
                  </w:pPr>
                  <w:r>
                    <w:rPr>
                      <w:rFonts w:hint="default" w:ascii="Times New Roman" w:hAnsi="Times New Roman" w:cs="Times New Roman"/>
                      <w:color w:val="auto"/>
                      <w:sz w:val="21"/>
                      <w:szCs w:val="21"/>
                      <w:highlight w:val="none"/>
                    </w:rPr>
                    <w:t>标准名称</w:t>
                  </w:r>
                </w:p>
              </w:tc>
              <w:tc>
                <w:tcPr>
                  <w:tcW w:w="261" w:type="pct"/>
                  <w:tcBorders>
                    <w:top w:val="single" w:color="auto" w:sz="4" w:space="0"/>
                    <w:left w:val="single" w:color="auto" w:sz="4" w:space="0"/>
                    <w:right w:val="single" w:color="auto" w:sz="4" w:space="0"/>
                  </w:tcBorders>
                  <w:noWrap w:val="0"/>
                  <w:vAlign w:val="center"/>
                </w:tcPr>
                <w:p w14:paraId="30FDFF7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w:t>
                  </w:r>
                </w:p>
                <w:p w14:paraId="53B69FF1">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vertAlign w:val="superscript"/>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355" w:type="pct"/>
                  <w:tcBorders>
                    <w:top w:val="single" w:color="auto" w:sz="4" w:space="0"/>
                    <w:left w:val="single" w:color="auto" w:sz="4" w:space="0"/>
                    <w:right w:val="single" w:color="auto" w:sz="4" w:space="0"/>
                  </w:tcBorders>
                  <w:noWrap w:val="0"/>
                  <w:vAlign w:val="center"/>
                </w:tcPr>
                <w:p w14:paraId="3C29242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速率</w:t>
                  </w:r>
                </w:p>
                <w:p w14:paraId="25A0B3A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（kg/h）</w:t>
                  </w:r>
                </w:p>
              </w:tc>
              <w:tc>
                <w:tcPr>
                  <w:tcW w:w="434" w:type="pct"/>
                  <w:tcBorders>
                    <w:top w:val="single" w:color="auto" w:sz="4" w:space="0"/>
                    <w:left w:val="single" w:color="auto" w:sz="4" w:space="0"/>
                    <w:right w:val="single" w:color="auto" w:sz="4" w:space="0"/>
                  </w:tcBorders>
                  <w:noWrap w:val="0"/>
                  <w:vAlign w:val="center"/>
                </w:tcPr>
                <w:p w14:paraId="27EDE16D">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浓度</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336" w:type="pct"/>
                  <w:tcBorders>
                    <w:top w:val="single" w:color="auto" w:sz="4" w:space="0"/>
                    <w:left w:val="single" w:color="auto" w:sz="4" w:space="0"/>
                    <w:right w:val="single" w:color="auto" w:sz="4" w:space="0"/>
                  </w:tcBorders>
                  <w:noWrap w:val="0"/>
                  <w:vAlign w:val="center"/>
                </w:tcPr>
                <w:p w14:paraId="7C590F84">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速率</w:t>
                  </w:r>
                </w:p>
                <w:p w14:paraId="1E5D7CE1">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（kg/h）</w:t>
                  </w:r>
                </w:p>
              </w:tc>
              <w:tc>
                <w:tcPr>
                  <w:tcW w:w="387" w:type="pct"/>
                  <w:tcBorders>
                    <w:top w:val="single" w:color="auto" w:sz="4" w:space="0"/>
                    <w:left w:val="single" w:color="auto" w:sz="4" w:space="0"/>
                    <w:right w:val="single" w:color="auto" w:sz="4" w:space="0"/>
                  </w:tcBorders>
                  <w:noWrap w:val="0"/>
                  <w:vAlign w:val="center"/>
                </w:tcPr>
                <w:p w14:paraId="02C5D8F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监测浓度mg/m</w:t>
                  </w:r>
                  <w:r>
                    <w:rPr>
                      <w:rFonts w:hint="default" w:ascii="Times New Roman" w:hAnsi="Times New Roman" w:cs="Times New Roman"/>
                      <w:color w:val="auto"/>
                      <w:sz w:val="21"/>
                      <w:szCs w:val="21"/>
                      <w:highlight w:val="none"/>
                      <w:vertAlign w:val="superscript"/>
                    </w:rPr>
                    <w:t>3</w:t>
                  </w:r>
                </w:p>
              </w:tc>
              <w:tc>
                <w:tcPr>
                  <w:tcW w:w="522" w:type="pct"/>
                  <w:tcBorders>
                    <w:top w:val="single" w:color="auto" w:sz="4" w:space="0"/>
                    <w:left w:val="single" w:color="auto" w:sz="4" w:space="0"/>
                  </w:tcBorders>
                  <w:noWrap w:val="0"/>
                  <w:vAlign w:val="center"/>
                </w:tcPr>
                <w:p w14:paraId="060BEFD6">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监测速率（kg/h）</w:t>
                  </w:r>
                </w:p>
              </w:tc>
              <w:tc>
                <w:tcPr>
                  <w:tcW w:w="459" w:type="pct"/>
                  <w:tcBorders>
                    <w:left w:val="single" w:color="auto" w:sz="4" w:space="0"/>
                  </w:tcBorders>
                  <w:noWrap w:val="0"/>
                  <w:vAlign w:val="center"/>
                </w:tcPr>
                <w:p w14:paraId="67F6751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c>
                <w:tcPr>
                  <w:tcW w:w="887" w:type="pct"/>
                  <w:vMerge w:val="continue"/>
                  <w:tcBorders>
                    <w:left w:val="single" w:color="auto" w:sz="4" w:space="0"/>
                  </w:tcBorders>
                  <w:noWrap w:val="0"/>
                  <w:vAlign w:val="center"/>
                </w:tcPr>
                <w:p w14:paraId="20E6F481">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r>
            <w:tr w14:paraId="78B84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restart"/>
                  <w:tcBorders>
                    <w:left w:val="single" w:color="auto" w:sz="4" w:space="0"/>
                  </w:tcBorders>
                  <w:noWrap w:val="0"/>
                  <w:vAlign w:val="center"/>
                </w:tcPr>
                <w:p w14:paraId="4B873CA1">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DA003</w:t>
                  </w:r>
                </w:p>
              </w:tc>
              <w:tc>
                <w:tcPr>
                  <w:tcW w:w="180" w:type="pct"/>
                  <w:vMerge w:val="restart"/>
                  <w:noWrap w:val="0"/>
                  <w:vAlign w:val="center"/>
                </w:tcPr>
                <w:p w14:paraId="5381B0B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锅炉废气排放口</w:t>
                  </w:r>
                </w:p>
              </w:tc>
              <w:tc>
                <w:tcPr>
                  <w:tcW w:w="294" w:type="pct"/>
                  <w:tcBorders>
                    <w:right w:val="single" w:color="auto" w:sz="4" w:space="0"/>
                  </w:tcBorders>
                  <w:noWrap w:val="0"/>
                  <w:vAlign w:val="center"/>
                </w:tcPr>
                <w:p w14:paraId="31C5985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596" w:type="pct"/>
                  <w:vMerge w:val="restart"/>
                  <w:tcBorders>
                    <w:left w:val="single" w:color="auto" w:sz="4" w:space="0"/>
                    <w:right w:val="single" w:color="auto" w:sz="4" w:space="0"/>
                  </w:tcBorders>
                  <w:noWrap w:val="0"/>
                  <w:vAlign w:val="center"/>
                </w:tcPr>
                <w:p w14:paraId="72E92B5F">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《锅炉大气污染物排放标准》（DB50/658－2016）及第1号修改单</w:t>
                  </w:r>
                </w:p>
              </w:tc>
              <w:tc>
                <w:tcPr>
                  <w:tcW w:w="261" w:type="pct"/>
                  <w:tcBorders>
                    <w:left w:val="single" w:color="auto" w:sz="4" w:space="0"/>
                    <w:right w:val="single" w:color="auto" w:sz="4" w:space="0"/>
                  </w:tcBorders>
                  <w:noWrap w:val="0"/>
                  <w:vAlign w:val="center"/>
                </w:tcPr>
                <w:p w14:paraId="09D7C1B8">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355" w:type="pct"/>
                  <w:tcBorders>
                    <w:left w:val="single" w:color="auto" w:sz="4" w:space="0"/>
                    <w:right w:val="single" w:color="auto" w:sz="4" w:space="0"/>
                  </w:tcBorders>
                  <w:noWrap w:val="0"/>
                  <w:vAlign w:val="center"/>
                </w:tcPr>
                <w:p w14:paraId="03C1BB5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4E9EF04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336" w:type="pct"/>
                  <w:tcBorders>
                    <w:left w:val="single" w:color="auto" w:sz="4" w:space="0"/>
                    <w:right w:val="single" w:color="auto" w:sz="4" w:space="0"/>
                  </w:tcBorders>
                  <w:noWrap w:val="0"/>
                  <w:vAlign w:val="center"/>
                </w:tcPr>
                <w:p w14:paraId="75F29B9E">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62B39E3E">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5.6~5.9</w:t>
                  </w:r>
                </w:p>
              </w:tc>
              <w:tc>
                <w:tcPr>
                  <w:tcW w:w="522" w:type="pct"/>
                  <w:tcBorders>
                    <w:left w:val="single" w:color="auto" w:sz="4" w:space="0"/>
                  </w:tcBorders>
                  <w:noWrap w:val="0"/>
                  <w:vAlign w:val="center"/>
                </w:tcPr>
                <w:p w14:paraId="24B4F83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7.73×10</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~9.19×10</w:t>
                  </w:r>
                  <w:r>
                    <w:rPr>
                      <w:rFonts w:hint="default" w:ascii="Times New Roman" w:hAnsi="Times New Roman" w:cs="Times New Roman"/>
                      <w:color w:val="auto"/>
                      <w:sz w:val="21"/>
                      <w:szCs w:val="21"/>
                      <w:highlight w:val="none"/>
                      <w:vertAlign w:val="superscript"/>
                      <w:lang w:val="en-US" w:eastAsia="zh-CN"/>
                    </w:rPr>
                    <w:t>-3</w:t>
                  </w:r>
                </w:p>
              </w:tc>
              <w:tc>
                <w:tcPr>
                  <w:tcW w:w="459" w:type="pct"/>
                  <w:tcBorders>
                    <w:left w:val="single" w:color="auto" w:sz="4" w:space="0"/>
                  </w:tcBorders>
                  <w:noWrap w:val="0"/>
                  <w:vAlign w:val="center"/>
                </w:tcPr>
                <w:p w14:paraId="14F2793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0.066</w:t>
                  </w:r>
                </w:p>
              </w:tc>
              <w:tc>
                <w:tcPr>
                  <w:tcW w:w="887" w:type="pct"/>
                  <w:vMerge w:val="restart"/>
                  <w:tcBorders>
                    <w:left w:val="single" w:color="auto" w:sz="4" w:space="0"/>
                  </w:tcBorders>
                  <w:noWrap w:val="0"/>
                  <w:vAlign w:val="center"/>
                </w:tcPr>
                <w:p w14:paraId="7D9A81C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2025年2月例行监测，报告编号：永渝（检）字[2025]第WT00036号，生产负荷99.5%</w:t>
                  </w:r>
                </w:p>
              </w:tc>
            </w:tr>
            <w:tr w14:paraId="161E1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continue"/>
                  <w:tcBorders>
                    <w:left w:val="single" w:color="auto" w:sz="4" w:space="0"/>
                  </w:tcBorders>
                  <w:noWrap w:val="0"/>
                  <w:vAlign w:val="center"/>
                </w:tcPr>
                <w:p w14:paraId="54BEFFB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180" w:type="pct"/>
                  <w:vMerge w:val="continue"/>
                  <w:noWrap w:val="0"/>
                  <w:vAlign w:val="center"/>
                </w:tcPr>
                <w:p w14:paraId="5159737E">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right w:val="single" w:color="auto" w:sz="4" w:space="0"/>
                  </w:tcBorders>
                  <w:noWrap w:val="0"/>
                  <w:vAlign w:val="center"/>
                </w:tcPr>
                <w:p w14:paraId="4DF31291">
                  <w:pPr>
                    <w:pStyle w:val="54"/>
                    <w:keepNext w:val="0"/>
                    <w:keepLines w:val="0"/>
                    <w:pageBreakBefore w:val="0"/>
                    <w:widowControl w:val="0"/>
                    <w:kinsoku/>
                    <w:wordWrap/>
                    <w:overflowPunct/>
                    <w:topLinePunct w:val="0"/>
                    <w:autoSpaceDE/>
                    <w:autoSpaceDN/>
                    <w:bidi w:val="0"/>
                    <w:adjustRightInd/>
                    <w:snapToGrid/>
                    <w:spacing w:line="240" w:lineRule="auto"/>
                    <w:ind w:left="-57" w:right="-57"/>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596" w:type="pct"/>
                  <w:vMerge w:val="continue"/>
                  <w:tcBorders>
                    <w:left w:val="single" w:color="auto" w:sz="4" w:space="0"/>
                    <w:right w:val="single" w:color="auto" w:sz="4" w:space="0"/>
                  </w:tcBorders>
                  <w:noWrap w:val="0"/>
                  <w:vAlign w:val="center"/>
                </w:tcPr>
                <w:p w14:paraId="490062F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snapToGrid w:val="0"/>
                      <w:color w:val="auto"/>
                      <w:kern w:val="0"/>
                      <w:sz w:val="21"/>
                      <w:szCs w:val="21"/>
                      <w:highlight w:val="none"/>
                    </w:rPr>
                  </w:pPr>
                </w:p>
              </w:tc>
              <w:tc>
                <w:tcPr>
                  <w:tcW w:w="261" w:type="pct"/>
                  <w:tcBorders>
                    <w:left w:val="single" w:color="auto" w:sz="4" w:space="0"/>
                    <w:right w:val="single" w:color="auto" w:sz="4" w:space="0"/>
                  </w:tcBorders>
                  <w:noWrap w:val="0"/>
                  <w:vAlign w:val="center"/>
                </w:tcPr>
                <w:p w14:paraId="4997E8A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355" w:type="pct"/>
                  <w:tcBorders>
                    <w:left w:val="single" w:color="auto" w:sz="4" w:space="0"/>
                    <w:right w:val="single" w:color="auto" w:sz="4" w:space="0"/>
                  </w:tcBorders>
                  <w:noWrap w:val="0"/>
                  <w:vAlign w:val="center"/>
                </w:tcPr>
                <w:p w14:paraId="0CDBF51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42818FEC">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336" w:type="pct"/>
                  <w:tcBorders>
                    <w:left w:val="single" w:color="auto" w:sz="4" w:space="0"/>
                    <w:right w:val="single" w:color="auto" w:sz="4" w:space="0"/>
                  </w:tcBorders>
                  <w:noWrap w:val="0"/>
                  <w:vAlign w:val="center"/>
                </w:tcPr>
                <w:p w14:paraId="50254BE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59910B66">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vertAlign w:val="superscript"/>
                      <w:lang w:val="en-US" w:eastAsia="zh-CN"/>
                    </w:rPr>
                  </w:pPr>
                  <w:r>
                    <w:rPr>
                      <w:rFonts w:hint="default" w:ascii="Times New Roman" w:hAnsi="Times New Roman" w:cs="Times New Roman"/>
                      <w:color w:val="auto"/>
                      <w:sz w:val="21"/>
                      <w:szCs w:val="21"/>
                      <w:highlight w:val="none"/>
                      <w:lang w:val="en-US" w:eastAsia="zh-CN"/>
                    </w:rPr>
                    <w:t>3L</w:t>
                  </w:r>
                </w:p>
              </w:tc>
              <w:tc>
                <w:tcPr>
                  <w:tcW w:w="522" w:type="pct"/>
                  <w:tcBorders>
                    <w:left w:val="single" w:color="auto" w:sz="4" w:space="0"/>
                  </w:tcBorders>
                  <w:noWrap w:val="0"/>
                  <w:vAlign w:val="center"/>
                </w:tcPr>
                <w:p w14:paraId="391A07E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vertAlign w:val="superscript"/>
                      <w:lang w:val="en-US" w:eastAsia="zh-CN"/>
                    </w:rPr>
                  </w:pPr>
                  <w:r>
                    <w:rPr>
                      <w:rFonts w:hint="default" w:ascii="Times New Roman" w:hAnsi="Times New Roman" w:cs="Times New Roman"/>
                      <w:color w:val="auto"/>
                      <w:sz w:val="21"/>
                      <w:szCs w:val="21"/>
                      <w:highlight w:val="none"/>
                      <w:lang w:val="en-US" w:eastAsia="zh-CN"/>
                    </w:rPr>
                    <w:t>N</w:t>
                  </w:r>
                </w:p>
              </w:tc>
              <w:tc>
                <w:tcPr>
                  <w:tcW w:w="459" w:type="pct"/>
                  <w:tcBorders>
                    <w:left w:val="single" w:color="auto" w:sz="4" w:space="0"/>
                  </w:tcBorders>
                  <w:noWrap w:val="0"/>
                  <w:vAlign w:val="center"/>
                </w:tcPr>
                <w:p w14:paraId="3A72FF2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87" w:type="pct"/>
                  <w:vMerge w:val="continue"/>
                  <w:tcBorders>
                    <w:left w:val="single" w:color="auto" w:sz="4" w:space="0"/>
                  </w:tcBorders>
                  <w:noWrap w:val="0"/>
                  <w:vAlign w:val="center"/>
                </w:tcPr>
                <w:p w14:paraId="3D9CB1B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p>
              </w:tc>
            </w:tr>
            <w:tr w14:paraId="50BCE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continue"/>
                  <w:tcBorders>
                    <w:left w:val="single" w:color="auto" w:sz="4" w:space="0"/>
                  </w:tcBorders>
                  <w:noWrap w:val="0"/>
                  <w:vAlign w:val="center"/>
                </w:tcPr>
                <w:p w14:paraId="5B8F069B">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180" w:type="pct"/>
                  <w:vMerge w:val="continue"/>
                  <w:noWrap w:val="0"/>
                  <w:vAlign w:val="center"/>
                </w:tcPr>
                <w:p w14:paraId="00DBA128">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right w:val="single" w:color="auto" w:sz="4" w:space="0"/>
                  </w:tcBorders>
                  <w:noWrap w:val="0"/>
                  <w:vAlign w:val="center"/>
                </w:tcPr>
                <w:p w14:paraId="2E03BB4E">
                  <w:pPr>
                    <w:pStyle w:val="54"/>
                    <w:keepNext w:val="0"/>
                    <w:keepLines w:val="0"/>
                    <w:pageBreakBefore w:val="0"/>
                    <w:widowControl w:val="0"/>
                    <w:kinsoku/>
                    <w:wordWrap/>
                    <w:overflowPunct/>
                    <w:topLinePunct w:val="0"/>
                    <w:autoSpaceDE/>
                    <w:autoSpaceDN/>
                    <w:bidi w:val="0"/>
                    <w:adjustRightInd/>
                    <w:snapToGrid/>
                    <w:spacing w:line="240" w:lineRule="auto"/>
                    <w:ind w:left="-57" w:right="-57"/>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596" w:type="pct"/>
                  <w:vMerge w:val="continue"/>
                  <w:tcBorders>
                    <w:left w:val="single" w:color="auto" w:sz="4" w:space="0"/>
                    <w:right w:val="single" w:color="auto" w:sz="4" w:space="0"/>
                  </w:tcBorders>
                  <w:noWrap w:val="0"/>
                  <w:vAlign w:val="center"/>
                </w:tcPr>
                <w:p w14:paraId="75F4AF7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snapToGrid w:val="0"/>
                      <w:color w:val="auto"/>
                      <w:kern w:val="0"/>
                      <w:sz w:val="21"/>
                      <w:szCs w:val="21"/>
                      <w:highlight w:val="none"/>
                    </w:rPr>
                  </w:pPr>
                </w:p>
              </w:tc>
              <w:tc>
                <w:tcPr>
                  <w:tcW w:w="261" w:type="pct"/>
                  <w:tcBorders>
                    <w:left w:val="single" w:color="auto" w:sz="4" w:space="0"/>
                    <w:right w:val="single" w:color="auto" w:sz="4" w:space="0"/>
                  </w:tcBorders>
                  <w:noWrap w:val="0"/>
                  <w:vAlign w:val="center"/>
                </w:tcPr>
                <w:p w14:paraId="0EF501A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355" w:type="pct"/>
                  <w:tcBorders>
                    <w:left w:val="single" w:color="auto" w:sz="4" w:space="0"/>
                    <w:right w:val="single" w:color="auto" w:sz="4" w:space="0"/>
                  </w:tcBorders>
                  <w:noWrap w:val="0"/>
                  <w:vAlign w:val="center"/>
                </w:tcPr>
                <w:p w14:paraId="20BCE1CF">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4B15B22B">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336" w:type="pct"/>
                  <w:tcBorders>
                    <w:left w:val="single" w:color="auto" w:sz="4" w:space="0"/>
                    <w:right w:val="single" w:color="auto" w:sz="4" w:space="0"/>
                  </w:tcBorders>
                  <w:noWrap w:val="0"/>
                  <w:vAlign w:val="center"/>
                </w:tcPr>
                <w:p w14:paraId="7B094DE8">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6D0332E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27~28</w:t>
                  </w:r>
                </w:p>
              </w:tc>
              <w:tc>
                <w:tcPr>
                  <w:tcW w:w="522" w:type="pct"/>
                  <w:tcBorders>
                    <w:left w:val="single" w:color="auto" w:sz="4" w:space="0"/>
                    <w:bottom w:val="single" w:color="auto" w:sz="4" w:space="0"/>
                  </w:tcBorders>
                  <w:noWrap w:val="0"/>
                  <w:vAlign w:val="center"/>
                </w:tcPr>
                <w:p w14:paraId="1C2DEB4F">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w:t>
                  </w:r>
                </w:p>
              </w:tc>
              <w:tc>
                <w:tcPr>
                  <w:tcW w:w="459" w:type="pct"/>
                  <w:tcBorders>
                    <w:left w:val="single" w:color="auto" w:sz="4" w:space="0"/>
                    <w:bottom w:val="single" w:color="auto" w:sz="4" w:space="0"/>
                  </w:tcBorders>
                  <w:noWrap w:val="0"/>
                  <w:vAlign w:val="center"/>
                </w:tcPr>
                <w:p w14:paraId="794D1E22">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0.288</w:t>
                  </w:r>
                </w:p>
              </w:tc>
              <w:tc>
                <w:tcPr>
                  <w:tcW w:w="887" w:type="pct"/>
                  <w:vMerge w:val="continue"/>
                  <w:tcBorders>
                    <w:left w:val="single" w:color="auto" w:sz="4" w:space="0"/>
                    <w:bottom w:val="single" w:color="auto" w:sz="4" w:space="0"/>
                  </w:tcBorders>
                  <w:noWrap w:val="0"/>
                  <w:vAlign w:val="center"/>
                </w:tcPr>
                <w:p w14:paraId="28AB5C6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p>
              </w:tc>
            </w:tr>
            <w:tr w14:paraId="1F34E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restart"/>
                  <w:noWrap w:val="0"/>
                  <w:vAlign w:val="center"/>
                </w:tcPr>
                <w:p w14:paraId="66C47F0E">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DA001</w:t>
                  </w:r>
                </w:p>
              </w:tc>
              <w:tc>
                <w:tcPr>
                  <w:tcW w:w="180" w:type="pct"/>
                  <w:vMerge w:val="restart"/>
                  <w:noWrap w:val="0"/>
                  <w:vAlign w:val="center"/>
                </w:tcPr>
                <w:p w14:paraId="59095442">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精炼废气排放口</w:t>
                  </w:r>
                </w:p>
              </w:tc>
              <w:tc>
                <w:tcPr>
                  <w:tcW w:w="294" w:type="pct"/>
                  <w:tcBorders>
                    <w:top w:val="single" w:color="auto" w:sz="4" w:space="0"/>
                    <w:bottom w:val="single" w:color="auto" w:sz="4" w:space="0"/>
                    <w:right w:val="single" w:color="auto" w:sz="4" w:space="0"/>
                  </w:tcBorders>
                  <w:noWrap w:val="0"/>
                  <w:vAlign w:val="center"/>
                </w:tcPr>
                <w:p w14:paraId="47DA0FC6">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00378B3F">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《大气污染物综合排放标准》（DB50/418-2016）</w:t>
                  </w:r>
                </w:p>
              </w:tc>
              <w:tc>
                <w:tcPr>
                  <w:tcW w:w="261" w:type="pct"/>
                  <w:tcBorders>
                    <w:left w:val="single" w:color="auto" w:sz="4" w:space="0"/>
                    <w:right w:val="single" w:color="auto" w:sz="4" w:space="0"/>
                  </w:tcBorders>
                  <w:noWrap w:val="0"/>
                  <w:vAlign w:val="center"/>
                </w:tcPr>
                <w:p w14:paraId="1512A8C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c>
                <w:tcPr>
                  <w:tcW w:w="355" w:type="pct"/>
                  <w:tcBorders>
                    <w:left w:val="single" w:color="auto" w:sz="4" w:space="0"/>
                    <w:right w:val="single" w:color="auto" w:sz="4" w:space="0"/>
                  </w:tcBorders>
                  <w:noWrap w:val="0"/>
                  <w:vAlign w:val="center"/>
                </w:tcPr>
                <w:p w14:paraId="1B715BD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76.5</w:t>
                  </w:r>
                </w:p>
              </w:tc>
              <w:tc>
                <w:tcPr>
                  <w:tcW w:w="434" w:type="pct"/>
                  <w:tcBorders>
                    <w:left w:val="single" w:color="auto" w:sz="4" w:space="0"/>
                    <w:right w:val="single" w:color="auto" w:sz="4" w:space="0"/>
                  </w:tcBorders>
                  <w:noWrap w:val="0"/>
                  <w:vAlign w:val="center"/>
                </w:tcPr>
                <w:p w14:paraId="7D981D3E">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336" w:type="pct"/>
                  <w:tcBorders>
                    <w:left w:val="single" w:color="auto" w:sz="4" w:space="0"/>
                    <w:right w:val="single" w:color="auto" w:sz="4" w:space="0"/>
                  </w:tcBorders>
                  <w:noWrap w:val="0"/>
                  <w:vAlign w:val="center"/>
                </w:tcPr>
                <w:p w14:paraId="11B8CA4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87" w:type="pct"/>
                  <w:tcBorders>
                    <w:left w:val="single" w:color="auto" w:sz="4" w:space="0"/>
                    <w:right w:val="single" w:color="auto" w:sz="4" w:space="0"/>
                  </w:tcBorders>
                  <w:noWrap w:val="0"/>
                  <w:vAlign w:val="center"/>
                </w:tcPr>
                <w:p w14:paraId="05D3A08E">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66.8~84.0</w:t>
                  </w:r>
                </w:p>
              </w:tc>
              <w:tc>
                <w:tcPr>
                  <w:tcW w:w="522" w:type="pct"/>
                  <w:tcBorders>
                    <w:top w:val="single" w:color="auto" w:sz="4" w:space="0"/>
                    <w:left w:val="single" w:color="auto" w:sz="4" w:space="0"/>
                  </w:tcBorders>
                  <w:noWrap w:val="0"/>
                  <w:vAlign w:val="center"/>
                </w:tcPr>
                <w:p w14:paraId="2B7E6582">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7.97×10</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~9.91×10</w:t>
                  </w:r>
                  <w:r>
                    <w:rPr>
                      <w:rFonts w:hint="default" w:ascii="Times New Roman" w:hAnsi="Times New Roman" w:cs="Times New Roman"/>
                      <w:color w:val="auto"/>
                      <w:sz w:val="21"/>
                      <w:szCs w:val="21"/>
                      <w:highlight w:val="none"/>
                      <w:vertAlign w:val="superscript"/>
                      <w:lang w:val="en-US" w:eastAsia="zh-CN"/>
                    </w:rPr>
                    <w:t>-2</w:t>
                  </w:r>
                </w:p>
              </w:tc>
              <w:tc>
                <w:tcPr>
                  <w:tcW w:w="459" w:type="pct"/>
                  <w:tcBorders>
                    <w:top w:val="single" w:color="auto" w:sz="4" w:space="0"/>
                    <w:left w:val="single" w:color="auto" w:sz="4" w:space="0"/>
                  </w:tcBorders>
                  <w:noWrap w:val="0"/>
                  <w:vAlign w:val="center"/>
                </w:tcPr>
                <w:p w14:paraId="43D53668">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0.623</w:t>
                  </w:r>
                </w:p>
              </w:tc>
              <w:tc>
                <w:tcPr>
                  <w:tcW w:w="887" w:type="pct"/>
                  <w:vMerge w:val="restart"/>
                  <w:tcBorders>
                    <w:top w:val="single" w:color="auto" w:sz="4" w:space="0"/>
                    <w:left w:val="single" w:color="auto" w:sz="4" w:space="0"/>
                  </w:tcBorders>
                  <w:noWrap w:val="0"/>
                  <w:vAlign w:val="center"/>
                </w:tcPr>
                <w:p w14:paraId="73CB95C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2025年12月例行监测，报告编号：XPJ20250365-1，生产负荷100%</w:t>
                  </w:r>
                </w:p>
              </w:tc>
            </w:tr>
            <w:tr w14:paraId="7ACA7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58E75D51">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180" w:type="pct"/>
                  <w:vMerge w:val="continue"/>
                  <w:noWrap w:val="0"/>
                  <w:vAlign w:val="center"/>
                </w:tcPr>
                <w:p w14:paraId="3AE4695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top w:val="single" w:color="auto" w:sz="4" w:space="0"/>
                    <w:bottom w:val="single" w:color="auto" w:sz="4" w:space="0"/>
                    <w:right w:val="single" w:color="auto" w:sz="4" w:space="0"/>
                  </w:tcBorders>
                  <w:noWrap w:val="0"/>
                  <w:vAlign w:val="center"/>
                </w:tcPr>
                <w:p w14:paraId="0F73A96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臭气浓度</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6A32DDF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《恶臭污染物排放标准》（GB14554-1993）</w:t>
                  </w:r>
                </w:p>
              </w:tc>
              <w:tc>
                <w:tcPr>
                  <w:tcW w:w="261" w:type="pct"/>
                  <w:tcBorders>
                    <w:left w:val="single" w:color="auto" w:sz="4" w:space="0"/>
                    <w:right w:val="single" w:color="auto" w:sz="4" w:space="0"/>
                  </w:tcBorders>
                  <w:noWrap w:val="0"/>
                  <w:vAlign w:val="center"/>
                </w:tcPr>
                <w:p w14:paraId="7A357BE4">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1500（无量纲）</w:t>
                  </w:r>
                </w:p>
              </w:tc>
              <w:tc>
                <w:tcPr>
                  <w:tcW w:w="355" w:type="pct"/>
                  <w:tcBorders>
                    <w:left w:val="single" w:color="auto" w:sz="4" w:space="0"/>
                    <w:right w:val="single" w:color="auto" w:sz="4" w:space="0"/>
                  </w:tcBorders>
                  <w:noWrap w:val="0"/>
                  <w:vAlign w:val="center"/>
                </w:tcPr>
                <w:p w14:paraId="16B88CA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683EF7A6">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1500</w:t>
                  </w:r>
                </w:p>
              </w:tc>
              <w:tc>
                <w:tcPr>
                  <w:tcW w:w="336" w:type="pct"/>
                  <w:tcBorders>
                    <w:left w:val="single" w:color="auto" w:sz="4" w:space="0"/>
                    <w:right w:val="single" w:color="auto" w:sz="4" w:space="0"/>
                  </w:tcBorders>
                  <w:noWrap w:val="0"/>
                  <w:vAlign w:val="center"/>
                </w:tcPr>
                <w:p w14:paraId="3FFC5FC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3D376548">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851~1122（无量纲）</w:t>
                  </w:r>
                </w:p>
              </w:tc>
              <w:tc>
                <w:tcPr>
                  <w:tcW w:w="522" w:type="pct"/>
                  <w:tcBorders>
                    <w:left w:val="single" w:color="auto" w:sz="4" w:space="0"/>
                  </w:tcBorders>
                  <w:noWrap w:val="0"/>
                  <w:vAlign w:val="center"/>
                </w:tcPr>
                <w:p w14:paraId="05691E7F">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59" w:type="pct"/>
                  <w:tcBorders>
                    <w:left w:val="single" w:color="auto" w:sz="4" w:space="0"/>
                  </w:tcBorders>
                  <w:noWrap w:val="0"/>
                  <w:vAlign w:val="center"/>
                </w:tcPr>
                <w:p w14:paraId="2B0E428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887" w:type="pct"/>
                  <w:vMerge w:val="continue"/>
                  <w:tcBorders>
                    <w:left w:val="single" w:color="auto" w:sz="4" w:space="0"/>
                  </w:tcBorders>
                  <w:noWrap w:val="0"/>
                  <w:vAlign w:val="center"/>
                </w:tcPr>
                <w:p w14:paraId="5150A84D">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p>
              </w:tc>
            </w:tr>
            <w:tr w14:paraId="5F817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restart"/>
                  <w:noWrap w:val="0"/>
                  <w:vAlign w:val="center"/>
                </w:tcPr>
                <w:p w14:paraId="7E00AF9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DA004</w:t>
                  </w:r>
                </w:p>
              </w:tc>
              <w:tc>
                <w:tcPr>
                  <w:tcW w:w="180" w:type="pct"/>
                  <w:vMerge w:val="restart"/>
                  <w:noWrap w:val="0"/>
                  <w:vAlign w:val="center"/>
                </w:tcPr>
                <w:p w14:paraId="3C6DBC3D">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污水处理站</w:t>
                  </w:r>
                </w:p>
              </w:tc>
              <w:tc>
                <w:tcPr>
                  <w:tcW w:w="294" w:type="pct"/>
                  <w:tcBorders>
                    <w:top w:val="single" w:color="auto" w:sz="4" w:space="0"/>
                    <w:bottom w:val="single" w:color="auto" w:sz="4" w:space="0"/>
                    <w:right w:val="single" w:color="auto" w:sz="4" w:space="0"/>
                  </w:tcBorders>
                  <w:noWrap w:val="0"/>
                  <w:vAlign w:val="center"/>
                </w:tcPr>
                <w:p w14:paraId="21B00FF6">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氨</w:t>
                  </w:r>
                </w:p>
              </w:tc>
              <w:tc>
                <w:tcPr>
                  <w:tcW w:w="596" w:type="pct"/>
                  <w:vMerge w:val="restart"/>
                  <w:tcBorders>
                    <w:top w:val="single" w:color="auto" w:sz="4" w:space="0"/>
                    <w:left w:val="single" w:color="auto" w:sz="4" w:space="0"/>
                    <w:right w:val="single" w:color="auto" w:sz="4" w:space="0"/>
                  </w:tcBorders>
                  <w:noWrap w:val="0"/>
                  <w:vAlign w:val="center"/>
                </w:tcPr>
                <w:p w14:paraId="6E4B8154">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《恶臭污染物排放标准》（GB14554-1993）</w:t>
                  </w:r>
                </w:p>
              </w:tc>
              <w:tc>
                <w:tcPr>
                  <w:tcW w:w="261" w:type="pct"/>
                  <w:tcBorders>
                    <w:left w:val="single" w:color="auto" w:sz="4" w:space="0"/>
                    <w:right w:val="single" w:color="auto" w:sz="4" w:space="0"/>
                  </w:tcBorders>
                  <w:noWrap w:val="0"/>
                  <w:vAlign w:val="center"/>
                </w:tcPr>
                <w:p w14:paraId="08CE385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55" w:type="pct"/>
                  <w:tcBorders>
                    <w:left w:val="single" w:color="auto" w:sz="4" w:space="0"/>
                    <w:right w:val="single" w:color="auto" w:sz="4" w:space="0"/>
                  </w:tcBorders>
                  <w:noWrap w:val="0"/>
                  <w:vAlign w:val="center"/>
                </w:tcPr>
                <w:p w14:paraId="7D135C9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w:t>
                  </w:r>
                </w:p>
              </w:tc>
              <w:tc>
                <w:tcPr>
                  <w:tcW w:w="434" w:type="pct"/>
                  <w:tcBorders>
                    <w:left w:val="single" w:color="auto" w:sz="4" w:space="0"/>
                    <w:right w:val="single" w:color="auto" w:sz="4" w:space="0"/>
                  </w:tcBorders>
                  <w:noWrap w:val="0"/>
                  <w:vAlign w:val="center"/>
                </w:tcPr>
                <w:p w14:paraId="3AF51CC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6" w:type="pct"/>
                  <w:tcBorders>
                    <w:left w:val="single" w:color="auto" w:sz="4" w:space="0"/>
                    <w:right w:val="single" w:color="auto" w:sz="4" w:space="0"/>
                  </w:tcBorders>
                  <w:noWrap w:val="0"/>
                  <w:vAlign w:val="center"/>
                </w:tcPr>
                <w:p w14:paraId="640DD04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4.9</w:t>
                  </w:r>
                </w:p>
              </w:tc>
              <w:tc>
                <w:tcPr>
                  <w:tcW w:w="387" w:type="pct"/>
                  <w:tcBorders>
                    <w:left w:val="single" w:color="auto" w:sz="4" w:space="0"/>
                    <w:right w:val="single" w:color="auto" w:sz="4" w:space="0"/>
                  </w:tcBorders>
                  <w:noWrap w:val="0"/>
                  <w:vAlign w:val="center"/>
                </w:tcPr>
                <w:p w14:paraId="6E14584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0.86~0.96</w:t>
                  </w:r>
                </w:p>
              </w:tc>
              <w:tc>
                <w:tcPr>
                  <w:tcW w:w="522" w:type="pct"/>
                  <w:tcBorders>
                    <w:left w:val="single" w:color="auto" w:sz="4" w:space="0"/>
                  </w:tcBorders>
                  <w:noWrap w:val="0"/>
                  <w:vAlign w:val="center"/>
                </w:tcPr>
                <w:p w14:paraId="78A60FF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2.68×10</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~3.07×10</w:t>
                  </w:r>
                  <w:r>
                    <w:rPr>
                      <w:rFonts w:hint="default" w:ascii="Times New Roman" w:hAnsi="Times New Roman" w:cs="Times New Roman"/>
                      <w:color w:val="auto"/>
                      <w:sz w:val="21"/>
                      <w:szCs w:val="21"/>
                      <w:highlight w:val="none"/>
                      <w:vertAlign w:val="superscript"/>
                      <w:lang w:val="en-US" w:eastAsia="zh-CN"/>
                    </w:rPr>
                    <w:t>-3</w:t>
                  </w:r>
                </w:p>
              </w:tc>
              <w:tc>
                <w:tcPr>
                  <w:tcW w:w="459" w:type="pct"/>
                  <w:tcBorders>
                    <w:left w:val="single" w:color="auto" w:sz="4" w:space="0"/>
                  </w:tcBorders>
                  <w:noWrap w:val="0"/>
                  <w:vAlign w:val="center"/>
                </w:tcPr>
                <w:p w14:paraId="0D2431EF">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0.023</w:t>
                  </w:r>
                </w:p>
              </w:tc>
              <w:tc>
                <w:tcPr>
                  <w:tcW w:w="887" w:type="pct"/>
                  <w:vMerge w:val="restart"/>
                  <w:tcBorders>
                    <w:left w:val="single" w:color="auto" w:sz="4" w:space="0"/>
                  </w:tcBorders>
                  <w:noWrap w:val="0"/>
                  <w:vAlign w:val="center"/>
                </w:tcPr>
                <w:p w14:paraId="0D0B32F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2025年5月例行监测，报告编号：永渝（检）字[2025]第WT00189号，生产负荷87.5%</w:t>
                  </w:r>
                </w:p>
              </w:tc>
            </w:tr>
            <w:tr w14:paraId="1A39C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16F48AA6">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180" w:type="pct"/>
                  <w:vMerge w:val="continue"/>
                  <w:noWrap w:val="0"/>
                  <w:vAlign w:val="center"/>
                </w:tcPr>
                <w:p w14:paraId="59ACCC81">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top w:val="single" w:color="auto" w:sz="4" w:space="0"/>
                    <w:bottom w:val="single" w:color="auto" w:sz="4" w:space="0"/>
                    <w:right w:val="single" w:color="auto" w:sz="4" w:space="0"/>
                  </w:tcBorders>
                  <w:noWrap w:val="0"/>
                  <w:vAlign w:val="center"/>
                </w:tcPr>
                <w:p w14:paraId="5D730192">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硫化氢</w:t>
                  </w:r>
                </w:p>
              </w:tc>
              <w:tc>
                <w:tcPr>
                  <w:tcW w:w="596" w:type="pct"/>
                  <w:vMerge w:val="continue"/>
                  <w:tcBorders>
                    <w:left w:val="single" w:color="auto" w:sz="4" w:space="0"/>
                    <w:right w:val="single" w:color="auto" w:sz="4" w:space="0"/>
                  </w:tcBorders>
                  <w:noWrap w:val="0"/>
                  <w:vAlign w:val="center"/>
                </w:tcPr>
                <w:p w14:paraId="46708F52">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61" w:type="pct"/>
                  <w:tcBorders>
                    <w:left w:val="single" w:color="auto" w:sz="4" w:space="0"/>
                    <w:right w:val="single" w:color="auto" w:sz="4" w:space="0"/>
                  </w:tcBorders>
                  <w:noWrap w:val="0"/>
                  <w:vAlign w:val="center"/>
                </w:tcPr>
                <w:p w14:paraId="034EE72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55" w:type="pct"/>
                  <w:tcBorders>
                    <w:left w:val="single" w:color="auto" w:sz="4" w:space="0"/>
                    <w:right w:val="single" w:color="auto" w:sz="4" w:space="0"/>
                  </w:tcBorders>
                  <w:noWrap w:val="0"/>
                  <w:vAlign w:val="center"/>
                </w:tcPr>
                <w:p w14:paraId="0AF9135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0.33</w:t>
                  </w:r>
                </w:p>
              </w:tc>
              <w:tc>
                <w:tcPr>
                  <w:tcW w:w="434" w:type="pct"/>
                  <w:tcBorders>
                    <w:left w:val="single" w:color="auto" w:sz="4" w:space="0"/>
                    <w:right w:val="single" w:color="auto" w:sz="4" w:space="0"/>
                  </w:tcBorders>
                  <w:noWrap w:val="0"/>
                  <w:vAlign w:val="center"/>
                </w:tcPr>
                <w:p w14:paraId="64583351">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6" w:type="pct"/>
                  <w:tcBorders>
                    <w:left w:val="single" w:color="auto" w:sz="4" w:space="0"/>
                    <w:right w:val="single" w:color="auto" w:sz="4" w:space="0"/>
                  </w:tcBorders>
                  <w:noWrap w:val="0"/>
                  <w:vAlign w:val="center"/>
                </w:tcPr>
                <w:p w14:paraId="1E61D50D">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0.33</w:t>
                  </w:r>
                </w:p>
              </w:tc>
              <w:tc>
                <w:tcPr>
                  <w:tcW w:w="387" w:type="pct"/>
                  <w:tcBorders>
                    <w:left w:val="single" w:color="auto" w:sz="4" w:space="0"/>
                    <w:right w:val="single" w:color="auto" w:sz="4" w:space="0"/>
                  </w:tcBorders>
                  <w:noWrap w:val="0"/>
                  <w:vAlign w:val="center"/>
                </w:tcPr>
                <w:p w14:paraId="4A5C860F">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0.11~0.13</w:t>
                  </w:r>
                </w:p>
              </w:tc>
              <w:tc>
                <w:tcPr>
                  <w:tcW w:w="522" w:type="pct"/>
                  <w:tcBorders>
                    <w:left w:val="single" w:color="auto" w:sz="4" w:space="0"/>
                  </w:tcBorders>
                  <w:noWrap w:val="0"/>
                  <w:vAlign w:val="center"/>
                </w:tcPr>
                <w:p w14:paraId="5D6B12D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3.48×10</w:t>
                  </w:r>
                  <w:r>
                    <w:rPr>
                      <w:rFonts w:hint="default" w:ascii="Times New Roman" w:hAnsi="Times New Roman" w:cs="Times New Roman"/>
                      <w:color w:val="auto"/>
                      <w:sz w:val="21"/>
                      <w:szCs w:val="21"/>
                      <w:highlight w:val="none"/>
                      <w:vertAlign w:val="superscript"/>
                      <w:lang w:val="en-US" w:eastAsia="zh-CN"/>
                    </w:rPr>
                    <w:t>-4</w:t>
                  </w:r>
                  <w:r>
                    <w:rPr>
                      <w:rFonts w:hint="default" w:ascii="Times New Roman" w:hAnsi="Times New Roman" w:cs="Times New Roman"/>
                      <w:color w:val="auto"/>
                      <w:sz w:val="21"/>
                      <w:szCs w:val="21"/>
                      <w:highlight w:val="none"/>
                      <w:lang w:val="en-US" w:eastAsia="zh-CN"/>
                    </w:rPr>
                    <w:t>~4.15×10</w:t>
                  </w:r>
                  <w:r>
                    <w:rPr>
                      <w:rFonts w:hint="default" w:ascii="Times New Roman" w:hAnsi="Times New Roman" w:cs="Times New Roman"/>
                      <w:color w:val="auto"/>
                      <w:sz w:val="21"/>
                      <w:szCs w:val="21"/>
                      <w:highlight w:val="none"/>
                      <w:vertAlign w:val="superscript"/>
                      <w:lang w:val="en-US" w:eastAsia="zh-CN"/>
                    </w:rPr>
                    <w:t>-4</w:t>
                  </w:r>
                </w:p>
              </w:tc>
              <w:tc>
                <w:tcPr>
                  <w:tcW w:w="459" w:type="pct"/>
                  <w:tcBorders>
                    <w:left w:val="single" w:color="auto" w:sz="4" w:space="0"/>
                  </w:tcBorders>
                  <w:noWrap w:val="0"/>
                  <w:vAlign w:val="center"/>
                </w:tcPr>
                <w:p w14:paraId="36B76CCD">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0.003</w:t>
                  </w:r>
                </w:p>
              </w:tc>
              <w:tc>
                <w:tcPr>
                  <w:tcW w:w="887" w:type="pct"/>
                  <w:vMerge w:val="continue"/>
                  <w:tcBorders>
                    <w:left w:val="single" w:color="auto" w:sz="4" w:space="0"/>
                  </w:tcBorders>
                  <w:noWrap w:val="0"/>
                  <w:vAlign w:val="center"/>
                </w:tcPr>
                <w:p w14:paraId="1B0EBC9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p>
              </w:tc>
            </w:tr>
            <w:tr w14:paraId="7DF9D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4" w:type="pct"/>
                  <w:vMerge w:val="continue"/>
                  <w:noWrap w:val="0"/>
                  <w:vAlign w:val="center"/>
                </w:tcPr>
                <w:p w14:paraId="3EF2D5FB">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180" w:type="pct"/>
                  <w:vMerge w:val="continue"/>
                  <w:noWrap w:val="0"/>
                  <w:vAlign w:val="center"/>
                </w:tcPr>
                <w:p w14:paraId="0C08AA4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top w:val="single" w:color="auto" w:sz="4" w:space="0"/>
                    <w:bottom w:val="single" w:color="auto" w:sz="4" w:space="0"/>
                    <w:right w:val="single" w:color="auto" w:sz="4" w:space="0"/>
                  </w:tcBorders>
                  <w:noWrap w:val="0"/>
                  <w:vAlign w:val="center"/>
                </w:tcPr>
                <w:p w14:paraId="2036A85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臭气浓度</w:t>
                  </w:r>
                </w:p>
              </w:tc>
              <w:tc>
                <w:tcPr>
                  <w:tcW w:w="596" w:type="pct"/>
                  <w:vMerge w:val="continue"/>
                  <w:tcBorders>
                    <w:left w:val="single" w:color="auto" w:sz="4" w:space="0"/>
                    <w:bottom w:val="single" w:color="auto" w:sz="4" w:space="0"/>
                    <w:right w:val="single" w:color="auto" w:sz="4" w:space="0"/>
                  </w:tcBorders>
                  <w:noWrap w:val="0"/>
                  <w:vAlign w:val="center"/>
                </w:tcPr>
                <w:p w14:paraId="31C8A5F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61" w:type="pct"/>
                  <w:tcBorders>
                    <w:left w:val="single" w:color="auto" w:sz="4" w:space="0"/>
                    <w:right w:val="single" w:color="auto" w:sz="4" w:space="0"/>
                  </w:tcBorders>
                  <w:noWrap w:val="0"/>
                  <w:vAlign w:val="center"/>
                </w:tcPr>
                <w:p w14:paraId="4DB4BFC1">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55" w:type="pct"/>
                  <w:tcBorders>
                    <w:left w:val="single" w:color="auto" w:sz="4" w:space="0"/>
                    <w:right w:val="single" w:color="auto" w:sz="4" w:space="0"/>
                  </w:tcBorders>
                  <w:noWrap w:val="0"/>
                  <w:vAlign w:val="center"/>
                </w:tcPr>
                <w:p w14:paraId="6A96A8C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434" w:type="pct"/>
                  <w:tcBorders>
                    <w:left w:val="single" w:color="auto" w:sz="4" w:space="0"/>
                    <w:right w:val="single" w:color="auto" w:sz="4" w:space="0"/>
                  </w:tcBorders>
                  <w:noWrap w:val="0"/>
                  <w:vAlign w:val="center"/>
                </w:tcPr>
                <w:p w14:paraId="3A9BB24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c>
                <w:tcPr>
                  <w:tcW w:w="336" w:type="pct"/>
                  <w:tcBorders>
                    <w:left w:val="single" w:color="auto" w:sz="4" w:space="0"/>
                    <w:right w:val="single" w:color="auto" w:sz="4" w:space="0"/>
                  </w:tcBorders>
                  <w:noWrap w:val="0"/>
                  <w:vAlign w:val="center"/>
                </w:tcPr>
                <w:p w14:paraId="62B471C6">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109B433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1318~1737</w:t>
                  </w:r>
                </w:p>
              </w:tc>
              <w:tc>
                <w:tcPr>
                  <w:tcW w:w="522" w:type="pct"/>
                  <w:tcBorders>
                    <w:left w:val="single" w:color="auto" w:sz="4" w:space="0"/>
                  </w:tcBorders>
                  <w:noWrap w:val="0"/>
                  <w:vAlign w:val="center"/>
                </w:tcPr>
                <w:p w14:paraId="20A55C7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59" w:type="pct"/>
                  <w:tcBorders>
                    <w:left w:val="single" w:color="auto" w:sz="4" w:space="0"/>
                  </w:tcBorders>
                  <w:noWrap w:val="0"/>
                  <w:vAlign w:val="center"/>
                </w:tcPr>
                <w:p w14:paraId="4D02139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887" w:type="pct"/>
                  <w:vMerge w:val="continue"/>
                  <w:tcBorders>
                    <w:left w:val="single" w:color="auto" w:sz="4" w:space="0"/>
                  </w:tcBorders>
                  <w:noWrap w:val="0"/>
                  <w:vAlign w:val="center"/>
                </w:tcPr>
                <w:p w14:paraId="03DDE65B">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lang w:val="en-US" w:eastAsia="zh-CN"/>
                    </w:rPr>
                  </w:pPr>
                </w:p>
              </w:tc>
            </w:tr>
            <w:tr w14:paraId="3F646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5" w:type="pct"/>
                  <w:gridSpan w:val="2"/>
                  <w:vMerge w:val="restart"/>
                  <w:noWrap w:val="0"/>
                  <w:vAlign w:val="center"/>
                </w:tcPr>
                <w:p w14:paraId="1E8F755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全厂总计</w:t>
                  </w:r>
                </w:p>
              </w:tc>
              <w:tc>
                <w:tcPr>
                  <w:tcW w:w="294" w:type="pct"/>
                  <w:tcBorders>
                    <w:top w:val="single" w:color="auto" w:sz="4" w:space="0"/>
                    <w:right w:val="single" w:color="auto" w:sz="4" w:space="0"/>
                  </w:tcBorders>
                  <w:noWrap w:val="0"/>
                  <w:vAlign w:val="center"/>
                </w:tcPr>
                <w:p w14:paraId="6BBBBEE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596" w:type="pct"/>
                  <w:vMerge w:val="restart"/>
                  <w:tcBorders>
                    <w:top w:val="single" w:color="auto" w:sz="4" w:space="0"/>
                    <w:left w:val="single" w:color="auto" w:sz="4" w:space="0"/>
                    <w:right w:val="single" w:color="auto" w:sz="4" w:space="0"/>
                  </w:tcBorders>
                  <w:noWrap w:val="0"/>
                  <w:vAlign w:val="center"/>
                </w:tcPr>
                <w:p w14:paraId="2E5BAEAF">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61" w:type="pct"/>
                  <w:tcBorders>
                    <w:left w:val="single" w:color="auto" w:sz="4" w:space="0"/>
                    <w:right w:val="single" w:color="auto" w:sz="4" w:space="0"/>
                  </w:tcBorders>
                  <w:noWrap w:val="0"/>
                  <w:vAlign w:val="center"/>
                </w:tcPr>
                <w:p w14:paraId="123F0677">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5" w:type="pct"/>
                  <w:tcBorders>
                    <w:left w:val="single" w:color="auto" w:sz="4" w:space="0"/>
                    <w:right w:val="single" w:color="auto" w:sz="4" w:space="0"/>
                  </w:tcBorders>
                  <w:noWrap w:val="0"/>
                  <w:vAlign w:val="center"/>
                </w:tcPr>
                <w:p w14:paraId="3BB7ECE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512E392B">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336" w:type="pct"/>
                  <w:tcBorders>
                    <w:left w:val="single" w:color="auto" w:sz="4" w:space="0"/>
                    <w:right w:val="single" w:color="auto" w:sz="4" w:space="0"/>
                  </w:tcBorders>
                  <w:noWrap w:val="0"/>
                  <w:vAlign w:val="center"/>
                </w:tcPr>
                <w:p w14:paraId="189A8829">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387" w:type="pct"/>
                  <w:tcBorders>
                    <w:left w:val="single" w:color="auto" w:sz="4" w:space="0"/>
                    <w:right w:val="single" w:color="auto" w:sz="4" w:space="0"/>
                  </w:tcBorders>
                  <w:noWrap w:val="0"/>
                  <w:vAlign w:val="center"/>
                </w:tcPr>
                <w:p w14:paraId="67C3A498">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22" w:type="pct"/>
                  <w:tcBorders>
                    <w:left w:val="single" w:color="auto" w:sz="4" w:space="0"/>
                  </w:tcBorders>
                  <w:noWrap w:val="0"/>
                  <w:vAlign w:val="center"/>
                </w:tcPr>
                <w:p w14:paraId="32351ADB">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163" w:type="dxa"/>
                  <w:tcBorders>
                    <w:left w:val="single" w:color="auto" w:sz="4" w:space="0"/>
                  </w:tcBorders>
                  <w:noWrap w:val="0"/>
                  <w:vAlign w:val="center"/>
                </w:tcPr>
                <w:p w14:paraId="3959A718">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0.26</w:t>
                  </w:r>
                </w:p>
              </w:tc>
              <w:tc>
                <w:tcPr>
                  <w:tcW w:w="887" w:type="pct"/>
                  <w:tcBorders>
                    <w:left w:val="single" w:color="auto" w:sz="4" w:space="0"/>
                  </w:tcBorders>
                  <w:noWrap w:val="0"/>
                  <w:vAlign w:val="center"/>
                </w:tcPr>
                <w:p w14:paraId="50C3E5E1">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517FE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5" w:type="pct"/>
                  <w:gridSpan w:val="2"/>
                  <w:vMerge w:val="continue"/>
                  <w:noWrap w:val="0"/>
                  <w:vAlign w:val="center"/>
                </w:tcPr>
                <w:p w14:paraId="48BC6F0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right w:val="single" w:color="auto" w:sz="4" w:space="0"/>
                  </w:tcBorders>
                  <w:noWrap w:val="0"/>
                  <w:vAlign w:val="center"/>
                </w:tcPr>
                <w:p w14:paraId="3180190B">
                  <w:pPr>
                    <w:pStyle w:val="54"/>
                    <w:keepNext w:val="0"/>
                    <w:keepLines w:val="0"/>
                    <w:pageBreakBefore w:val="0"/>
                    <w:widowControl w:val="0"/>
                    <w:kinsoku/>
                    <w:wordWrap/>
                    <w:overflowPunct/>
                    <w:topLinePunct w:val="0"/>
                    <w:autoSpaceDE/>
                    <w:autoSpaceDN/>
                    <w:bidi w:val="0"/>
                    <w:adjustRightInd/>
                    <w:snapToGrid/>
                    <w:spacing w:line="240" w:lineRule="auto"/>
                    <w:ind w:left="-57" w:right="-57"/>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596" w:type="pct"/>
                  <w:vMerge w:val="continue"/>
                  <w:tcBorders>
                    <w:left w:val="single" w:color="auto" w:sz="4" w:space="0"/>
                    <w:right w:val="single" w:color="auto" w:sz="4" w:space="0"/>
                  </w:tcBorders>
                  <w:noWrap w:val="0"/>
                  <w:vAlign w:val="center"/>
                </w:tcPr>
                <w:p w14:paraId="68666CC4">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61" w:type="pct"/>
                  <w:tcBorders>
                    <w:left w:val="single" w:color="auto" w:sz="4" w:space="0"/>
                    <w:right w:val="single" w:color="auto" w:sz="4" w:space="0"/>
                  </w:tcBorders>
                  <w:noWrap w:val="0"/>
                  <w:vAlign w:val="center"/>
                </w:tcPr>
                <w:p w14:paraId="77BEBBD4">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5" w:type="pct"/>
                  <w:tcBorders>
                    <w:left w:val="single" w:color="auto" w:sz="4" w:space="0"/>
                    <w:right w:val="single" w:color="auto" w:sz="4" w:space="0"/>
                  </w:tcBorders>
                  <w:noWrap w:val="0"/>
                  <w:vAlign w:val="center"/>
                </w:tcPr>
                <w:p w14:paraId="1663D0F9">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21A10DA7">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p>
              </w:tc>
              <w:tc>
                <w:tcPr>
                  <w:tcW w:w="336" w:type="pct"/>
                  <w:tcBorders>
                    <w:left w:val="single" w:color="auto" w:sz="4" w:space="0"/>
                    <w:right w:val="single" w:color="auto" w:sz="4" w:space="0"/>
                  </w:tcBorders>
                  <w:noWrap w:val="0"/>
                  <w:vAlign w:val="center"/>
                </w:tcPr>
                <w:p w14:paraId="11D16F60">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p>
              </w:tc>
              <w:tc>
                <w:tcPr>
                  <w:tcW w:w="387" w:type="pct"/>
                  <w:tcBorders>
                    <w:left w:val="single" w:color="auto" w:sz="4" w:space="0"/>
                    <w:right w:val="single" w:color="auto" w:sz="4" w:space="0"/>
                  </w:tcBorders>
                  <w:noWrap w:val="0"/>
                  <w:vAlign w:val="center"/>
                </w:tcPr>
                <w:p w14:paraId="451D04BF">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22" w:type="pct"/>
                  <w:tcBorders>
                    <w:left w:val="single" w:color="auto" w:sz="4" w:space="0"/>
                  </w:tcBorders>
                  <w:noWrap w:val="0"/>
                  <w:vAlign w:val="center"/>
                </w:tcPr>
                <w:p w14:paraId="318D27F2">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163" w:type="dxa"/>
                  <w:tcBorders>
                    <w:left w:val="single" w:color="auto" w:sz="4" w:space="0"/>
                  </w:tcBorders>
                  <w:noWrap w:val="0"/>
                  <w:vAlign w:val="center"/>
                </w:tcPr>
                <w:p w14:paraId="0F4C2D82">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0.80</w:t>
                  </w:r>
                </w:p>
              </w:tc>
              <w:tc>
                <w:tcPr>
                  <w:tcW w:w="887" w:type="pct"/>
                  <w:tcBorders>
                    <w:left w:val="single" w:color="auto" w:sz="4" w:space="0"/>
                  </w:tcBorders>
                  <w:noWrap w:val="0"/>
                  <w:vAlign w:val="center"/>
                </w:tcPr>
                <w:p w14:paraId="52650221">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F2D1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5" w:type="pct"/>
                  <w:gridSpan w:val="2"/>
                  <w:vMerge w:val="continue"/>
                  <w:noWrap w:val="0"/>
                  <w:vAlign w:val="center"/>
                </w:tcPr>
                <w:p w14:paraId="31D17F82">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right w:val="single" w:color="auto" w:sz="4" w:space="0"/>
                  </w:tcBorders>
                  <w:noWrap w:val="0"/>
                  <w:vAlign w:val="center"/>
                </w:tcPr>
                <w:p w14:paraId="0F41CB9B">
                  <w:pPr>
                    <w:pStyle w:val="54"/>
                    <w:keepNext w:val="0"/>
                    <w:keepLines w:val="0"/>
                    <w:pageBreakBefore w:val="0"/>
                    <w:widowControl w:val="0"/>
                    <w:kinsoku/>
                    <w:wordWrap/>
                    <w:overflowPunct/>
                    <w:topLinePunct w:val="0"/>
                    <w:autoSpaceDE/>
                    <w:autoSpaceDN/>
                    <w:bidi w:val="0"/>
                    <w:adjustRightInd/>
                    <w:snapToGrid/>
                    <w:spacing w:line="240" w:lineRule="auto"/>
                    <w:ind w:left="-57" w:right="-57"/>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596" w:type="pct"/>
                  <w:vMerge w:val="continue"/>
                  <w:tcBorders>
                    <w:left w:val="single" w:color="auto" w:sz="4" w:space="0"/>
                    <w:right w:val="single" w:color="auto" w:sz="4" w:space="0"/>
                  </w:tcBorders>
                  <w:noWrap w:val="0"/>
                  <w:vAlign w:val="center"/>
                </w:tcPr>
                <w:p w14:paraId="60496DED">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61" w:type="pct"/>
                  <w:tcBorders>
                    <w:left w:val="single" w:color="auto" w:sz="4" w:space="0"/>
                    <w:right w:val="single" w:color="auto" w:sz="4" w:space="0"/>
                  </w:tcBorders>
                  <w:noWrap w:val="0"/>
                  <w:vAlign w:val="center"/>
                </w:tcPr>
                <w:p w14:paraId="2A8DABEB">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5" w:type="pct"/>
                  <w:tcBorders>
                    <w:left w:val="single" w:color="auto" w:sz="4" w:space="0"/>
                    <w:right w:val="single" w:color="auto" w:sz="4" w:space="0"/>
                  </w:tcBorders>
                  <w:noWrap w:val="0"/>
                  <w:vAlign w:val="center"/>
                </w:tcPr>
                <w:p w14:paraId="09896346">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0B5B6CA4">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6" w:type="pct"/>
                  <w:tcBorders>
                    <w:left w:val="single" w:color="auto" w:sz="4" w:space="0"/>
                    <w:right w:val="single" w:color="auto" w:sz="4" w:space="0"/>
                  </w:tcBorders>
                  <w:noWrap w:val="0"/>
                  <w:vAlign w:val="center"/>
                </w:tcPr>
                <w:p w14:paraId="3D066723">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4B3593C0">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22" w:type="pct"/>
                  <w:tcBorders>
                    <w:left w:val="single" w:color="auto" w:sz="4" w:space="0"/>
                  </w:tcBorders>
                  <w:noWrap w:val="0"/>
                  <w:vAlign w:val="center"/>
                </w:tcPr>
                <w:p w14:paraId="2927F936">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1163" w:type="dxa"/>
                  <w:tcBorders>
                    <w:left w:val="single" w:color="auto" w:sz="4" w:space="0"/>
                  </w:tcBorders>
                  <w:noWrap w:val="0"/>
                  <w:vAlign w:val="center"/>
                </w:tcPr>
                <w:p w14:paraId="0B7AD44D">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1.22</w:t>
                  </w:r>
                </w:p>
              </w:tc>
              <w:tc>
                <w:tcPr>
                  <w:tcW w:w="887" w:type="pct"/>
                  <w:tcBorders>
                    <w:left w:val="single" w:color="auto" w:sz="4" w:space="0"/>
                  </w:tcBorders>
                  <w:noWrap w:val="0"/>
                  <w:vAlign w:val="center"/>
                </w:tcPr>
                <w:p w14:paraId="4FCAAC85">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555D6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5" w:type="pct"/>
                  <w:gridSpan w:val="2"/>
                  <w:vMerge w:val="continue"/>
                  <w:noWrap w:val="0"/>
                  <w:vAlign w:val="center"/>
                </w:tcPr>
                <w:p w14:paraId="57FA996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right w:val="single" w:color="auto" w:sz="4" w:space="0"/>
                  </w:tcBorders>
                  <w:noWrap w:val="0"/>
                  <w:vAlign w:val="center"/>
                </w:tcPr>
                <w:p w14:paraId="12B7250E">
                  <w:pPr>
                    <w:pStyle w:val="54"/>
                    <w:keepNext w:val="0"/>
                    <w:keepLines w:val="0"/>
                    <w:pageBreakBefore w:val="0"/>
                    <w:widowControl w:val="0"/>
                    <w:kinsoku/>
                    <w:wordWrap/>
                    <w:overflowPunct/>
                    <w:topLinePunct w:val="0"/>
                    <w:autoSpaceDE/>
                    <w:autoSpaceDN/>
                    <w:bidi w:val="0"/>
                    <w:adjustRightInd/>
                    <w:snapToGrid/>
                    <w:spacing w:line="240" w:lineRule="auto"/>
                    <w:ind w:left="-57" w:right="-57"/>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非甲烷总烃</w:t>
                  </w:r>
                </w:p>
              </w:tc>
              <w:tc>
                <w:tcPr>
                  <w:tcW w:w="596" w:type="pct"/>
                  <w:vMerge w:val="continue"/>
                  <w:tcBorders>
                    <w:left w:val="single" w:color="auto" w:sz="4" w:space="0"/>
                    <w:right w:val="single" w:color="auto" w:sz="4" w:space="0"/>
                  </w:tcBorders>
                  <w:noWrap w:val="0"/>
                  <w:vAlign w:val="center"/>
                </w:tcPr>
                <w:p w14:paraId="6420B28D">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61" w:type="pct"/>
                  <w:tcBorders>
                    <w:left w:val="single" w:color="auto" w:sz="4" w:space="0"/>
                    <w:right w:val="single" w:color="auto" w:sz="4" w:space="0"/>
                  </w:tcBorders>
                  <w:noWrap w:val="0"/>
                  <w:vAlign w:val="center"/>
                </w:tcPr>
                <w:p w14:paraId="24A5538A">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5" w:type="pct"/>
                  <w:tcBorders>
                    <w:left w:val="single" w:color="auto" w:sz="4" w:space="0"/>
                    <w:right w:val="single" w:color="auto" w:sz="4" w:space="0"/>
                  </w:tcBorders>
                  <w:noWrap w:val="0"/>
                  <w:vAlign w:val="center"/>
                </w:tcPr>
                <w:p w14:paraId="7059535A">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17389ECE">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6" w:type="pct"/>
                  <w:tcBorders>
                    <w:left w:val="single" w:color="auto" w:sz="4" w:space="0"/>
                    <w:right w:val="single" w:color="auto" w:sz="4" w:space="0"/>
                  </w:tcBorders>
                  <w:noWrap w:val="0"/>
                  <w:vAlign w:val="center"/>
                </w:tcPr>
                <w:p w14:paraId="3CA286D1">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58E70F16">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22" w:type="pct"/>
                  <w:tcBorders>
                    <w:left w:val="single" w:color="auto" w:sz="4" w:space="0"/>
                  </w:tcBorders>
                  <w:noWrap w:val="0"/>
                  <w:vAlign w:val="center"/>
                </w:tcPr>
                <w:p w14:paraId="498C66CC">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59" w:type="pct"/>
                  <w:tcBorders>
                    <w:left w:val="single" w:color="auto" w:sz="4" w:space="0"/>
                  </w:tcBorders>
                  <w:noWrap w:val="0"/>
                  <w:vAlign w:val="center"/>
                </w:tcPr>
                <w:p w14:paraId="30004DE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0.623</w:t>
                  </w:r>
                </w:p>
              </w:tc>
              <w:tc>
                <w:tcPr>
                  <w:tcW w:w="887" w:type="pct"/>
                  <w:tcBorders>
                    <w:left w:val="single" w:color="auto" w:sz="4" w:space="0"/>
                  </w:tcBorders>
                  <w:noWrap w:val="0"/>
                  <w:vAlign w:val="center"/>
                </w:tcPr>
                <w:p w14:paraId="213CA275">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267D7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5" w:type="pct"/>
                  <w:gridSpan w:val="2"/>
                  <w:vMerge w:val="continue"/>
                  <w:noWrap w:val="0"/>
                  <w:vAlign w:val="center"/>
                </w:tcPr>
                <w:p w14:paraId="689907C0">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right w:val="single" w:color="auto" w:sz="4" w:space="0"/>
                  </w:tcBorders>
                  <w:noWrap w:val="0"/>
                  <w:vAlign w:val="center"/>
                </w:tcPr>
                <w:p w14:paraId="308A6238">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w:t>
                  </w:r>
                </w:p>
              </w:tc>
              <w:tc>
                <w:tcPr>
                  <w:tcW w:w="596" w:type="pct"/>
                  <w:vMerge w:val="continue"/>
                  <w:tcBorders>
                    <w:left w:val="single" w:color="auto" w:sz="4" w:space="0"/>
                    <w:right w:val="single" w:color="auto" w:sz="4" w:space="0"/>
                  </w:tcBorders>
                  <w:noWrap w:val="0"/>
                  <w:vAlign w:val="center"/>
                </w:tcPr>
                <w:p w14:paraId="6E31CFEA">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61" w:type="pct"/>
                  <w:tcBorders>
                    <w:left w:val="single" w:color="auto" w:sz="4" w:space="0"/>
                    <w:right w:val="single" w:color="auto" w:sz="4" w:space="0"/>
                  </w:tcBorders>
                  <w:noWrap w:val="0"/>
                  <w:vAlign w:val="center"/>
                </w:tcPr>
                <w:p w14:paraId="10F77DC0">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5" w:type="pct"/>
                  <w:tcBorders>
                    <w:left w:val="single" w:color="auto" w:sz="4" w:space="0"/>
                    <w:right w:val="single" w:color="auto" w:sz="4" w:space="0"/>
                  </w:tcBorders>
                  <w:noWrap w:val="0"/>
                  <w:vAlign w:val="center"/>
                </w:tcPr>
                <w:p w14:paraId="0C15B76C">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660B676E">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6" w:type="pct"/>
                  <w:tcBorders>
                    <w:left w:val="single" w:color="auto" w:sz="4" w:space="0"/>
                    <w:right w:val="single" w:color="auto" w:sz="4" w:space="0"/>
                  </w:tcBorders>
                  <w:noWrap w:val="0"/>
                  <w:vAlign w:val="center"/>
                </w:tcPr>
                <w:p w14:paraId="5CFA7A3C">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35EFF46D">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22" w:type="pct"/>
                  <w:tcBorders>
                    <w:left w:val="single" w:color="auto" w:sz="4" w:space="0"/>
                  </w:tcBorders>
                  <w:noWrap w:val="0"/>
                  <w:vAlign w:val="center"/>
                </w:tcPr>
                <w:p w14:paraId="7B431115">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59" w:type="pct"/>
                  <w:tcBorders>
                    <w:left w:val="single" w:color="auto" w:sz="4" w:space="0"/>
                  </w:tcBorders>
                  <w:noWrap w:val="0"/>
                  <w:vAlign w:val="center"/>
                </w:tcPr>
                <w:p w14:paraId="21C3A16F">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0.023</w:t>
                  </w:r>
                </w:p>
              </w:tc>
              <w:tc>
                <w:tcPr>
                  <w:tcW w:w="887" w:type="pct"/>
                  <w:tcBorders>
                    <w:left w:val="single" w:color="auto" w:sz="4" w:space="0"/>
                  </w:tcBorders>
                  <w:noWrap w:val="0"/>
                  <w:vAlign w:val="center"/>
                </w:tcPr>
                <w:p w14:paraId="2B882849">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1055A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5" w:type="pct"/>
                  <w:gridSpan w:val="2"/>
                  <w:vMerge w:val="continue"/>
                  <w:noWrap w:val="0"/>
                  <w:vAlign w:val="center"/>
                </w:tcPr>
                <w:p w14:paraId="20476633">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94" w:type="pct"/>
                  <w:tcBorders>
                    <w:right w:val="single" w:color="auto" w:sz="4" w:space="0"/>
                  </w:tcBorders>
                  <w:noWrap w:val="0"/>
                  <w:vAlign w:val="center"/>
                </w:tcPr>
                <w:p w14:paraId="49E8A7BB">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硫化氢</w:t>
                  </w:r>
                </w:p>
              </w:tc>
              <w:tc>
                <w:tcPr>
                  <w:tcW w:w="596" w:type="pct"/>
                  <w:vMerge w:val="continue"/>
                  <w:tcBorders>
                    <w:left w:val="single" w:color="auto" w:sz="4" w:space="0"/>
                    <w:right w:val="single" w:color="auto" w:sz="4" w:space="0"/>
                  </w:tcBorders>
                  <w:noWrap w:val="0"/>
                  <w:vAlign w:val="center"/>
                </w:tcPr>
                <w:p w14:paraId="3B9886C5">
                  <w:pPr>
                    <w:keepNext w:val="0"/>
                    <w:keepLines w:val="0"/>
                    <w:pageBreakBefore w:val="0"/>
                    <w:widowControl w:val="0"/>
                    <w:kinsoku/>
                    <w:wordWrap/>
                    <w:overflowPunct/>
                    <w:topLinePunct w:val="0"/>
                    <w:autoSpaceDE/>
                    <w:autoSpaceDN/>
                    <w:bidi w:val="0"/>
                    <w:adjustRightInd/>
                    <w:snapToGrid/>
                    <w:spacing w:line="240" w:lineRule="auto"/>
                    <w:ind w:left="-57" w:right="-57"/>
                    <w:jc w:val="center"/>
                    <w:textAlignment w:val="auto"/>
                    <w:rPr>
                      <w:rFonts w:hint="default" w:ascii="Times New Roman" w:hAnsi="Times New Roman" w:cs="Times New Roman"/>
                      <w:color w:val="auto"/>
                      <w:sz w:val="21"/>
                      <w:szCs w:val="21"/>
                      <w:highlight w:val="none"/>
                    </w:rPr>
                  </w:pPr>
                </w:p>
              </w:tc>
              <w:tc>
                <w:tcPr>
                  <w:tcW w:w="261" w:type="pct"/>
                  <w:tcBorders>
                    <w:left w:val="single" w:color="auto" w:sz="4" w:space="0"/>
                    <w:right w:val="single" w:color="auto" w:sz="4" w:space="0"/>
                  </w:tcBorders>
                  <w:noWrap w:val="0"/>
                  <w:vAlign w:val="center"/>
                </w:tcPr>
                <w:p w14:paraId="00F0845C">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55" w:type="pct"/>
                  <w:tcBorders>
                    <w:left w:val="single" w:color="auto" w:sz="4" w:space="0"/>
                    <w:right w:val="single" w:color="auto" w:sz="4" w:space="0"/>
                  </w:tcBorders>
                  <w:noWrap w:val="0"/>
                  <w:vAlign w:val="center"/>
                </w:tcPr>
                <w:p w14:paraId="41F490FB">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34" w:type="pct"/>
                  <w:tcBorders>
                    <w:left w:val="single" w:color="auto" w:sz="4" w:space="0"/>
                    <w:right w:val="single" w:color="auto" w:sz="4" w:space="0"/>
                  </w:tcBorders>
                  <w:noWrap w:val="0"/>
                  <w:vAlign w:val="center"/>
                </w:tcPr>
                <w:p w14:paraId="3D688512">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36" w:type="pct"/>
                  <w:tcBorders>
                    <w:left w:val="single" w:color="auto" w:sz="4" w:space="0"/>
                    <w:right w:val="single" w:color="auto" w:sz="4" w:space="0"/>
                  </w:tcBorders>
                  <w:noWrap w:val="0"/>
                  <w:vAlign w:val="center"/>
                </w:tcPr>
                <w:p w14:paraId="458818FE">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tcBorders>
                    <w:left w:val="single" w:color="auto" w:sz="4" w:space="0"/>
                    <w:right w:val="single" w:color="auto" w:sz="4" w:space="0"/>
                  </w:tcBorders>
                  <w:noWrap w:val="0"/>
                  <w:vAlign w:val="center"/>
                </w:tcPr>
                <w:p w14:paraId="43A9C61D">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22" w:type="pct"/>
                  <w:tcBorders>
                    <w:left w:val="single" w:color="auto" w:sz="4" w:space="0"/>
                  </w:tcBorders>
                  <w:noWrap w:val="0"/>
                  <w:vAlign w:val="center"/>
                </w:tcPr>
                <w:p w14:paraId="294ED5CF">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459" w:type="pct"/>
                  <w:tcBorders>
                    <w:left w:val="single" w:color="auto" w:sz="4" w:space="0"/>
                  </w:tcBorders>
                  <w:noWrap w:val="0"/>
                  <w:vAlign w:val="center"/>
                </w:tcPr>
                <w:p w14:paraId="0B2A447B">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0.003</w:t>
                  </w:r>
                </w:p>
              </w:tc>
              <w:tc>
                <w:tcPr>
                  <w:tcW w:w="887" w:type="pct"/>
                  <w:tcBorders>
                    <w:left w:val="single" w:color="auto" w:sz="4" w:space="0"/>
                  </w:tcBorders>
                  <w:noWrap w:val="0"/>
                  <w:vAlign w:val="center"/>
                </w:tcPr>
                <w:p w14:paraId="14F31678">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2E0B3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12"/>
                  <w:noWrap w:val="0"/>
                  <w:vAlign w:val="center"/>
                </w:tcPr>
                <w:p w14:paraId="6F31F1CA">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both"/>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注：排放浓度低于检出限，以检出限+L表示，排放速率以“N”表示。</w:t>
                  </w:r>
                </w:p>
              </w:tc>
            </w:tr>
          </w:tbl>
          <w:p w14:paraId="533A4FDE">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vertAlign w:val="baseline"/>
              </w:rPr>
            </w:pPr>
          </w:p>
        </w:tc>
      </w:tr>
    </w:tbl>
    <w:p w14:paraId="5D8F3304">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rPr>
      </w:pPr>
    </w:p>
    <w:p w14:paraId="4BC16926">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rPr>
      </w:pPr>
    </w:p>
    <w:p w14:paraId="2353032B">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rPr>
        <w:sectPr>
          <w:pgSz w:w="16840" w:h="11907" w:orient="landscape"/>
          <w:pgMar w:top="1531" w:right="1701" w:bottom="1531" w:left="2127" w:header="851" w:footer="1814"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
        <w:gridCol w:w="8712"/>
      </w:tblGrid>
      <w:tr w14:paraId="16C5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9" w:type="dxa"/>
            <w:noWrap w:val="0"/>
            <w:vAlign w:val="top"/>
          </w:tcPr>
          <w:p w14:paraId="639EEFB3">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vertAlign w:val="baseline"/>
              </w:rPr>
            </w:pPr>
          </w:p>
        </w:tc>
        <w:tc>
          <w:tcPr>
            <w:tcW w:w="8712" w:type="dxa"/>
            <w:noWrap w:val="0"/>
            <w:vAlign w:val="top"/>
          </w:tcPr>
          <w:p w14:paraId="0EA98EFF">
            <w:pPr>
              <w:keepNext w:val="0"/>
              <w:keepLines w:val="0"/>
              <w:pageBreakBefore w:val="0"/>
              <w:suppressLineNumbers w:val="0"/>
              <w:kinsoku/>
              <w:wordWrap/>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废水</w:t>
            </w:r>
          </w:p>
          <w:p w14:paraId="6C0F57CB">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现有项目</w:t>
            </w:r>
            <w:r>
              <w:rPr>
                <w:rFonts w:hint="default" w:ascii="Times New Roman" w:hAnsi="Times New Roman" w:cs="Times New Roman"/>
                <w:color w:val="auto"/>
                <w:sz w:val="24"/>
                <w:highlight w:val="none"/>
              </w:rPr>
              <w:t>废水</w:t>
            </w:r>
            <w:r>
              <w:rPr>
                <w:rFonts w:hint="default" w:ascii="Times New Roman" w:hAnsi="Times New Roman" w:cs="Times New Roman"/>
                <w:color w:val="auto"/>
                <w:sz w:val="24"/>
                <w:highlight w:val="none"/>
                <w:lang w:val="en-US" w:eastAsia="zh-CN"/>
              </w:rPr>
              <w:t>来自办公生活区食堂废水、生活污水和精炼车间产生的生产废水</w:t>
            </w:r>
            <w:r>
              <w:rPr>
                <w:rFonts w:hint="eastAsia" w:cs="Times New Roman"/>
                <w:color w:val="auto"/>
                <w:sz w:val="24"/>
                <w:highlight w:val="none"/>
                <w:lang w:val="en-US" w:eastAsia="zh-CN"/>
              </w:rPr>
              <w:t>，现有冷却排水、锅炉排水和真空泵排水均视作清下水排放</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食堂废水经隔油池处理后与生活污水收集至</w:t>
            </w:r>
            <w:r>
              <w:rPr>
                <w:rFonts w:hint="eastAsia" w:cs="Times New Roman"/>
                <w:color w:val="auto"/>
                <w:sz w:val="24"/>
                <w:highlight w:val="none"/>
                <w:lang w:val="en-US" w:eastAsia="zh-CN"/>
              </w:rPr>
              <w:t>生化池</w:t>
            </w:r>
            <w:r>
              <w:rPr>
                <w:rFonts w:hint="default" w:ascii="Times New Roman" w:hAnsi="Times New Roman" w:cs="Times New Roman"/>
                <w:color w:val="auto"/>
                <w:sz w:val="24"/>
                <w:highlight w:val="none"/>
                <w:lang w:val="en-US" w:eastAsia="zh-CN"/>
              </w:rPr>
              <w:t>，后与生产废水进入废水处理站进行处</w:t>
            </w:r>
            <w:r>
              <w:rPr>
                <w:rFonts w:hint="default" w:ascii="Times New Roman" w:hAnsi="Times New Roman" w:cs="Times New Roman"/>
                <w:color w:val="auto"/>
                <w:sz w:val="24"/>
                <w:szCs w:val="24"/>
                <w:highlight w:val="none"/>
                <w:lang w:val="en-US" w:eastAsia="zh-CN"/>
              </w:rPr>
              <w:t>理，</w:t>
            </w:r>
            <w:r>
              <w:rPr>
                <w:rFonts w:hint="default" w:ascii="Times New Roman" w:hAnsi="Times New Roman" w:eastAsia="宋体" w:cs="Times New Roman"/>
                <w:color w:val="auto"/>
                <w:kern w:val="0"/>
                <w:sz w:val="24"/>
                <w:szCs w:val="24"/>
                <w:highlight w:val="none"/>
              </w:rPr>
              <w:t>处理规模为</w:t>
            </w:r>
            <w:r>
              <w:rPr>
                <w:rFonts w:hint="default" w:ascii="Times New Roman" w:hAnsi="Times New Roman" w:eastAsia="宋体" w:cs="Times New Roman"/>
                <w:color w:val="auto"/>
                <w:kern w:val="0"/>
                <w:sz w:val="24"/>
                <w:szCs w:val="24"/>
                <w:highlight w:val="none"/>
                <w:lang w:val="en-US" w:eastAsia="zh-CN"/>
              </w:rPr>
              <w:t>15</w:t>
            </w:r>
            <w:r>
              <w:rPr>
                <w:rFonts w:hint="default" w:ascii="Times New Roman" w:hAnsi="Times New Roman" w:eastAsia="宋体" w:cs="Times New Roman"/>
                <w:color w:val="auto"/>
                <w:kern w:val="0"/>
                <w:sz w:val="24"/>
                <w:szCs w:val="24"/>
                <w:highlight w:val="none"/>
              </w:rPr>
              <w:t>0m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/d，</w:t>
            </w:r>
            <w:r>
              <w:rPr>
                <w:rFonts w:hint="default" w:ascii="Times New Roman" w:hAnsi="Times New Roman" w:eastAsia="宋体" w:cs="Times New Roman"/>
                <w:color w:val="auto"/>
                <w:sz w:val="24"/>
                <w:szCs w:val="24"/>
                <w:highlight w:val="none"/>
                <w:lang w:val="en-US" w:eastAsia="zh-CN"/>
              </w:rPr>
              <w:t>采用隔油+气浮+沉淀+水解酸化+缺氧+生物接触氧化+沉淀工艺</w:t>
            </w:r>
            <w:r>
              <w:rPr>
                <w:rFonts w:hint="default" w:ascii="Times New Roman" w:hAnsi="Times New Roman" w:eastAsia="宋体" w:cs="Times New Roman"/>
                <w:color w:val="auto"/>
                <w:kern w:val="0"/>
                <w:sz w:val="24"/>
                <w:szCs w:val="24"/>
                <w:highlight w:val="none"/>
              </w:rPr>
              <w:t>，</w:t>
            </w:r>
            <w:r>
              <w:rPr>
                <w:rFonts w:hint="default" w:ascii="Times New Roman" w:hAnsi="Times New Roman" w:cs="Times New Roman"/>
                <w:color w:val="auto"/>
                <w:sz w:val="24"/>
                <w:szCs w:val="24"/>
                <w:highlight w:val="none"/>
                <w:lang w:val="en-US" w:eastAsia="zh-CN"/>
              </w:rPr>
              <w:t>处</w:t>
            </w:r>
            <w:r>
              <w:rPr>
                <w:rFonts w:hint="default" w:ascii="Times New Roman" w:hAnsi="Times New Roman" w:cs="Times New Roman"/>
                <w:color w:val="auto"/>
                <w:sz w:val="24"/>
                <w:highlight w:val="none"/>
                <w:lang w:val="en-US" w:eastAsia="zh-CN"/>
              </w:rPr>
              <w:t>理达《污水综合排放标准》（GB8978-1996）三级标准后经市政污水管网排至铜罐驿污水处理厂进一步处理，处理达《地表水环境质量标准》（GB3838-2002）IV类标准（其中TN、SS满足《城镇污水处理厂污染物排放标准》（GB18918-2002）一级A标准），尾水排入金竹沟，最终汇入长江。</w:t>
            </w:r>
          </w:p>
          <w:p w14:paraId="40F19F36">
            <w:pPr>
              <w:spacing w:line="360" w:lineRule="auto"/>
              <w:ind w:firstLine="480" w:firstLineChars="200"/>
              <w:rPr>
                <w:rFonts w:hint="default" w:cs="Times New Roman"/>
                <w:bCs/>
                <w:color w:val="auto"/>
                <w:sz w:val="24"/>
                <w:szCs w:val="24"/>
                <w:highlight w:val="none"/>
                <w:vertAlign w:val="baseline"/>
                <w:lang w:val="en-US" w:eastAsia="zh-CN"/>
              </w:rPr>
            </w:pPr>
            <w:r>
              <w:rPr>
                <w:rFonts w:hint="default" w:ascii="Times New Roman" w:hAnsi="Times New Roman" w:cs="Times New Roman"/>
                <w:bCs/>
                <w:color w:val="auto"/>
                <w:sz w:val="24"/>
                <w:szCs w:val="24"/>
                <w:highlight w:val="none"/>
                <w:lang w:val="en-US" w:eastAsia="zh-CN"/>
              </w:rPr>
              <w:t>根据现有项目于2025年2月开展的例行监测结果，废水处理站废水排放量为</w:t>
            </w:r>
            <w:r>
              <w:rPr>
                <w:rFonts w:hint="eastAsia" w:cs="Times New Roman"/>
                <w:bCs/>
                <w:color w:val="auto"/>
                <w:sz w:val="24"/>
                <w:szCs w:val="24"/>
                <w:highlight w:val="none"/>
                <w:lang w:val="en-US" w:eastAsia="zh-CN"/>
              </w:rPr>
              <w:t>115</w:t>
            </w:r>
            <w:r>
              <w:rPr>
                <w:rFonts w:hint="default" w:ascii="Times New Roman" w:hAnsi="Times New Roman" w:cs="Times New Roman"/>
                <w:bCs/>
                <w:color w:val="auto"/>
                <w:sz w:val="24"/>
                <w:szCs w:val="24"/>
                <w:highlight w:val="none"/>
                <w:lang w:val="en-US" w:eastAsia="zh-CN"/>
              </w:rPr>
              <w:t>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vertAlign w:val="baseline"/>
                <w:lang w:val="en-US" w:eastAsia="zh-CN"/>
              </w:rPr>
              <w:t>/d，</w:t>
            </w:r>
            <w:r>
              <w:rPr>
                <w:rFonts w:hint="default" w:cs="Times New Roman"/>
                <w:bCs/>
                <w:color w:val="auto"/>
                <w:sz w:val="24"/>
                <w:szCs w:val="24"/>
                <w:highlight w:val="none"/>
                <w:vertAlign w:val="baseline"/>
                <w:lang w:val="en-US" w:eastAsia="zh-CN"/>
              </w:rPr>
              <w:t>其中精炼车间</w:t>
            </w:r>
            <w:r>
              <w:rPr>
                <w:rFonts w:hint="eastAsia" w:ascii="Times New Roman" w:hAnsi="Times New Roman" w:cs="Times New Roman"/>
                <w:color w:val="auto"/>
                <w:sz w:val="24"/>
                <w:highlight w:val="none"/>
                <w:lang w:val="en-US" w:eastAsia="zh-CN"/>
              </w:rPr>
              <w:t>废水排放量为85.64m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/d，制瓶车间废水排放量为4.86m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/d，生活污水排放量为24.5m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p>
          <w:p w14:paraId="194A865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Cs/>
                <w:color w:val="auto"/>
                <w:sz w:val="24"/>
                <w:szCs w:val="24"/>
                <w:highlight w:val="none"/>
                <w:lang w:val="en-US" w:eastAsia="zh-CN"/>
              </w:rPr>
              <w:t>废水污染物</w:t>
            </w:r>
            <w:r>
              <w:rPr>
                <w:rFonts w:hint="default" w:ascii="Times New Roman" w:hAnsi="Times New Roman" w:cs="Times New Roman"/>
                <w:color w:val="auto"/>
                <w:sz w:val="24"/>
                <w:highlight w:val="none"/>
              </w:rPr>
              <w:t>监测浓度均低于</w:t>
            </w:r>
            <w:r>
              <w:rPr>
                <w:rFonts w:hint="default" w:ascii="Times New Roman" w:hAnsi="Times New Roman" w:cs="Times New Roman"/>
                <w:color w:val="auto"/>
                <w:sz w:val="24"/>
                <w:highlight w:val="none"/>
                <w:lang w:val="en-US" w:eastAsia="zh-CN"/>
              </w:rPr>
              <w:t>《污水综合排放标准》（GB8978-1996）三级标准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因此，现有项目废水污染物达标排入市政污水管网，废水处理措施合理可行。</w:t>
            </w:r>
          </w:p>
          <w:p w14:paraId="13651B96">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现有</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废水处理站废水污染物排放情况统计见表2.</w:t>
            </w:r>
            <w:r>
              <w:rPr>
                <w:rFonts w:hint="default" w:ascii="Times New Roman" w:hAnsi="Times New Roman" w:cs="Times New Roman"/>
                <w:color w:val="auto"/>
                <w:sz w:val="24"/>
                <w:highlight w:val="none"/>
                <w:lang w:val="en-US" w:eastAsia="zh-CN"/>
              </w:rPr>
              <w:t>5-6</w:t>
            </w:r>
            <w:r>
              <w:rPr>
                <w:rFonts w:hint="default" w:ascii="Times New Roman" w:hAnsi="Times New Roman" w:cs="Times New Roman"/>
                <w:color w:val="auto"/>
                <w:sz w:val="24"/>
                <w:highlight w:val="none"/>
              </w:rPr>
              <w:t>。现有</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废水处理站处理工艺见图</w:t>
            </w:r>
            <w:r>
              <w:rPr>
                <w:rFonts w:hint="default" w:ascii="Times New Roman" w:hAnsi="Times New Roman" w:cs="Times New Roman"/>
                <w:color w:val="auto"/>
                <w:sz w:val="24"/>
                <w:highlight w:val="none"/>
                <w:lang w:val="en-US" w:eastAsia="zh-CN"/>
              </w:rPr>
              <w:t>2-4</w:t>
            </w:r>
            <w:r>
              <w:rPr>
                <w:rFonts w:hint="default" w:ascii="Times New Roman" w:hAnsi="Times New Roman" w:cs="Times New Roman"/>
                <w:color w:val="auto"/>
                <w:sz w:val="24"/>
                <w:highlight w:val="none"/>
                <w:lang w:eastAsia="zh-CN"/>
              </w:rPr>
              <w:t>。</w:t>
            </w:r>
          </w:p>
          <w:p w14:paraId="0AF65063">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w:t>
            </w:r>
            <w:r>
              <w:rPr>
                <w:rFonts w:hint="default" w:ascii="Times New Roman" w:hAnsi="Times New Roman" w:cs="Times New Roman"/>
                <w:b/>
                <w:bCs/>
                <w:color w:val="auto"/>
                <w:sz w:val="24"/>
                <w:highlight w:val="none"/>
                <w:lang w:val="en-US" w:eastAsia="zh-CN"/>
              </w:rPr>
              <w:t>2.5-6</w:t>
            </w:r>
            <w:r>
              <w:rPr>
                <w:rFonts w:hint="default" w:ascii="Times New Roman" w:hAnsi="Times New Roman" w:cs="Times New Roman"/>
                <w:b/>
                <w:bCs/>
                <w:color w:val="auto"/>
                <w:sz w:val="24"/>
                <w:highlight w:val="none"/>
              </w:rPr>
              <w:t>现有</w:t>
            </w:r>
            <w:r>
              <w:rPr>
                <w:rFonts w:hint="default" w:ascii="Times New Roman" w:hAnsi="Times New Roman" w:cs="Times New Roman"/>
                <w:b/>
                <w:bCs/>
                <w:color w:val="auto"/>
                <w:sz w:val="24"/>
                <w:highlight w:val="none"/>
                <w:lang w:val="en-US" w:eastAsia="zh-CN"/>
              </w:rPr>
              <w:t>项目</w:t>
            </w:r>
            <w:r>
              <w:rPr>
                <w:rFonts w:hint="default" w:ascii="Times New Roman" w:hAnsi="Times New Roman" w:cs="Times New Roman"/>
                <w:b/>
                <w:bCs/>
                <w:color w:val="auto"/>
                <w:sz w:val="24"/>
                <w:highlight w:val="none"/>
              </w:rPr>
              <w:t>废水处理站废水污染物排放情况统计一览表</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1"/>
              <w:gridCol w:w="879"/>
              <w:gridCol w:w="681"/>
              <w:gridCol w:w="1278"/>
              <w:gridCol w:w="1948"/>
              <w:gridCol w:w="813"/>
              <w:gridCol w:w="1077"/>
              <w:gridCol w:w="950"/>
            </w:tblGrid>
            <w:tr w14:paraId="29BB5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507" w:type="pct"/>
                  <w:vMerge w:val="restart"/>
                  <w:tcBorders>
                    <w:left w:val="single" w:color="auto" w:sz="4" w:space="0"/>
                  </w:tcBorders>
                  <w:noWrap w:val="0"/>
                  <w:vAlign w:val="center"/>
                </w:tcPr>
                <w:p w14:paraId="43BA6601">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排污口编号</w:t>
                  </w:r>
                </w:p>
              </w:tc>
              <w:tc>
                <w:tcPr>
                  <w:tcW w:w="517" w:type="pct"/>
                  <w:vMerge w:val="restart"/>
                  <w:tcBorders>
                    <w:right w:val="single" w:color="auto" w:sz="4" w:space="0"/>
                  </w:tcBorders>
                  <w:noWrap w:val="0"/>
                  <w:vAlign w:val="center"/>
                </w:tcPr>
                <w:p w14:paraId="6C7A356D">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排放口名称</w:t>
                  </w:r>
                </w:p>
              </w:tc>
              <w:tc>
                <w:tcPr>
                  <w:tcW w:w="401" w:type="pct"/>
                  <w:vMerge w:val="restart"/>
                  <w:tcBorders>
                    <w:left w:val="single" w:color="auto" w:sz="4" w:space="0"/>
                  </w:tcBorders>
                  <w:noWrap w:val="0"/>
                  <w:vAlign w:val="center"/>
                </w:tcPr>
                <w:p w14:paraId="5B764326">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排放去向</w:t>
                  </w:r>
                </w:p>
              </w:tc>
              <w:tc>
                <w:tcPr>
                  <w:tcW w:w="752" w:type="pct"/>
                  <w:vMerge w:val="restart"/>
                  <w:tcBorders>
                    <w:right w:val="single" w:color="auto" w:sz="4" w:space="0"/>
                  </w:tcBorders>
                  <w:noWrap w:val="0"/>
                  <w:vAlign w:val="center"/>
                </w:tcPr>
                <w:p w14:paraId="5E8A65D3">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1626" w:type="pct"/>
                  <w:gridSpan w:val="2"/>
                  <w:vMerge w:val="restart"/>
                  <w:tcBorders>
                    <w:right w:val="single" w:color="auto" w:sz="4" w:space="0"/>
                  </w:tcBorders>
                  <w:noWrap w:val="0"/>
                  <w:vAlign w:val="center"/>
                </w:tcPr>
                <w:p w14:paraId="0D462244">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浓度限值mg/L</w:t>
                  </w:r>
                </w:p>
              </w:tc>
              <w:tc>
                <w:tcPr>
                  <w:tcW w:w="1194" w:type="pct"/>
                  <w:gridSpan w:val="2"/>
                  <w:tcBorders>
                    <w:left w:val="single" w:color="auto" w:sz="4" w:space="0"/>
                    <w:bottom w:val="single" w:color="auto" w:sz="4" w:space="0"/>
                  </w:tcBorders>
                  <w:noWrap w:val="0"/>
                  <w:vAlign w:val="center"/>
                </w:tcPr>
                <w:p w14:paraId="2745B5C5">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实际排放量</w:t>
                  </w:r>
                </w:p>
              </w:tc>
            </w:tr>
            <w:tr w14:paraId="14336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507" w:type="pct"/>
                  <w:vMerge w:val="continue"/>
                  <w:tcBorders>
                    <w:left w:val="single" w:color="auto" w:sz="4" w:space="0"/>
                  </w:tcBorders>
                  <w:noWrap w:val="0"/>
                  <w:vAlign w:val="center"/>
                </w:tcPr>
                <w:p w14:paraId="78D1ED53">
                  <w:pPr>
                    <w:spacing w:line="280" w:lineRule="exact"/>
                    <w:jc w:val="center"/>
                    <w:rPr>
                      <w:rFonts w:hint="default" w:ascii="Times New Roman" w:hAnsi="Times New Roman" w:cs="Times New Roman"/>
                      <w:color w:val="auto"/>
                      <w:szCs w:val="21"/>
                      <w:highlight w:val="none"/>
                    </w:rPr>
                  </w:pPr>
                </w:p>
              </w:tc>
              <w:tc>
                <w:tcPr>
                  <w:tcW w:w="517" w:type="pct"/>
                  <w:vMerge w:val="continue"/>
                  <w:tcBorders>
                    <w:right w:val="single" w:color="auto" w:sz="4" w:space="0"/>
                  </w:tcBorders>
                  <w:noWrap w:val="0"/>
                  <w:vAlign w:val="center"/>
                </w:tcPr>
                <w:p w14:paraId="5EFB3242">
                  <w:pPr>
                    <w:spacing w:line="280" w:lineRule="exact"/>
                    <w:jc w:val="center"/>
                    <w:rPr>
                      <w:rFonts w:hint="default" w:ascii="Times New Roman" w:hAnsi="Times New Roman" w:cs="Times New Roman"/>
                      <w:color w:val="auto"/>
                      <w:szCs w:val="21"/>
                      <w:highlight w:val="none"/>
                    </w:rPr>
                  </w:pPr>
                </w:p>
              </w:tc>
              <w:tc>
                <w:tcPr>
                  <w:tcW w:w="401" w:type="pct"/>
                  <w:vMerge w:val="continue"/>
                  <w:tcBorders>
                    <w:left w:val="single" w:color="auto" w:sz="4" w:space="0"/>
                    <w:bottom w:val="single" w:color="auto" w:sz="4" w:space="0"/>
                  </w:tcBorders>
                  <w:noWrap w:val="0"/>
                  <w:vAlign w:val="center"/>
                </w:tcPr>
                <w:p w14:paraId="3639D0A0">
                  <w:pPr>
                    <w:spacing w:line="280" w:lineRule="exact"/>
                    <w:jc w:val="center"/>
                    <w:rPr>
                      <w:rFonts w:hint="default" w:ascii="Times New Roman" w:hAnsi="Times New Roman" w:cs="Times New Roman"/>
                      <w:color w:val="auto"/>
                      <w:szCs w:val="21"/>
                      <w:highlight w:val="none"/>
                    </w:rPr>
                  </w:pPr>
                </w:p>
              </w:tc>
              <w:tc>
                <w:tcPr>
                  <w:tcW w:w="752" w:type="pct"/>
                  <w:vMerge w:val="continue"/>
                  <w:tcBorders>
                    <w:right w:val="single" w:color="auto" w:sz="4" w:space="0"/>
                  </w:tcBorders>
                  <w:noWrap w:val="0"/>
                  <w:vAlign w:val="center"/>
                </w:tcPr>
                <w:p w14:paraId="0B2D9013">
                  <w:pPr>
                    <w:spacing w:line="280" w:lineRule="exact"/>
                    <w:jc w:val="center"/>
                    <w:rPr>
                      <w:rFonts w:hint="default" w:ascii="Times New Roman" w:hAnsi="Times New Roman" w:cs="Times New Roman"/>
                      <w:color w:val="auto"/>
                      <w:szCs w:val="21"/>
                      <w:highlight w:val="none"/>
                    </w:rPr>
                  </w:pPr>
                </w:p>
              </w:tc>
              <w:tc>
                <w:tcPr>
                  <w:tcW w:w="1626" w:type="pct"/>
                  <w:gridSpan w:val="2"/>
                  <w:vMerge w:val="continue"/>
                  <w:tcBorders>
                    <w:right w:val="single" w:color="auto" w:sz="4" w:space="0"/>
                  </w:tcBorders>
                  <w:noWrap w:val="0"/>
                  <w:vAlign w:val="center"/>
                </w:tcPr>
                <w:p w14:paraId="7A61EEA5">
                  <w:pPr>
                    <w:spacing w:line="280" w:lineRule="exact"/>
                    <w:jc w:val="center"/>
                    <w:rPr>
                      <w:rFonts w:hint="default" w:ascii="Times New Roman" w:hAnsi="Times New Roman" w:cs="Times New Roman"/>
                      <w:color w:val="auto"/>
                      <w:szCs w:val="21"/>
                      <w:highlight w:val="none"/>
                    </w:rPr>
                  </w:pPr>
                </w:p>
              </w:tc>
              <w:tc>
                <w:tcPr>
                  <w:tcW w:w="634" w:type="pct"/>
                  <w:tcBorders>
                    <w:top w:val="single" w:color="auto" w:sz="4" w:space="0"/>
                    <w:left w:val="single" w:color="auto" w:sz="4" w:space="0"/>
                    <w:right w:val="single" w:color="auto" w:sz="4" w:space="0"/>
                  </w:tcBorders>
                  <w:noWrap w:val="0"/>
                  <w:vAlign w:val="center"/>
                </w:tcPr>
                <w:p w14:paraId="2A8EC79F">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监测平均浓度mg/L</w:t>
                  </w:r>
                </w:p>
              </w:tc>
              <w:tc>
                <w:tcPr>
                  <w:tcW w:w="559" w:type="pct"/>
                  <w:tcBorders>
                    <w:top w:val="single" w:color="auto" w:sz="4" w:space="0"/>
                    <w:left w:val="single" w:color="auto" w:sz="4" w:space="0"/>
                  </w:tcBorders>
                  <w:noWrap w:val="0"/>
                  <w:vAlign w:val="center"/>
                </w:tcPr>
                <w:p w14:paraId="4552A5C7">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排放量t/a</w:t>
                  </w:r>
                </w:p>
              </w:tc>
            </w:tr>
            <w:tr w14:paraId="336D2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7" w:type="pct"/>
                  <w:vMerge w:val="restart"/>
                  <w:tcBorders>
                    <w:left w:val="single" w:color="auto" w:sz="4" w:space="0"/>
                  </w:tcBorders>
                  <w:noWrap w:val="0"/>
                  <w:vAlign w:val="center"/>
                </w:tcPr>
                <w:p w14:paraId="41E73DB8">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DW001</w:t>
                  </w:r>
                </w:p>
              </w:tc>
              <w:tc>
                <w:tcPr>
                  <w:tcW w:w="517" w:type="pct"/>
                  <w:vMerge w:val="restart"/>
                  <w:tcBorders>
                    <w:right w:val="single" w:color="auto" w:sz="4" w:space="0"/>
                  </w:tcBorders>
                  <w:noWrap w:val="0"/>
                  <w:vAlign w:val="center"/>
                </w:tcPr>
                <w:p w14:paraId="193768E9">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废水处理站排放口</w:t>
                  </w:r>
                </w:p>
              </w:tc>
              <w:tc>
                <w:tcPr>
                  <w:tcW w:w="401" w:type="pct"/>
                  <w:vMerge w:val="restart"/>
                  <w:tcBorders>
                    <w:top w:val="single" w:color="auto" w:sz="4" w:space="0"/>
                    <w:left w:val="single" w:color="auto" w:sz="4" w:space="0"/>
                  </w:tcBorders>
                  <w:noWrap w:val="0"/>
                  <w:vAlign w:val="center"/>
                </w:tcPr>
                <w:p w14:paraId="5CD0330C">
                  <w:pPr>
                    <w:spacing w:line="28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铜罐驿污水处理厂</w:t>
                  </w:r>
                </w:p>
              </w:tc>
              <w:tc>
                <w:tcPr>
                  <w:tcW w:w="752" w:type="pct"/>
                  <w:tcBorders>
                    <w:right w:val="single" w:color="auto" w:sz="4" w:space="0"/>
                  </w:tcBorders>
                  <w:noWrap w:val="0"/>
                  <w:vAlign w:val="center"/>
                </w:tcPr>
                <w:p w14:paraId="6600C937">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废水量</w:t>
                  </w:r>
                </w:p>
              </w:tc>
              <w:tc>
                <w:tcPr>
                  <w:tcW w:w="1147" w:type="pct"/>
                  <w:vMerge w:val="restart"/>
                  <w:tcBorders>
                    <w:right w:val="single" w:color="auto" w:sz="4" w:space="0"/>
                  </w:tcBorders>
                  <w:noWrap w:val="0"/>
                  <w:vAlign w:val="center"/>
                </w:tcPr>
                <w:p w14:paraId="59A6BD74">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《污水综合排放标准》（GB8978-1996）三级标准</w:t>
                  </w:r>
                </w:p>
              </w:tc>
              <w:tc>
                <w:tcPr>
                  <w:tcW w:w="478" w:type="pct"/>
                  <w:tcBorders>
                    <w:right w:val="single" w:color="auto" w:sz="4" w:space="0"/>
                  </w:tcBorders>
                  <w:noWrap w:val="0"/>
                  <w:vAlign w:val="center"/>
                </w:tcPr>
                <w:p w14:paraId="6EBB35C1">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34" w:type="pct"/>
                  <w:tcBorders>
                    <w:left w:val="single" w:color="auto" w:sz="4" w:space="0"/>
                    <w:right w:val="single" w:color="auto" w:sz="4" w:space="0"/>
                  </w:tcBorders>
                  <w:noWrap w:val="0"/>
                  <w:vAlign w:val="center"/>
                </w:tcPr>
                <w:p w14:paraId="0FA23D49">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59" w:type="pct"/>
                  <w:tcBorders>
                    <w:left w:val="single" w:color="auto" w:sz="4" w:space="0"/>
                  </w:tcBorders>
                  <w:noWrap w:val="0"/>
                  <w:vAlign w:val="center"/>
                </w:tcPr>
                <w:p w14:paraId="5A910D3E">
                  <w:pPr>
                    <w:spacing w:line="280" w:lineRule="exac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3.45</w:t>
                  </w:r>
                  <w:r>
                    <w:rPr>
                      <w:rFonts w:hint="default" w:ascii="Times New Roman" w:hAnsi="Times New Roman" w:cs="Times New Roman"/>
                      <w:color w:val="auto"/>
                      <w:sz w:val="21"/>
                      <w:szCs w:val="21"/>
                      <w:highlight w:val="none"/>
                    </w:rPr>
                    <w:t>万</w:t>
                  </w:r>
                </w:p>
              </w:tc>
            </w:tr>
            <w:tr w14:paraId="34BA9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7" w:type="pct"/>
                  <w:vMerge w:val="continue"/>
                  <w:tcBorders>
                    <w:left w:val="single" w:color="auto" w:sz="4" w:space="0"/>
                  </w:tcBorders>
                  <w:noWrap w:val="0"/>
                  <w:vAlign w:val="center"/>
                </w:tcPr>
                <w:p w14:paraId="73A49009">
                  <w:pPr>
                    <w:spacing w:line="280" w:lineRule="exact"/>
                    <w:jc w:val="center"/>
                    <w:rPr>
                      <w:rFonts w:hint="default" w:ascii="Times New Roman" w:hAnsi="Times New Roman" w:cs="Times New Roman"/>
                      <w:color w:val="auto"/>
                      <w:szCs w:val="21"/>
                      <w:highlight w:val="none"/>
                    </w:rPr>
                  </w:pPr>
                </w:p>
              </w:tc>
              <w:tc>
                <w:tcPr>
                  <w:tcW w:w="517" w:type="pct"/>
                  <w:vMerge w:val="continue"/>
                  <w:tcBorders>
                    <w:right w:val="single" w:color="auto" w:sz="4" w:space="0"/>
                  </w:tcBorders>
                  <w:noWrap w:val="0"/>
                  <w:vAlign w:val="center"/>
                </w:tcPr>
                <w:p w14:paraId="554BA352">
                  <w:pPr>
                    <w:spacing w:line="280" w:lineRule="exact"/>
                    <w:jc w:val="center"/>
                    <w:rPr>
                      <w:rFonts w:hint="default" w:ascii="Times New Roman" w:hAnsi="Times New Roman" w:cs="Times New Roman"/>
                      <w:color w:val="auto"/>
                      <w:szCs w:val="21"/>
                      <w:highlight w:val="none"/>
                    </w:rPr>
                  </w:pPr>
                </w:p>
              </w:tc>
              <w:tc>
                <w:tcPr>
                  <w:tcW w:w="401" w:type="pct"/>
                  <w:vMerge w:val="continue"/>
                  <w:tcBorders>
                    <w:top w:val="single" w:color="auto" w:sz="4" w:space="0"/>
                    <w:left w:val="single" w:color="auto" w:sz="4" w:space="0"/>
                  </w:tcBorders>
                  <w:noWrap w:val="0"/>
                  <w:vAlign w:val="center"/>
                </w:tcPr>
                <w:p w14:paraId="271C21DF">
                  <w:pPr>
                    <w:spacing w:line="280" w:lineRule="exact"/>
                    <w:jc w:val="center"/>
                    <w:rPr>
                      <w:rFonts w:hint="default" w:ascii="Times New Roman" w:hAnsi="Times New Roman" w:cs="Times New Roman"/>
                      <w:color w:val="auto"/>
                      <w:szCs w:val="21"/>
                      <w:highlight w:val="none"/>
                    </w:rPr>
                  </w:pPr>
                </w:p>
              </w:tc>
              <w:tc>
                <w:tcPr>
                  <w:tcW w:w="752" w:type="pct"/>
                  <w:tcBorders>
                    <w:right w:val="single" w:color="auto" w:sz="4" w:space="0"/>
                  </w:tcBorders>
                  <w:noWrap w:val="0"/>
                  <w:vAlign w:val="center"/>
                </w:tcPr>
                <w:p w14:paraId="69A237E1">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147" w:type="pct"/>
                  <w:vMerge w:val="continue"/>
                  <w:tcBorders>
                    <w:right w:val="single" w:color="auto" w:sz="4" w:space="0"/>
                  </w:tcBorders>
                  <w:noWrap w:val="0"/>
                  <w:vAlign w:val="center"/>
                </w:tcPr>
                <w:p w14:paraId="111D2769">
                  <w:pPr>
                    <w:spacing w:line="280" w:lineRule="exact"/>
                    <w:jc w:val="center"/>
                    <w:rPr>
                      <w:rFonts w:hint="default" w:ascii="Times New Roman" w:hAnsi="Times New Roman" w:cs="Times New Roman"/>
                      <w:color w:val="auto"/>
                      <w:sz w:val="21"/>
                      <w:szCs w:val="21"/>
                      <w:highlight w:val="none"/>
                    </w:rPr>
                  </w:pPr>
                </w:p>
              </w:tc>
              <w:tc>
                <w:tcPr>
                  <w:tcW w:w="478" w:type="pct"/>
                  <w:tcBorders>
                    <w:right w:val="single" w:color="auto" w:sz="4" w:space="0"/>
                  </w:tcBorders>
                  <w:noWrap w:val="0"/>
                  <w:vAlign w:val="center"/>
                </w:tcPr>
                <w:p w14:paraId="77CBEF94">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c>
                <w:tcPr>
                  <w:tcW w:w="634" w:type="pct"/>
                  <w:tcBorders>
                    <w:left w:val="single" w:color="auto" w:sz="4" w:space="0"/>
                    <w:right w:val="single" w:color="auto" w:sz="4" w:space="0"/>
                  </w:tcBorders>
                  <w:noWrap w:val="0"/>
                  <w:vAlign w:val="center"/>
                </w:tcPr>
                <w:p w14:paraId="7FB17D36">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94</w:t>
                  </w:r>
                </w:p>
              </w:tc>
              <w:tc>
                <w:tcPr>
                  <w:tcW w:w="950" w:type="dxa"/>
                  <w:tcBorders>
                    <w:left w:val="single" w:color="auto" w:sz="4" w:space="0"/>
                  </w:tcBorders>
                  <w:noWrap w:val="0"/>
                  <w:vAlign w:val="center"/>
                </w:tcPr>
                <w:p w14:paraId="5C7234A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3.24</w:t>
                  </w:r>
                </w:p>
              </w:tc>
            </w:tr>
            <w:tr w14:paraId="56994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7" w:type="pct"/>
                  <w:vMerge w:val="continue"/>
                  <w:tcBorders>
                    <w:left w:val="single" w:color="auto" w:sz="4" w:space="0"/>
                  </w:tcBorders>
                  <w:noWrap w:val="0"/>
                  <w:vAlign w:val="center"/>
                </w:tcPr>
                <w:p w14:paraId="5CB881AB">
                  <w:pPr>
                    <w:spacing w:line="280" w:lineRule="exact"/>
                    <w:jc w:val="center"/>
                    <w:rPr>
                      <w:rFonts w:hint="default" w:ascii="Times New Roman" w:hAnsi="Times New Roman" w:cs="Times New Roman"/>
                      <w:color w:val="auto"/>
                      <w:szCs w:val="21"/>
                      <w:highlight w:val="none"/>
                    </w:rPr>
                  </w:pPr>
                </w:p>
              </w:tc>
              <w:tc>
                <w:tcPr>
                  <w:tcW w:w="517" w:type="pct"/>
                  <w:vMerge w:val="continue"/>
                  <w:tcBorders>
                    <w:right w:val="single" w:color="auto" w:sz="4" w:space="0"/>
                  </w:tcBorders>
                  <w:noWrap w:val="0"/>
                  <w:vAlign w:val="center"/>
                </w:tcPr>
                <w:p w14:paraId="1BD5D96F">
                  <w:pPr>
                    <w:spacing w:line="280" w:lineRule="exact"/>
                    <w:jc w:val="center"/>
                    <w:rPr>
                      <w:rFonts w:hint="default" w:ascii="Times New Roman" w:hAnsi="Times New Roman" w:cs="Times New Roman"/>
                      <w:color w:val="auto"/>
                      <w:szCs w:val="21"/>
                      <w:highlight w:val="none"/>
                    </w:rPr>
                  </w:pPr>
                </w:p>
              </w:tc>
              <w:tc>
                <w:tcPr>
                  <w:tcW w:w="401" w:type="pct"/>
                  <w:vMerge w:val="continue"/>
                  <w:tcBorders>
                    <w:left w:val="single" w:color="auto" w:sz="4" w:space="0"/>
                  </w:tcBorders>
                  <w:noWrap w:val="0"/>
                  <w:vAlign w:val="center"/>
                </w:tcPr>
                <w:p w14:paraId="03C8758C">
                  <w:pPr>
                    <w:spacing w:line="280" w:lineRule="exact"/>
                    <w:jc w:val="center"/>
                    <w:rPr>
                      <w:rFonts w:hint="default" w:ascii="Times New Roman" w:hAnsi="Times New Roman" w:cs="Times New Roman"/>
                      <w:color w:val="auto"/>
                      <w:szCs w:val="21"/>
                      <w:highlight w:val="none"/>
                    </w:rPr>
                  </w:pPr>
                </w:p>
              </w:tc>
              <w:tc>
                <w:tcPr>
                  <w:tcW w:w="752" w:type="pct"/>
                  <w:tcBorders>
                    <w:right w:val="single" w:color="auto" w:sz="4" w:space="0"/>
                  </w:tcBorders>
                  <w:noWrap w:val="0"/>
                  <w:vAlign w:val="center"/>
                </w:tcPr>
                <w:p w14:paraId="4E3FA1C6">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1147" w:type="pct"/>
                  <w:vMerge w:val="continue"/>
                  <w:tcBorders>
                    <w:right w:val="single" w:color="auto" w:sz="4" w:space="0"/>
                  </w:tcBorders>
                  <w:noWrap w:val="0"/>
                  <w:vAlign w:val="center"/>
                </w:tcPr>
                <w:p w14:paraId="2813C28D">
                  <w:pPr>
                    <w:spacing w:line="280" w:lineRule="exact"/>
                    <w:jc w:val="center"/>
                    <w:rPr>
                      <w:rFonts w:hint="default" w:ascii="Times New Roman" w:hAnsi="Times New Roman" w:cs="Times New Roman"/>
                      <w:color w:val="auto"/>
                      <w:sz w:val="21"/>
                      <w:szCs w:val="21"/>
                      <w:highlight w:val="none"/>
                    </w:rPr>
                  </w:pPr>
                </w:p>
              </w:tc>
              <w:tc>
                <w:tcPr>
                  <w:tcW w:w="478" w:type="pct"/>
                  <w:tcBorders>
                    <w:right w:val="single" w:color="auto" w:sz="4" w:space="0"/>
                  </w:tcBorders>
                  <w:noWrap w:val="0"/>
                  <w:vAlign w:val="center"/>
                </w:tcPr>
                <w:p w14:paraId="6CAD6B4E">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c>
                <w:tcPr>
                  <w:tcW w:w="634" w:type="pct"/>
                  <w:tcBorders>
                    <w:left w:val="single" w:color="auto" w:sz="4" w:space="0"/>
                    <w:right w:val="single" w:color="auto" w:sz="4" w:space="0"/>
                  </w:tcBorders>
                  <w:noWrap w:val="0"/>
                  <w:vAlign w:val="center"/>
                </w:tcPr>
                <w:p w14:paraId="755485BF">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w:t>
                  </w:r>
                </w:p>
              </w:tc>
              <w:tc>
                <w:tcPr>
                  <w:tcW w:w="950" w:type="dxa"/>
                  <w:tcBorders>
                    <w:left w:val="single" w:color="auto" w:sz="4" w:space="0"/>
                  </w:tcBorders>
                  <w:noWrap w:val="0"/>
                  <w:vAlign w:val="center"/>
                </w:tcPr>
                <w:p w14:paraId="4D7A068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0.90</w:t>
                  </w:r>
                </w:p>
              </w:tc>
            </w:tr>
            <w:tr w14:paraId="3649F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7" w:type="pct"/>
                  <w:vMerge w:val="continue"/>
                  <w:tcBorders>
                    <w:left w:val="single" w:color="auto" w:sz="4" w:space="0"/>
                  </w:tcBorders>
                  <w:noWrap w:val="0"/>
                  <w:vAlign w:val="center"/>
                </w:tcPr>
                <w:p w14:paraId="09EDA52F">
                  <w:pPr>
                    <w:spacing w:line="280" w:lineRule="exact"/>
                    <w:jc w:val="center"/>
                    <w:rPr>
                      <w:rFonts w:hint="default" w:ascii="Times New Roman" w:hAnsi="Times New Roman" w:cs="Times New Roman"/>
                      <w:color w:val="auto"/>
                      <w:szCs w:val="21"/>
                      <w:highlight w:val="none"/>
                    </w:rPr>
                  </w:pPr>
                </w:p>
              </w:tc>
              <w:tc>
                <w:tcPr>
                  <w:tcW w:w="517" w:type="pct"/>
                  <w:vMerge w:val="continue"/>
                  <w:tcBorders>
                    <w:right w:val="single" w:color="auto" w:sz="4" w:space="0"/>
                  </w:tcBorders>
                  <w:noWrap w:val="0"/>
                  <w:vAlign w:val="center"/>
                </w:tcPr>
                <w:p w14:paraId="66A9630F">
                  <w:pPr>
                    <w:spacing w:line="280" w:lineRule="exact"/>
                    <w:jc w:val="center"/>
                    <w:rPr>
                      <w:rFonts w:hint="default" w:ascii="Times New Roman" w:hAnsi="Times New Roman" w:cs="Times New Roman"/>
                      <w:color w:val="auto"/>
                      <w:szCs w:val="21"/>
                      <w:highlight w:val="none"/>
                    </w:rPr>
                  </w:pPr>
                </w:p>
              </w:tc>
              <w:tc>
                <w:tcPr>
                  <w:tcW w:w="401" w:type="pct"/>
                  <w:vMerge w:val="continue"/>
                  <w:tcBorders>
                    <w:left w:val="single" w:color="auto" w:sz="4" w:space="0"/>
                  </w:tcBorders>
                  <w:noWrap w:val="0"/>
                  <w:vAlign w:val="center"/>
                </w:tcPr>
                <w:p w14:paraId="69B021F2">
                  <w:pPr>
                    <w:spacing w:line="280" w:lineRule="exact"/>
                    <w:jc w:val="center"/>
                    <w:rPr>
                      <w:rFonts w:hint="default" w:ascii="Times New Roman" w:hAnsi="Times New Roman" w:cs="Times New Roman"/>
                      <w:color w:val="auto"/>
                      <w:szCs w:val="21"/>
                      <w:highlight w:val="none"/>
                    </w:rPr>
                  </w:pPr>
                </w:p>
              </w:tc>
              <w:tc>
                <w:tcPr>
                  <w:tcW w:w="752" w:type="pct"/>
                  <w:tcBorders>
                    <w:right w:val="single" w:color="auto" w:sz="4" w:space="0"/>
                  </w:tcBorders>
                  <w:noWrap w:val="0"/>
                  <w:vAlign w:val="center"/>
                </w:tcPr>
                <w:p w14:paraId="066AB9EB">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SS</w:t>
                  </w:r>
                </w:p>
              </w:tc>
              <w:tc>
                <w:tcPr>
                  <w:tcW w:w="1147" w:type="pct"/>
                  <w:vMerge w:val="continue"/>
                  <w:tcBorders>
                    <w:right w:val="single" w:color="auto" w:sz="4" w:space="0"/>
                  </w:tcBorders>
                  <w:noWrap w:val="0"/>
                  <w:vAlign w:val="center"/>
                </w:tcPr>
                <w:p w14:paraId="7AF1E73A">
                  <w:pPr>
                    <w:spacing w:line="280" w:lineRule="exact"/>
                    <w:jc w:val="center"/>
                    <w:rPr>
                      <w:rFonts w:hint="default" w:ascii="Times New Roman" w:hAnsi="Times New Roman" w:cs="Times New Roman"/>
                      <w:color w:val="auto"/>
                      <w:sz w:val="21"/>
                      <w:szCs w:val="21"/>
                      <w:highlight w:val="none"/>
                    </w:rPr>
                  </w:pPr>
                </w:p>
              </w:tc>
              <w:tc>
                <w:tcPr>
                  <w:tcW w:w="478" w:type="pct"/>
                  <w:tcBorders>
                    <w:right w:val="single" w:color="auto" w:sz="4" w:space="0"/>
                  </w:tcBorders>
                  <w:noWrap w:val="0"/>
                  <w:vAlign w:val="center"/>
                </w:tcPr>
                <w:p w14:paraId="1125D733">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400</w:t>
                  </w:r>
                </w:p>
              </w:tc>
              <w:tc>
                <w:tcPr>
                  <w:tcW w:w="634" w:type="pct"/>
                  <w:tcBorders>
                    <w:left w:val="single" w:color="auto" w:sz="4" w:space="0"/>
                    <w:right w:val="single" w:color="auto" w:sz="4" w:space="0"/>
                  </w:tcBorders>
                  <w:noWrap w:val="0"/>
                  <w:vAlign w:val="center"/>
                </w:tcPr>
                <w:p w14:paraId="4207A3A9">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950" w:type="dxa"/>
                  <w:tcBorders>
                    <w:left w:val="single" w:color="auto" w:sz="4" w:space="0"/>
                  </w:tcBorders>
                  <w:noWrap w:val="0"/>
                  <w:vAlign w:val="center"/>
                </w:tcPr>
                <w:p w14:paraId="733EBCA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0.62</w:t>
                  </w:r>
                </w:p>
              </w:tc>
            </w:tr>
            <w:tr w14:paraId="50369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7" w:type="pct"/>
                  <w:vMerge w:val="continue"/>
                  <w:tcBorders>
                    <w:left w:val="single" w:color="auto" w:sz="4" w:space="0"/>
                  </w:tcBorders>
                  <w:noWrap w:val="0"/>
                  <w:vAlign w:val="center"/>
                </w:tcPr>
                <w:p w14:paraId="63127BAB">
                  <w:pPr>
                    <w:spacing w:line="280" w:lineRule="exact"/>
                    <w:jc w:val="center"/>
                    <w:rPr>
                      <w:rFonts w:hint="default" w:ascii="Times New Roman" w:hAnsi="Times New Roman" w:cs="Times New Roman"/>
                      <w:color w:val="auto"/>
                      <w:szCs w:val="21"/>
                      <w:highlight w:val="none"/>
                    </w:rPr>
                  </w:pPr>
                </w:p>
              </w:tc>
              <w:tc>
                <w:tcPr>
                  <w:tcW w:w="517" w:type="pct"/>
                  <w:vMerge w:val="continue"/>
                  <w:tcBorders>
                    <w:right w:val="single" w:color="auto" w:sz="4" w:space="0"/>
                  </w:tcBorders>
                  <w:noWrap w:val="0"/>
                  <w:vAlign w:val="center"/>
                </w:tcPr>
                <w:p w14:paraId="325BE111">
                  <w:pPr>
                    <w:spacing w:line="280" w:lineRule="exact"/>
                    <w:jc w:val="center"/>
                    <w:rPr>
                      <w:rFonts w:hint="default" w:ascii="Times New Roman" w:hAnsi="Times New Roman" w:cs="Times New Roman"/>
                      <w:color w:val="auto"/>
                      <w:szCs w:val="21"/>
                      <w:highlight w:val="none"/>
                    </w:rPr>
                  </w:pPr>
                </w:p>
              </w:tc>
              <w:tc>
                <w:tcPr>
                  <w:tcW w:w="401" w:type="pct"/>
                  <w:vMerge w:val="continue"/>
                  <w:tcBorders>
                    <w:left w:val="single" w:color="auto" w:sz="4" w:space="0"/>
                  </w:tcBorders>
                  <w:noWrap w:val="0"/>
                  <w:vAlign w:val="center"/>
                </w:tcPr>
                <w:p w14:paraId="17F9804B">
                  <w:pPr>
                    <w:spacing w:line="280" w:lineRule="exact"/>
                    <w:jc w:val="center"/>
                    <w:rPr>
                      <w:rFonts w:hint="default" w:ascii="Times New Roman" w:hAnsi="Times New Roman" w:cs="Times New Roman"/>
                      <w:color w:val="auto"/>
                      <w:szCs w:val="21"/>
                      <w:highlight w:val="none"/>
                    </w:rPr>
                  </w:pPr>
                </w:p>
              </w:tc>
              <w:tc>
                <w:tcPr>
                  <w:tcW w:w="752" w:type="pct"/>
                  <w:tcBorders>
                    <w:right w:val="single" w:color="auto" w:sz="4" w:space="0"/>
                  </w:tcBorders>
                  <w:noWrap w:val="0"/>
                  <w:vAlign w:val="center"/>
                </w:tcPr>
                <w:p w14:paraId="390B5208">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147" w:type="pct"/>
                  <w:vMerge w:val="continue"/>
                  <w:tcBorders>
                    <w:right w:val="single" w:color="auto" w:sz="4" w:space="0"/>
                  </w:tcBorders>
                  <w:noWrap w:val="0"/>
                  <w:vAlign w:val="center"/>
                </w:tcPr>
                <w:p w14:paraId="64F4659A">
                  <w:pPr>
                    <w:spacing w:line="280" w:lineRule="exact"/>
                    <w:jc w:val="center"/>
                    <w:rPr>
                      <w:rFonts w:hint="default" w:ascii="Times New Roman" w:hAnsi="Times New Roman" w:cs="Times New Roman"/>
                      <w:color w:val="auto"/>
                      <w:sz w:val="21"/>
                      <w:szCs w:val="21"/>
                      <w:highlight w:val="none"/>
                    </w:rPr>
                  </w:pPr>
                </w:p>
              </w:tc>
              <w:tc>
                <w:tcPr>
                  <w:tcW w:w="478" w:type="pct"/>
                  <w:tcBorders>
                    <w:right w:val="single" w:color="auto" w:sz="4" w:space="0"/>
                  </w:tcBorders>
                  <w:noWrap w:val="0"/>
                  <w:vAlign w:val="center"/>
                </w:tcPr>
                <w:p w14:paraId="0D072F96">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w:t>
                  </w:r>
                </w:p>
              </w:tc>
              <w:tc>
                <w:tcPr>
                  <w:tcW w:w="634" w:type="pct"/>
                  <w:tcBorders>
                    <w:left w:val="single" w:color="auto" w:sz="4" w:space="0"/>
                    <w:right w:val="single" w:color="auto" w:sz="4" w:space="0"/>
                  </w:tcBorders>
                  <w:noWrap w:val="0"/>
                  <w:vAlign w:val="center"/>
                </w:tcPr>
                <w:p w14:paraId="02A31DC6">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0.98</w:t>
                  </w:r>
                </w:p>
              </w:tc>
              <w:tc>
                <w:tcPr>
                  <w:tcW w:w="950" w:type="dxa"/>
                  <w:tcBorders>
                    <w:left w:val="single" w:color="auto" w:sz="4" w:space="0"/>
                  </w:tcBorders>
                  <w:noWrap w:val="0"/>
                  <w:vAlign w:val="center"/>
                </w:tcPr>
                <w:p w14:paraId="2A509BD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58EA3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7" w:type="pct"/>
                  <w:vMerge w:val="continue"/>
                  <w:tcBorders>
                    <w:left w:val="single" w:color="auto" w:sz="4" w:space="0"/>
                  </w:tcBorders>
                  <w:noWrap w:val="0"/>
                  <w:vAlign w:val="center"/>
                </w:tcPr>
                <w:p w14:paraId="31BB4479">
                  <w:pPr>
                    <w:spacing w:line="280" w:lineRule="exact"/>
                    <w:jc w:val="center"/>
                    <w:rPr>
                      <w:rFonts w:hint="default" w:ascii="Times New Roman" w:hAnsi="Times New Roman" w:cs="Times New Roman"/>
                      <w:color w:val="auto"/>
                      <w:szCs w:val="21"/>
                      <w:highlight w:val="none"/>
                    </w:rPr>
                  </w:pPr>
                </w:p>
              </w:tc>
              <w:tc>
                <w:tcPr>
                  <w:tcW w:w="517" w:type="pct"/>
                  <w:vMerge w:val="continue"/>
                  <w:tcBorders>
                    <w:right w:val="single" w:color="auto" w:sz="4" w:space="0"/>
                  </w:tcBorders>
                  <w:noWrap w:val="0"/>
                  <w:vAlign w:val="center"/>
                </w:tcPr>
                <w:p w14:paraId="0295085B">
                  <w:pPr>
                    <w:spacing w:line="280" w:lineRule="exact"/>
                    <w:jc w:val="center"/>
                    <w:rPr>
                      <w:rFonts w:hint="default" w:ascii="Times New Roman" w:hAnsi="Times New Roman" w:cs="Times New Roman"/>
                      <w:color w:val="auto"/>
                      <w:szCs w:val="21"/>
                      <w:highlight w:val="none"/>
                    </w:rPr>
                  </w:pPr>
                </w:p>
              </w:tc>
              <w:tc>
                <w:tcPr>
                  <w:tcW w:w="401" w:type="pct"/>
                  <w:vMerge w:val="continue"/>
                  <w:tcBorders>
                    <w:left w:val="single" w:color="auto" w:sz="4" w:space="0"/>
                  </w:tcBorders>
                  <w:noWrap w:val="0"/>
                  <w:vAlign w:val="center"/>
                </w:tcPr>
                <w:p w14:paraId="2B994F8F">
                  <w:pPr>
                    <w:spacing w:line="280" w:lineRule="exact"/>
                    <w:jc w:val="center"/>
                    <w:rPr>
                      <w:rFonts w:hint="default" w:ascii="Times New Roman" w:hAnsi="Times New Roman" w:cs="Times New Roman"/>
                      <w:color w:val="auto"/>
                      <w:szCs w:val="21"/>
                      <w:highlight w:val="none"/>
                    </w:rPr>
                  </w:pPr>
                </w:p>
              </w:tc>
              <w:tc>
                <w:tcPr>
                  <w:tcW w:w="752" w:type="pct"/>
                  <w:tcBorders>
                    <w:right w:val="single" w:color="auto" w:sz="4" w:space="0"/>
                  </w:tcBorders>
                  <w:noWrap w:val="0"/>
                  <w:vAlign w:val="center"/>
                </w:tcPr>
                <w:p w14:paraId="3711928C">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subscript"/>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1147" w:type="pct"/>
                  <w:vMerge w:val="continue"/>
                  <w:tcBorders>
                    <w:right w:val="single" w:color="auto" w:sz="4" w:space="0"/>
                  </w:tcBorders>
                  <w:noWrap w:val="0"/>
                  <w:vAlign w:val="center"/>
                </w:tcPr>
                <w:p w14:paraId="4DD5967F">
                  <w:pPr>
                    <w:spacing w:line="280" w:lineRule="exact"/>
                    <w:jc w:val="center"/>
                    <w:rPr>
                      <w:rFonts w:hint="default" w:ascii="Times New Roman" w:hAnsi="Times New Roman" w:cs="Times New Roman"/>
                      <w:color w:val="auto"/>
                      <w:sz w:val="21"/>
                      <w:szCs w:val="21"/>
                      <w:highlight w:val="none"/>
                    </w:rPr>
                  </w:pPr>
                </w:p>
              </w:tc>
              <w:tc>
                <w:tcPr>
                  <w:tcW w:w="478" w:type="pct"/>
                  <w:tcBorders>
                    <w:right w:val="single" w:color="auto" w:sz="4" w:space="0"/>
                  </w:tcBorders>
                  <w:noWrap w:val="0"/>
                  <w:vAlign w:val="center"/>
                </w:tcPr>
                <w:p w14:paraId="52821FEF">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c>
                <w:tcPr>
                  <w:tcW w:w="634" w:type="pct"/>
                  <w:tcBorders>
                    <w:left w:val="single" w:color="auto" w:sz="4" w:space="0"/>
                    <w:right w:val="single" w:color="auto" w:sz="4" w:space="0"/>
                  </w:tcBorders>
                  <w:noWrap w:val="0"/>
                  <w:vAlign w:val="center"/>
                </w:tcPr>
                <w:p w14:paraId="4D730B58">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2.59</w:t>
                  </w:r>
                </w:p>
              </w:tc>
              <w:tc>
                <w:tcPr>
                  <w:tcW w:w="950" w:type="dxa"/>
                  <w:tcBorders>
                    <w:left w:val="single" w:color="auto" w:sz="4" w:space="0"/>
                  </w:tcBorders>
                  <w:noWrap w:val="0"/>
                  <w:vAlign w:val="center"/>
                </w:tcPr>
                <w:p w14:paraId="3782969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14:paraId="79205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7" w:type="pct"/>
                  <w:vMerge w:val="continue"/>
                  <w:tcBorders>
                    <w:left w:val="single" w:color="auto" w:sz="4" w:space="0"/>
                  </w:tcBorders>
                  <w:noWrap w:val="0"/>
                  <w:vAlign w:val="center"/>
                </w:tcPr>
                <w:p w14:paraId="32514BF0">
                  <w:pPr>
                    <w:spacing w:line="280" w:lineRule="exact"/>
                    <w:jc w:val="center"/>
                    <w:rPr>
                      <w:rFonts w:hint="default" w:ascii="Times New Roman" w:hAnsi="Times New Roman" w:cs="Times New Roman"/>
                      <w:color w:val="auto"/>
                      <w:szCs w:val="21"/>
                      <w:highlight w:val="none"/>
                    </w:rPr>
                  </w:pPr>
                </w:p>
              </w:tc>
              <w:tc>
                <w:tcPr>
                  <w:tcW w:w="517" w:type="pct"/>
                  <w:vMerge w:val="continue"/>
                  <w:tcBorders>
                    <w:right w:val="single" w:color="auto" w:sz="4" w:space="0"/>
                  </w:tcBorders>
                  <w:noWrap w:val="0"/>
                  <w:vAlign w:val="center"/>
                </w:tcPr>
                <w:p w14:paraId="6E443B0B">
                  <w:pPr>
                    <w:spacing w:line="280" w:lineRule="exact"/>
                    <w:jc w:val="center"/>
                    <w:rPr>
                      <w:rFonts w:hint="default" w:ascii="Times New Roman" w:hAnsi="Times New Roman" w:cs="Times New Roman"/>
                      <w:color w:val="auto"/>
                      <w:szCs w:val="21"/>
                      <w:highlight w:val="none"/>
                    </w:rPr>
                  </w:pPr>
                </w:p>
              </w:tc>
              <w:tc>
                <w:tcPr>
                  <w:tcW w:w="401" w:type="pct"/>
                  <w:vMerge w:val="continue"/>
                  <w:tcBorders>
                    <w:left w:val="single" w:color="auto" w:sz="4" w:space="0"/>
                  </w:tcBorders>
                  <w:noWrap w:val="0"/>
                  <w:vAlign w:val="center"/>
                </w:tcPr>
                <w:p w14:paraId="74AB183C">
                  <w:pPr>
                    <w:spacing w:line="280" w:lineRule="exact"/>
                    <w:jc w:val="center"/>
                    <w:rPr>
                      <w:rFonts w:hint="default" w:ascii="Times New Roman" w:hAnsi="Times New Roman" w:cs="Times New Roman"/>
                      <w:color w:val="auto"/>
                      <w:szCs w:val="21"/>
                      <w:highlight w:val="none"/>
                    </w:rPr>
                  </w:pPr>
                </w:p>
              </w:tc>
              <w:tc>
                <w:tcPr>
                  <w:tcW w:w="752" w:type="pct"/>
                  <w:tcBorders>
                    <w:right w:val="single" w:color="auto" w:sz="4" w:space="0"/>
                  </w:tcBorders>
                  <w:shd w:val="clear" w:color="auto" w:fill="auto"/>
                  <w:noWrap w:val="0"/>
                  <w:vAlign w:val="center"/>
                </w:tcPr>
                <w:p w14:paraId="20B41F04">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1147" w:type="pct"/>
                  <w:vMerge w:val="continue"/>
                  <w:tcBorders>
                    <w:right w:val="single" w:color="auto" w:sz="4" w:space="0"/>
                  </w:tcBorders>
                  <w:shd w:val="clear" w:color="auto" w:fill="auto"/>
                  <w:noWrap w:val="0"/>
                  <w:vAlign w:val="center"/>
                </w:tcPr>
                <w:p w14:paraId="6C0A9B7B">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478" w:type="pct"/>
                  <w:tcBorders>
                    <w:right w:val="single" w:color="auto" w:sz="4" w:space="0"/>
                  </w:tcBorders>
                  <w:shd w:val="clear" w:color="auto" w:fill="auto"/>
                  <w:noWrap w:val="0"/>
                  <w:vAlign w:val="center"/>
                </w:tcPr>
                <w:p w14:paraId="1543D8D5">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w:t>
                  </w:r>
                </w:p>
              </w:tc>
              <w:tc>
                <w:tcPr>
                  <w:tcW w:w="634" w:type="pct"/>
                  <w:tcBorders>
                    <w:left w:val="single" w:color="auto" w:sz="4" w:space="0"/>
                    <w:right w:val="single" w:color="auto" w:sz="4" w:space="0"/>
                  </w:tcBorders>
                  <w:shd w:val="clear" w:color="auto" w:fill="auto"/>
                  <w:noWrap w:val="0"/>
                  <w:vAlign w:val="center"/>
                </w:tcPr>
                <w:p w14:paraId="610BDF9F">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950" w:type="dxa"/>
                  <w:tcBorders>
                    <w:left w:val="single" w:color="auto" w:sz="4" w:space="0"/>
                  </w:tcBorders>
                  <w:shd w:val="clear" w:color="auto" w:fill="auto"/>
                  <w:noWrap w:val="0"/>
                  <w:vAlign w:val="center"/>
                </w:tcPr>
                <w:p w14:paraId="0221F5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r>
            <w:tr w14:paraId="6A384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7" w:type="pct"/>
                  <w:vMerge w:val="continue"/>
                  <w:tcBorders>
                    <w:left w:val="single" w:color="auto" w:sz="4" w:space="0"/>
                  </w:tcBorders>
                  <w:noWrap w:val="0"/>
                  <w:vAlign w:val="center"/>
                </w:tcPr>
                <w:p w14:paraId="4C0F53FA">
                  <w:pPr>
                    <w:spacing w:line="280" w:lineRule="exact"/>
                    <w:jc w:val="center"/>
                    <w:rPr>
                      <w:rFonts w:hint="default" w:ascii="Times New Roman" w:hAnsi="Times New Roman" w:cs="Times New Roman"/>
                      <w:color w:val="auto"/>
                      <w:szCs w:val="21"/>
                      <w:highlight w:val="none"/>
                    </w:rPr>
                  </w:pPr>
                </w:p>
              </w:tc>
              <w:tc>
                <w:tcPr>
                  <w:tcW w:w="517" w:type="pct"/>
                  <w:vMerge w:val="continue"/>
                  <w:tcBorders>
                    <w:right w:val="single" w:color="auto" w:sz="4" w:space="0"/>
                  </w:tcBorders>
                  <w:noWrap w:val="0"/>
                  <w:vAlign w:val="center"/>
                </w:tcPr>
                <w:p w14:paraId="7E55A488">
                  <w:pPr>
                    <w:spacing w:line="280" w:lineRule="exact"/>
                    <w:jc w:val="center"/>
                    <w:rPr>
                      <w:rFonts w:hint="default" w:ascii="Times New Roman" w:hAnsi="Times New Roman" w:cs="Times New Roman"/>
                      <w:color w:val="auto"/>
                      <w:szCs w:val="21"/>
                      <w:highlight w:val="none"/>
                    </w:rPr>
                  </w:pPr>
                </w:p>
              </w:tc>
              <w:tc>
                <w:tcPr>
                  <w:tcW w:w="401" w:type="pct"/>
                  <w:vMerge w:val="continue"/>
                  <w:tcBorders>
                    <w:left w:val="single" w:color="auto" w:sz="4" w:space="0"/>
                  </w:tcBorders>
                  <w:noWrap w:val="0"/>
                  <w:vAlign w:val="center"/>
                </w:tcPr>
                <w:p w14:paraId="02DCF9D9">
                  <w:pPr>
                    <w:spacing w:line="280" w:lineRule="exact"/>
                    <w:jc w:val="center"/>
                    <w:rPr>
                      <w:rFonts w:hint="default" w:ascii="Times New Roman" w:hAnsi="Times New Roman" w:cs="Times New Roman"/>
                      <w:color w:val="auto"/>
                      <w:szCs w:val="21"/>
                      <w:highlight w:val="none"/>
                    </w:rPr>
                  </w:pPr>
                </w:p>
              </w:tc>
              <w:tc>
                <w:tcPr>
                  <w:tcW w:w="752" w:type="pct"/>
                  <w:tcBorders>
                    <w:right w:val="single" w:color="auto" w:sz="4" w:space="0"/>
                  </w:tcBorders>
                  <w:noWrap w:val="0"/>
                  <w:vAlign w:val="center"/>
                </w:tcPr>
                <w:p w14:paraId="604CCB69">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TN</w:t>
                  </w:r>
                </w:p>
              </w:tc>
              <w:tc>
                <w:tcPr>
                  <w:tcW w:w="1147" w:type="pct"/>
                  <w:vMerge w:val="continue"/>
                  <w:tcBorders>
                    <w:right w:val="single" w:color="auto" w:sz="4" w:space="0"/>
                  </w:tcBorders>
                  <w:noWrap w:val="0"/>
                  <w:vAlign w:val="center"/>
                </w:tcPr>
                <w:p w14:paraId="143E34EE">
                  <w:pPr>
                    <w:spacing w:line="280" w:lineRule="exact"/>
                    <w:jc w:val="center"/>
                    <w:rPr>
                      <w:rFonts w:hint="default" w:ascii="Times New Roman" w:hAnsi="Times New Roman" w:cs="Times New Roman"/>
                      <w:color w:val="auto"/>
                      <w:sz w:val="21"/>
                      <w:szCs w:val="21"/>
                      <w:highlight w:val="none"/>
                    </w:rPr>
                  </w:pPr>
                </w:p>
              </w:tc>
              <w:tc>
                <w:tcPr>
                  <w:tcW w:w="478" w:type="pct"/>
                  <w:tcBorders>
                    <w:right w:val="single" w:color="auto" w:sz="4" w:space="0"/>
                  </w:tcBorders>
                  <w:noWrap w:val="0"/>
                  <w:vAlign w:val="center"/>
                </w:tcPr>
                <w:p w14:paraId="006A2634">
                  <w:pPr>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34" w:type="pct"/>
                  <w:tcBorders>
                    <w:left w:val="single" w:color="auto" w:sz="4" w:space="0"/>
                    <w:right w:val="single" w:color="auto" w:sz="4" w:space="0"/>
                  </w:tcBorders>
                  <w:noWrap w:val="0"/>
                  <w:vAlign w:val="center"/>
                </w:tcPr>
                <w:p w14:paraId="38C9C038">
                  <w:pPr>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2.01</w:t>
                  </w:r>
                </w:p>
              </w:tc>
              <w:tc>
                <w:tcPr>
                  <w:tcW w:w="950" w:type="dxa"/>
                  <w:tcBorders>
                    <w:left w:val="single" w:color="auto" w:sz="4" w:space="0"/>
                  </w:tcBorders>
                  <w:noWrap w:val="0"/>
                  <w:vAlign w:val="center"/>
                </w:tcPr>
                <w:p w14:paraId="7FB233F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bl>
          <w:p w14:paraId="63A672D5">
            <w:pPr>
              <w:keepNext w:val="0"/>
              <w:keepLines w:val="0"/>
              <w:pageBreakBefore w:val="0"/>
              <w:widowControl w:val="0"/>
              <w:kinsoku/>
              <w:wordWrap/>
              <w:overflowPunct/>
              <w:topLinePunct w:val="0"/>
              <w:autoSpaceDE/>
              <w:autoSpaceDN/>
              <w:bidi w:val="0"/>
              <w:adjustRightInd/>
              <w:snapToGrid/>
              <w:spacing w:before="157" w:beforeLines="50" w:line="240" w:lineRule="auto"/>
              <w:ind w:firstLine="482" w:firstLineChars="200"/>
              <w:jc w:val="center"/>
              <w:textAlignment w:val="auto"/>
              <w:rPr>
                <w:rFonts w:hint="default" w:ascii="Times New Roman" w:hAnsi="Times New Roman" w:cs="Times New Roman"/>
                <w:b/>
                <w:bCs/>
                <w:color w:val="auto"/>
                <w:sz w:val="24"/>
                <w:highlight w:val="none"/>
                <w:lang w:val="en-US" w:eastAsia="zh-CN"/>
              </w:rPr>
            </w:pPr>
          </w:p>
          <w:p w14:paraId="7427767E">
            <w:pPr>
              <w:keepNext w:val="0"/>
              <w:keepLines w:val="0"/>
              <w:pageBreakBefore w:val="0"/>
              <w:widowControl w:val="0"/>
              <w:kinsoku/>
              <w:wordWrap/>
              <w:overflowPunct/>
              <w:topLinePunct w:val="0"/>
              <w:autoSpaceDE/>
              <w:autoSpaceDN/>
              <w:bidi w:val="0"/>
              <w:adjustRightInd/>
              <w:snapToGrid/>
              <w:spacing w:before="157" w:beforeLines="50" w:line="240" w:lineRule="auto"/>
              <w:ind w:firstLine="482" w:firstLineChars="200"/>
              <w:jc w:val="center"/>
              <w:textAlignment w:val="auto"/>
              <w:rPr>
                <w:rFonts w:hint="default" w:ascii="Times New Roman" w:hAnsi="Times New Roman" w:cs="Times New Roman"/>
                <w:b/>
                <w:bCs/>
                <w:color w:val="auto"/>
                <w:sz w:val="24"/>
                <w:highlight w:val="none"/>
                <w:lang w:val="en-US" w:eastAsia="zh-CN"/>
              </w:rPr>
            </w:pPr>
          </w:p>
          <w:p w14:paraId="08BD8166">
            <w:pPr>
              <w:keepNext w:val="0"/>
              <w:keepLines w:val="0"/>
              <w:pageBreakBefore w:val="0"/>
              <w:widowControl w:val="0"/>
              <w:kinsoku/>
              <w:wordWrap/>
              <w:overflowPunct/>
              <w:topLinePunct w:val="0"/>
              <w:autoSpaceDE/>
              <w:autoSpaceDN/>
              <w:bidi w:val="0"/>
              <w:adjustRightInd/>
              <w:snapToGrid/>
              <w:spacing w:before="157" w:beforeLines="50" w:line="240" w:lineRule="auto"/>
              <w:ind w:firstLine="482" w:firstLineChars="20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续</w:t>
            </w:r>
            <w:r>
              <w:rPr>
                <w:rFonts w:hint="default" w:ascii="Times New Roman" w:hAnsi="Times New Roman" w:cs="Times New Roman"/>
                <w:b/>
                <w:bCs/>
                <w:color w:val="auto"/>
                <w:sz w:val="24"/>
                <w:highlight w:val="none"/>
              </w:rPr>
              <w:t>表</w:t>
            </w:r>
            <w:r>
              <w:rPr>
                <w:rFonts w:hint="default" w:ascii="Times New Roman" w:hAnsi="Times New Roman" w:cs="Times New Roman"/>
                <w:b/>
                <w:bCs/>
                <w:color w:val="auto"/>
                <w:sz w:val="24"/>
                <w:highlight w:val="none"/>
                <w:lang w:val="en-US" w:eastAsia="zh-CN"/>
              </w:rPr>
              <w:t>2.5-6</w:t>
            </w:r>
            <w:r>
              <w:rPr>
                <w:rFonts w:hint="default" w:ascii="Times New Roman" w:hAnsi="Times New Roman" w:cs="Times New Roman"/>
                <w:b/>
                <w:bCs/>
                <w:color w:val="auto"/>
                <w:sz w:val="24"/>
                <w:highlight w:val="none"/>
              </w:rPr>
              <w:t>现有</w:t>
            </w:r>
            <w:r>
              <w:rPr>
                <w:rFonts w:hint="default" w:ascii="Times New Roman" w:hAnsi="Times New Roman" w:cs="Times New Roman"/>
                <w:b/>
                <w:bCs/>
                <w:color w:val="auto"/>
                <w:sz w:val="24"/>
                <w:highlight w:val="none"/>
                <w:lang w:val="en-US" w:eastAsia="zh-CN"/>
              </w:rPr>
              <w:t>项目</w:t>
            </w:r>
            <w:r>
              <w:rPr>
                <w:rFonts w:hint="default" w:ascii="Times New Roman" w:hAnsi="Times New Roman" w:cs="Times New Roman"/>
                <w:b/>
                <w:bCs/>
                <w:color w:val="auto"/>
                <w:sz w:val="24"/>
                <w:highlight w:val="none"/>
              </w:rPr>
              <w:t>废水排入环境情况一览表</w:t>
            </w:r>
          </w:p>
          <w:tbl>
            <w:tblPr>
              <w:tblStyle w:val="18"/>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09"/>
              <w:gridCol w:w="1209"/>
              <w:gridCol w:w="741"/>
              <w:gridCol w:w="1726"/>
              <w:gridCol w:w="1800"/>
              <w:gridCol w:w="2203"/>
            </w:tblGrid>
            <w:tr w14:paraId="36C1FC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restart"/>
                  <w:shd w:val="clear" w:color="auto" w:fill="auto"/>
                  <w:noWrap w:val="0"/>
                  <w:vAlign w:val="center"/>
                </w:tcPr>
                <w:p w14:paraId="0B0DA013">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4523" w:type="pct"/>
                  <w:gridSpan w:val="5"/>
                  <w:shd w:val="clear" w:color="auto" w:fill="auto"/>
                  <w:noWrap w:val="0"/>
                  <w:vAlign w:val="center"/>
                </w:tcPr>
                <w:p w14:paraId="0FACA44C">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污染物排入嘉陵江</w:t>
                  </w:r>
                </w:p>
              </w:tc>
            </w:tr>
            <w:tr w14:paraId="204FDB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continue"/>
                  <w:shd w:val="clear" w:color="auto" w:fill="auto"/>
                  <w:noWrap w:val="0"/>
                  <w:vAlign w:val="center"/>
                </w:tcPr>
                <w:p w14:paraId="1B186CAE">
                  <w:pPr>
                    <w:adjustRightInd w:val="0"/>
                    <w:snapToGrid w:val="0"/>
                    <w:spacing w:line="300" w:lineRule="exact"/>
                    <w:jc w:val="center"/>
                    <w:rPr>
                      <w:rFonts w:hint="default" w:ascii="Times New Roman" w:hAnsi="Times New Roman" w:cs="Times New Roman"/>
                      <w:color w:val="auto"/>
                      <w:sz w:val="21"/>
                      <w:szCs w:val="21"/>
                      <w:highlight w:val="none"/>
                    </w:rPr>
                  </w:pPr>
                </w:p>
              </w:tc>
              <w:tc>
                <w:tcPr>
                  <w:tcW w:w="712" w:type="pct"/>
                  <w:shd w:val="clear" w:color="auto" w:fill="auto"/>
                  <w:noWrap w:val="0"/>
                  <w:vAlign w:val="center"/>
                </w:tcPr>
                <w:p w14:paraId="57ABCE99">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排放废水量</w:t>
                  </w:r>
                </w:p>
              </w:tc>
              <w:tc>
                <w:tcPr>
                  <w:tcW w:w="436" w:type="pct"/>
                  <w:shd w:val="clear" w:color="auto" w:fill="auto"/>
                  <w:noWrap w:val="0"/>
                  <w:vAlign w:val="center"/>
                </w:tcPr>
                <w:p w14:paraId="0E822FDD">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废水处理措施</w:t>
                  </w:r>
                </w:p>
              </w:tc>
              <w:tc>
                <w:tcPr>
                  <w:tcW w:w="1016" w:type="pct"/>
                  <w:shd w:val="clear" w:color="auto" w:fill="auto"/>
                  <w:noWrap w:val="0"/>
                  <w:vAlign w:val="center"/>
                </w:tcPr>
                <w:p w14:paraId="12726E5A">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060" w:type="pct"/>
                  <w:shd w:val="clear" w:color="auto" w:fill="auto"/>
                  <w:noWrap w:val="0"/>
                  <w:vAlign w:val="center"/>
                </w:tcPr>
                <w:p w14:paraId="661FC7D7">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排放浓度（mg/L）</w:t>
                  </w:r>
                </w:p>
              </w:tc>
              <w:tc>
                <w:tcPr>
                  <w:tcW w:w="1297" w:type="pct"/>
                  <w:shd w:val="clear" w:color="auto" w:fill="auto"/>
                  <w:noWrap w:val="0"/>
                  <w:vAlign w:val="center"/>
                </w:tcPr>
                <w:p w14:paraId="7AF9833B">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r>
            <w:tr w14:paraId="572777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restart"/>
                  <w:noWrap w:val="0"/>
                  <w:vAlign w:val="center"/>
                </w:tcPr>
                <w:p w14:paraId="6DE0B88F">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食堂废水、生活污水、生产废水</w:t>
                  </w:r>
                </w:p>
              </w:tc>
              <w:tc>
                <w:tcPr>
                  <w:tcW w:w="712" w:type="pct"/>
                  <w:vMerge w:val="restart"/>
                  <w:noWrap w:val="0"/>
                  <w:vAlign w:val="center"/>
                </w:tcPr>
                <w:p w14:paraId="619DD040">
                  <w:pPr>
                    <w:adjustRightInd w:val="0"/>
                    <w:snapToGrid w:val="0"/>
                    <w:spacing w:line="300" w:lineRule="exact"/>
                    <w:ind w:left="-63" w:leftChars="-30" w:right="-63" w:rightChars="-3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115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lang w:eastAsia="zh-CN"/>
                    </w:rPr>
                    <w:t>，</w:t>
                  </w:r>
                </w:p>
                <w:p w14:paraId="0CCBA816">
                  <w:pPr>
                    <w:adjustRightInd w:val="0"/>
                    <w:snapToGrid w:val="0"/>
                    <w:spacing w:line="300" w:lineRule="exac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3.45</w:t>
                  </w:r>
                  <w:r>
                    <w:rPr>
                      <w:rFonts w:hint="default" w:ascii="Times New Roman" w:hAnsi="Times New Roman" w:cs="Times New Roman"/>
                      <w:color w:val="auto"/>
                      <w:sz w:val="21"/>
                      <w:szCs w:val="21"/>
                      <w:highlight w:val="none"/>
                    </w:rPr>
                    <w:t>万m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436" w:type="pct"/>
                  <w:vMerge w:val="restart"/>
                  <w:noWrap w:val="0"/>
                  <w:vAlign w:val="center"/>
                </w:tcPr>
                <w:p w14:paraId="2716297A">
                  <w:pPr>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铜罐驿污水处理厂</w:t>
                  </w:r>
                </w:p>
              </w:tc>
              <w:tc>
                <w:tcPr>
                  <w:tcW w:w="1016" w:type="pct"/>
                  <w:noWrap w:val="0"/>
                  <w:vAlign w:val="center"/>
                </w:tcPr>
                <w:p w14:paraId="2202C161">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060" w:type="pct"/>
                  <w:noWrap w:val="0"/>
                  <w:vAlign w:val="center"/>
                </w:tcPr>
                <w:p w14:paraId="77D9435E">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1297" w:type="pct"/>
                  <w:noWrap w:val="0"/>
                  <w:vAlign w:val="center"/>
                </w:tcPr>
                <w:p w14:paraId="155F5B6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1.04</w:t>
                  </w:r>
                </w:p>
              </w:tc>
            </w:tr>
            <w:tr w14:paraId="69DF2D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continue"/>
                  <w:noWrap w:val="0"/>
                  <w:vAlign w:val="center"/>
                </w:tcPr>
                <w:p w14:paraId="117B7D66">
                  <w:pPr>
                    <w:adjustRightInd w:val="0"/>
                    <w:snapToGrid w:val="0"/>
                    <w:spacing w:line="300" w:lineRule="exact"/>
                    <w:jc w:val="center"/>
                    <w:rPr>
                      <w:rFonts w:hint="default" w:ascii="Times New Roman" w:hAnsi="Times New Roman" w:cs="Times New Roman"/>
                      <w:color w:val="auto"/>
                      <w:sz w:val="21"/>
                      <w:szCs w:val="21"/>
                      <w:highlight w:val="none"/>
                    </w:rPr>
                  </w:pPr>
                </w:p>
              </w:tc>
              <w:tc>
                <w:tcPr>
                  <w:tcW w:w="712" w:type="pct"/>
                  <w:vMerge w:val="continue"/>
                  <w:noWrap w:val="0"/>
                  <w:vAlign w:val="center"/>
                </w:tcPr>
                <w:p w14:paraId="4D80D3D6">
                  <w:pPr>
                    <w:adjustRightInd w:val="0"/>
                    <w:snapToGrid w:val="0"/>
                    <w:spacing w:line="300" w:lineRule="exact"/>
                    <w:jc w:val="center"/>
                    <w:rPr>
                      <w:rFonts w:hint="default" w:ascii="Times New Roman" w:hAnsi="Times New Roman" w:cs="Times New Roman"/>
                      <w:color w:val="auto"/>
                      <w:sz w:val="21"/>
                      <w:szCs w:val="21"/>
                      <w:highlight w:val="none"/>
                    </w:rPr>
                  </w:pPr>
                </w:p>
              </w:tc>
              <w:tc>
                <w:tcPr>
                  <w:tcW w:w="436" w:type="pct"/>
                  <w:vMerge w:val="continue"/>
                  <w:noWrap w:val="0"/>
                  <w:vAlign w:val="center"/>
                </w:tcPr>
                <w:p w14:paraId="76381E0F">
                  <w:pPr>
                    <w:adjustRightInd w:val="0"/>
                    <w:snapToGrid w:val="0"/>
                    <w:spacing w:line="300" w:lineRule="exact"/>
                    <w:jc w:val="center"/>
                    <w:rPr>
                      <w:rFonts w:hint="default" w:ascii="Times New Roman" w:hAnsi="Times New Roman" w:cs="Times New Roman"/>
                      <w:color w:val="auto"/>
                      <w:sz w:val="21"/>
                      <w:szCs w:val="21"/>
                      <w:highlight w:val="none"/>
                    </w:rPr>
                  </w:pPr>
                </w:p>
              </w:tc>
              <w:tc>
                <w:tcPr>
                  <w:tcW w:w="1016" w:type="pct"/>
                  <w:shd w:val="clear" w:color="auto" w:fill="auto"/>
                  <w:noWrap w:val="0"/>
                  <w:vAlign w:val="center"/>
                </w:tcPr>
                <w:p w14:paraId="62F7A88D">
                  <w:pPr>
                    <w:spacing w:line="280" w:lineRule="exact"/>
                    <w:jc w:val="center"/>
                    <w:rPr>
                      <w:rFonts w:hint="default" w:ascii="Times New Roman" w:hAnsi="Times New Roman" w:eastAsia="宋体" w:cs="Times New Roman"/>
                      <w:color w:val="auto"/>
                      <w:kern w:val="2"/>
                      <w:sz w:val="21"/>
                      <w:szCs w:val="21"/>
                      <w:highlight w:val="none"/>
                      <w:vertAlign w:val="subscript"/>
                      <w:lang w:val="en-US" w:eastAsia="zh-CN" w:bidi="ar-SA"/>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060" w:type="pct"/>
                  <w:shd w:val="clear" w:color="auto" w:fill="auto"/>
                  <w:noWrap w:val="0"/>
                  <w:vAlign w:val="center"/>
                </w:tcPr>
                <w:p w14:paraId="0D44BB85">
                  <w:pPr>
                    <w:adjustRightInd w:val="0"/>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297" w:type="pct"/>
                  <w:shd w:val="clear" w:color="auto" w:fill="auto"/>
                  <w:noWrap w:val="0"/>
                  <w:vAlign w:val="center"/>
                </w:tcPr>
                <w:p w14:paraId="244ACFA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0.21</w:t>
                  </w:r>
                </w:p>
              </w:tc>
            </w:tr>
            <w:tr w14:paraId="34350F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continue"/>
                  <w:noWrap w:val="0"/>
                  <w:vAlign w:val="center"/>
                </w:tcPr>
                <w:p w14:paraId="7FFC2F4C">
                  <w:pPr>
                    <w:adjustRightInd w:val="0"/>
                    <w:snapToGrid w:val="0"/>
                    <w:spacing w:line="300" w:lineRule="exact"/>
                    <w:jc w:val="center"/>
                    <w:rPr>
                      <w:rFonts w:hint="default" w:ascii="Times New Roman" w:hAnsi="Times New Roman" w:cs="Times New Roman"/>
                      <w:color w:val="auto"/>
                      <w:sz w:val="21"/>
                      <w:szCs w:val="21"/>
                      <w:highlight w:val="none"/>
                    </w:rPr>
                  </w:pPr>
                </w:p>
              </w:tc>
              <w:tc>
                <w:tcPr>
                  <w:tcW w:w="712" w:type="pct"/>
                  <w:vMerge w:val="continue"/>
                  <w:noWrap w:val="0"/>
                  <w:vAlign w:val="center"/>
                </w:tcPr>
                <w:p w14:paraId="2E6871BA">
                  <w:pPr>
                    <w:adjustRightInd w:val="0"/>
                    <w:snapToGrid w:val="0"/>
                    <w:spacing w:line="300" w:lineRule="exact"/>
                    <w:jc w:val="center"/>
                    <w:rPr>
                      <w:rFonts w:hint="default" w:ascii="Times New Roman" w:hAnsi="Times New Roman" w:cs="Times New Roman"/>
                      <w:color w:val="auto"/>
                      <w:sz w:val="21"/>
                      <w:szCs w:val="21"/>
                      <w:highlight w:val="none"/>
                    </w:rPr>
                  </w:pPr>
                </w:p>
              </w:tc>
              <w:tc>
                <w:tcPr>
                  <w:tcW w:w="436" w:type="pct"/>
                  <w:vMerge w:val="continue"/>
                  <w:noWrap w:val="0"/>
                  <w:vAlign w:val="center"/>
                </w:tcPr>
                <w:p w14:paraId="59685FB7">
                  <w:pPr>
                    <w:adjustRightInd w:val="0"/>
                    <w:snapToGrid w:val="0"/>
                    <w:spacing w:line="300" w:lineRule="exact"/>
                    <w:jc w:val="center"/>
                    <w:rPr>
                      <w:rFonts w:hint="default" w:ascii="Times New Roman" w:hAnsi="Times New Roman" w:cs="Times New Roman"/>
                      <w:color w:val="auto"/>
                      <w:sz w:val="21"/>
                      <w:szCs w:val="21"/>
                      <w:highlight w:val="none"/>
                    </w:rPr>
                  </w:pPr>
                </w:p>
              </w:tc>
              <w:tc>
                <w:tcPr>
                  <w:tcW w:w="1016" w:type="pct"/>
                  <w:noWrap w:val="0"/>
                  <w:vAlign w:val="center"/>
                </w:tcPr>
                <w:p w14:paraId="5F021CFC">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060" w:type="pct"/>
                  <w:noWrap w:val="0"/>
                  <w:vAlign w:val="center"/>
                </w:tcPr>
                <w:p w14:paraId="36C885CA">
                  <w:pPr>
                    <w:adjustRightInd w:val="0"/>
                    <w:snapToGrid w:val="0"/>
                    <w:spacing w:line="3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8</w:t>
                  </w:r>
                </w:p>
              </w:tc>
              <w:tc>
                <w:tcPr>
                  <w:tcW w:w="1297" w:type="pct"/>
                  <w:noWrap w:val="0"/>
                  <w:vAlign w:val="center"/>
                </w:tcPr>
                <w:p w14:paraId="3781632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r>
            <w:tr w14:paraId="5FA50A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continue"/>
                  <w:noWrap w:val="0"/>
                  <w:vAlign w:val="center"/>
                </w:tcPr>
                <w:p w14:paraId="163ABF80">
                  <w:pPr>
                    <w:adjustRightInd w:val="0"/>
                    <w:snapToGrid w:val="0"/>
                    <w:spacing w:line="300" w:lineRule="exact"/>
                    <w:jc w:val="center"/>
                    <w:rPr>
                      <w:rFonts w:hint="default" w:ascii="Times New Roman" w:hAnsi="Times New Roman" w:cs="Times New Roman"/>
                      <w:color w:val="auto"/>
                      <w:sz w:val="21"/>
                      <w:szCs w:val="21"/>
                      <w:highlight w:val="none"/>
                    </w:rPr>
                  </w:pPr>
                </w:p>
              </w:tc>
              <w:tc>
                <w:tcPr>
                  <w:tcW w:w="712" w:type="pct"/>
                  <w:vMerge w:val="continue"/>
                  <w:noWrap w:val="0"/>
                  <w:vAlign w:val="center"/>
                </w:tcPr>
                <w:p w14:paraId="39D6ABDC">
                  <w:pPr>
                    <w:adjustRightInd w:val="0"/>
                    <w:snapToGrid w:val="0"/>
                    <w:spacing w:line="300" w:lineRule="exact"/>
                    <w:jc w:val="center"/>
                    <w:rPr>
                      <w:rFonts w:hint="default" w:ascii="Times New Roman" w:hAnsi="Times New Roman" w:cs="Times New Roman"/>
                      <w:color w:val="auto"/>
                      <w:sz w:val="21"/>
                      <w:szCs w:val="21"/>
                      <w:highlight w:val="none"/>
                    </w:rPr>
                  </w:pPr>
                </w:p>
              </w:tc>
              <w:tc>
                <w:tcPr>
                  <w:tcW w:w="436" w:type="pct"/>
                  <w:vMerge w:val="continue"/>
                  <w:noWrap w:val="0"/>
                  <w:vAlign w:val="center"/>
                </w:tcPr>
                <w:p w14:paraId="02EF3D10">
                  <w:pPr>
                    <w:adjustRightInd w:val="0"/>
                    <w:snapToGrid w:val="0"/>
                    <w:spacing w:line="300" w:lineRule="exact"/>
                    <w:jc w:val="center"/>
                    <w:rPr>
                      <w:rFonts w:hint="default" w:ascii="Times New Roman" w:hAnsi="Times New Roman" w:cs="Times New Roman"/>
                      <w:color w:val="auto"/>
                      <w:sz w:val="21"/>
                      <w:szCs w:val="21"/>
                      <w:highlight w:val="none"/>
                    </w:rPr>
                  </w:pPr>
                </w:p>
              </w:tc>
              <w:tc>
                <w:tcPr>
                  <w:tcW w:w="1016" w:type="pct"/>
                  <w:shd w:val="clear" w:color="auto" w:fill="auto"/>
                  <w:noWrap w:val="0"/>
                  <w:vAlign w:val="center"/>
                </w:tcPr>
                <w:p w14:paraId="53109BC5">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060" w:type="pct"/>
                  <w:shd w:val="clear" w:color="auto" w:fill="auto"/>
                  <w:noWrap w:val="0"/>
                  <w:vAlign w:val="center"/>
                </w:tcPr>
                <w:p w14:paraId="25E86D0F">
                  <w:pPr>
                    <w:adjustRightInd w:val="0"/>
                    <w:snapToGrid w:val="0"/>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0.98</w:t>
                  </w:r>
                </w:p>
              </w:tc>
              <w:tc>
                <w:tcPr>
                  <w:tcW w:w="1297" w:type="pct"/>
                  <w:shd w:val="clear" w:color="auto" w:fill="auto"/>
                  <w:noWrap w:val="0"/>
                  <w:vAlign w:val="center"/>
                </w:tcPr>
                <w:p w14:paraId="11EB1C2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14:paraId="343471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continue"/>
                  <w:noWrap w:val="0"/>
                  <w:vAlign w:val="center"/>
                </w:tcPr>
                <w:p w14:paraId="60287E15">
                  <w:pPr>
                    <w:adjustRightInd w:val="0"/>
                    <w:snapToGrid w:val="0"/>
                    <w:spacing w:line="300" w:lineRule="exact"/>
                    <w:jc w:val="center"/>
                    <w:rPr>
                      <w:rFonts w:hint="default" w:ascii="Times New Roman" w:hAnsi="Times New Roman" w:cs="Times New Roman"/>
                      <w:color w:val="auto"/>
                      <w:sz w:val="21"/>
                      <w:szCs w:val="21"/>
                      <w:highlight w:val="none"/>
                    </w:rPr>
                  </w:pPr>
                </w:p>
              </w:tc>
              <w:tc>
                <w:tcPr>
                  <w:tcW w:w="712" w:type="pct"/>
                  <w:vMerge w:val="continue"/>
                  <w:noWrap w:val="0"/>
                  <w:vAlign w:val="center"/>
                </w:tcPr>
                <w:p w14:paraId="4E8688BC">
                  <w:pPr>
                    <w:adjustRightInd w:val="0"/>
                    <w:snapToGrid w:val="0"/>
                    <w:spacing w:line="300" w:lineRule="exact"/>
                    <w:jc w:val="center"/>
                    <w:rPr>
                      <w:rFonts w:hint="default" w:ascii="Times New Roman" w:hAnsi="Times New Roman" w:cs="Times New Roman"/>
                      <w:color w:val="auto"/>
                      <w:sz w:val="21"/>
                      <w:szCs w:val="21"/>
                      <w:highlight w:val="none"/>
                    </w:rPr>
                  </w:pPr>
                </w:p>
              </w:tc>
              <w:tc>
                <w:tcPr>
                  <w:tcW w:w="436" w:type="pct"/>
                  <w:vMerge w:val="continue"/>
                  <w:noWrap w:val="0"/>
                  <w:vAlign w:val="center"/>
                </w:tcPr>
                <w:p w14:paraId="0403ED19">
                  <w:pPr>
                    <w:adjustRightInd w:val="0"/>
                    <w:snapToGrid w:val="0"/>
                    <w:spacing w:line="300" w:lineRule="exact"/>
                    <w:jc w:val="center"/>
                    <w:rPr>
                      <w:rFonts w:hint="default" w:ascii="Times New Roman" w:hAnsi="Times New Roman" w:cs="Times New Roman"/>
                      <w:color w:val="auto"/>
                      <w:sz w:val="21"/>
                      <w:szCs w:val="21"/>
                      <w:highlight w:val="none"/>
                    </w:rPr>
                  </w:pPr>
                </w:p>
              </w:tc>
              <w:tc>
                <w:tcPr>
                  <w:tcW w:w="1016" w:type="pct"/>
                  <w:noWrap w:val="0"/>
                  <w:vAlign w:val="center"/>
                </w:tcPr>
                <w:p w14:paraId="37BC7043">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1060" w:type="pct"/>
                  <w:noWrap w:val="0"/>
                  <w:vAlign w:val="center"/>
                </w:tcPr>
                <w:p w14:paraId="7211DC3F">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2.59</w:t>
                  </w:r>
                </w:p>
              </w:tc>
              <w:tc>
                <w:tcPr>
                  <w:tcW w:w="1297" w:type="pct"/>
                  <w:noWrap w:val="0"/>
                  <w:vAlign w:val="center"/>
                </w:tcPr>
                <w:p w14:paraId="17FD6447">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r>
            <w:tr w14:paraId="0329CA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continue"/>
                  <w:noWrap w:val="0"/>
                  <w:vAlign w:val="center"/>
                </w:tcPr>
                <w:p w14:paraId="3B37B63E">
                  <w:pPr>
                    <w:adjustRightInd w:val="0"/>
                    <w:snapToGrid w:val="0"/>
                    <w:spacing w:line="300" w:lineRule="exact"/>
                    <w:jc w:val="center"/>
                    <w:rPr>
                      <w:rFonts w:hint="default" w:ascii="Times New Roman" w:hAnsi="Times New Roman" w:cs="Times New Roman"/>
                      <w:color w:val="auto"/>
                      <w:sz w:val="21"/>
                      <w:szCs w:val="21"/>
                      <w:highlight w:val="none"/>
                    </w:rPr>
                  </w:pPr>
                </w:p>
              </w:tc>
              <w:tc>
                <w:tcPr>
                  <w:tcW w:w="712" w:type="pct"/>
                  <w:vMerge w:val="continue"/>
                  <w:noWrap w:val="0"/>
                  <w:vAlign w:val="center"/>
                </w:tcPr>
                <w:p w14:paraId="71C1396F">
                  <w:pPr>
                    <w:adjustRightInd w:val="0"/>
                    <w:snapToGrid w:val="0"/>
                    <w:spacing w:line="300" w:lineRule="exact"/>
                    <w:jc w:val="center"/>
                    <w:rPr>
                      <w:rFonts w:hint="default" w:ascii="Times New Roman" w:hAnsi="Times New Roman" w:cs="Times New Roman"/>
                      <w:color w:val="auto"/>
                      <w:sz w:val="21"/>
                      <w:szCs w:val="21"/>
                      <w:highlight w:val="none"/>
                    </w:rPr>
                  </w:pPr>
                </w:p>
              </w:tc>
              <w:tc>
                <w:tcPr>
                  <w:tcW w:w="436" w:type="pct"/>
                  <w:vMerge w:val="continue"/>
                  <w:noWrap w:val="0"/>
                  <w:vAlign w:val="center"/>
                </w:tcPr>
                <w:p w14:paraId="280874A2">
                  <w:pPr>
                    <w:adjustRightInd w:val="0"/>
                    <w:snapToGrid w:val="0"/>
                    <w:spacing w:line="300" w:lineRule="exact"/>
                    <w:jc w:val="center"/>
                    <w:rPr>
                      <w:rFonts w:hint="default" w:ascii="Times New Roman" w:hAnsi="Times New Roman" w:cs="Times New Roman"/>
                      <w:color w:val="auto"/>
                      <w:sz w:val="21"/>
                      <w:szCs w:val="21"/>
                      <w:highlight w:val="none"/>
                    </w:rPr>
                  </w:pPr>
                </w:p>
              </w:tc>
              <w:tc>
                <w:tcPr>
                  <w:tcW w:w="1016" w:type="pct"/>
                  <w:shd w:val="clear" w:color="auto" w:fill="auto"/>
                  <w:noWrap w:val="0"/>
                  <w:vAlign w:val="center"/>
                </w:tcPr>
                <w:p w14:paraId="65C774A0">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1060" w:type="pct"/>
                  <w:shd w:val="clear" w:color="auto" w:fill="auto"/>
                  <w:noWrap w:val="0"/>
                  <w:vAlign w:val="center"/>
                </w:tcPr>
                <w:p w14:paraId="258B5C11">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1297" w:type="pct"/>
                  <w:shd w:val="clear" w:color="auto" w:fill="auto"/>
                  <w:noWrap w:val="0"/>
                  <w:vAlign w:val="center"/>
                </w:tcPr>
                <w:p w14:paraId="0DC368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r>
            <w:tr w14:paraId="524F29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3" w:hRule="atLeast"/>
                <w:jc w:val="center"/>
              </w:trPr>
              <w:tc>
                <w:tcPr>
                  <w:tcW w:w="476" w:type="pct"/>
                  <w:vMerge w:val="continue"/>
                  <w:noWrap w:val="0"/>
                  <w:vAlign w:val="center"/>
                </w:tcPr>
                <w:p w14:paraId="3B7D8F8D">
                  <w:pPr>
                    <w:adjustRightInd w:val="0"/>
                    <w:snapToGrid w:val="0"/>
                    <w:spacing w:line="300" w:lineRule="exact"/>
                    <w:jc w:val="center"/>
                    <w:rPr>
                      <w:rFonts w:hint="default" w:ascii="Times New Roman" w:hAnsi="Times New Roman" w:cs="Times New Roman"/>
                      <w:color w:val="auto"/>
                      <w:sz w:val="21"/>
                      <w:szCs w:val="21"/>
                      <w:highlight w:val="none"/>
                    </w:rPr>
                  </w:pPr>
                </w:p>
              </w:tc>
              <w:tc>
                <w:tcPr>
                  <w:tcW w:w="712" w:type="pct"/>
                  <w:vMerge w:val="continue"/>
                  <w:noWrap w:val="0"/>
                  <w:vAlign w:val="center"/>
                </w:tcPr>
                <w:p w14:paraId="2F8BB8A5">
                  <w:pPr>
                    <w:adjustRightInd w:val="0"/>
                    <w:snapToGrid w:val="0"/>
                    <w:spacing w:line="300" w:lineRule="exact"/>
                    <w:jc w:val="center"/>
                    <w:rPr>
                      <w:rFonts w:hint="default" w:ascii="Times New Roman" w:hAnsi="Times New Roman" w:cs="Times New Roman"/>
                      <w:color w:val="auto"/>
                      <w:sz w:val="21"/>
                      <w:szCs w:val="21"/>
                      <w:highlight w:val="none"/>
                    </w:rPr>
                  </w:pPr>
                </w:p>
              </w:tc>
              <w:tc>
                <w:tcPr>
                  <w:tcW w:w="436" w:type="pct"/>
                  <w:vMerge w:val="continue"/>
                  <w:noWrap w:val="0"/>
                  <w:vAlign w:val="center"/>
                </w:tcPr>
                <w:p w14:paraId="3E075B35">
                  <w:pPr>
                    <w:adjustRightInd w:val="0"/>
                    <w:snapToGrid w:val="0"/>
                    <w:spacing w:line="300" w:lineRule="exact"/>
                    <w:jc w:val="center"/>
                    <w:rPr>
                      <w:rFonts w:hint="default" w:ascii="Times New Roman" w:hAnsi="Times New Roman" w:cs="Times New Roman"/>
                      <w:color w:val="auto"/>
                      <w:sz w:val="21"/>
                      <w:szCs w:val="21"/>
                      <w:highlight w:val="none"/>
                    </w:rPr>
                  </w:pPr>
                </w:p>
              </w:tc>
              <w:tc>
                <w:tcPr>
                  <w:tcW w:w="1016" w:type="pct"/>
                  <w:noWrap w:val="0"/>
                  <w:vAlign w:val="center"/>
                </w:tcPr>
                <w:p w14:paraId="6A111F81">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TN</w:t>
                  </w:r>
                </w:p>
              </w:tc>
              <w:tc>
                <w:tcPr>
                  <w:tcW w:w="1060" w:type="pct"/>
                  <w:noWrap w:val="0"/>
                  <w:vAlign w:val="center"/>
                </w:tcPr>
                <w:p w14:paraId="45D95A84">
                  <w:pPr>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1297" w:type="pct"/>
                  <w:noWrap w:val="0"/>
                  <w:vAlign w:val="center"/>
                </w:tcPr>
                <w:p w14:paraId="25ACEC68">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r>
          </w:tbl>
          <w:p w14:paraId="65B93C67">
            <w:pPr>
              <w:keepNext w:val="0"/>
              <w:keepLines w:val="0"/>
              <w:pageBreakBefore w:val="0"/>
              <w:widowControl w:val="0"/>
              <w:kinsoku/>
              <w:wordWrap/>
              <w:overflowPunct/>
              <w:topLinePunct w:val="0"/>
              <w:autoSpaceDE/>
              <w:autoSpaceDN/>
              <w:bidi w:val="0"/>
              <w:adjustRightInd/>
              <w:snapToGrid/>
              <w:spacing w:before="157" w:beforeLines="50" w:line="240" w:lineRule="auto"/>
              <w:ind w:firstLine="482" w:firstLineChars="200"/>
              <w:jc w:val="center"/>
              <w:textAlignment w:val="auto"/>
              <w:rPr>
                <w:rFonts w:hint="default" w:ascii="Times New Roman" w:hAnsi="Times New Roman" w:cs="Times New Roman"/>
                <w:b/>
                <w:bCs/>
                <w:color w:val="auto"/>
                <w:sz w:val="24"/>
                <w:highlight w:val="none"/>
                <w:lang w:val="en-US" w:eastAsia="zh-CN"/>
              </w:rPr>
            </w:pPr>
          </w:p>
          <w:p w14:paraId="0C7F154D">
            <w:pPr>
              <w:keepNext w:val="0"/>
              <w:keepLines w:val="0"/>
              <w:pageBreakBefore w:val="0"/>
              <w:widowControl w:val="0"/>
              <w:kinsoku/>
              <w:wordWrap/>
              <w:overflowPunct/>
              <w:topLinePunct w:val="0"/>
              <w:autoSpaceDE/>
              <w:autoSpaceDN/>
              <w:bidi w:val="0"/>
              <w:adjustRightInd/>
              <w:snapToGrid/>
              <w:spacing w:before="157" w:beforeLines="50" w:line="240" w:lineRule="auto"/>
              <w:ind w:firstLine="482" w:firstLineChars="200"/>
              <w:jc w:val="center"/>
              <w:textAlignment w:val="auto"/>
              <w:rPr>
                <w:rFonts w:hint="default" w:ascii="Times New Roman" w:hAnsi="Times New Roman" w:cs="Times New Roman"/>
                <w:b/>
                <w:bCs/>
                <w:color w:val="auto"/>
                <w:sz w:val="24"/>
                <w:highlight w:val="none"/>
                <w:lang w:val="en-US" w:eastAsia="zh-CN"/>
              </w:rPr>
            </w:pPr>
          </w:p>
          <w:p w14:paraId="4EE10ABB">
            <w:pPr>
              <w:pStyle w:val="2"/>
              <w:rPr>
                <w:rFonts w:hint="default" w:ascii="Times New Roman" w:hAnsi="Times New Roman" w:cs="Times New Roman"/>
                <w:b/>
                <w:bCs/>
                <w:color w:val="auto"/>
                <w:sz w:val="24"/>
                <w:highlight w:val="none"/>
                <w:lang w:val="en-US" w:eastAsia="zh-CN"/>
              </w:rPr>
            </w:pPr>
          </w:p>
          <w:p w14:paraId="62EB979A">
            <w:pPr>
              <w:pStyle w:val="3"/>
              <w:rPr>
                <w:rFonts w:hint="default" w:ascii="Times New Roman" w:hAnsi="Times New Roman" w:cs="Times New Roman"/>
                <w:b/>
                <w:bCs/>
                <w:color w:val="auto"/>
                <w:sz w:val="24"/>
                <w:highlight w:val="none"/>
                <w:lang w:val="en-US" w:eastAsia="zh-CN"/>
              </w:rPr>
            </w:pPr>
          </w:p>
          <w:p w14:paraId="768AFBDC">
            <w:pPr>
              <w:rPr>
                <w:rFonts w:hint="default" w:ascii="Times New Roman" w:hAnsi="Times New Roman" w:cs="Times New Roman"/>
                <w:b/>
                <w:bCs/>
                <w:color w:val="auto"/>
                <w:sz w:val="24"/>
                <w:highlight w:val="none"/>
                <w:lang w:val="en-US" w:eastAsia="zh-CN"/>
              </w:rPr>
            </w:pPr>
          </w:p>
          <w:p w14:paraId="7585CDEA">
            <w:pPr>
              <w:pStyle w:val="2"/>
              <w:rPr>
                <w:rFonts w:hint="eastAsia" w:cs="Times New Roman"/>
                <w:b/>
                <w:bCs/>
                <w:color w:val="auto"/>
                <w:sz w:val="24"/>
                <w:highlight w:val="none"/>
                <w:lang w:val="en-US" w:eastAsia="zh-CN"/>
              </w:rPr>
            </w:pPr>
          </w:p>
          <w:p w14:paraId="0515790C">
            <w:pPr>
              <w:pStyle w:val="3"/>
              <w:rPr>
                <w:rFonts w:hint="eastAsia" w:cs="Times New Roman"/>
                <w:b/>
                <w:bCs/>
                <w:color w:val="auto"/>
                <w:sz w:val="24"/>
                <w:highlight w:val="none"/>
                <w:lang w:val="en-US" w:eastAsia="zh-CN"/>
              </w:rPr>
            </w:pPr>
          </w:p>
          <w:p w14:paraId="533C4392">
            <w:pPr>
              <w:rPr>
                <w:rFonts w:hint="eastAsia" w:cs="Times New Roman"/>
                <w:b/>
                <w:bCs/>
                <w:color w:val="auto"/>
                <w:sz w:val="24"/>
                <w:highlight w:val="none"/>
                <w:lang w:val="en-US" w:eastAsia="zh-CN"/>
              </w:rPr>
            </w:pPr>
          </w:p>
          <w:p w14:paraId="6B3C5FFA">
            <w:pPr>
              <w:pStyle w:val="2"/>
              <w:rPr>
                <w:rFonts w:hint="eastAsia" w:cs="Times New Roman"/>
                <w:b/>
                <w:bCs/>
                <w:color w:val="auto"/>
                <w:sz w:val="24"/>
                <w:highlight w:val="none"/>
                <w:lang w:val="en-US" w:eastAsia="zh-CN"/>
              </w:rPr>
            </w:pPr>
          </w:p>
          <w:p w14:paraId="14B339D4">
            <w:pPr>
              <w:pStyle w:val="3"/>
              <w:rPr>
                <w:rFonts w:hint="eastAsia" w:cs="Times New Roman"/>
                <w:b/>
                <w:bCs/>
                <w:color w:val="auto"/>
                <w:sz w:val="24"/>
                <w:highlight w:val="none"/>
                <w:lang w:val="en-US" w:eastAsia="zh-CN"/>
              </w:rPr>
            </w:pPr>
          </w:p>
          <w:p w14:paraId="45CAB455">
            <w:pPr>
              <w:rPr>
                <w:rFonts w:hint="eastAsia" w:cs="Times New Roman"/>
                <w:b/>
                <w:bCs/>
                <w:color w:val="auto"/>
                <w:sz w:val="24"/>
                <w:highlight w:val="none"/>
                <w:lang w:val="en-US" w:eastAsia="zh-CN"/>
              </w:rPr>
            </w:pPr>
          </w:p>
          <w:p w14:paraId="05C42A02">
            <w:pPr>
              <w:pStyle w:val="2"/>
              <w:rPr>
                <w:rFonts w:hint="eastAsia" w:cs="Times New Roman"/>
                <w:b/>
                <w:bCs/>
                <w:color w:val="auto"/>
                <w:sz w:val="24"/>
                <w:highlight w:val="none"/>
                <w:lang w:val="en-US" w:eastAsia="zh-CN"/>
              </w:rPr>
            </w:pPr>
          </w:p>
          <w:p w14:paraId="49D65F79">
            <w:pPr>
              <w:pStyle w:val="3"/>
              <w:rPr>
                <w:rFonts w:hint="eastAsia" w:cs="Times New Roman"/>
                <w:b/>
                <w:bCs/>
                <w:color w:val="auto"/>
                <w:sz w:val="24"/>
                <w:highlight w:val="none"/>
                <w:lang w:val="en-US" w:eastAsia="zh-CN"/>
              </w:rPr>
            </w:pPr>
          </w:p>
          <w:p w14:paraId="27D010ED">
            <w:pPr>
              <w:rPr>
                <w:rFonts w:hint="eastAsia" w:cs="Times New Roman"/>
                <w:b/>
                <w:bCs/>
                <w:color w:val="auto"/>
                <w:sz w:val="24"/>
                <w:highlight w:val="none"/>
                <w:lang w:val="en-US" w:eastAsia="zh-CN"/>
              </w:rPr>
            </w:pPr>
          </w:p>
          <w:p w14:paraId="4729CC5E">
            <w:pPr>
              <w:pStyle w:val="2"/>
              <w:rPr>
                <w:rFonts w:hint="eastAsia"/>
                <w:lang w:val="en-US" w:eastAsia="zh-CN"/>
              </w:rPr>
            </w:pPr>
          </w:p>
          <w:p w14:paraId="41526415">
            <w:pPr>
              <w:pStyle w:val="3"/>
              <w:rPr>
                <w:rFonts w:hint="default"/>
                <w:lang w:val="en-US" w:eastAsia="zh-CN"/>
              </w:rPr>
            </w:pPr>
          </w:p>
          <w:p w14:paraId="6A3B67A9">
            <w:pPr>
              <w:pStyle w:val="3"/>
              <w:rPr>
                <w:rFonts w:hint="default"/>
                <w:lang w:val="en-US" w:eastAsia="zh-CN"/>
              </w:rPr>
            </w:pPr>
          </w:p>
          <w:p w14:paraId="731B3180">
            <w:pPr>
              <w:pStyle w:val="4"/>
              <w:keepNext w:val="0"/>
              <w:keepLines w:val="0"/>
              <w:pageBreakBefore w:val="0"/>
              <w:kinsoku/>
              <w:wordWrap/>
              <w:overflowPunct w:val="0"/>
              <w:topLinePunct/>
              <w:bidi w:val="0"/>
              <w:spacing w:line="240" w:lineRule="auto"/>
              <w:ind w:firstLine="0"/>
              <w:jc w:val="center"/>
              <w:rPr>
                <w:rFonts w:hint="default" w:ascii="Times New Roman" w:hAnsi="Times New Roman" w:eastAsia="宋体" w:cs="Times New Roman"/>
                <w:b/>
                <w:bCs/>
                <w:snapToGrid w:val="0"/>
                <w:color w:val="auto"/>
                <w:sz w:val="22"/>
                <w:szCs w:val="22"/>
                <w:highlight w:val="none"/>
                <w:vertAlign w:val="baseline"/>
                <w:lang w:val="en-US" w:eastAsia="zh-CN"/>
              </w:rPr>
            </w:pPr>
          </w:p>
          <w:p w14:paraId="39025B77">
            <w:pPr>
              <w:pStyle w:val="4"/>
              <w:keepNext w:val="0"/>
              <w:keepLines w:val="0"/>
              <w:pageBreakBefore w:val="0"/>
              <w:kinsoku/>
              <w:wordWrap/>
              <w:overflowPunct w:val="0"/>
              <w:topLinePunct/>
              <w:bidi w:val="0"/>
              <w:spacing w:line="240" w:lineRule="auto"/>
              <w:ind w:firstLine="0"/>
              <w:jc w:val="center"/>
              <w:rPr>
                <w:rFonts w:hint="default" w:ascii="Times New Roman" w:hAnsi="Times New Roman" w:eastAsia="宋体" w:cs="Times New Roman"/>
                <w:b/>
                <w:bCs/>
                <w:snapToGrid w:val="0"/>
                <w:color w:val="auto"/>
                <w:sz w:val="22"/>
                <w:szCs w:val="22"/>
                <w:highlight w:val="none"/>
                <w:vertAlign w:val="baseline"/>
                <w:lang w:val="en-US" w:eastAsia="zh-CN"/>
              </w:rPr>
            </w:pPr>
            <w:r>
              <w:rPr>
                <w:rFonts w:hint="default" w:ascii="Times New Roman" w:hAnsi="Times New Roman" w:eastAsia="宋体" w:cs="Times New Roman"/>
                <w:b/>
                <w:bCs/>
                <w:snapToGrid w:val="0"/>
                <w:color w:val="auto"/>
                <w:sz w:val="22"/>
                <w:szCs w:val="22"/>
                <w:highlight w:val="none"/>
                <w:vertAlign w:val="baseline"/>
                <w:lang w:val="en-US" w:eastAsia="zh-CN"/>
              </w:rPr>
              <w:drawing>
                <wp:inline distT="0" distB="0" distL="114300" distR="114300">
                  <wp:extent cx="4238625" cy="7239000"/>
                  <wp:effectExtent l="0" t="0" r="9525" b="0"/>
                  <wp:docPr id="8" name="图片 8" descr="1c62f8e51e2062b65c3fae5c160ff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62f8e51e2062b65c3fae5c160ff0b3"/>
                          <pic:cNvPicPr>
                            <a:picLocks noChangeAspect="1"/>
                          </pic:cNvPicPr>
                        </pic:nvPicPr>
                        <pic:blipFill>
                          <a:blip r:embed="rId23">
                            <a:lum contrast="12000"/>
                          </a:blip>
                          <a:stretch>
                            <a:fillRect/>
                          </a:stretch>
                        </pic:blipFill>
                        <pic:spPr>
                          <a:xfrm>
                            <a:off x="0" y="0"/>
                            <a:ext cx="4238625" cy="7239000"/>
                          </a:xfrm>
                          <a:prstGeom prst="rect">
                            <a:avLst/>
                          </a:prstGeom>
                        </pic:spPr>
                      </pic:pic>
                    </a:graphicData>
                  </a:graphic>
                </wp:inline>
              </w:drawing>
            </w:r>
          </w:p>
          <w:p w14:paraId="0AD0DD9C">
            <w:pPr>
              <w:pStyle w:val="4"/>
              <w:keepNext w:val="0"/>
              <w:keepLines w:val="0"/>
              <w:pageBreakBefore w:val="0"/>
              <w:kinsoku/>
              <w:wordWrap/>
              <w:overflowPunct w:val="0"/>
              <w:topLinePunct/>
              <w:bidi w:val="0"/>
              <w:spacing w:line="240" w:lineRule="auto"/>
              <w:ind w:firstLine="0"/>
              <w:jc w:val="center"/>
              <w:rPr>
                <w:rFonts w:hint="default" w:ascii="Times New Roman" w:hAnsi="Times New Roman" w:cs="Times New Roman"/>
                <w:b/>
                <w:bCs/>
                <w:snapToGrid w:val="0"/>
                <w:color w:val="auto"/>
                <w:sz w:val="22"/>
                <w:szCs w:val="22"/>
                <w:highlight w:val="none"/>
                <w:vertAlign w:val="baseline"/>
                <w:lang w:val="en-US" w:eastAsia="zh-CN"/>
              </w:rPr>
            </w:pPr>
            <w:r>
              <w:rPr>
                <w:rFonts w:hint="default" w:ascii="Times New Roman" w:hAnsi="Times New Roman" w:cs="Times New Roman"/>
                <w:b/>
                <w:bCs/>
                <w:snapToGrid w:val="0"/>
                <w:color w:val="auto"/>
                <w:sz w:val="22"/>
                <w:szCs w:val="22"/>
                <w:highlight w:val="none"/>
                <w:vertAlign w:val="baseline"/>
                <w:lang w:val="en-US" w:eastAsia="zh-CN"/>
              </w:rPr>
              <w:t>图2-4废水处理站处理工艺</w:t>
            </w:r>
          </w:p>
          <w:p w14:paraId="6E89535D">
            <w:pPr>
              <w:pStyle w:val="4"/>
              <w:keepNext w:val="0"/>
              <w:keepLines w:val="0"/>
              <w:pageBreakBefore w:val="0"/>
              <w:kinsoku/>
              <w:wordWrap/>
              <w:overflowPunct w:val="0"/>
              <w:topLinePunct/>
              <w:bidi w:val="0"/>
              <w:spacing w:line="24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（3）固体废物</w:t>
            </w:r>
          </w:p>
          <w:p w14:paraId="58DD91DC">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现有项目固体废物主</w:t>
            </w:r>
            <w:r>
              <w:rPr>
                <w:rFonts w:hint="default" w:ascii="Times New Roman" w:hAnsi="Times New Roman" w:cs="Times New Roman"/>
                <w:color w:val="auto"/>
                <w:sz w:val="24"/>
                <w:highlight w:val="none"/>
              </w:rPr>
              <w:t>要包括一般固体废物、危险废物。其中一般固体废物包括</w:t>
            </w:r>
            <w:r>
              <w:rPr>
                <w:rFonts w:hint="default" w:ascii="Times New Roman" w:hAnsi="Times New Roman" w:cs="Times New Roman"/>
                <w:color w:val="auto"/>
                <w:sz w:val="24"/>
                <w:highlight w:val="none"/>
                <w:lang w:val="en-US" w:eastAsia="zh-CN"/>
              </w:rPr>
              <w:t>精炼过程中产生杂质、皂脚、脂肪酸、废白土和废包装材料，危险废物主要为化验室产生的废试剂等实验废液。</w:t>
            </w:r>
          </w:p>
          <w:p w14:paraId="09FD48D9">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皂脚、脂肪酸、废白土均具有较高的利用价值，故暂存在罐体和废白土间内，定期外售。废包装材料收集在一般固废暂存间，定期交回收单位回收处置。实验废液暂存于化验室内的危险废物贮存间，定期交由资质单元外运处置。生活垃圾袋装分类收集，交环卫部门统一清运</w:t>
            </w:r>
            <w:r>
              <w:rPr>
                <w:rFonts w:hint="default" w:ascii="Times New Roman" w:hAnsi="Times New Roman" w:cs="Times New Roman"/>
                <w:color w:val="auto"/>
                <w:sz w:val="24"/>
                <w:highlight w:val="none"/>
              </w:rPr>
              <w:t>。</w:t>
            </w:r>
          </w:p>
          <w:p w14:paraId="3CCC22D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固体废物及处置方式见表</w:t>
            </w:r>
            <w:r>
              <w:rPr>
                <w:rFonts w:hint="default" w:ascii="Times New Roman" w:hAnsi="Times New Roman" w:cs="Times New Roman"/>
                <w:color w:val="auto"/>
                <w:sz w:val="24"/>
                <w:highlight w:val="none"/>
                <w:lang w:val="en-US" w:eastAsia="zh-CN"/>
              </w:rPr>
              <w:t>2.5-7</w:t>
            </w:r>
            <w:r>
              <w:rPr>
                <w:rFonts w:hint="default" w:ascii="Times New Roman" w:hAnsi="Times New Roman" w:cs="Times New Roman"/>
                <w:color w:val="auto"/>
                <w:sz w:val="24"/>
                <w:highlight w:val="none"/>
              </w:rPr>
              <w:t>.</w:t>
            </w:r>
          </w:p>
          <w:p w14:paraId="3412ED1A">
            <w:pPr>
              <w:spacing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表2.</w:t>
            </w:r>
            <w:r>
              <w:rPr>
                <w:rFonts w:hint="default" w:ascii="Times New Roman" w:hAnsi="Times New Roman" w:cs="Times New Roman"/>
                <w:b/>
                <w:bCs/>
                <w:color w:val="auto"/>
                <w:sz w:val="24"/>
                <w:highlight w:val="none"/>
                <w:lang w:val="en-US" w:eastAsia="zh-CN"/>
              </w:rPr>
              <w:t>5</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7</w:t>
            </w:r>
            <w:r>
              <w:rPr>
                <w:rFonts w:hint="default" w:ascii="Times New Roman" w:hAnsi="Times New Roman" w:cs="Times New Roman"/>
                <w:b/>
                <w:bCs/>
                <w:color w:val="auto"/>
                <w:sz w:val="24"/>
                <w:highlight w:val="none"/>
              </w:rPr>
              <w:t>现有</w:t>
            </w:r>
            <w:r>
              <w:rPr>
                <w:rFonts w:hint="default" w:ascii="Times New Roman" w:hAnsi="Times New Roman" w:cs="Times New Roman"/>
                <w:b/>
                <w:bCs/>
                <w:color w:val="auto"/>
                <w:sz w:val="24"/>
                <w:highlight w:val="none"/>
                <w:lang w:val="en-US" w:eastAsia="zh-CN"/>
              </w:rPr>
              <w:t>项目</w:t>
            </w:r>
            <w:r>
              <w:rPr>
                <w:rFonts w:hint="default" w:ascii="Times New Roman" w:hAnsi="Times New Roman" w:cs="Times New Roman"/>
                <w:b/>
                <w:bCs/>
                <w:color w:val="auto"/>
                <w:sz w:val="24"/>
                <w:highlight w:val="none"/>
              </w:rPr>
              <w:t>固体废物及处置方式统计表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46"/>
              <w:gridCol w:w="1279"/>
              <w:gridCol w:w="4922"/>
            </w:tblGrid>
            <w:tr w14:paraId="3CD4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noWrap w:val="0"/>
                  <w:vAlign w:val="center"/>
                </w:tcPr>
                <w:p w14:paraId="472600F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646" w:type="dxa"/>
                  <w:noWrap w:val="0"/>
                  <w:vAlign w:val="center"/>
                </w:tcPr>
                <w:p w14:paraId="329888E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279" w:type="dxa"/>
                  <w:noWrap w:val="0"/>
                  <w:vAlign w:val="center"/>
                </w:tcPr>
                <w:p w14:paraId="475A7D5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排放量t/a</w:t>
                  </w:r>
                </w:p>
              </w:tc>
              <w:tc>
                <w:tcPr>
                  <w:tcW w:w="4922" w:type="dxa"/>
                  <w:noWrap w:val="0"/>
                  <w:vAlign w:val="center"/>
                </w:tcPr>
                <w:p w14:paraId="488D718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处置方式</w:t>
                  </w:r>
                </w:p>
              </w:tc>
            </w:tr>
            <w:tr w14:paraId="3BBC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shd w:val="clear" w:color="auto" w:fill="auto"/>
                  <w:noWrap w:val="0"/>
                  <w:vAlign w:val="center"/>
                </w:tcPr>
                <w:p w14:paraId="46ECEA3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1</w:t>
                  </w:r>
                </w:p>
              </w:tc>
              <w:tc>
                <w:tcPr>
                  <w:tcW w:w="1646" w:type="dxa"/>
                  <w:noWrap w:val="0"/>
                  <w:vAlign w:val="center"/>
                </w:tcPr>
                <w:p w14:paraId="2AE01EED">
                  <w:pPr>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杂质</w:t>
                  </w:r>
                </w:p>
              </w:tc>
              <w:tc>
                <w:tcPr>
                  <w:tcW w:w="1279" w:type="dxa"/>
                  <w:noWrap w:val="0"/>
                  <w:vAlign w:val="center"/>
                </w:tcPr>
                <w:p w14:paraId="27D1F637">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0.68</w:t>
                  </w:r>
                </w:p>
              </w:tc>
              <w:tc>
                <w:tcPr>
                  <w:tcW w:w="4922" w:type="dxa"/>
                  <w:noWrap w:val="0"/>
                  <w:vAlign w:val="center"/>
                </w:tcPr>
                <w:p w14:paraId="73C8D730">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收集后</w:t>
                  </w:r>
                  <w:r>
                    <w:rPr>
                      <w:rFonts w:hint="eastAsia" w:cs="Times New Roman"/>
                      <w:b w:val="0"/>
                      <w:bCs w:val="0"/>
                      <w:color w:val="auto"/>
                      <w:spacing w:val="8"/>
                      <w:sz w:val="21"/>
                      <w:szCs w:val="21"/>
                      <w:highlight w:val="none"/>
                      <w:lang w:val="en-US" w:eastAsia="zh-CN"/>
                    </w:rPr>
                    <w:t>四川宝汉丰废弃资源综合利用有限公司处置</w:t>
                  </w:r>
                </w:p>
              </w:tc>
            </w:tr>
            <w:tr w14:paraId="0E21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shd w:val="clear" w:color="auto" w:fill="auto"/>
                  <w:noWrap w:val="0"/>
                  <w:vAlign w:val="center"/>
                </w:tcPr>
                <w:p w14:paraId="4D4EA7C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1646" w:type="dxa"/>
                  <w:noWrap w:val="0"/>
                  <w:vAlign w:val="center"/>
                </w:tcPr>
                <w:p w14:paraId="6065AA1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皂脚</w:t>
                  </w:r>
                </w:p>
              </w:tc>
              <w:tc>
                <w:tcPr>
                  <w:tcW w:w="1279" w:type="dxa"/>
                  <w:noWrap w:val="0"/>
                  <w:vAlign w:val="center"/>
                </w:tcPr>
                <w:p w14:paraId="233D856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3860</w:t>
                  </w:r>
                </w:p>
              </w:tc>
              <w:tc>
                <w:tcPr>
                  <w:tcW w:w="4922" w:type="dxa"/>
                  <w:noWrap w:val="0"/>
                  <w:vAlign w:val="center"/>
                </w:tcPr>
                <w:p w14:paraId="30B7E32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rPr>
                    <w:t>皂脚罐</w:t>
                  </w:r>
                  <w:r>
                    <w:rPr>
                      <w:rFonts w:hint="default" w:ascii="Times New Roman" w:hAnsi="Times New Roman" w:cs="Times New Roman"/>
                      <w:color w:val="auto"/>
                      <w:spacing w:val="6"/>
                      <w:sz w:val="21"/>
                      <w:szCs w:val="21"/>
                      <w:highlight w:val="none"/>
                      <w:lang w:val="en-US" w:eastAsia="zh-CN"/>
                    </w:rPr>
                    <w:t>储存，定期外售</w:t>
                  </w:r>
                  <w:r>
                    <w:rPr>
                      <w:rFonts w:hint="eastAsia" w:ascii="Times New Roman" w:hAnsi="Times New Roman" w:cs="Times New Roman"/>
                      <w:color w:val="auto"/>
                      <w:spacing w:val="6"/>
                      <w:sz w:val="21"/>
                      <w:szCs w:val="21"/>
                      <w:highlight w:val="none"/>
                      <w:lang w:val="en-US" w:eastAsia="zh-CN"/>
                    </w:rPr>
                    <w:t>至</w:t>
                  </w:r>
                  <w:r>
                    <w:rPr>
                      <w:rFonts w:hint="eastAsia" w:cs="Times New Roman"/>
                      <w:color w:val="auto"/>
                      <w:spacing w:val="8"/>
                      <w:sz w:val="21"/>
                      <w:szCs w:val="21"/>
                      <w:highlight w:val="none"/>
                      <w:lang w:val="en-US" w:eastAsia="zh-CN"/>
                    </w:rPr>
                    <w:t>四川宝汉丰废弃资源综合利用有限公司处置</w:t>
                  </w:r>
                </w:p>
              </w:tc>
            </w:tr>
            <w:tr w14:paraId="2147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shd w:val="clear" w:color="auto" w:fill="auto"/>
                  <w:noWrap w:val="0"/>
                  <w:vAlign w:val="center"/>
                </w:tcPr>
                <w:p w14:paraId="54121E4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w:t>
                  </w:r>
                </w:p>
              </w:tc>
              <w:tc>
                <w:tcPr>
                  <w:tcW w:w="1646" w:type="dxa"/>
                  <w:noWrap w:val="0"/>
                  <w:vAlign w:val="center"/>
                </w:tcPr>
                <w:p w14:paraId="6BD7783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脂肪酸</w:t>
                  </w:r>
                </w:p>
              </w:tc>
              <w:tc>
                <w:tcPr>
                  <w:tcW w:w="1279" w:type="dxa"/>
                  <w:noWrap w:val="0"/>
                  <w:vAlign w:val="center"/>
                </w:tcPr>
                <w:p w14:paraId="39D6641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4922" w:type="dxa"/>
                  <w:noWrap w:val="0"/>
                  <w:vAlign w:val="center"/>
                </w:tcPr>
                <w:p w14:paraId="035D503B">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脂肪酸罐</w:t>
                  </w:r>
                  <w:r>
                    <w:rPr>
                      <w:rFonts w:hint="default" w:ascii="Times New Roman" w:hAnsi="Times New Roman" w:cs="Times New Roman"/>
                      <w:color w:val="auto"/>
                      <w:spacing w:val="6"/>
                      <w:sz w:val="21"/>
                      <w:szCs w:val="21"/>
                      <w:highlight w:val="none"/>
                      <w:lang w:val="en-US" w:eastAsia="zh-CN"/>
                    </w:rPr>
                    <w:t>储存，定期外售</w:t>
                  </w:r>
                  <w:r>
                    <w:rPr>
                      <w:rFonts w:hint="eastAsia" w:ascii="Times New Roman" w:hAnsi="Times New Roman" w:cs="Times New Roman"/>
                      <w:color w:val="auto"/>
                      <w:spacing w:val="6"/>
                      <w:sz w:val="21"/>
                      <w:szCs w:val="21"/>
                      <w:highlight w:val="none"/>
                      <w:lang w:val="en-US" w:eastAsia="zh-CN"/>
                    </w:rPr>
                    <w:t>至</w:t>
                  </w:r>
                  <w:r>
                    <w:rPr>
                      <w:rFonts w:hint="eastAsia" w:cs="Times New Roman"/>
                      <w:color w:val="auto"/>
                      <w:spacing w:val="8"/>
                      <w:sz w:val="21"/>
                      <w:szCs w:val="21"/>
                      <w:highlight w:val="none"/>
                      <w:lang w:val="en-US" w:eastAsia="zh-CN"/>
                    </w:rPr>
                    <w:t>四川宝汉丰废弃资源综合利用有限公司处置</w:t>
                  </w:r>
                </w:p>
              </w:tc>
            </w:tr>
            <w:tr w14:paraId="52A2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shd w:val="clear" w:color="auto" w:fill="auto"/>
                  <w:noWrap w:val="0"/>
                  <w:vAlign w:val="center"/>
                </w:tcPr>
                <w:p w14:paraId="6774ABB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w:t>
                  </w:r>
                </w:p>
              </w:tc>
              <w:tc>
                <w:tcPr>
                  <w:tcW w:w="1646" w:type="dxa"/>
                  <w:noWrap w:val="0"/>
                  <w:vAlign w:val="center"/>
                </w:tcPr>
                <w:p w14:paraId="0D86697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kern w:val="2"/>
                      <w:sz w:val="21"/>
                      <w:szCs w:val="21"/>
                      <w:highlight w:val="none"/>
                      <w:lang w:val="en-US" w:eastAsia="zh-CN" w:bidi="ar-SA"/>
                    </w:rPr>
                    <w:t>废白土</w:t>
                  </w:r>
                </w:p>
              </w:tc>
              <w:tc>
                <w:tcPr>
                  <w:tcW w:w="1279" w:type="dxa"/>
                  <w:noWrap w:val="0"/>
                  <w:vAlign w:val="center"/>
                </w:tcPr>
                <w:p w14:paraId="6A2D7AFE">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373</w:t>
                  </w:r>
                </w:p>
              </w:tc>
              <w:tc>
                <w:tcPr>
                  <w:tcW w:w="4922" w:type="dxa"/>
                  <w:noWrap w:val="0"/>
                  <w:vAlign w:val="center"/>
                </w:tcPr>
                <w:p w14:paraId="61BA2D0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废白土</w:t>
                  </w:r>
                  <w:r>
                    <w:rPr>
                      <w:rFonts w:hint="default" w:ascii="Times New Roman" w:hAnsi="Times New Roman" w:eastAsia="宋体" w:cs="Times New Roman"/>
                      <w:color w:val="auto"/>
                      <w:kern w:val="2"/>
                      <w:sz w:val="21"/>
                      <w:szCs w:val="21"/>
                      <w:highlight w:val="none"/>
                      <w:lang w:val="en-US" w:eastAsia="zh-CN" w:bidi="ar-SA"/>
                    </w:rPr>
                    <w:t>暂存间</w:t>
                  </w:r>
                  <w:r>
                    <w:rPr>
                      <w:rFonts w:hint="default" w:ascii="Times New Roman" w:hAnsi="Times New Roman" w:cs="Times New Roman"/>
                      <w:color w:val="auto"/>
                      <w:spacing w:val="6"/>
                      <w:sz w:val="21"/>
                      <w:szCs w:val="21"/>
                      <w:highlight w:val="none"/>
                      <w:lang w:val="en-US" w:eastAsia="zh-CN"/>
                    </w:rPr>
                    <w:t>，定期外售</w:t>
                  </w:r>
                  <w:r>
                    <w:rPr>
                      <w:rFonts w:hint="eastAsia" w:ascii="Times New Roman" w:hAnsi="Times New Roman" w:cs="Times New Roman"/>
                      <w:color w:val="auto"/>
                      <w:spacing w:val="6"/>
                      <w:sz w:val="21"/>
                      <w:szCs w:val="21"/>
                      <w:highlight w:val="none"/>
                      <w:lang w:val="en-US" w:eastAsia="zh-CN"/>
                    </w:rPr>
                    <w:t>至</w:t>
                  </w:r>
                  <w:r>
                    <w:rPr>
                      <w:rFonts w:hint="eastAsia" w:cs="Times New Roman"/>
                      <w:color w:val="auto"/>
                      <w:spacing w:val="8"/>
                      <w:sz w:val="21"/>
                      <w:szCs w:val="21"/>
                      <w:highlight w:val="none"/>
                      <w:lang w:val="en-US" w:eastAsia="zh-CN"/>
                    </w:rPr>
                    <w:t>四川宝汉丰废弃资源综合利用有限公司处置</w:t>
                  </w:r>
                </w:p>
              </w:tc>
            </w:tr>
            <w:tr w14:paraId="4AB1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shd w:val="clear" w:color="auto" w:fill="auto"/>
                  <w:noWrap w:val="0"/>
                  <w:vAlign w:val="center"/>
                </w:tcPr>
                <w:p w14:paraId="43F127A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w:t>
                  </w:r>
                </w:p>
              </w:tc>
              <w:tc>
                <w:tcPr>
                  <w:tcW w:w="1646" w:type="dxa"/>
                  <w:noWrap w:val="0"/>
                  <w:vAlign w:val="center"/>
                </w:tcPr>
                <w:p w14:paraId="3393C16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废包装材料</w:t>
                  </w:r>
                </w:p>
              </w:tc>
              <w:tc>
                <w:tcPr>
                  <w:tcW w:w="1279" w:type="dxa"/>
                  <w:noWrap w:val="0"/>
                  <w:vAlign w:val="center"/>
                </w:tcPr>
                <w:p w14:paraId="2ADD313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4922" w:type="dxa"/>
                  <w:noWrap w:val="0"/>
                  <w:vAlign w:val="center"/>
                </w:tcPr>
                <w:p w14:paraId="12CD15B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一般固废暂存间，定期交回收单位回收处置</w:t>
                  </w:r>
                </w:p>
              </w:tc>
            </w:tr>
            <w:tr w14:paraId="676A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shd w:val="clear" w:color="auto" w:fill="auto"/>
                  <w:noWrap w:val="0"/>
                  <w:vAlign w:val="center"/>
                </w:tcPr>
                <w:p w14:paraId="769B93B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6</w:t>
                  </w:r>
                </w:p>
              </w:tc>
              <w:tc>
                <w:tcPr>
                  <w:tcW w:w="1646" w:type="dxa"/>
                  <w:noWrap w:val="0"/>
                  <w:vAlign w:val="center"/>
                </w:tcPr>
                <w:p w14:paraId="4464AD8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实验废液</w:t>
                  </w:r>
                </w:p>
              </w:tc>
              <w:tc>
                <w:tcPr>
                  <w:tcW w:w="1279" w:type="dxa"/>
                  <w:noWrap w:val="0"/>
                  <w:vAlign w:val="center"/>
                </w:tcPr>
                <w:p w14:paraId="6AFBDC0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4922" w:type="dxa"/>
                  <w:noWrap w:val="0"/>
                  <w:vAlign w:val="center"/>
                </w:tcPr>
                <w:p w14:paraId="48B2DE4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危险废物贮存间暂存，定期交</w:t>
                  </w:r>
                  <w:r>
                    <w:rPr>
                      <w:rFonts w:hint="eastAsia" w:cs="Times New Roman"/>
                      <w:color w:val="auto"/>
                      <w:sz w:val="21"/>
                      <w:szCs w:val="21"/>
                      <w:highlight w:val="none"/>
                      <w:lang w:val="en-US" w:eastAsia="zh-CN"/>
                    </w:rPr>
                    <w:t>重庆融聚瑞环保科技有限公司</w:t>
                  </w:r>
                  <w:r>
                    <w:rPr>
                      <w:rFonts w:hint="default" w:ascii="Times New Roman" w:hAnsi="Times New Roman" w:cs="Times New Roman"/>
                      <w:color w:val="auto"/>
                      <w:sz w:val="21"/>
                      <w:szCs w:val="21"/>
                      <w:highlight w:val="none"/>
                      <w:lang w:val="en-US" w:eastAsia="zh-CN"/>
                    </w:rPr>
                    <w:t>处置</w:t>
                  </w:r>
                </w:p>
              </w:tc>
            </w:tr>
            <w:tr w14:paraId="6E32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noWrap w:val="0"/>
                  <w:vAlign w:val="center"/>
                </w:tcPr>
                <w:p w14:paraId="5972BFD7">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646" w:type="dxa"/>
                  <w:noWrap w:val="0"/>
                  <w:vAlign w:val="center"/>
                </w:tcPr>
                <w:p w14:paraId="63EDE59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生活垃圾</w:t>
                  </w:r>
                </w:p>
              </w:tc>
              <w:tc>
                <w:tcPr>
                  <w:tcW w:w="1279" w:type="dxa"/>
                  <w:noWrap w:val="0"/>
                  <w:vAlign w:val="center"/>
                </w:tcPr>
                <w:p w14:paraId="08292C2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w:t>
                  </w:r>
                </w:p>
              </w:tc>
              <w:tc>
                <w:tcPr>
                  <w:tcW w:w="4922" w:type="dxa"/>
                  <w:noWrap w:val="0"/>
                  <w:vAlign w:val="center"/>
                </w:tcPr>
                <w:p w14:paraId="08F80CB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交环卫部门统一清运</w:t>
                  </w:r>
                </w:p>
              </w:tc>
            </w:tr>
          </w:tbl>
          <w:p w14:paraId="00B3829E">
            <w:pPr>
              <w:pStyle w:val="7"/>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spacing w:val="-1"/>
                <w:sz w:val="24"/>
                <w:szCs w:val="24"/>
                <w:highlight w:val="none"/>
                <w:lang w:eastAsia="zh-CN"/>
              </w:rPr>
              <w:t>（</w:t>
            </w:r>
            <w:r>
              <w:rPr>
                <w:rFonts w:hint="default" w:ascii="Times New Roman" w:hAnsi="Times New Roman" w:cs="Times New Roman"/>
                <w:b w:val="0"/>
                <w:bCs w:val="0"/>
                <w:color w:val="auto"/>
                <w:spacing w:val="-1"/>
                <w:sz w:val="24"/>
                <w:szCs w:val="24"/>
                <w:highlight w:val="none"/>
                <w:lang w:val="en-US" w:eastAsia="zh-CN"/>
              </w:rPr>
              <w:t>4</w:t>
            </w:r>
            <w:r>
              <w:rPr>
                <w:rFonts w:hint="default" w:ascii="Times New Roman" w:hAnsi="Times New Roman" w:cs="Times New Roman"/>
                <w:b w:val="0"/>
                <w:bCs w:val="0"/>
                <w:color w:val="auto"/>
                <w:spacing w:val="-1"/>
                <w:sz w:val="24"/>
                <w:szCs w:val="24"/>
                <w:highlight w:val="none"/>
                <w:lang w:eastAsia="zh-CN"/>
              </w:rPr>
              <w:t>）</w:t>
            </w:r>
            <w:r>
              <w:rPr>
                <w:rFonts w:hint="default" w:ascii="Times New Roman" w:hAnsi="Times New Roman" w:cs="Times New Roman"/>
                <w:b w:val="0"/>
                <w:bCs w:val="0"/>
                <w:color w:val="auto"/>
                <w:spacing w:val="-1"/>
                <w:sz w:val="24"/>
                <w:szCs w:val="24"/>
                <w:highlight w:val="none"/>
                <w:lang w:val="en-US" w:eastAsia="zh-CN"/>
              </w:rPr>
              <w:t>噪声</w:t>
            </w:r>
          </w:p>
          <w:p w14:paraId="55B87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color w:val="auto"/>
                <w:sz w:val="24"/>
                <w:highlight w:val="none"/>
              </w:rPr>
              <w:t>现有</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噪声主要来源于</w:t>
            </w:r>
            <w:r>
              <w:rPr>
                <w:rFonts w:hint="default" w:ascii="Times New Roman" w:hAnsi="Times New Roman" w:cs="Times New Roman"/>
                <w:color w:val="auto"/>
                <w:sz w:val="24"/>
                <w:highlight w:val="none"/>
                <w:lang w:val="en-US" w:eastAsia="zh-CN"/>
              </w:rPr>
              <w:t>精炼车间各类设备及锅炉、水泵等公辅设备</w:t>
            </w:r>
            <w:r>
              <w:rPr>
                <w:rFonts w:hint="default" w:ascii="Times New Roman" w:hAnsi="Times New Roman" w:cs="Times New Roman"/>
                <w:color w:val="auto"/>
                <w:sz w:val="24"/>
                <w:highlight w:val="none"/>
              </w:rPr>
              <w:t>。采取</w:t>
            </w:r>
            <w:r>
              <w:rPr>
                <w:rFonts w:hint="default" w:ascii="Times New Roman" w:hAnsi="Times New Roman" w:cs="Times New Roman"/>
                <w:color w:val="auto"/>
                <w:sz w:val="24"/>
                <w:highlight w:val="none"/>
                <w:lang w:eastAsia="zh-CN"/>
              </w:rPr>
              <w:t>了</w:t>
            </w:r>
            <w:r>
              <w:rPr>
                <w:rFonts w:hint="default" w:ascii="Times New Roman" w:hAnsi="Times New Roman" w:cs="Times New Roman"/>
                <w:color w:val="auto"/>
                <w:sz w:val="24"/>
                <w:highlight w:val="none"/>
              </w:rPr>
              <w:t>选用低噪声设备</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安装消声器、</w:t>
            </w:r>
            <w:r>
              <w:rPr>
                <w:rFonts w:hint="default" w:ascii="Times New Roman" w:hAnsi="Times New Roman" w:cs="Times New Roman"/>
                <w:color w:val="auto"/>
                <w:sz w:val="24"/>
                <w:highlight w:val="none"/>
              </w:rPr>
              <w:t>减振垫等降噪措施。</w:t>
            </w:r>
            <w:r>
              <w:rPr>
                <w:rFonts w:hint="default" w:ascii="Times New Roman" w:hAnsi="Times New Roman" w:cs="Times New Roman"/>
                <w:bCs/>
                <w:color w:val="auto"/>
                <w:sz w:val="24"/>
                <w:szCs w:val="24"/>
                <w:highlight w:val="none"/>
                <w:lang w:val="en-US" w:eastAsia="zh-CN"/>
              </w:rPr>
              <w:t>根据现有项目于2025年12月开展的例行监测结果，</w:t>
            </w:r>
            <w:r>
              <w:rPr>
                <w:rFonts w:hint="default" w:ascii="Times New Roman" w:hAnsi="Times New Roman" w:cs="Times New Roman"/>
                <w:color w:val="auto"/>
                <w:sz w:val="24"/>
                <w:highlight w:val="none"/>
              </w:rPr>
              <w:t>厂界噪声均满足《工业企业厂界环境噪声排放标准》（GB12348-2008）</w:t>
            </w:r>
            <w:r>
              <w:rPr>
                <w:rFonts w:hint="default" w:ascii="Times New Roman" w:hAnsi="Times New Roman" w:cs="Times New Roman"/>
                <w:color w:val="auto"/>
                <w:sz w:val="24"/>
                <w:highlight w:val="none"/>
                <w:lang w:val="en-US" w:eastAsia="zh-CN"/>
              </w:rPr>
              <w:t>3类标准</w:t>
            </w:r>
            <w:r>
              <w:rPr>
                <w:rFonts w:hint="default" w:ascii="Times New Roman" w:hAnsi="Times New Roman" w:cs="Times New Roman"/>
                <w:color w:val="auto"/>
                <w:sz w:val="24"/>
                <w:highlight w:val="none"/>
              </w:rPr>
              <w:t>。故现有</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所采取的降噪措施满足要求。</w:t>
            </w:r>
          </w:p>
          <w:p w14:paraId="6031F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厂界噪声</w:t>
            </w:r>
            <w:r>
              <w:rPr>
                <w:rFonts w:hint="default" w:ascii="Times New Roman" w:hAnsi="Times New Roman" w:cs="Times New Roman"/>
                <w:bCs/>
                <w:color w:val="auto"/>
                <w:sz w:val="24"/>
                <w:szCs w:val="24"/>
                <w:highlight w:val="none"/>
                <w:lang w:val="en-US" w:eastAsia="zh-CN"/>
              </w:rPr>
              <w:t>达标情况</w:t>
            </w:r>
            <w:r>
              <w:rPr>
                <w:rFonts w:hint="default" w:ascii="Times New Roman" w:hAnsi="Times New Roman" w:cs="Times New Roman"/>
                <w:bCs/>
                <w:color w:val="auto"/>
                <w:sz w:val="24"/>
                <w:szCs w:val="24"/>
                <w:highlight w:val="none"/>
              </w:rPr>
              <w:t>见表</w:t>
            </w:r>
            <w:r>
              <w:rPr>
                <w:rFonts w:hint="default" w:ascii="Times New Roman" w:hAnsi="Times New Roman" w:cs="Times New Roman"/>
                <w:bCs/>
                <w:color w:val="auto"/>
                <w:sz w:val="24"/>
                <w:szCs w:val="24"/>
                <w:highlight w:val="none"/>
                <w:lang w:val="en-US" w:eastAsia="zh-CN"/>
              </w:rPr>
              <w:t>2.5-8</w:t>
            </w:r>
            <w:r>
              <w:rPr>
                <w:rFonts w:hint="default" w:ascii="Times New Roman" w:hAnsi="Times New Roman" w:cs="Times New Roman"/>
                <w:bCs/>
                <w:color w:val="auto"/>
                <w:sz w:val="24"/>
                <w:szCs w:val="24"/>
                <w:highlight w:val="none"/>
              </w:rPr>
              <w:t>。</w:t>
            </w:r>
          </w:p>
          <w:p w14:paraId="7BA170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rPr>
              <w:t>表</w:t>
            </w:r>
            <w:r>
              <w:rPr>
                <w:rFonts w:hint="default" w:ascii="Times New Roman" w:hAnsi="Times New Roman" w:cs="Times New Roman"/>
                <w:b/>
                <w:bCs w:val="0"/>
                <w:color w:val="auto"/>
                <w:sz w:val="24"/>
                <w:szCs w:val="24"/>
                <w:highlight w:val="none"/>
                <w:lang w:val="en-US" w:eastAsia="zh-CN"/>
              </w:rPr>
              <w:t>2.5-8</w:t>
            </w:r>
            <w:r>
              <w:rPr>
                <w:rFonts w:hint="default" w:ascii="Times New Roman" w:hAnsi="Times New Roman" w:cs="Times New Roman"/>
                <w:b/>
                <w:bCs w:val="0"/>
                <w:color w:val="auto"/>
                <w:sz w:val="24"/>
                <w:szCs w:val="24"/>
                <w:highlight w:val="none"/>
              </w:rPr>
              <w:t>厂界噪声监测结果一览表单位：dB（A）</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349"/>
              <w:gridCol w:w="893"/>
              <w:gridCol w:w="1095"/>
              <w:gridCol w:w="1415"/>
              <w:gridCol w:w="1415"/>
            </w:tblGrid>
            <w:tr w14:paraId="74C6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noWrap w:val="0"/>
                  <w:vAlign w:val="center"/>
                </w:tcPr>
                <w:p w14:paraId="06A7D4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监测日期</w:t>
                  </w:r>
                </w:p>
              </w:tc>
              <w:tc>
                <w:tcPr>
                  <w:tcW w:w="1383" w:type="pct"/>
                  <w:noWrap w:val="0"/>
                  <w:vAlign w:val="center"/>
                </w:tcPr>
                <w:p w14:paraId="215F25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测点</w:t>
                  </w:r>
                </w:p>
              </w:tc>
              <w:tc>
                <w:tcPr>
                  <w:tcW w:w="526" w:type="pct"/>
                  <w:noWrap w:val="0"/>
                  <w:vAlign w:val="center"/>
                </w:tcPr>
                <w:p w14:paraId="6F65CA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昼间</w:t>
                  </w:r>
                </w:p>
              </w:tc>
              <w:tc>
                <w:tcPr>
                  <w:tcW w:w="645" w:type="pct"/>
                  <w:noWrap w:val="0"/>
                  <w:vAlign w:val="center"/>
                </w:tcPr>
                <w:p w14:paraId="636530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夜间</w:t>
                  </w:r>
                </w:p>
              </w:tc>
              <w:tc>
                <w:tcPr>
                  <w:tcW w:w="833" w:type="pct"/>
                  <w:noWrap w:val="0"/>
                  <w:vAlign w:val="center"/>
                </w:tcPr>
                <w:p w14:paraId="049C41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标准限值</w:t>
                  </w:r>
                </w:p>
              </w:tc>
              <w:tc>
                <w:tcPr>
                  <w:tcW w:w="833" w:type="pct"/>
                  <w:noWrap w:val="0"/>
                  <w:vAlign w:val="center"/>
                </w:tcPr>
                <w:p w14:paraId="486FCF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达标情况</w:t>
                  </w:r>
                </w:p>
              </w:tc>
            </w:tr>
            <w:tr w14:paraId="1543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vMerge w:val="restart"/>
                  <w:noWrap w:val="0"/>
                  <w:vAlign w:val="center"/>
                </w:tcPr>
                <w:p w14:paraId="58074C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2025.12.10</w:t>
                  </w:r>
                </w:p>
              </w:tc>
              <w:tc>
                <w:tcPr>
                  <w:tcW w:w="1383" w:type="pct"/>
                  <w:noWrap w:val="0"/>
                  <w:vAlign w:val="center"/>
                </w:tcPr>
                <w:p w14:paraId="55BD26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eastAsia="zh-CN"/>
                    </w:rPr>
                    <w:t>厂区西南侧厂界外1m</w:t>
                  </w:r>
                </w:p>
              </w:tc>
              <w:tc>
                <w:tcPr>
                  <w:tcW w:w="526" w:type="pct"/>
                  <w:noWrap w:val="0"/>
                  <w:vAlign w:val="center"/>
                </w:tcPr>
                <w:p w14:paraId="4BBBCC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60</w:t>
                  </w:r>
                </w:p>
              </w:tc>
              <w:tc>
                <w:tcPr>
                  <w:tcW w:w="645" w:type="pct"/>
                  <w:noWrap w:val="0"/>
                  <w:vAlign w:val="center"/>
                </w:tcPr>
                <w:p w14:paraId="582ABB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51</w:t>
                  </w:r>
                </w:p>
              </w:tc>
              <w:tc>
                <w:tcPr>
                  <w:tcW w:w="833" w:type="pct"/>
                  <w:vMerge w:val="restart"/>
                  <w:noWrap w:val="0"/>
                  <w:vAlign w:val="center"/>
                </w:tcPr>
                <w:p w14:paraId="68AE2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昼间：65</w:t>
                  </w:r>
                </w:p>
                <w:p w14:paraId="0258C8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夜间：55</w:t>
                  </w:r>
                </w:p>
              </w:tc>
              <w:tc>
                <w:tcPr>
                  <w:tcW w:w="833" w:type="pct"/>
                  <w:noWrap w:val="0"/>
                  <w:vAlign w:val="center"/>
                </w:tcPr>
                <w:p w14:paraId="656374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达标</w:t>
                  </w:r>
                </w:p>
              </w:tc>
            </w:tr>
            <w:tr w14:paraId="5186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7" w:type="pct"/>
                  <w:vMerge w:val="continue"/>
                  <w:noWrap w:val="0"/>
                  <w:vAlign w:val="center"/>
                </w:tcPr>
                <w:p w14:paraId="5BCDEF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highlight w:val="none"/>
                    </w:rPr>
                  </w:pPr>
                </w:p>
              </w:tc>
              <w:tc>
                <w:tcPr>
                  <w:tcW w:w="1383" w:type="pct"/>
                  <w:noWrap w:val="0"/>
                  <w:vAlign w:val="center"/>
                </w:tcPr>
                <w:p w14:paraId="4BD3E6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eastAsia="zh-CN"/>
                    </w:rPr>
                    <w:t>厂区西侧厂界外1m</w:t>
                  </w:r>
                </w:p>
              </w:tc>
              <w:tc>
                <w:tcPr>
                  <w:tcW w:w="526" w:type="pct"/>
                  <w:noWrap w:val="0"/>
                  <w:vAlign w:val="center"/>
                </w:tcPr>
                <w:p w14:paraId="056809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55</w:t>
                  </w:r>
                </w:p>
              </w:tc>
              <w:tc>
                <w:tcPr>
                  <w:tcW w:w="645" w:type="pct"/>
                  <w:noWrap w:val="0"/>
                  <w:vAlign w:val="center"/>
                </w:tcPr>
                <w:p w14:paraId="6D2035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49</w:t>
                  </w:r>
                </w:p>
              </w:tc>
              <w:tc>
                <w:tcPr>
                  <w:tcW w:w="833" w:type="pct"/>
                  <w:vMerge w:val="continue"/>
                  <w:noWrap w:val="0"/>
                  <w:vAlign w:val="center"/>
                </w:tcPr>
                <w:p w14:paraId="1A635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highlight w:val="none"/>
                    </w:rPr>
                  </w:pPr>
                </w:p>
              </w:tc>
              <w:tc>
                <w:tcPr>
                  <w:tcW w:w="833" w:type="pct"/>
                  <w:noWrap w:val="0"/>
                  <w:vAlign w:val="center"/>
                </w:tcPr>
                <w:p w14:paraId="5A86C5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达标</w:t>
                  </w:r>
                </w:p>
              </w:tc>
            </w:tr>
          </w:tbl>
          <w:p w14:paraId="0D06E0FF">
            <w:pPr>
              <w:pStyle w:val="7"/>
              <w:keepNext/>
              <w:keepLines/>
              <w:pageBreakBefore w:val="0"/>
              <w:widowControl w:val="0"/>
              <w:numPr>
                <w:ilvl w:val="0"/>
                <w:numId w:val="3"/>
              </w:numPr>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环境风险</w:t>
            </w:r>
            <w:r>
              <w:rPr>
                <w:rFonts w:hint="default" w:ascii="Times New Roman" w:hAnsi="Times New Roman" w:cs="Times New Roman"/>
                <w:b w:val="0"/>
                <w:bCs/>
                <w:color w:val="auto"/>
                <w:kern w:val="2"/>
                <w:sz w:val="24"/>
                <w:szCs w:val="24"/>
                <w:highlight w:val="none"/>
                <w:lang w:val="en-US" w:eastAsia="zh-CN" w:bidi="ar-SA"/>
              </w:rPr>
              <w:t>回顾</w:t>
            </w:r>
          </w:p>
          <w:p w14:paraId="67277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现有项目于2024年2月办理了突发环境事件风险应急预案，风险等级为一般。现有项目在油罐区设置了6个空置油罐作为应急周转油罐，油罐区</w:t>
            </w:r>
            <w:r>
              <w:rPr>
                <w:rFonts w:hint="eastAsia" w:cs="Times New Roman"/>
                <w:color w:val="auto"/>
                <w:sz w:val="24"/>
                <w:highlight w:val="none"/>
                <w:lang w:val="en-US" w:eastAsia="zh-CN"/>
              </w:rPr>
              <w:t>四</w:t>
            </w:r>
            <w:r>
              <w:rPr>
                <w:rFonts w:hint="default" w:ascii="Times New Roman" w:hAnsi="Times New Roman" w:cs="Times New Roman"/>
                <w:color w:val="auto"/>
                <w:sz w:val="24"/>
                <w:highlight w:val="none"/>
                <w:lang w:val="en-US" w:eastAsia="zh-CN"/>
              </w:rPr>
              <w:t>周设置1.5</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lang w:val="en-US" w:eastAsia="zh-CN"/>
              </w:rPr>
              <w:t>m高围堰，围堰能够满足最大油罐泄漏油品收集需求，围堰排水设置截断阀，用于事故废水和初期雨水的切换收集。废水处理站旁设置事故池，用于事故废水的收集。</w:t>
            </w:r>
            <w:r>
              <w:rPr>
                <w:rFonts w:hint="eastAsia" w:cs="Times New Roman"/>
                <w:color w:val="auto"/>
                <w:sz w:val="24"/>
                <w:highlight w:val="none"/>
                <w:lang w:val="en-US" w:eastAsia="zh-CN"/>
              </w:rPr>
              <w:t>企业于2024年2月取得备案编号为</w:t>
            </w:r>
            <w:r>
              <w:rPr>
                <w:rFonts w:hint="default" w:ascii="Times New Roman" w:hAnsi="Times New Roman" w:cs="Times New Roman"/>
                <w:bCs w:val="0"/>
                <w:color w:val="auto"/>
                <w:kern w:val="0"/>
                <w:sz w:val="24"/>
                <w:szCs w:val="24"/>
                <w:highlight w:val="none"/>
                <w:lang w:val="en-US" w:eastAsia="zh-CN" w:bidi="ar"/>
              </w:rPr>
              <w:t>500107-2024-004-M、5001072024010003</w:t>
            </w:r>
            <w:r>
              <w:rPr>
                <w:rFonts w:hint="eastAsia" w:cs="Times New Roman"/>
                <w:bCs w:val="0"/>
                <w:color w:val="auto"/>
                <w:kern w:val="0"/>
                <w:sz w:val="24"/>
                <w:szCs w:val="24"/>
                <w:highlight w:val="none"/>
                <w:lang w:val="en-US" w:eastAsia="zh-CN" w:bidi="ar"/>
              </w:rPr>
              <w:t>突发环境事件风险评估及应急预案，现有风险防范措施能满足企业环境风险防范要求，能确保事故废水不排入长江。</w:t>
            </w:r>
          </w:p>
          <w:p w14:paraId="42F88B5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综上，现有</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环境风险防范措施落实到位，建成至今未发生过环境风险事故。</w:t>
            </w:r>
          </w:p>
          <w:p w14:paraId="771FB537">
            <w:pPr>
              <w:keepNext w:val="0"/>
              <w:keepLines w:val="0"/>
              <w:pageBreakBefore w:val="0"/>
              <w:widowControl w:val="0"/>
              <w:suppressLineNumbers w:val="0"/>
              <w:kinsoku/>
              <w:wordWrap/>
              <w:overflowPunct w:val="0"/>
              <w:topLinePunct/>
              <w:autoSpaceDE/>
              <w:autoSpaceDN/>
              <w:bidi w:val="0"/>
              <w:adjustRightInd w:val="0"/>
              <w:snapToGrid w:val="0"/>
              <w:spacing w:beforeAutospacing="0" w:afterAutospacing="0" w:line="360" w:lineRule="auto"/>
              <w:ind w:left="0" w:right="0" w:firstLine="482" w:firstLineChars="200"/>
              <w:jc w:val="both"/>
              <w:textAlignment w:val="auto"/>
              <w:rPr>
                <w:rFonts w:hint="default" w:ascii="Times New Roman" w:hAnsi="Times New Roman" w:eastAsia="宋体" w:cs="Times New Roman"/>
                <w:b w:val="0"/>
                <w:bCs w:val="0"/>
                <w:snapToGrid w:val="0"/>
                <w:color w:val="auto"/>
                <w:sz w:val="24"/>
                <w:szCs w:val="24"/>
                <w:highlight w:val="none"/>
                <w:vertAlign w:val="baseline"/>
                <w:lang w:val="en-US" w:eastAsia="zh-CN"/>
              </w:rPr>
            </w:pPr>
            <w:r>
              <w:rPr>
                <w:rFonts w:hint="default" w:ascii="Times New Roman" w:hAnsi="Times New Roman" w:cs="Times New Roman"/>
                <w:b/>
                <w:bCs/>
                <w:color w:val="auto"/>
                <w:sz w:val="24"/>
                <w:highlight w:val="none"/>
                <w:lang w:val="en-US" w:eastAsia="zh-CN"/>
              </w:rPr>
              <w:t>2.5.6现有项目污染物产生及排放情况汇总</w:t>
            </w:r>
          </w:p>
          <w:p w14:paraId="325B7CA1">
            <w:pPr>
              <w:pStyle w:val="16"/>
              <w:keepNext w:val="0"/>
              <w:keepLines w:val="0"/>
              <w:pageBreakBefore w:val="0"/>
              <w:kinsoku/>
              <w:wordWrap/>
              <w:overflowPunct w:val="0"/>
              <w:topLinePunct/>
              <w:autoSpaceDE/>
              <w:autoSpaceDN/>
              <w:bidi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b/>
                <w:bCs/>
                <w:snapToGrid w:val="0"/>
                <w:color w:val="auto"/>
                <w:sz w:val="22"/>
                <w:szCs w:val="22"/>
                <w:highlight w:val="none"/>
                <w:vertAlign w:val="baseline"/>
                <w:lang w:val="en-US" w:eastAsia="zh-CN"/>
              </w:rPr>
            </w:pPr>
            <w:r>
              <w:rPr>
                <w:rFonts w:hint="default" w:ascii="Times New Roman" w:hAnsi="Times New Roman" w:cs="Times New Roman"/>
                <w:b w:val="0"/>
                <w:bCs w:val="0"/>
                <w:snapToGrid w:val="0"/>
                <w:color w:val="auto"/>
                <w:sz w:val="24"/>
                <w:szCs w:val="24"/>
                <w:highlight w:val="none"/>
                <w:vertAlign w:val="baseline"/>
                <w:lang w:val="en-US" w:eastAsia="zh-CN"/>
              </w:rPr>
              <w:t>现有项目污染物排放情况见表2.5-9</w:t>
            </w:r>
          </w:p>
          <w:p w14:paraId="30797901">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表2.5-9现有项目</w:t>
            </w:r>
            <w:r>
              <w:rPr>
                <w:rFonts w:hint="default" w:ascii="Times New Roman" w:hAnsi="Times New Roman" w:cs="Times New Roman"/>
                <w:b/>
                <w:bCs/>
                <w:color w:val="auto"/>
                <w:sz w:val="24"/>
                <w:highlight w:val="none"/>
              </w:rPr>
              <w:t>污染物产排情况一览表</w:t>
            </w:r>
          </w:p>
          <w:tbl>
            <w:tblPr>
              <w:tblStyle w:val="18"/>
              <w:tblpPr w:leftFromText="180" w:rightFromText="180" w:vertAnchor="text" w:tblpXSpec="center" w:tblpY="1"/>
              <w:tblOverlap w:val="never"/>
              <w:tblW w:w="48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35"/>
              <w:gridCol w:w="1362"/>
              <w:gridCol w:w="1387"/>
              <w:gridCol w:w="1257"/>
              <w:gridCol w:w="3190"/>
            </w:tblGrid>
            <w:tr w14:paraId="556E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shd w:val="clear" w:color="auto" w:fill="auto"/>
                  <w:noWrap w:val="0"/>
                  <w:vAlign w:val="center"/>
                </w:tcPr>
                <w:p w14:paraId="0FDCFCD9">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环境要素</w:t>
                  </w:r>
                </w:p>
              </w:tc>
              <w:tc>
                <w:tcPr>
                  <w:tcW w:w="1362" w:type="dxa"/>
                  <w:shd w:val="clear" w:color="auto" w:fill="auto"/>
                  <w:noWrap w:val="0"/>
                  <w:vAlign w:val="center"/>
                </w:tcPr>
                <w:p w14:paraId="03B57DAF">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1387" w:type="dxa"/>
                  <w:shd w:val="clear" w:color="auto" w:fill="auto"/>
                  <w:noWrap w:val="0"/>
                  <w:vAlign w:val="center"/>
                </w:tcPr>
                <w:p w14:paraId="7E33B944">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257" w:type="dxa"/>
                  <w:shd w:val="clear" w:color="auto" w:fill="auto"/>
                  <w:noWrap w:val="0"/>
                  <w:vAlign w:val="center"/>
                </w:tcPr>
                <w:p w14:paraId="351F6872">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排放情况t/a</w:t>
                  </w:r>
                </w:p>
              </w:tc>
              <w:tc>
                <w:tcPr>
                  <w:tcW w:w="3190" w:type="dxa"/>
                  <w:shd w:val="clear" w:color="auto" w:fill="auto"/>
                  <w:noWrap w:val="0"/>
                  <w:vAlign w:val="center"/>
                </w:tcPr>
                <w:p w14:paraId="0A73239C">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环保措施</w:t>
                  </w:r>
                </w:p>
              </w:tc>
            </w:tr>
            <w:tr w14:paraId="1E7F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restart"/>
                  <w:shd w:val="clear" w:color="auto" w:fill="auto"/>
                  <w:noWrap w:val="0"/>
                  <w:vAlign w:val="center"/>
                </w:tcPr>
                <w:p w14:paraId="6B76A1CE">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1362" w:type="dxa"/>
                  <w:vMerge w:val="restart"/>
                  <w:shd w:val="clear" w:color="auto" w:fill="auto"/>
                  <w:noWrap w:val="0"/>
                  <w:vAlign w:val="center"/>
                </w:tcPr>
                <w:p w14:paraId="3CC6D07D">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锅炉废气</w:t>
                  </w:r>
                </w:p>
              </w:tc>
              <w:tc>
                <w:tcPr>
                  <w:tcW w:w="1387" w:type="dxa"/>
                  <w:shd w:val="clear" w:color="auto" w:fill="auto"/>
                  <w:noWrap w:val="0"/>
                  <w:vAlign w:val="center"/>
                </w:tcPr>
                <w:p w14:paraId="70475608">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257" w:type="dxa"/>
                  <w:shd w:val="clear" w:color="auto" w:fill="auto"/>
                  <w:noWrap w:val="0"/>
                  <w:vAlign w:val="center"/>
                </w:tcPr>
                <w:p w14:paraId="0E7D0EC8">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0.26</w:t>
                  </w:r>
                </w:p>
              </w:tc>
              <w:tc>
                <w:tcPr>
                  <w:tcW w:w="3190" w:type="dxa"/>
                  <w:vMerge w:val="restart"/>
                  <w:shd w:val="clear" w:color="auto" w:fill="auto"/>
                  <w:noWrap w:val="0"/>
                  <w:vAlign w:val="center"/>
                </w:tcPr>
                <w:p w14:paraId="2D14E574">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采用低氮燃烧技术控制氮氧化物产生量，废气经8m高排气筒有组织排放</w:t>
                  </w:r>
                </w:p>
              </w:tc>
            </w:tr>
            <w:tr w14:paraId="38C5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98" w:hRule="atLeast"/>
              </w:trPr>
              <w:tc>
                <w:tcPr>
                  <w:tcW w:w="1035" w:type="dxa"/>
                  <w:vMerge w:val="continue"/>
                  <w:shd w:val="clear" w:color="auto" w:fill="auto"/>
                  <w:noWrap w:val="0"/>
                  <w:vAlign w:val="center"/>
                </w:tcPr>
                <w:p w14:paraId="3660B903">
                  <w:pPr>
                    <w:spacing w:line="300" w:lineRule="exact"/>
                    <w:jc w:val="center"/>
                    <w:rPr>
                      <w:rFonts w:hint="default" w:ascii="Times New Roman" w:hAnsi="Times New Roman" w:cs="Times New Roman"/>
                      <w:color w:val="auto"/>
                      <w:sz w:val="21"/>
                      <w:szCs w:val="21"/>
                      <w:highlight w:val="none"/>
                    </w:rPr>
                  </w:pPr>
                </w:p>
              </w:tc>
              <w:tc>
                <w:tcPr>
                  <w:tcW w:w="1362" w:type="dxa"/>
                  <w:vMerge w:val="continue"/>
                  <w:shd w:val="clear" w:color="auto" w:fill="auto"/>
                  <w:noWrap w:val="0"/>
                  <w:vAlign w:val="center"/>
                </w:tcPr>
                <w:p w14:paraId="405AD70A">
                  <w:pPr>
                    <w:spacing w:line="300" w:lineRule="exact"/>
                    <w:jc w:val="center"/>
                    <w:rPr>
                      <w:rFonts w:hint="default" w:ascii="Times New Roman" w:hAnsi="Times New Roman" w:cs="Times New Roman"/>
                      <w:color w:val="auto"/>
                      <w:sz w:val="21"/>
                      <w:szCs w:val="21"/>
                      <w:highlight w:val="none"/>
                    </w:rPr>
                  </w:pPr>
                </w:p>
              </w:tc>
              <w:tc>
                <w:tcPr>
                  <w:tcW w:w="1387" w:type="dxa"/>
                  <w:shd w:val="clear" w:color="auto" w:fill="auto"/>
                  <w:noWrap w:val="0"/>
                  <w:vAlign w:val="center"/>
                </w:tcPr>
                <w:p w14:paraId="1C612B9D">
                  <w:pPr>
                    <w:pStyle w:val="54"/>
                    <w:keepNext w:val="0"/>
                    <w:keepLines w:val="0"/>
                    <w:pageBreakBefore w:val="0"/>
                    <w:widowControl w:val="0"/>
                    <w:kinsoku/>
                    <w:wordWrap/>
                    <w:overflowPunct/>
                    <w:topLinePunct w:val="0"/>
                    <w:autoSpaceDE/>
                    <w:autoSpaceDN/>
                    <w:bidi w:val="0"/>
                    <w:adjustRightInd/>
                    <w:snapToGrid/>
                    <w:spacing w:line="240" w:lineRule="auto"/>
                    <w:ind w:left="-57" w:leftChars="0" w:right="-57" w:right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57" w:type="dxa"/>
                  <w:shd w:val="clear" w:color="auto" w:fill="auto"/>
                  <w:noWrap w:val="0"/>
                  <w:vAlign w:val="center"/>
                </w:tcPr>
                <w:p w14:paraId="1BA38775">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0.80</w:t>
                  </w:r>
                </w:p>
              </w:tc>
              <w:tc>
                <w:tcPr>
                  <w:tcW w:w="3190" w:type="dxa"/>
                  <w:vMerge w:val="continue"/>
                  <w:shd w:val="clear" w:color="auto" w:fill="auto"/>
                  <w:noWrap w:val="0"/>
                  <w:vAlign w:val="center"/>
                </w:tcPr>
                <w:p w14:paraId="06E420AC">
                  <w:pPr>
                    <w:spacing w:line="300" w:lineRule="exact"/>
                    <w:jc w:val="center"/>
                    <w:rPr>
                      <w:rFonts w:hint="default" w:ascii="Times New Roman" w:hAnsi="Times New Roman" w:cs="Times New Roman"/>
                      <w:color w:val="auto"/>
                      <w:sz w:val="21"/>
                      <w:szCs w:val="21"/>
                      <w:highlight w:val="none"/>
                    </w:rPr>
                  </w:pPr>
                </w:p>
              </w:tc>
            </w:tr>
            <w:tr w14:paraId="03D7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shd w:val="clear" w:color="auto" w:fill="auto"/>
                  <w:noWrap w:val="0"/>
                  <w:vAlign w:val="center"/>
                </w:tcPr>
                <w:p w14:paraId="42105FEC">
                  <w:pPr>
                    <w:spacing w:line="300" w:lineRule="exact"/>
                    <w:jc w:val="center"/>
                    <w:rPr>
                      <w:rFonts w:hint="default" w:ascii="Times New Roman" w:hAnsi="Times New Roman" w:cs="Times New Roman"/>
                      <w:color w:val="auto"/>
                      <w:sz w:val="21"/>
                      <w:szCs w:val="21"/>
                      <w:highlight w:val="none"/>
                    </w:rPr>
                  </w:pPr>
                </w:p>
              </w:tc>
              <w:tc>
                <w:tcPr>
                  <w:tcW w:w="1362" w:type="dxa"/>
                  <w:vMerge w:val="continue"/>
                  <w:shd w:val="clear" w:color="auto" w:fill="auto"/>
                  <w:noWrap w:val="0"/>
                  <w:vAlign w:val="center"/>
                </w:tcPr>
                <w:p w14:paraId="48F9DA7C">
                  <w:pPr>
                    <w:spacing w:line="300" w:lineRule="exact"/>
                    <w:jc w:val="center"/>
                    <w:rPr>
                      <w:rFonts w:hint="default" w:ascii="Times New Roman" w:hAnsi="Times New Roman" w:cs="Times New Roman"/>
                      <w:color w:val="auto"/>
                      <w:sz w:val="21"/>
                      <w:szCs w:val="21"/>
                      <w:highlight w:val="none"/>
                    </w:rPr>
                  </w:pPr>
                </w:p>
              </w:tc>
              <w:tc>
                <w:tcPr>
                  <w:tcW w:w="1387" w:type="dxa"/>
                  <w:shd w:val="clear" w:color="auto" w:fill="auto"/>
                  <w:noWrap w:val="0"/>
                  <w:vAlign w:val="center"/>
                </w:tcPr>
                <w:p w14:paraId="4C7B0725">
                  <w:pPr>
                    <w:pStyle w:val="54"/>
                    <w:keepNext w:val="0"/>
                    <w:keepLines w:val="0"/>
                    <w:pageBreakBefore w:val="0"/>
                    <w:widowControl w:val="0"/>
                    <w:kinsoku/>
                    <w:wordWrap/>
                    <w:overflowPunct/>
                    <w:topLinePunct w:val="0"/>
                    <w:autoSpaceDE/>
                    <w:autoSpaceDN/>
                    <w:bidi w:val="0"/>
                    <w:adjustRightInd/>
                    <w:snapToGrid/>
                    <w:spacing w:line="240" w:lineRule="auto"/>
                    <w:ind w:left="-57" w:leftChars="0" w:right="-57" w:right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1257" w:type="dxa"/>
                  <w:shd w:val="clear" w:color="auto" w:fill="auto"/>
                  <w:noWrap w:val="0"/>
                  <w:vAlign w:val="center"/>
                </w:tcPr>
                <w:p w14:paraId="597C685F">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1.22</w:t>
                  </w:r>
                </w:p>
              </w:tc>
              <w:tc>
                <w:tcPr>
                  <w:tcW w:w="3190" w:type="dxa"/>
                  <w:vMerge w:val="continue"/>
                  <w:shd w:val="clear" w:color="auto" w:fill="auto"/>
                  <w:noWrap w:val="0"/>
                  <w:vAlign w:val="center"/>
                </w:tcPr>
                <w:p w14:paraId="1DE09FDF">
                  <w:pPr>
                    <w:spacing w:line="300" w:lineRule="exact"/>
                    <w:jc w:val="center"/>
                    <w:rPr>
                      <w:rFonts w:hint="default" w:ascii="Times New Roman" w:hAnsi="Times New Roman" w:cs="Times New Roman"/>
                      <w:color w:val="auto"/>
                      <w:sz w:val="21"/>
                      <w:szCs w:val="21"/>
                      <w:highlight w:val="none"/>
                    </w:rPr>
                  </w:pPr>
                </w:p>
              </w:tc>
            </w:tr>
            <w:tr w14:paraId="51BF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shd w:val="clear" w:color="auto" w:fill="auto"/>
                  <w:noWrap w:val="0"/>
                  <w:vAlign w:val="center"/>
                </w:tcPr>
                <w:p w14:paraId="2722141A">
                  <w:pPr>
                    <w:spacing w:line="300" w:lineRule="exact"/>
                    <w:jc w:val="center"/>
                    <w:rPr>
                      <w:rFonts w:hint="default" w:ascii="Times New Roman" w:hAnsi="Times New Roman" w:cs="Times New Roman"/>
                      <w:color w:val="auto"/>
                      <w:sz w:val="21"/>
                      <w:szCs w:val="21"/>
                      <w:highlight w:val="none"/>
                    </w:rPr>
                  </w:pPr>
                </w:p>
              </w:tc>
              <w:tc>
                <w:tcPr>
                  <w:tcW w:w="1362" w:type="dxa"/>
                  <w:vMerge w:val="restart"/>
                  <w:shd w:val="clear" w:color="auto" w:fill="auto"/>
                  <w:noWrap w:val="0"/>
                  <w:vAlign w:val="center"/>
                </w:tcPr>
                <w:p w14:paraId="724E51B2">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精炼废气</w:t>
                  </w:r>
                </w:p>
              </w:tc>
              <w:tc>
                <w:tcPr>
                  <w:tcW w:w="1387" w:type="dxa"/>
                  <w:shd w:val="clear" w:color="auto" w:fill="auto"/>
                  <w:noWrap w:val="0"/>
                  <w:vAlign w:val="center"/>
                </w:tcPr>
                <w:p w14:paraId="05CAFD09">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257" w:type="dxa"/>
                  <w:shd w:val="clear" w:color="auto" w:fill="auto"/>
                  <w:noWrap w:val="0"/>
                  <w:vAlign w:val="center"/>
                </w:tcPr>
                <w:p w14:paraId="7C889BB9">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0.623</w:t>
                  </w:r>
                </w:p>
              </w:tc>
              <w:tc>
                <w:tcPr>
                  <w:tcW w:w="3190" w:type="dxa"/>
                  <w:vMerge w:val="restart"/>
                  <w:shd w:val="clear" w:color="auto" w:fill="auto"/>
                  <w:noWrap w:val="0"/>
                  <w:vAlign w:val="center"/>
                </w:tcPr>
                <w:p w14:paraId="15B95626">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经碱洗+次氯酸钠吸附工艺处理，处理后经35m排气筒有组织排放</w:t>
                  </w:r>
                </w:p>
              </w:tc>
            </w:tr>
            <w:tr w14:paraId="12A2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shd w:val="clear" w:color="auto" w:fill="auto"/>
                  <w:noWrap w:val="0"/>
                  <w:vAlign w:val="center"/>
                </w:tcPr>
                <w:p w14:paraId="68F24241">
                  <w:pPr>
                    <w:spacing w:line="300" w:lineRule="exact"/>
                    <w:jc w:val="center"/>
                    <w:rPr>
                      <w:rFonts w:hint="default" w:ascii="Times New Roman" w:hAnsi="Times New Roman" w:cs="Times New Roman"/>
                      <w:color w:val="auto"/>
                      <w:sz w:val="21"/>
                      <w:szCs w:val="21"/>
                      <w:highlight w:val="none"/>
                    </w:rPr>
                  </w:pPr>
                </w:p>
              </w:tc>
              <w:tc>
                <w:tcPr>
                  <w:tcW w:w="1362" w:type="dxa"/>
                  <w:vMerge w:val="continue"/>
                  <w:shd w:val="clear" w:color="auto" w:fill="auto"/>
                  <w:noWrap w:val="0"/>
                  <w:vAlign w:val="center"/>
                </w:tcPr>
                <w:p w14:paraId="5E4A4CB2">
                  <w:pPr>
                    <w:spacing w:line="300" w:lineRule="exact"/>
                    <w:jc w:val="center"/>
                    <w:rPr>
                      <w:rFonts w:hint="default" w:ascii="Times New Roman" w:hAnsi="Times New Roman" w:cs="Times New Roman"/>
                      <w:color w:val="auto"/>
                      <w:sz w:val="21"/>
                      <w:szCs w:val="21"/>
                      <w:highlight w:val="none"/>
                      <w:lang w:val="en-US" w:eastAsia="zh-CN"/>
                    </w:rPr>
                  </w:pPr>
                </w:p>
              </w:tc>
              <w:tc>
                <w:tcPr>
                  <w:tcW w:w="1387" w:type="dxa"/>
                  <w:shd w:val="clear" w:color="auto" w:fill="auto"/>
                  <w:noWrap w:val="0"/>
                  <w:vAlign w:val="center"/>
                </w:tcPr>
                <w:p w14:paraId="4069E043">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臭气浓度</w:t>
                  </w:r>
                </w:p>
              </w:tc>
              <w:tc>
                <w:tcPr>
                  <w:tcW w:w="1257" w:type="dxa"/>
                  <w:shd w:val="clear" w:color="auto" w:fill="auto"/>
                  <w:noWrap w:val="0"/>
                  <w:vAlign w:val="center"/>
                </w:tcPr>
                <w:p w14:paraId="53F1B799">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90" w:type="dxa"/>
                  <w:vMerge w:val="continue"/>
                  <w:shd w:val="clear" w:color="auto" w:fill="auto"/>
                  <w:noWrap w:val="0"/>
                  <w:vAlign w:val="center"/>
                </w:tcPr>
                <w:p w14:paraId="581E0669">
                  <w:pPr>
                    <w:spacing w:line="300" w:lineRule="exact"/>
                    <w:jc w:val="center"/>
                    <w:rPr>
                      <w:rFonts w:hint="default" w:ascii="Times New Roman" w:hAnsi="Times New Roman" w:cs="Times New Roman"/>
                      <w:color w:val="auto"/>
                      <w:sz w:val="21"/>
                      <w:szCs w:val="21"/>
                      <w:highlight w:val="none"/>
                    </w:rPr>
                  </w:pPr>
                </w:p>
              </w:tc>
            </w:tr>
            <w:tr w14:paraId="4179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shd w:val="clear" w:color="auto" w:fill="auto"/>
                  <w:noWrap w:val="0"/>
                  <w:vAlign w:val="center"/>
                </w:tcPr>
                <w:p w14:paraId="58E412B8">
                  <w:pPr>
                    <w:spacing w:line="300" w:lineRule="exact"/>
                    <w:jc w:val="center"/>
                    <w:rPr>
                      <w:rFonts w:hint="default" w:ascii="Times New Roman" w:hAnsi="Times New Roman" w:cs="Times New Roman"/>
                      <w:color w:val="auto"/>
                      <w:sz w:val="21"/>
                      <w:szCs w:val="21"/>
                      <w:highlight w:val="none"/>
                    </w:rPr>
                  </w:pPr>
                </w:p>
              </w:tc>
              <w:tc>
                <w:tcPr>
                  <w:tcW w:w="1362" w:type="dxa"/>
                  <w:shd w:val="clear" w:color="auto" w:fill="auto"/>
                  <w:noWrap w:val="0"/>
                  <w:vAlign w:val="center"/>
                </w:tcPr>
                <w:p w14:paraId="23A1C8B6">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PET吹瓶工序废气</w:t>
                  </w:r>
                </w:p>
              </w:tc>
              <w:tc>
                <w:tcPr>
                  <w:tcW w:w="1387" w:type="dxa"/>
                  <w:shd w:val="clear" w:color="auto" w:fill="auto"/>
                  <w:noWrap w:val="0"/>
                  <w:vAlign w:val="center"/>
                </w:tcPr>
                <w:p w14:paraId="6642ACC0">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非甲烷总烃</w:t>
                  </w:r>
                </w:p>
              </w:tc>
              <w:tc>
                <w:tcPr>
                  <w:tcW w:w="1257" w:type="dxa"/>
                  <w:shd w:val="clear" w:color="auto" w:fill="auto"/>
                  <w:noWrap w:val="0"/>
                  <w:vAlign w:val="center"/>
                </w:tcPr>
                <w:p w14:paraId="2D00759F">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0.18</w:t>
                  </w:r>
                </w:p>
              </w:tc>
              <w:tc>
                <w:tcPr>
                  <w:tcW w:w="3190" w:type="dxa"/>
                  <w:shd w:val="clear" w:color="auto" w:fill="auto"/>
                  <w:noWrap w:val="0"/>
                  <w:vAlign w:val="center"/>
                </w:tcPr>
                <w:p w14:paraId="61051E41">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无组织排放</w:t>
                  </w:r>
                </w:p>
              </w:tc>
            </w:tr>
            <w:tr w14:paraId="1E72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shd w:val="clear" w:color="auto" w:fill="auto"/>
                  <w:noWrap w:val="0"/>
                  <w:vAlign w:val="center"/>
                </w:tcPr>
                <w:p w14:paraId="1DCD02DD">
                  <w:pPr>
                    <w:spacing w:line="300" w:lineRule="exact"/>
                    <w:jc w:val="center"/>
                    <w:rPr>
                      <w:rFonts w:hint="default" w:ascii="Times New Roman" w:hAnsi="Times New Roman" w:cs="Times New Roman"/>
                      <w:color w:val="auto"/>
                      <w:sz w:val="21"/>
                      <w:szCs w:val="21"/>
                      <w:highlight w:val="none"/>
                    </w:rPr>
                  </w:pPr>
                </w:p>
              </w:tc>
              <w:tc>
                <w:tcPr>
                  <w:tcW w:w="1362" w:type="dxa"/>
                  <w:vMerge w:val="restart"/>
                  <w:shd w:val="clear" w:color="auto" w:fill="auto"/>
                  <w:noWrap w:val="0"/>
                  <w:vAlign w:val="center"/>
                </w:tcPr>
                <w:p w14:paraId="48695C98">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废水处理站臭气</w:t>
                  </w:r>
                </w:p>
              </w:tc>
              <w:tc>
                <w:tcPr>
                  <w:tcW w:w="1387" w:type="dxa"/>
                  <w:shd w:val="clear" w:color="auto" w:fill="auto"/>
                  <w:noWrap w:val="0"/>
                  <w:vAlign w:val="center"/>
                </w:tcPr>
                <w:p w14:paraId="11E0BF30">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氨</w:t>
                  </w:r>
                </w:p>
              </w:tc>
              <w:tc>
                <w:tcPr>
                  <w:tcW w:w="1257" w:type="dxa"/>
                  <w:shd w:val="clear" w:color="auto" w:fill="auto"/>
                  <w:noWrap w:val="0"/>
                  <w:vAlign w:val="center"/>
                </w:tcPr>
                <w:p w14:paraId="792299D1">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0.023</w:t>
                  </w:r>
                </w:p>
              </w:tc>
              <w:tc>
                <w:tcPr>
                  <w:tcW w:w="3190" w:type="dxa"/>
                  <w:vMerge w:val="restart"/>
                  <w:shd w:val="clear" w:color="auto" w:fill="auto"/>
                  <w:noWrap w:val="0"/>
                  <w:vAlign w:val="center"/>
                </w:tcPr>
                <w:p w14:paraId="717F1CD1">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经</w:t>
                  </w:r>
                  <w:r>
                    <w:rPr>
                      <w:rFonts w:hint="eastAsia" w:cs="Times New Roman"/>
                      <w:bCs/>
                      <w:color w:val="auto"/>
                      <w:sz w:val="21"/>
                      <w:szCs w:val="21"/>
                      <w:highlight w:val="none"/>
                      <w:lang w:val="en-US" w:eastAsia="zh-CN"/>
                    </w:rPr>
                    <w:t>碱液</w:t>
                  </w:r>
                  <w:r>
                    <w:rPr>
                      <w:rFonts w:hint="default" w:ascii="Times New Roman" w:hAnsi="Times New Roman" w:cs="Times New Roman"/>
                      <w:bCs/>
                      <w:color w:val="auto"/>
                      <w:sz w:val="21"/>
                      <w:szCs w:val="21"/>
                      <w:highlight w:val="none"/>
                      <w:lang w:val="en-US" w:eastAsia="zh-CN"/>
                    </w:rPr>
                    <w:t>喷淋+</w:t>
                  </w:r>
                  <w:r>
                    <w:rPr>
                      <w:rFonts w:hint="eastAsia" w:cs="Times New Roman"/>
                      <w:bCs/>
                      <w:color w:val="auto"/>
                      <w:sz w:val="21"/>
                      <w:szCs w:val="21"/>
                      <w:highlight w:val="none"/>
                      <w:lang w:val="en-US" w:eastAsia="zh-CN"/>
                    </w:rPr>
                    <w:t>次氯酸钠吸附+</w:t>
                  </w:r>
                  <w:r>
                    <w:rPr>
                      <w:rFonts w:hint="default" w:ascii="Times New Roman" w:hAnsi="Times New Roman" w:cs="Times New Roman"/>
                      <w:bCs/>
                      <w:color w:val="auto"/>
                      <w:sz w:val="21"/>
                      <w:szCs w:val="21"/>
                      <w:highlight w:val="none"/>
                      <w:lang w:val="en-US" w:eastAsia="zh-CN"/>
                    </w:rPr>
                    <w:t>UV光氧除臭工艺处理，处理后经15m排气筒有组织排放</w:t>
                  </w:r>
                </w:p>
              </w:tc>
            </w:tr>
            <w:tr w14:paraId="37E7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shd w:val="clear" w:color="auto" w:fill="auto"/>
                  <w:noWrap w:val="0"/>
                  <w:vAlign w:val="center"/>
                </w:tcPr>
                <w:p w14:paraId="7AE5F6F5">
                  <w:pPr>
                    <w:spacing w:line="300" w:lineRule="exact"/>
                    <w:jc w:val="center"/>
                    <w:rPr>
                      <w:rFonts w:hint="default" w:ascii="Times New Roman" w:hAnsi="Times New Roman" w:cs="Times New Roman"/>
                      <w:color w:val="auto"/>
                      <w:sz w:val="21"/>
                      <w:szCs w:val="21"/>
                      <w:highlight w:val="none"/>
                    </w:rPr>
                  </w:pPr>
                </w:p>
              </w:tc>
              <w:tc>
                <w:tcPr>
                  <w:tcW w:w="1362" w:type="dxa"/>
                  <w:vMerge w:val="continue"/>
                  <w:shd w:val="clear" w:color="auto" w:fill="auto"/>
                  <w:noWrap w:val="0"/>
                  <w:vAlign w:val="center"/>
                </w:tcPr>
                <w:p w14:paraId="058D34C0">
                  <w:pPr>
                    <w:spacing w:line="300" w:lineRule="exact"/>
                    <w:jc w:val="center"/>
                    <w:rPr>
                      <w:rFonts w:hint="default" w:ascii="Times New Roman" w:hAnsi="Times New Roman" w:cs="Times New Roman"/>
                      <w:bCs/>
                      <w:color w:val="auto"/>
                      <w:sz w:val="21"/>
                      <w:szCs w:val="21"/>
                      <w:highlight w:val="none"/>
                      <w:lang w:val="en-US" w:eastAsia="zh-CN"/>
                    </w:rPr>
                  </w:pPr>
                </w:p>
              </w:tc>
              <w:tc>
                <w:tcPr>
                  <w:tcW w:w="1387" w:type="dxa"/>
                  <w:shd w:val="clear" w:color="auto" w:fill="auto"/>
                  <w:noWrap w:val="0"/>
                  <w:vAlign w:val="center"/>
                </w:tcPr>
                <w:p w14:paraId="06ABEA4F">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硫化氢</w:t>
                  </w:r>
                </w:p>
              </w:tc>
              <w:tc>
                <w:tcPr>
                  <w:tcW w:w="1257" w:type="dxa"/>
                  <w:shd w:val="clear" w:color="auto" w:fill="auto"/>
                  <w:noWrap w:val="0"/>
                  <w:vAlign w:val="center"/>
                </w:tcPr>
                <w:p w14:paraId="414617AC">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0.003</w:t>
                  </w:r>
                </w:p>
              </w:tc>
              <w:tc>
                <w:tcPr>
                  <w:tcW w:w="3190" w:type="dxa"/>
                  <w:vMerge w:val="continue"/>
                  <w:shd w:val="clear" w:color="auto" w:fill="auto"/>
                  <w:noWrap w:val="0"/>
                  <w:vAlign w:val="center"/>
                </w:tcPr>
                <w:p w14:paraId="1D18029E">
                  <w:pPr>
                    <w:spacing w:line="300" w:lineRule="exact"/>
                    <w:jc w:val="center"/>
                    <w:rPr>
                      <w:rFonts w:hint="default" w:ascii="Times New Roman" w:hAnsi="Times New Roman" w:cs="Times New Roman"/>
                      <w:color w:val="auto"/>
                      <w:sz w:val="21"/>
                      <w:szCs w:val="21"/>
                      <w:highlight w:val="none"/>
                    </w:rPr>
                  </w:pPr>
                </w:p>
              </w:tc>
            </w:tr>
            <w:tr w14:paraId="20E7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shd w:val="clear" w:color="auto" w:fill="auto"/>
                  <w:noWrap w:val="0"/>
                  <w:vAlign w:val="center"/>
                </w:tcPr>
                <w:p w14:paraId="4BFD336F">
                  <w:pPr>
                    <w:spacing w:line="300" w:lineRule="exact"/>
                    <w:jc w:val="center"/>
                    <w:rPr>
                      <w:rFonts w:hint="default" w:ascii="Times New Roman" w:hAnsi="Times New Roman" w:cs="Times New Roman"/>
                      <w:color w:val="auto"/>
                      <w:sz w:val="21"/>
                      <w:szCs w:val="21"/>
                      <w:highlight w:val="none"/>
                    </w:rPr>
                  </w:pPr>
                </w:p>
              </w:tc>
              <w:tc>
                <w:tcPr>
                  <w:tcW w:w="1362" w:type="dxa"/>
                  <w:vMerge w:val="continue"/>
                  <w:shd w:val="clear" w:color="auto" w:fill="auto"/>
                  <w:noWrap w:val="0"/>
                  <w:vAlign w:val="center"/>
                </w:tcPr>
                <w:p w14:paraId="67777747">
                  <w:pPr>
                    <w:spacing w:line="300" w:lineRule="exact"/>
                    <w:jc w:val="center"/>
                    <w:rPr>
                      <w:rFonts w:hint="default" w:ascii="Times New Roman" w:hAnsi="Times New Roman" w:cs="Times New Roman"/>
                      <w:bCs/>
                      <w:color w:val="auto"/>
                      <w:sz w:val="21"/>
                      <w:szCs w:val="21"/>
                      <w:highlight w:val="none"/>
                      <w:lang w:val="en-US" w:eastAsia="zh-CN"/>
                    </w:rPr>
                  </w:pPr>
                </w:p>
              </w:tc>
              <w:tc>
                <w:tcPr>
                  <w:tcW w:w="1387" w:type="dxa"/>
                  <w:shd w:val="clear" w:color="auto" w:fill="auto"/>
                  <w:noWrap w:val="0"/>
                  <w:vAlign w:val="center"/>
                </w:tcPr>
                <w:p w14:paraId="7CF55AF8">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臭气浓度</w:t>
                  </w:r>
                </w:p>
              </w:tc>
              <w:tc>
                <w:tcPr>
                  <w:tcW w:w="1257" w:type="dxa"/>
                  <w:shd w:val="clear" w:color="auto" w:fill="auto"/>
                  <w:noWrap w:val="0"/>
                  <w:vAlign w:val="center"/>
                </w:tcPr>
                <w:p w14:paraId="49E39F9E">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90" w:type="dxa"/>
                  <w:vMerge w:val="continue"/>
                  <w:shd w:val="clear" w:color="auto" w:fill="auto"/>
                  <w:noWrap w:val="0"/>
                  <w:vAlign w:val="center"/>
                </w:tcPr>
                <w:p w14:paraId="4DD2D397">
                  <w:pPr>
                    <w:spacing w:line="300" w:lineRule="exact"/>
                    <w:jc w:val="center"/>
                    <w:rPr>
                      <w:rFonts w:hint="default" w:ascii="Times New Roman" w:hAnsi="Times New Roman" w:cs="Times New Roman"/>
                      <w:color w:val="auto"/>
                      <w:sz w:val="21"/>
                      <w:szCs w:val="21"/>
                      <w:highlight w:val="none"/>
                    </w:rPr>
                  </w:pPr>
                </w:p>
              </w:tc>
            </w:tr>
            <w:tr w14:paraId="044A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restart"/>
                  <w:noWrap w:val="0"/>
                  <w:vAlign w:val="center"/>
                </w:tcPr>
                <w:p w14:paraId="2B5B45E7">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362" w:type="dxa"/>
                  <w:vMerge w:val="restart"/>
                  <w:noWrap w:val="0"/>
                  <w:vAlign w:val="center"/>
                </w:tcPr>
                <w:p w14:paraId="05175BB7">
                  <w:pPr>
                    <w:adjustRightInd w:val="0"/>
                    <w:snapToGrid w:val="0"/>
                    <w:spacing w:line="300" w:lineRule="exact"/>
                    <w:ind w:left="-63" w:leftChars="-30" w:right="-63" w:rightChars="-3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食堂废水、生活污水、生产废水</w:t>
                  </w:r>
                  <w:r>
                    <w:rPr>
                      <w:rFonts w:hint="eastAsia" w:cs="Times New Roman"/>
                      <w:color w:val="auto"/>
                      <w:sz w:val="21"/>
                      <w:szCs w:val="21"/>
                      <w:highlight w:val="none"/>
                      <w:lang w:val="en-US" w:eastAsia="zh-CN"/>
                    </w:rPr>
                    <w:t>115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p w14:paraId="5766B4E5">
                  <w:pPr>
                    <w:spacing w:line="300" w:lineRule="exac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3.45</w:t>
                  </w:r>
                  <w:r>
                    <w:rPr>
                      <w:rFonts w:hint="default" w:ascii="Times New Roman" w:hAnsi="Times New Roman" w:cs="Times New Roman"/>
                      <w:color w:val="auto"/>
                      <w:sz w:val="21"/>
                      <w:szCs w:val="21"/>
                      <w:highlight w:val="none"/>
                    </w:rPr>
                    <w:t>万m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387" w:type="dxa"/>
                  <w:noWrap w:val="0"/>
                  <w:vAlign w:val="center"/>
                </w:tcPr>
                <w:p w14:paraId="7116FF5E">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257" w:type="dxa"/>
                  <w:noWrap w:val="0"/>
                  <w:vAlign w:val="center"/>
                </w:tcPr>
                <w:p w14:paraId="2104CBE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3.24</w:t>
                  </w:r>
                </w:p>
              </w:tc>
              <w:tc>
                <w:tcPr>
                  <w:tcW w:w="3190" w:type="dxa"/>
                  <w:vMerge w:val="restart"/>
                  <w:noWrap w:val="0"/>
                  <w:vAlign w:val="center"/>
                </w:tcPr>
                <w:p w14:paraId="0D8496D7">
                  <w:pPr>
                    <w:widowControl/>
                    <w:ind w:right="21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食堂废水经隔油池处理后与生活污水收集至</w:t>
                  </w:r>
                  <w:r>
                    <w:rPr>
                      <w:rFonts w:hint="eastAsia" w:cs="Times New Roman"/>
                      <w:color w:val="auto"/>
                      <w:sz w:val="21"/>
                      <w:szCs w:val="21"/>
                      <w:highlight w:val="none"/>
                      <w:lang w:val="en-US" w:eastAsia="zh-CN"/>
                    </w:rPr>
                    <w:t>生化池</w:t>
                  </w:r>
                  <w:r>
                    <w:rPr>
                      <w:rFonts w:hint="default" w:ascii="Times New Roman" w:hAnsi="Times New Roman" w:cs="Times New Roman"/>
                      <w:color w:val="auto"/>
                      <w:sz w:val="21"/>
                      <w:szCs w:val="21"/>
                      <w:highlight w:val="none"/>
                      <w:lang w:val="en-US" w:eastAsia="zh-CN"/>
                    </w:rPr>
                    <w:t>，后与生产废水进入废水处理站进行处理，</w:t>
                  </w:r>
                  <w:r>
                    <w:rPr>
                      <w:rFonts w:hint="default" w:ascii="Times New Roman" w:hAnsi="Times New Roman" w:eastAsia="宋体" w:cs="Times New Roman"/>
                      <w:color w:val="auto"/>
                      <w:kern w:val="0"/>
                      <w:sz w:val="21"/>
                      <w:szCs w:val="21"/>
                      <w:highlight w:val="none"/>
                    </w:rPr>
                    <w:t>处理规模为</w:t>
                  </w:r>
                  <w:r>
                    <w:rPr>
                      <w:rFonts w:hint="default"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/d，</w:t>
                  </w:r>
                  <w:r>
                    <w:rPr>
                      <w:rFonts w:hint="default" w:ascii="Times New Roman" w:hAnsi="Times New Roman" w:eastAsia="宋体" w:cs="Times New Roman"/>
                      <w:color w:val="auto"/>
                      <w:sz w:val="21"/>
                      <w:szCs w:val="21"/>
                      <w:highlight w:val="none"/>
                      <w:lang w:val="en-US" w:eastAsia="zh-CN"/>
                    </w:rPr>
                    <w:t>采用隔油+气浮+沉淀+水解酸化+缺氧+生物接触氧化+沉淀工艺</w:t>
                  </w:r>
                  <w:r>
                    <w:rPr>
                      <w:rFonts w:hint="default" w:ascii="Times New Roman" w:hAnsi="Times New Roman" w:eastAsia="宋体" w:cs="Times New Roman"/>
                      <w:color w:val="auto"/>
                      <w:kern w:val="0"/>
                      <w:sz w:val="21"/>
                      <w:szCs w:val="21"/>
                      <w:highlight w:val="none"/>
                    </w:rPr>
                    <w:t>，</w:t>
                  </w:r>
                  <w:r>
                    <w:rPr>
                      <w:rFonts w:hint="default" w:ascii="Times New Roman" w:hAnsi="Times New Roman" w:cs="Times New Roman"/>
                      <w:color w:val="auto"/>
                      <w:sz w:val="21"/>
                      <w:szCs w:val="21"/>
                      <w:highlight w:val="none"/>
                      <w:lang w:val="en-US" w:eastAsia="zh-CN"/>
                    </w:rPr>
                    <w:t>处理达《污水综合排放标准》（GB8978-1996）三级标准后排入市政污水管网</w:t>
                  </w:r>
                </w:p>
              </w:tc>
            </w:tr>
            <w:tr w14:paraId="7AC5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23273BA6">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440A5DAF">
                  <w:pPr>
                    <w:spacing w:line="300" w:lineRule="exact"/>
                    <w:jc w:val="center"/>
                    <w:rPr>
                      <w:rFonts w:hint="default" w:ascii="Times New Roman" w:hAnsi="Times New Roman" w:cs="Times New Roman"/>
                      <w:color w:val="auto"/>
                      <w:sz w:val="21"/>
                      <w:szCs w:val="21"/>
                      <w:highlight w:val="none"/>
                    </w:rPr>
                  </w:pPr>
                </w:p>
              </w:tc>
              <w:tc>
                <w:tcPr>
                  <w:tcW w:w="1387" w:type="dxa"/>
                  <w:shd w:val="clear" w:color="auto" w:fill="auto"/>
                  <w:noWrap w:val="0"/>
                  <w:vAlign w:val="center"/>
                </w:tcPr>
                <w:p w14:paraId="7B0CF9D5">
                  <w:pPr>
                    <w:spacing w:line="280" w:lineRule="exact"/>
                    <w:jc w:val="center"/>
                    <w:rPr>
                      <w:rFonts w:hint="default" w:ascii="Times New Roman" w:hAnsi="Times New Roman" w:eastAsia="宋体" w:cs="Times New Roman"/>
                      <w:color w:val="auto"/>
                      <w:kern w:val="2"/>
                      <w:sz w:val="21"/>
                      <w:szCs w:val="21"/>
                      <w:highlight w:val="none"/>
                      <w:vertAlign w:val="subscript"/>
                      <w:lang w:val="en-US" w:eastAsia="zh-CN" w:bidi="ar-SA"/>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257" w:type="dxa"/>
                  <w:shd w:val="clear" w:color="auto" w:fill="auto"/>
                  <w:noWrap w:val="0"/>
                  <w:vAlign w:val="center"/>
                </w:tcPr>
                <w:p w14:paraId="34EF19A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0.90</w:t>
                  </w:r>
                </w:p>
              </w:tc>
              <w:tc>
                <w:tcPr>
                  <w:tcW w:w="3190" w:type="dxa"/>
                  <w:vMerge w:val="continue"/>
                  <w:noWrap w:val="0"/>
                  <w:vAlign w:val="center"/>
                </w:tcPr>
                <w:p w14:paraId="78948D2A">
                  <w:pPr>
                    <w:jc w:val="right"/>
                    <w:rPr>
                      <w:rFonts w:hint="default" w:ascii="Times New Roman" w:hAnsi="Times New Roman" w:cs="Times New Roman"/>
                      <w:color w:val="auto"/>
                      <w:sz w:val="21"/>
                      <w:szCs w:val="21"/>
                      <w:highlight w:val="none"/>
                    </w:rPr>
                  </w:pPr>
                </w:p>
              </w:tc>
            </w:tr>
            <w:tr w14:paraId="0CEA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578540BD">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3626E032">
                  <w:pPr>
                    <w:spacing w:line="300" w:lineRule="exact"/>
                    <w:jc w:val="center"/>
                    <w:rPr>
                      <w:rFonts w:hint="default" w:ascii="Times New Roman" w:hAnsi="Times New Roman" w:cs="Times New Roman"/>
                      <w:color w:val="auto"/>
                      <w:sz w:val="21"/>
                      <w:szCs w:val="21"/>
                      <w:highlight w:val="none"/>
                    </w:rPr>
                  </w:pPr>
                </w:p>
              </w:tc>
              <w:tc>
                <w:tcPr>
                  <w:tcW w:w="1387" w:type="dxa"/>
                  <w:noWrap w:val="0"/>
                  <w:vAlign w:val="center"/>
                </w:tcPr>
                <w:p w14:paraId="1CC84F90">
                  <w:pPr>
                    <w:spacing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257" w:type="dxa"/>
                  <w:noWrap w:val="0"/>
                  <w:vAlign w:val="center"/>
                </w:tcPr>
                <w:p w14:paraId="09C4222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0.62</w:t>
                  </w:r>
                </w:p>
              </w:tc>
              <w:tc>
                <w:tcPr>
                  <w:tcW w:w="3190" w:type="dxa"/>
                  <w:vMerge w:val="continue"/>
                  <w:noWrap w:val="0"/>
                  <w:vAlign w:val="center"/>
                </w:tcPr>
                <w:p w14:paraId="65ABCFFE">
                  <w:pPr>
                    <w:jc w:val="right"/>
                    <w:rPr>
                      <w:rFonts w:hint="default" w:ascii="Times New Roman" w:hAnsi="Times New Roman" w:cs="Times New Roman"/>
                      <w:color w:val="auto"/>
                      <w:sz w:val="21"/>
                      <w:szCs w:val="21"/>
                      <w:highlight w:val="none"/>
                    </w:rPr>
                  </w:pPr>
                </w:p>
              </w:tc>
            </w:tr>
            <w:tr w14:paraId="64B4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150A1D8E">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5E4E3E0F">
                  <w:pPr>
                    <w:spacing w:line="300" w:lineRule="exact"/>
                    <w:jc w:val="center"/>
                    <w:rPr>
                      <w:rFonts w:hint="default" w:ascii="Times New Roman" w:hAnsi="Times New Roman" w:cs="Times New Roman"/>
                      <w:color w:val="auto"/>
                      <w:sz w:val="21"/>
                      <w:szCs w:val="21"/>
                      <w:highlight w:val="none"/>
                    </w:rPr>
                  </w:pPr>
                </w:p>
              </w:tc>
              <w:tc>
                <w:tcPr>
                  <w:tcW w:w="1387" w:type="dxa"/>
                  <w:shd w:val="clear" w:color="auto" w:fill="auto"/>
                  <w:noWrap w:val="0"/>
                  <w:vAlign w:val="center"/>
                </w:tcPr>
                <w:p w14:paraId="2D1CB2AE">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257" w:type="dxa"/>
                  <w:shd w:val="clear" w:color="auto" w:fill="auto"/>
                  <w:noWrap w:val="0"/>
                  <w:vAlign w:val="center"/>
                </w:tcPr>
                <w:p w14:paraId="5C2A862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3190" w:type="dxa"/>
                  <w:vMerge w:val="continue"/>
                  <w:noWrap w:val="0"/>
                  <w:vAlign w:val="center"/>
                </w:tcPr>
                <w:p w14:paraId="5B729FA7">
                  <w:pPr>
                    <w:jc w:val="right"/>
                    <w:rPr>
                      <w:rFonts w:hint="default" w:ascii="Times New Roman" w:hAnsi="Times New Roman" w:cs="Times New Roman"/>
                      <w:color w:val="auto"/>
                      <w:sz w:val="21"/>
                      <w:szCs w:val="21"/>
                      <w:highlight w:val="none"/>
                    </w:rPr>
                  </w:pPr>
                </w:p>
              </w:tc>
            </w:tr>
            <w:tr w14:paraId="5767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7BD9632C">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66C3495D">
                  <w:pPr>
                    <w:spacing w:line="300" w:lineRule="exact"/>
                    <w:jc w:val="center"/>
                    <w:rPr>
                      <w:rFonts w:hint="default" w:ascii="Times New Roman" w:hAnsi="Times New Roman" w:cs="Times New Roman"/>
                      <w:color w:val="auto"/>
                      <w:sz w:val="21"/>
                      <w:szCs w:val="21"/>
                      <w:highlight w:val="none"/>
                    </w:rPr>
                  </w:pPr>
                </w:p>
              </w:tc>
              <w:tc>
                <w:tcPr>
                  <w:tcW w:w="1387" w:type="dxa"/>
                  <w:shd w:val="clear" w:color="auto" w:fill="auto"/>
                  <w:noWrap w:val="0"/>
                  <w:vAlign w:val="center"/>
                </w:tcPr>
                <w:p w14:paraId="06DFBC26">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1257" w:type="dxa"/>
                  <w:shd w:val="clear" w:color="auto" w:fill="auto"/>
                  <w:noWrap w:val="0"/>
                  <w:vAlign w:val="center"/>
                </w:tcPr>
                <w:p w14:paraId="1DD9A2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3190" w:type="dxa"/>
                  <w:vMerge w:val="continue"/>
                  <w:noWrap w:val="0"/>
                  <w:vAlign w:val="center"/>
                </w:tcPr>
                <w:p w14:paraId="5D6C2AEC">
                  <w:pPr>
                    <w:jc w:val="right"/>
                    <w:rPr>
                      <w:rFonts w:hint="default" w:ascii="Times New Roman" w:hAnsi="Times New Roman" w:cs="Times New Roman"/>
                      <w:color w:val="auto"/>
                      <w:sz w:val="21"/>
                      <w:szCs w:val="21"/>
                      <w:highlight w:val="none"/>
                    </w:rPr>
                  </w:pPr>
                </w:p>
              </w:tc>
            </w:tr>
            <w:tr w14:paraId="00E2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0F1B12C5">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225AAED4">
                  <w:pPr>
                    <w:spacing w:line="300" w:lineRule="exact"/>
                    <w:jc w:val="center"/>
                    <w:rPr>
                      <w:rFonts w:hint="default" w:ascii="Times New Roman" w:hAnsi="Times New Roman" w:cs="Times New Roman"/>
                      <w:color w:val="auto"/>
                      <w:sz w:val="21"/>
                      <w:szCs w:val="21"/>
                      <w:highlight w:val="none"/>
                    </w:rPr>
                  </w:pPr>
                </w:p>
              </w:tc>
              <w:tc>
                <w:tcPr>
                  <w:tcW w:w="1387" w:type="dxa"/>
                  <w:shd w:val="clear" w:color="auto" w:fill="auto"/>
                  <w:noWrap w:val="0"/>
                  <w:vAlign w:val="center"/>
                </w:tcPr>
                <w:p w14:paraId="3345AB54">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TP</w:t>
                  </w:r>
                </w:p>
              </w:tc>
              <w:tc>
                <w:tcPr>
                  <w:tcW w:w="1257" w:type="dxa"/>
                  <w:shd w:val="clear" w:color="auto" w:fill="auto"/>
                  <w:noWrap w:val="0"/>
                  <w:vAlign w:val="center"/>
                </w:tcPr>
                <w:p w14:paraId="7761803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3190" w:type="dxa"/>
                  <w:vMerge w:val="continue"/>
                  <w:noWrap w:val="0"/>
                  <w:vAlign w:val="center"/>
                </w:tcPr>
                <w:p w14:paraId="5E97959E">
                  <w:pPr>
                    <w:jc w:val="right"/>
                    <w:rPr>
                      <w:rFonts w:hint="default" w:ascii="Times New Roman" w:hAnsi="Times New Roman" w:cs="Times New Roman"/>
                      <w:color w:val="auto"/>
                      <w:sz w:val="21"/>
                      <w:szCs w:val="21"/>
                      <w:highlight w:val="none"/>
                    </w:rPr>
                  </w:pPr>
                </w:p>
              </w:tc>
            </w:tr>
            <w:tr w14:paraId="5CA3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05FE0F11">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241F4974">
                  <w:pPr>
                    <w:spacing w:line="300" w:lineRule="exact"/>
                    <w:jc w:val="center"/>
                    <w:rPr>
                      <w:rFonts w:hint="default" w:ascii="Times New Roman" w:hAnsi="Times New Roman" w:cs="Times New Roman"/>
                      <w:color w:val="auto"/>
                      <w:sz w:val="21"/>
                      <w:szCs w:val="21"/>
                      <w:highlight w:val="none"/>
                    </w:rPr>
                  </w:pPr>
                </w:p>
              </w:tc>
              <w:tc>
                <w:tcPr>
                  <w:tcW w:w="1387" w:type="dxa"/>
                  <w:noWrap w:val="0"/>
                  <w:vAlign w:val="center"/>
                </w:tcPr>
                <w:p w14:paraId="51FBEC76">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TN</w:t>
                  </w:r>
                </w:p>
              </w:tc>
              <w:tc>
                <w:tcPr>
                  <w:tcW w:w="1257" w:type="dxa"/>
                  <w:noWrap w:val="0"/>
                  <w:vAlign w:val="center"/>
                </w:tcPr>
                <w:p w14:paraId="5C823B7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3190" w:type="dxa"/>
                  <w:vMerge w:val="continue"/>
                  <w:noWrap w:val="0"/>
                  <w:vAlign w:val="center"/>
                </w:tcPr>
                <w:p w14:paraId="28432E22">
                  <w:pPr>
                    <w:jc w:val="right"/>
                    <w:rPr>
                      <w:rFonts w:hint="default" w:ascii="Times New Roman" w:hAnsi="Times New Roman" w:cs="Times New Roman"/>
                      <w:color w:val="auto"/>
                      <w:sz w:val="21"/>
                      <w:szCs w:val="21"/>
                      <w:highlight w:val="none"/>
                    </w:rPr>
                  </w:pPr>
                </w:p>
              </w:tc>
            </w:tr>
            <w:tr w14:paraId="2048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restart"/>
                  <w:noWrap w:val="0"/>
                  <w:vAlign w:val="center"/>
                </w:tcPr>
                <w:p w14:paraId="39F65717">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w:t>
                  </w:r>
                </w:p>
                <w:p w14:paraId="602CECE5">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w:t>
                  </w:r>
                </w:p>
              </w:tc>
              <w:tc>
                <w:tcPr>
                  <w:tcW w:w="1362" w:type="dxa"/>
                  <w:vMerge w:val="restart"/>
                  <w:noWrap w:val="0"/>
                  <w:vAlign w:val="center"/>
                </w:tcPr>
                <w:p w14:paraId="58186928">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一般工业固废</w:t>
                  </w:r>
                </w:p>
              </w:tc>
              <w:tc>
                <w:tcPr>
                  <w:tcW w:w="1387" w:type="dxa"/>
                  <w:noWrap w:val="0"/>
                  <w:vAlign w:val="center"/>
                </w:tcPr>
                <w:p w14:paraId="7683274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杂质</w:t>
                  </w:r>
                </w:p>
              </w:tc>
              <w:tc>
                <w:tcPr>
                  <w:tcW w:w="1257" w:type="dxa"/>
                  <w:noWrap w:val="0"/>
                  <w:vAlign w:val="center"/>
                </w:tcPr>
                <w:p w14:paraId="514AF64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0.68</w:t>
                  </w:r>
                </w:p>
              </w:tc>
              <w:tc>
                <w:tcPr>
                  <w:tcW w:w="3190" w:type="dxa"/>
                  <w:noWrap w:val="0"/>
                  <w:vAlign w:val="center"/>
                </w:tcPr>
                <w:p w14:paraId="44127BBE">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外售</w:t>
                  </w:r>
                  <w:r>
                    <w:rPr>
                      <w:rFonts w:hint="eastAsia" w:cs="Times New Roman"/>
                      <w:color w:val="auto"/>
                      <w:spacing w:val="8"/>
                      <w:sz w:val="21"/>
                      <w:szCs w:val="21"/>
                      <w:highlight w:val="none"/>
                      <w:lang w:val="en-US" w:eastAsia="zh-CN"/>
                    </w:rPr>
                    <w:t>给四川宝汉丰废弃资源综合利用有限公司处置</w:t>
                  </w:r>
                </w:p>
              </w:tc>
            </w:tr>
            <w:tr w14:paraId="211D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6A0A9EE6">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09905F17">
                  <w:pPr>
                    <w:spacing w:line="300" w:lineRule="exact"/>
                    <w:jc w:val="center"/>
                    <w:rPr>
                      <w:rFonts w:hint="default" w:ascii="Times New Roman" w:hAnsi="Times New Roman" w:cs="Times New Roman"/>
                      <w:color w:val="auto"/>
                      <w:sz w:val="21"/>
                      <w:szCs w:val="21"/>
                      <w:highlight w:val="none"/>
                      <w:lang w:val="en-US" w:eastAsia="zh-CN"/>
                    </w:rPr>
                  </w:pPr>
                </w:p>
              </w:tc>
              <w:tc>
                <w:tcPr>
                  <w:tcW w:w="1387" w:type="dxa"/>
                  <w:shd w:val="clear" w:color="auto" w:fill="auto"/>
                  <w:noWrap w:val="0"/>
                  <w:vAlign w:val="center"/>
                </w:tcPr>
                <w:p w14:paraId="72B7A66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皂脚</w:t>
                  </w:r>
                </w:p>
              </w:tc>
              <w:tc>
                <w:tcPr>
                  <w:tcW w:w="1257" w:type="dxa"/>
                  <w:shd w:val="clear" w:color="auto" w:fill="auto"/>
                  <w:noWrap w:val="0"/>
                  <w:vAlign w:val="center"/>
                </w:tcPr>
                <w:p w14:paraId="6403F2E8">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3860</w:t>
                  </w:r>
                </w:p>
              </w:tc>
              <w:tc>
                <w:tcPr>
                  <w:tcW w:w="3190" w:type="dxa"/>
                  <w:shd w:val="clear" w:color="auto" w:fill="auto"/>
                  <w:noWrap w:val="0"/>
                  <w:vAlign w:val="center"/>
                </w:tcPr>
                <w:p w14:paraId="70C54E0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皂脚罐</w:t>
                  </w:r>
                  <w:r>
                    <w:rPr>
                      <w:rFonts w:hint="default" w:ascii="Times New Roman" w:hAnsi="Times New Roman" w:cs="Times New Roman"/>
                      <w:color w:val="auto"/>
                      <w:spacing w:val="6"/>
                      <w:sz w:val="21"/>
                      <w:szCs w:val="21"/>
                      <w:highlight w:val="none"/>
                      <w:lang w:val="en-US" w:eastAsia="zh-CN"/>
                    </w:rPr>
                    <w:t>储存，</w:t>
                  </w:r>
                  <w:r>
                    <w:rPr>
                      <w:rFonts w:hint="eastAsia" w:cs="Times New Roman"/>
                      <w:color w:val="auto"/>
                      <w:sz w:val="21"/>
                      <w:szCs w:val="21"/>
                      <w:highlight w:val="none"/>
                      <w:lang w:val="en-US" w:eastAsia="zh-CN"/>
                    </w:rPr>
                    <w:t>外售</w:t>
                  </w:r>
                  <w:r>
                    <w:rPr>
                      <w:rFonts w:hint="eastAsia" w:cs="Times New Roman"/>
                      <w:color w:val="auto"/>
                      <w:spacing w:val="8"/>
                      <w:sz w:val="21"/>
                      <w:szCs w:val="21"/>
                      <w:highlight w:val="none"/>
                      <w:lang w:val="en-US" w:eastAsia="zh-CN"/>
                    </w:rPr>
                    <w:t>给四川宝汉丰废弃资源综合利用有限公司处置</w:t>
                  </w:r>
                </w:p>
              </w:tc>
            </w:tr>
            <w:tr w14:paraId="142D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394E403D">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1F44D189">
                  <w:pPr>
                    <w:spacing w:line="300" w:lineRule="exact"/>
                    <w:jc w:val="center"/>
                    <w:rPr>
                      <w:rFonts w:hint="default" w:ascii="Times New Roman" w:hAnsi="Times New Roman" w:cs="Times New Roman"/>
                      <w:color w:val="auto"/>
                      <w:sz w:val="21"/>
                      <w:szCs w:val="21"/>
                      <w:highlight w:val="none"/>
                      <w:lang w:val="en-US" w:eastAsia="zh-CN"/>
                    </w:rPr>
                  </w:pPr>
                </w:p>
              </w:tc>
              <w:tc>
                <w:tcPr>
                  <w:tcW w:w="1387" w:type="dxa"/>
                  <w:noWrap w:val="0"/>
                  <w:vAlign w:val="center"/>
                </w:tcPr>
                <w:p w14:paraId="436D65C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脂肪酸</w:t>
                  </w:r>
                </w:p>
              </w:tc>
              <w:tc>
                <w:tcPr>
                  <w:tcW w:w="1257" w:type="dxa"/>
                  <w:noWrap w:val="0"/>
                  <w:vAlign w:val="center"/>
                </w:tcPr>
                <w:p w14:paraId="5D4AD52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w:t>
                  </w:r>
                </w:p>
              </w:tc>
              <w:tc>
                <w:tcPr>
                  <w:tcW w:w="3190" w:type="dxa"/>
                  <w:noWrap w:val="0"/>
                  <w:vAlign w:val="center"/>
                </w:tcPr>
                <w:p w14:paraId="3A1032BE">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脂肪酸罐</w:t>
                  </w:r>
                  <w:r>
                    <w:rPr>
                      <w:rFonts w:hint="default" w:ascii="Times New Roman" w:hAnsi="Times New Roman" w:cs="Times New Roman"/>
                      <w:color w:val="auto"/>
                      <w:spacing w:val="6"/>
                      <w:sz w:val="21"/>
                      <w:szCs w:val="21"/>
                      <w:highlight w:val="none"/>
                      <w:lang w:val="en-US" w:eastAsia="zh-CN"/>
                    </w:rPr>
                    <w:t>储存，</w:t>
                  </w:r>
                  <w:r>
                    <w:rPr>
                      <w:rFonts w:hint="eastAsia" w:cs="Times New Roman"/>
                      <w:color w:val="auto"/>
                      <w:sz w:val="21"/>
                      <w:szCs w:val="21"/>
                      <w:highlight w:val="none"/>
                      <w:lang w:val="en-US" w:eastAsia="zh-CN"/>
                    </w:rPr>
                    <w:t>外售</w:t>
                  </w:r>
                  <w:r>
                    <w:rPr>
                      <w:rFonts w:hint="eastAsia" w:cs="Times New Roman"/>
                      <w:color w:val="auto"/>
                      <w:spacing w:val="8"/>
                      <w:sz w:val="21"/>
                      <w:szCs w:val="21"/>
                      <w:highlight w:val="none"/>
                      <w:lang w:val="en-US" w:eastAsia="zh-CN"/>
                    </w:rPr>
                    <w:t>给四川宝汉丰废弃资源综合利用有限公司处置</w:t>
                  </w:r>
                </w:p>
              </w:tc>
            </w:tr>
            <w:tr w14:paraId="4695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43E1AF68">
                  <w:pPr>
                    <w:spacing w:line="300" w:lineRule="exact"/>
                    <w:jc w:val="center"/>
                    <w:rPr>
                      <w:rFonts w:hint="default" w:ascii="Times New Roman" w:hAnsi="Times New Roman" w:cs="Times New Roman"/>
                      <w:color w:val="auto"/>
                      <w:sz w:val="21"/>
                      <w:szCs w:val="21"/>
                      <w:highlight w:val="none"/>
                    </w:rPr>
                  </w:pPr>
                </w:p>
              </w:tc>
              <w:tc>
                <w:tcPr>
                  <w:tcW w:w="1362" w:type="dxa"/>
                  <w:vMerge w:val="continue"/>
                  <w:noWrap w:val="0"/>
                  <w:vAlign w:val="center"/>
                </w:tcPr>
                <w:p w14:paraId="70FF0EE5">
                  <w:pPr>
                    <w:spacing w:line="300" w:lineRule="exact"/>
                    <w:jc w:val="center"/>
                    <w:rPr>
                      <w:rFonts w:hint="default" w:ascii="Times New Roman" w:hAnsi="Times New Roman" w:cs="Times New Roman"/>
                      <w:color w:val="auto"/>
                      <w:sz w:val="21"/>
                      <w:szCs w:val="21"/>
                      <w:highlight w:val="none"/>
                    </w:rPr>
                  </w:pPr>
                </w:p>
              </w:tc>
              <w:tc>
                <w:tcPr>
                  <w:tcW w:w="1387" w:type="dxa"/>
                  <w:noWrap w:val="0"/>
                  <w:vAlign w:val="center"/>
                </w:tcPr>
                <w:p w14:paraId="306FF18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kern w:val="2"/>
                      <w:sz w:val="21"/>
                      <w:szCs w:val="21"/>
                      <w:highlight w:val="none"/>
                      <w:lang w:val="en-US" w:eastAsia="zh-CN" w:bidi="ar-SA"/>
                    </w:rPr>
                    <w:t>废白土</w:t>
                  </w:r>
                </w:p>
              </w:tc>
              <w:tc>
                <w:tcPr>
                  <w:tcW w:w="1257" w:type="dxa"/>
                  <w:noWrap w:val="0"/>
                  <w:vAlign w:val="center"/>
                </w:tcPr>
                <w:p w14:paraId="57D4D11D">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373</w:t>
                  </w:r>
                </w:p>
              </w:tc>
              <w:tc>
                <w:tcPr>
                  <w:tcW w:w="3190" w:type="dxa"/>
                  <w:noWrap w:val="0"/>
                  <w:vAlign w:val="center"/>
                </w:tcPr>
                <w:p w14:paraId="69D3854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废白土</w:t>
                  </w:r>
                  <w:r>
                    <w:rPr>
                      <w:rFonts w:hint="default" w:ascii="Times New Roman" w:hAnsi="Times New Roman" w:eastAsia="宋体" w:cs="Times New Roman"/>
                      <w:color w:val="auto"/>
                      <w:kern w:val="2"/>
                      <w:sz w:val="21"/>
                      <w:szCs w:val="21"/>
                      <w:highlight w:val="none"/>
                      <w:lang w:val="en-US" w:eastAsia="zh-CN" w:bidi="ar-SA"/>
                    </w:rPr>
                    <w:t>暂存间</w:t>
                  </w:r>
                  <w:r>
                    <w:rPr>
                      <w:rFonts w:hint="default" w:ascii="Times New Roman" w:hAnsi="Times New Roman" w:cs="Times New Roman"/>
                      <w:color w:val="auto"/>
                      <w:spacing w:val="6"/>
                      <w:sz w:val="21"/>
                      <w:szCs w:val="21"/>
                      <w:highlight w:val="none"/>
                      <w:lang w:val="en-US" w:eastAsia="zh-CN"/>
                    </w:rPr>
                    <w:t>，</w:t>
                  </w:r>
                  <w:r>
                    <w:rPr>
                      <w:rFonts w:hint="eastAsia" w:cs="Times New Roman"/>
                      <w:color w:val="auto"/>
                      <w:sz w:val="21"/>
                      <w:szCs w:val="21"/>
                      <w:highlight w:val="none"/>
                      <w:lang w:val="en-US" w:eastAsia="zh-CN"/>
                    </w:rPr>
                    <w:t>外售</w:t>
                  </w:r>
                  <w:r>
                    <w:rPr>
                      <w:rFonts w:hint="eastAsia" w:cs="Times New Roman"/>
                      <w:color w:val="auto"/>
                      <w:spacing w:val="8"/>
                      <w:sz w:val="21"/>
                      <w:szCs w:val="21"/>
                      <w:highlight w:val="none"/>
                      <w:lang w:val="en-US" w:eastAsia="zh-CN"/>
                    </w:rPr>
                    <w:t>给四川宝汉丰废弃资源综合利用有限公司处置</w:t>
                  </w:r>
                </w:p>
              </w:tc>
            </w:tr>
            <w:tr w14:paraId="243E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4A91CBE1">
                  <w:pPr>
                    <w:spacing w:line="300" w:lineRule="exact"/>
                    <w:jc w:val="center"/>
                    <w:rPr>
                      <w:rFonts w:hint="default" w:ascii="Times New Roman" w:hAnsi="Times New Roman" w:cs="Times New Roman"/>
                      <w:color w:val="auto"/>
                      <w:sz w:val="21"/>
                      <w:szCs w:val="21"/>
                      <w:highlight w:val="none"/>
                    </w:rPr>
                  </w:pPr>
                </w:p>
              </w:tc>
              <w:tc>
                <w:tcPr>
                  <w:tcW w:w="1362" w:type="dxa"/>
                  <w:noWrap w:val="0"/>
                  <w:vAlign w:val="center"/>
                </w:tcPr>
                <w:p w14:paraId="4673AD53">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w:t>
                  </w:r>
                </w:p>
              </w:tc>
              <w:tc>
                <w:tcPr>
                  <w:tcW w:w="1387" w:type="dxa"/>
                  <w:noWrap w:val="0"/>
                  <w:vAlign w:val="center"/>
                </w:tcPr>
                <w:p w14:paraId="1AB8B82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实验废液</w:t>
                  </w:r>
                </w:p>
              </w:tc>
              <w:tc>
                <w:tcPr>
                  <w:tcW w:w="1257" w:type="dxa"/>
                  <w:noWrap w:val="0"/>
                  <w:vAlign w:val="center"/>
                </w:tcPr>
                <w:p w14:paraId="3859BD4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1.5</w:t>
                  </w:r>
                </w:p>
              </w:tc>
              <w:tc>
                <w:tcPr>
                  <w:tcW w:w="3190" w:type="dxa"/>
                  <w:noWrap w:val="0"/>
                  <w:vAlign w:val="center"/>
                </w:tcPr>
                <w:p w14:paraId="0FDBDEB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危险废物贮存间暂存，定期交</w:t>
                  </w:r>
                  <w:r>
                    <w:rPr>
                      <w:rFonts w:hint="default" w:cs="Times New Roman"/>
                      <w:color w:val="auto"/>
                      <w:sz w:val="21"/>
                      <w:szCs w:val="21"/>
                      <w:highlight w:val="none"/>
                      <w:lang w:val="en-US" w:eastAsia="zh-CN"/>
                    </w:rPr>
                    <w:t>重庆融聚瑞环保科技有限公司</w:t>
                  </w:r>
                  <w:r>
                    <w:rPr>
                      <w:rFonts w:hint="default" w:ascii="Times New Roman" w:hAnsi="Times New Roman" w:cs="Times New Roman"/>
                      <w:color w:val="auto"/>
                      <w:sz w:val="21"/>
                      <w:szCs w:val="21"/>
                      <w:highlight w:val="none"/>
                      <w:lang w:val="en-US" w:eastAsia="zh-CN"/>
                    </w:rPr>
                    <w:t>处置</w:t>
                  </w:r>
                </w:p>
              </w:tc>
            </w:tr>
            <w:tr w14:paraId="34FD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035" w:type="dxa"/>
                  <w:vMerge w:val="continue"/>
                  <w:noWrap w:val="0"/>
                  <w:vAlign w:val="center"/>
                </w:tcPr>
                <w:p w14:paraId="6B7280C4">
                  <w:pPr>
                    <w:spacing w:line="300" w:lineRule="exact"/>
                    <w:jc w:val="center"/>
                    <w:rPr>
                      <w:rFonts w:hint="default" w:ascii="Times New Roman" w:hAnsi="Times New Roman" w:cs="Times New Roman"/>
                      <w:color w:val="auto"/>
                      <w:sz w:val="21"/>
                      <w:szCs w:val="21"/>
                      <w:highlight w:val="none"/>
                    </w:rPr>
                  </w:pPr>
                </w:p>
              </w:tc>
              <w:tc>
                <w:tcPr>
                  <w:tcW w:w="1362" w:type="dxa"/>
                  <w:noWrap w:val="0"/>
                  <w:vAlign w:val="center"/>
                </w:tcPr>
                <w:p w14:paraId="2B9E8D9B">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生活垃圾</w:t>
                  </w:r>
                </w:p>
              </w:tc>
              <w:tc>
                <w:tcPr>
                  <w:tcW w:w="1387" w:type="dxa"/>
                  <w:noWrap w:val="0"/>
                  <w:vAlign w:val="center"/>
                </w:tcPr>
                <w:p w14:paraId="216D2DC2">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生活垃圾</w:t>
                  </w:r>
                </w:p>
              </w:tc>
              <w:tc>
                <w:tcPr>
                  <w:tcW w:w="1257" w:type="dxa"/>
                  <w:noWrap w:val="0"/>
                  <w:vAlign w:val="center"/>
                </w:tcPr>
                <w:p w14:paraId="451B030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3190" w:type="dxa"/>
                  <w:noWrap w:val="0"/>
                  <w:vAlign w:val="center"/>
                </w:tcPr>
                <w:p w14:paraId="7B4A4E4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交环卫部门统一清运</w:t>
                  </w:r>
                </w:p>
              </w:tc>
            </w:tr>
          </w:tbl>
          <w:p w14:paraId="20CDE084">
            <w:pPr>
              <w:pStyle w:val="16"/>
              <w:keepNext w:val="0"/>
              <w:keepLines w:val="0"/>
              <w:pageBreakBefore w:val="0"/>
              <w:kinsoku/>
              <w:wordWrap/>
              <w:overflowPunct w:val="0"/>
              <w:topLinePunct/>
              <w:autoSpaceDE/>
              <w:autoSpaceDN/>
              <w:bidi w:val="0"/>
              <w:adjustRightInd/>
              <w:snapToGrid/>
              <w:spacing w:before="0" w:beforeAutospacing="0" w:after="0" w:afterAutospacing="0" w:line="360" w:lineRule="auto"/>
              <w:ind w:firstLine="482" w:firstLineChars="200"/>
              <w:jc w:val="both"/>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2.5.</w:t>
            </w:r>
            <w:r>
              <w:rPr>
                <w:rFonts w:hint="default" w:ascii="Times New Roman" w:hAnsi="Times New Roman"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现有项目存在的环境问题及整改措施</w:t>
            </w:r>
          </w:p>
          <w:p w14:paraId="75250224">
            <w:pPr>
              <w:keepNext w:val="0"/>
              <w:keepLines w:val="0"/>
              <w:pageBreakBefore w:val="0"/>
              <w:suppressLineNumbers w:val="0"/>
              <w:kinsoku/>
              <w:wordWrap/>
              <w:autoSpaceDE w:val="0"/>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现有项目环保手续完善，环保设施落实到位，经咨询生态环境主管部门，现有项目未接到过环保投诉，</w:t>
            </w:r>
            <w:r>
              <w:rPr>
                <w:rFonts w:hint="eastAsia" w:ascii="Times New Roman" w:hAnsi="Times New Roman" w:cs="Times New Roman"/>
                <w:color w:val="auto"/>
                <w:sz w:val="24"/>
                <w:szCs w:val="24"/>
                <w:highlight w:val="none"/>
                <w:lang w:val="en-US" w:eastAsia="zh-CN"/>
              </w:rPr>
              <w:t>现有风险防范措施能满足环境风险防范要求，</w:t>
            </w:r>
            <w:r>
              <w:rPr>
                <w:rFonts w:hint="default" w:ascii="Times New Roman" w:hAnsi="Times New Roman" w:cs="Times New Roman"/>
                <w:color w:val="auto"/>
                <w:sz w:val="24"/>
                <w:szCs w:val="24"/>
                <w:highlight w:val="none"/>
                <w:lang w:val="en-US" w:eastAsia="zh-CN"/>
              </w:rPr>
              <w:t>未发生过环境风险事故。</w:t>
            </w:r>
          </w:p>
          <w:p w14:paraId="269F5B2D">
            <w:pPr>
              <w:keepNext w:val="0"/>
              <w:keepLines w:val="0"/>
              <w:pageBreakBefore w:val="0"/>
              <w:suppressLineNumbers w:val="0"/>
              <w:kinsoku/>
              <w:wordWrap/>
              <w:autoSpaceDE w:val="0"/>
              <w:autoSpaceDN/>
              <w:bidi w:val="0"/>
              <w:adjustRightInd w:val="0"/>
              <w:snapToGrid w:val="0"/>
              <w:spacing w:beforeAutospacing="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szCs w:val="24"/>
                <w:highlight w:val="none"/>
                <w:lang w:val="en-US" w:eastAsia="zh-CN"/>
              </w:rPr>
            </w:pPr>
            <w:r>
              <w:rPr>
                <w:rFonts w:hint="eastAsia" w:cs="Times New Roman"/>
                <w:color w:val="auto"/>
                <w:sz w:val="24"/>
                <w:szCs w:val="24"/>
                <w:highlight w:val="none"/>
                <w:lang w:val="en-US" w:eastAsia="zh-CN"/>
              </w:rPr>
              <w:t>根据</w:t>
            </w:r>
            <w:r>
              <w:rPr>
                <w:rFonts w:hint="default" w:ascii="Times New Roman" w:hAnsi="Times New Roman" w:eastAsia="宋体" w:cs="Times New Roman"/>
                <w:bCs/>
                <w:snapToGrid w:val="0"/>
                <w:color w:val="auto"/>
                <w:kern w:val="0"/>
                <w:sz w:val="24"/>
                <w:szCs w:val="24"/>
                <w:highlight w:val="none"/>
                <w:lang w:val="en-US" w:eastAsia="zh-CN"/>
              </w:rPr>
              <w:t>《</w:t>
            </w:r>
            <w:r>
              <w:rPr>
                <w:rFonts w:hint="eastAsia" w:cs="Times New Roman"/>
                <w:bCs/>
                <w:snapToGrid w:val="0"/>
                <w:color w:val="auto"/>
                <w:kern w:val="0"/>
                <w:sz w:val="24"/>
                <w:szCs w:val="24"/>
                <w:highlight w:val="none"/>
                <w:lang w:val="en-US" w:eastAsia="zh-CN"/>
              </w:rPr>
              <w:t>食品加工制造业水污染物排放标准</w:t>
            </w:r>
            <w:r>
              <w:rPr>
                <w:rFonts w:hint="default" w:ascii="Times New Roman" w:hAnsi="Times New Roman" w:eastAsia="宋体" w:cs="Times New Roman"/>
                <w:bCs/>
                <w:snapToGrid w:val="0"/>
                <w:color w:val="auto"/>
                <w:kern w:val="0"/>
                <w:sz w:val="24"/>
                <w:szCs w:val="24"/>
                <w:highlight w:val="none"/>
                <w:lang w:val="en-US" w:eastAsia="zh-CN"/>
              </w:rPr>
              <w:t>》（GB</w:t>
            </w:r>
            <w:r>
              <w:rPr>
                <w:rFonts w:hint="eastAsia" w:cs="Times New Roman"/>
                <w:bCs/>
                <w:snapToGrid w:val="0"/>
                <w:color w:val="auto"/>
                <w:kern w:val="0"/>
                <w:sz w:val="24"/>
                <w:szCs w:val="24"/>
                <w:highlight w:val="none"/>
                <w:lang w:val="en-US" w:eastAsia="zh-CN"/>
              </w:rPr>
              <w:t>46817</w:t>
            </w:r>
            <w:r>
              <w:rPr>
                <w:rFonts w:hint="default" w:ascii="Times New Roman" w:hAnsi="Times New Roman" w:eastAsia="宋体" w:cs="Times New Roman"/>
                <w:bCs/>
                <w:snapToGrid w:val="0"/>
                <w:color w:val="auto"/>
                <w:kern w:val="0"/>
                <w:sz w:val="24"/>
                <w:szCs w:val="24"/>
                <w:highlight w:val="none"/>
                <w:lang w:val="en-US" w:eastAsia="zh-CN"/>
              </w:rPr>
              <w:t>-</w:t>
            </w:r>
            <w:r>
              <w:rPr>
                <w:rFonts w:hint="eastAsia" w:cs="Times New Roman"/>
                <w:bCs/>
                <w:snapToGrid w:val="0"/>
                <w:color w:val="auto"/>
                <w:kern w:val="0"/>
                <w:sz w:val="24"/>
                <w:szCs w:val="24"/>
                <w:highlight w:val="none"/>
                <w:lang w:val="en-US" w:eastAsia="zh-CN"/>
              </w:rPr>
              <w:t>2025</w:t>
            </w:r>
            <w:r>
              <w:rPr>
                <w:rFonts w:hint="default" w:ascii="Times New Roman" w:hAnsi="Times New Roman" w:eastAsia="宋体" w:cs="Times New Roman"/>
                <w:bCs/>
                <w:snapToGrid w:val="0"/>
                <w:color w:val="auto"/>
                <w:kern w:val="0"/>
                <w:sz w:val="24"/>
                <w:szCs w:val="24"/>
                <w:highlight w:val="none"/>
                <w:lang w:val="en-US" w:eastAsia="zh-CN"/>
              </w:rPr>
              <w:t>）</w:t>
            </w:r>
            <w:r>
              <w:rPr>
                <w:rFonts w:hint="eastAsia" w:ascii="Times New Roman" w:hAnsi="Times New Roman" w:eastAsia="宋体" w:cs="Times New Roman"/>
                <w:bCs/>
                <w:snapToGrid w:val="0"/>
                <w:color w:val="auto"/>
                <w:kern w:val="0"/>
                <w:sz w:val="24"/>
                <w:szCs w:val="24"/>
                <w:highlight w:val="none"/>
                <w:lang w:val="en-US" w:eastAsia="zh-CN"/>
              </w:rPr>
              <w:t>要求，现有项目</w:t>
            </w:r>
            <w:r>
              <w:rPr>
                <w:rFonts w:hint="eastAsia" w:cs="Times New Roman"/>
                <w:color w:val="auto"/>
                <w:sz w:val="24"/>
                <w:highlight w:val="none"/>
                <w:lang w:val="en-US" w:eastAsia="zh-CN"/>
              </w:rPr>
              <w:t>现有冷却排水、锅炉排水和真空泵排水</w:t>
            </w:r>
            <w:r>
              <w:rPr>
                <w:rFonts w:hint="eastAsia" w:ascii="Times New Roman" w:hAnsi="Times New Roman" w:eastAsia="宋体" w:cs="Times New Roman"/>
                <w:bCs/>
                <w:snapToGrid w:val="0"/>
                <w:color w:val="auto"/>
                <w:kern w:val="0"/>
                <w:sz w:val="24"/>
                <w:szCs w:val="24"/>
                <w:highlight w:val="none"/>
                <w:lang w:val="en-US" w:eastAsia="zh-CN"/>
              </w:rPr>
              <w:t>需纳入排水量进行考核，故该部分排水需整改接入污水处理站进行处理。</w:t>
            </w:r>
          </w:p>
          <w:p w14:paraId="1EF24BAC">
            <w:pPr>
              <w:pStyle w:val="2"/>
              <w:rPr>
                <w:rFonts w:hint="eastAsia" w:ascii="Times New Roman" w:hAnsi="Times New Roman" w:eastAsia="宋体" w:cs="Times New Roman"/>
                <w:bCs/>
                <w:snapToGrid w:val="0"/>
                <w:color w:val="auto"/>
                <w:kern w:val="0"/>
                <w:sz w:val="24"/>
                <w:szCs w:val="24"/>
                <w:highlight w:val="none"/>
                <w:lang w:val="en-US" w:eastAsia="zh-CN"/>
              </w:rPr>
            </w:pPr>
          </w:p>
          <w:p w14:paraId="273590ED">
            <w:pPr>
              <w:pStyle w:val="3"/>
              <w:rPr>
                <w:rFonts w:hint="eastAsia" w:ascii="Times New Roman" w:hAnsi="Times New Roman" w:eastAsia="宋体" w:cs="Times New Roman"/>
                <w:bCs/>
                <w:snapToGrid w:val="0"/>
                <w:color w:val="auto"/>
                <w:kern w:val="0"/>
                <w:sz w:val="24"/>
                <w:szCs w:val="24"/>
                <w:highlight w:val="none"/>
                <w:lang w:val="en-US" w:eastAsia="zh-CN"/>
              </w:rPr>
            </w:pPr>
          </w:p>
          <w:p w14:paraId="5778C250">
            <w:pPr>
              <w:rPr>
                <w:rFonts w:hint="eastAsia" w:ascii="Times New Roman" w:hAnsi="Times New Roman" w:eastAsia="宋体" w:cs="Times New Roman"/>
                <w:bCs/>
                <w:snapToGrid w:val="0"/>
                <w:color w:val="auto"/>
                <w:kern w:val="0"/>
                <w:sz w:val="24"/>
                <w:szCs w:val="24"/>
                <w:highlight w:val="none"/>
                <w:lang w:val="en-US" w:eastAsia="zh-CN"/>
              </w:rPr>
            </w:pPr>
          </w:p>
          <w:p w14:paraId="28A4ADC5">
            <w:pPr>
              <w:pStyle w:val="2"/>
              <w:rPr>
                <w:rFonts w:hint="eastAsia" w:ascii="Times New Roman" w:hAnsi="Times New Roman" w:eastAsia="宋体" w:cs="Times New Roman"/>
                <w:bCs/>
                <w:snapToGrid w:val="0"/>
                <w:color w:val="auto"/>
                <w:kern w:val="0"/>
                <w:sz w:val="24"/>
                <w:szCs w:val="24"/>
                <w:highlight w:val="none"/>
                <w:lang w:val="en-US" w:eastAsia="zh-CN"/>
              </w:rPr>
            </w:pPr>
          </w:p>
          <w:p w14:paraId="67204053">
            <w:pPr>
              <w:pStyle w:val="3"/>
              <w:rPr>
                <w:rFonts w:hint="eastAsia" w:ascii="Times New Roman" w:hAnsi="Times New Roman" w:eastAsia="宋体" w:cs="Times New Roman"/>
                <w:bCs/>
                <w:snapToGrid w:val="0"/>
                <w:color w:val="auto"/>
                <w:kern w:val="0"/>
                <w:sz w:val="24"/>
                <w:szCs w:val="24"/>
                <w:highlight w:val="none"/>
                <w:lang w:val="en-US" w:eastAsia="zh-CN"/>
              </w:rPr>
            </w:pPr>
          </w:p>
          <w:p w14:paraId="4AEEB31C">
            <w:pPr>
              <w:rPr>
                <w:rFonts w:hint="eastAsia" w:ascii="Times New Roman" w:hAnsi="Times New Roman" w:eastAsia="宋体" w:cs="Times New Roman"/>
                <w:bCs/>
                <w:snapToGrid w:val="0"/>
                <w:color w:val="auto"/>
                <w:kern w:val="0"/>
                <w:sz w:val="24"/>
                <w:szCs w:val="24"/>
                <w:highlight w:val="none"/>
                <w:lang w:val="en-US" w:eastAsia="zh-CN"/>
              </w:rPr>
            </w:pPr>
          </w:p>
          <w:p w14:paraId="6A39BA2C">
            <w:pPr>
              <w:pStyle w:val="2"/>
              <w:rPr>
                <w:rFonts w:hint="eastAsia" w:ascii="Times New Roman" w:hAnsi="Times New Roman" w:eastAsia="宋体" w:cs="Times New Roman"/>
                <w:bCs/>
                <w:snapToGrid w:val="0"/>
                <w:color w:val="auto"/>
                <w:kern w:val="0"/>
                <w:sz w:val="24"/>
                <w:szCs w:val="24"/>
                <w:highlight w:val="none"/>
                <w:lang w:val="en-US" w:eastAsia="zh-CN"/>
              </w:rPr>
            </w:pPr>
          </w:p>
          <w:p w14:paraId="15761EA8">
            <w:pPr>
              <w:pStyle w:val="3"/>
              <w:rPr>
                <w:rFonts w:hint="eastAsia" w:ascii="Times New Roman" w:hAnsi="Times New Roman" w:eastAsia="宋体" w:cs="Times New Roman"/>
                <w:bCs/>
                <w:snapToGrid w:val="0"/>
                <w:color w:val="auto"/>
                <w:kern w:val="0"/>
                <w:sz w:val="24"/>
                <w:szCs w:val="24"/>
                <w:highlight w:val="none"/>
                <w:lang w:val="en-US" w:eastAsia="zh-CN"/>
              </w:rPr>
            </w:pPr>
          </w:p>
          <w:p w14:paraId="38D555FF">
            <w:pPr>
              <w:rPr>
                <w:rFonts w:hint="eastAsia" w:ascii="Times New Roman" w:hAnsi="Times New Roman" w:eastAsia="宋体" w:cs="Times New Roman"/>
                <w:bCs/>
                <w:snapToGrid w:val="0"/>
                <w:color w:val="auto"/>
                <w:kern w:val="0"/>
                <w:sz w:val="24"/>
                <w:szCs w:val="24"/>
                <w:highlight w:val="none"/>
                <w:lang w:val="en-US" w:eastAsia="zh-CN"/>
              </w:rPr>
            </w:pPr>
          </w:p>
          <w:p w14:paraId="1C77B7A3">
            <w:pPr>
              <w:pStyle w:val="2"/>
              <w:rPr>
                <w:rFonts w:hint="eastAsia" w:ascii="Times New Roman" w:hAnsi="Times New Roman" w:eastAsia="宋体" w:cs="Times New Roman"/>
                <w:bCs/>
                <w:snapToGrid w:val="0"/>
                <w:color w:val="auto"/>
                <w:kern w:val="0"/>
                <w:sz w:val="24"/>
                <w:szCs w:val="24"/>
                <w:highlight w:val="none"/>
                <w:lang w:val="en-US" w:eastAsia="zh-CN"/>
              </w:rPr>
            </w:pPr>
          </w:p>
          <w:p w14:paraId="4809CDCF">
            <w:pPr>
              <w:pStyle w:val="3"/>
              <w:rPr>
                <w:rFonts w:hint="eastAsia" w:ascii="Times New Roman" w:hAnsi="Times New Roman" w:eastAsia="宋体" w:cs="Times New Roman"/>
                <w:bCs/>
                <w:snapToGrid w:val="0"/>
                <w:color w:val="auto"/>
                <w:kern w:val="0"/>
                <w:sz w:val="24"/>
                <w:szCs w:val="24"/>
                <w:highlight w:val="none"/>
                <w:lang w:val="en-US" w:eastAsia="zh-CN"/>
              </w:rPr>
            </w:pPr>
          </w:p>
          <w:p w14:paraId="2A23ACC4">
            <w:pPr>
              <w:rPr>
                <w:rFonts w:hint="eastAsia" w:ascii="Times New Roman" w:hAnsi="Times New Roman" w:eastAsia="宋体" w:cs="Times New Roman"/>
                <w:bCs/>
                <w:snapToGrid w:val="0"/>
                <w:color w:val="auto"/>
                <w:kern w:val="0"/>
                <w:sz w:val="24"/>
                <w:szCs w:val="24"/>
                <w:highlight w:val="none"/>
                <w:lang w:val="en-US" w:eastAsia="zh-CN"/>
              </w:rPr>
            </w:pPr>
          </w:p>
          <w:p w14:paraId="03D26E74">
            <w:pPr>
              <w:pStyle w:val="2"/>
              <w:rPr>
                <w:rFonts w:hint="eastAsia" w:ascii="Times New Roman" w:hAnsi="Times New Roman" w:eastAsia="宋体" w:cs="Times New Roman"/>
                <w:bCs/>
                <w:snapToGrid w:val="0"/>
                <w:color w:val="auto"/>
                <w:kern w:val="0"/>
                <w:sz w:val="24"/>
                <w:szCs w:val="24"/>
                <w:highlight w:val="none"/>
                <w:lang w:val="en-US" w:eastAsia="zh-CN"/>
              </w:rPr>
            </w:pPr>
          </w:p>
          <w:p w14:paraId="5B118250">
            <w:pPr>
              <w:pStyle w:val="3"/>
              <w:rPr>
                <w:rFonts w:hint="eastAsia" w:ascii="Times New Roman" w:hAnsi="Times New Roman" w:eastAsia="宋体" w:cs="Times New Roman"/>
                <w:bCs/>
                <w:snapToGrid w:val="0"/>
                <w:color w:val="auto"/>
                <w:kern w:val="0"/>
                <w:sz w:val="24"/>
                <w:szCs w:val="24"/>
                <w:highlight w:val="none"/>
                <w:lang w:val="en-US" w:eastAsia="zh-CN"/>
              </w:rPr>
            </w:pPr>
          </w:p>
          <w:p w14:paraId="55A865EC">
            <w:pPr>
              <w:rPr>
                <w:rFonts w:hint="default"/>
                <w:lang w:val="en-US" w:eastAsia="zh-CN"/>
              </w:rPr>
            </w:pPr>
          </w:p>
        </w:tc>
      </w:tr>
    </w:tbl>
    <w:p w14:paraId="2DD99601">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rPr>
      </w:pPr>
    </w:p>
    <w:p w14:paraId="0E5BC302">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rPr>
      </w:pPr>
    </w:p>
    <w:p w14:paraId="700AD326">
      <w:pPr>
        <w:pStyle w:val="16"/>
        <w:pageBreakBefore w:val="0"/>
        <w:kinsoku/>
        <w:wordWrap/>
        <w:overflowPunct w:val="0"/>
        <w:topLinePunct/>
        <w:bidi w:val="0"/>
        <w:spacing w:before="120" w:beforeLines="50" w:beforeAutospacing="0" w:after="120" w:afterLines="50" w:afterAutospacing="0"/>
        <w:jc w:val="center"/>
        <w:outlineLvl w:val="9"/>
        <w:rPr>
          <w:rFonts w:hint="default" w:ascii="Times New Roman" w:hAnsi="Times New Roman" w:eastAsia="宋体" w:cs="Times New Roman"/>
          <w:snapToGrid w:val="0"/>
          <w:color w:val="auto"/>
          <w:sz w:val="30"/>
          <w:szCs w:val="30"/>
          <w:highlight w:val="none"/>
        </w:rPr>
        <w:sectPr>
          <w:pgSz w:w="11907" w:h="16840"/>
          <w:pgMar w:top="1701" w:right="1531" w:bottom="2127" w:left="1531" w:header="851" w:footer="1814" w:gutter="0"/>
          <w:pgBorders>
            <w:top w:val="none" w:sz="0" w:space="0"/>
            <w:left w:val="none" w:sz="0" w:space="0"/>
            <w:bottom w:val="none" w:sz="0" w:space="0"/>
            <w:right w:val="none" w:sz="0" w:space="0"/>
          </w:pgBorders>
          <w:pgNumType w:fmt="decimal"/>
          <w:cols w:space="720" w:num="1"/>
          <w:docGrid w:linePitch="312" w:charSpace="0"/>
        </w:sectPr>
      </w:pPr>
    </w:p>
    <w:p w14:paraId="45E6D02D">
      <w:pPr>
        <w:pStyle w:val="16"/>
        <w:pageBreakBefore w:val="0"/>
        <w:kinsoku/>
        <w:wordWrap/>
        <w:overflowPunct w:val="0"/>
        <w:topLinePunct/>
        <w:bidi w:val="0"/>
        <w:spacing w:before="120" w:beforeLines="50" w:beforeAutospacing="0" w:after="120" w:afterLines="50" w:afterAutospacing="0"/>
        <w:jc w:val="center"/>
        <w:outlineLvl w:val="0"/>
        <w:rPr>
          <w:rFonts w:hint="default" w:ascii="Times New Roman" w:hAnsi="Times New Roman" w:eastAsia="宋体" w:cs="Times New Roman"/>
          <w:b/>
          <w:bCs/>
          <w:snapToGrid w:val="0"/>
          <w:color w:val="auto"/>
          <w:sz w:val="30"/>
          <w:szCs w:val="30"/>
          <w:highlight w:val="none"/>
        </w:rPr>
      </w:pPr>
      <w:bookmarkStart w:id="4" w:name="_Toc7969"/>
      <w:r>
        <w:rPr>
          <w:rFonts w:hint="default" w:ascii="Times New Roman" w:hAnsi="Times New Roman" w:eastAsia="宋体" w:cs="Times New Roman"/>
          <w:b/>
          <w:bCs/>
          <w:snapToGrid w:val="0"/>
          <w:color w:val="auto"/>
          <w:sz w:val="30"/>
          <w:szCs w:val="30"/>
          <w:highlight w:val="none"/>
        </w:rPr>
        <w:t>三、区域环境质量现状、环境保护目标及评价标准</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8222"/>
      </w:tblGrid>
      <w:tr w14:paraId="3F2F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5" w:hRule="atLeast"/>
        </w:trPr>
        <w:tc>
          <w:tcPr>
            <w:tcW w:w="839" w:type="dxa"/>
            <w:vAlign w:val="center"/>
          </w:tcPr>
          <w:p w14:paraId="0906FFE1">
            <w:pPr>
              <w:jc w:val="center"/>
              <w:rPr>
                <w:rFonts w:hint="default" w:ascii="Times New Roman" w:hAnsi="Times New Roman" w:cs="Times New Roman"/>
                <w:color w:val="auto"/>
                <w:highlight w:val="none"/>
                <w:vertAlign w:val="baseline"/>
              </w:rPr>
            </w:pPr>
            <w:r>
              <w:rPr>
                <w:rFonts w:hint="default" w:ascii="Times New Roman" w:hAnsi="Times New Roman" w:eastAsia="宋体" w:cs="Times New Roman"/>
                <w:color w:val="auto"/>
                <w:kern w:val="0"/>
                <w:sz w:val="24"/>
                <w:szCs w:val="24"/>
                <w:highlight w:val="none"/>
              </w:rPr>
              <w:t>区域环境质量现状</w:t>
            </w:r>
          </w:p>
        </w:tc>
        <w:tc>
          <w:tcPr>
            <w:tcW w:w="8222" w:type="dxa"/>
          </w:tcPr>
          <w:p w14:paraId="53FAFC3E">
            <w:pPr>
              <w:pStyle w:val="3"/>
              <w:keepNext w:val="0"/>
              <w:keepLines w:val="0"/>
              <w:pageBreakBefore w:val="0"/>
              <w:widowControl w:val="0"/>
              <w:kinsoku/>
              <w:wordWrap/>
              <w:overflowPunct w:val="0"/>
              <w:topLinePunct/>
              <w:autoSpaceDE/>
              <w:autoSpaceDN/>
              <w:bidi w:val="0"/>
              <w:adjustRightInd w:val="0"/>
              <w:snapToGrid w:val="0"/>
              <w:spacing w:before="0" w:after="0" w:line="460" w:lineRule="exact"/>
              <w:ind w:left="0" w:leftChars="0" w:right="0" w:firstLine="0" w:firstLineChars="0"/>
              <w:jc w:val="both"/>
              <w:textAlignment w:val="auto"/>
              <w:rPr>
                <w:rFonts w:hint="default" w:ascii="Times New Roman" w:hAnsi="Times New Roman" w:eastAsia="宋体" w:cs="Times New Roman"/>
                <w:b/>
                <w:bCs/>
                <w:color w:val="auto"/>
                <w:sz w:val="26"/>
                <w:szCs w:val="26"/>
                <w:highlight w:val="none"/>
                <w:lang w:val="en-US" w:eastAsia="zh-CN"/>
              </w:rPr>
            </w:pPr>
            <w:r>
              <w:rPr>
                <w:rFonts w:hint="default" w:ascii="Times New Roman" w:hAnsi="Times New Roman" w:eastAsia="宋体" w:cs="Times New Roman"/>
                <w:b/>
                <w:bCs/>
                <w:color w:val="auto"/>
                <w:sz w:val="26"/>
                <w:szCs w:val="26"/>
                <w:highlight w:val="none"/>
                <w:lang w:val="en-US" w:eastAsia="zh-CN"/>
              </w:rPr>
              <w:t>3.1环境质量现状</w:t>
            </w:r>
          </w:p>
          <w:p w14:paraId="06A4F3A1">
            <w:pPr>
              <w:pStyle w:val="3"/>
              <w:keepNext w:val="0"/>
              <w:keepLines w:val="0"/>
              <w:pageBreakBefore w:val="0"/>
              <w:widowControl w:val="0"/>
              <w:kinsoku/>
              <w:wordWrap/>
              <w:overflowPunct w:val="0"/>
              <w:topLinePunct/>
              <w:autoSpaceDE/>
              <w:autoSpaceDN/>
              <w:bidi w:val="0"/>
              <w:adjustRightInd w:val="0"/>
              <w:snapToGrid w:val="0"/>
              <w:spacing w:before="0" w:after="0" w:line="460" w:lineRule="exact"/>
              <w:ind w:left="0" w:leftChars="0" w:right="0" w:firstLine="514" w:firstLineChars="200"/>
              <w:jc w:val="both"/>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3.1.1</w:t>
            </w:r>
            <w:r>
              <w:rPr>
                <w:rFonts w:hint="default" w:ascii="Times New Roman" w:hAnsi="Times New Roman" w:eastAsia="宋体" w:cs="Times New Roman"/>
                <w:b/>
                <w:bCs/>
                <w:color w:val="auto"/>
                <w:sz w:val="24"/>
                <w:szCs w:val="24"/>
                <w:highlight w:val="none"/>
              </w:rPr>
              <w:t>环境空气质量现状</w:t>
            </w:r>
          </w:p>
          <w:p w14:paraId="722CBFE2">
            <w:pPr>
              <w:keepNext w:val="0"/>
              <w:keepLines w:val="0"/>
              <w:pageBreakBefore w:val="0"/>
              <w:widowControl w:val="0"/>
              <w:suppressLineNumbers w:val="0"/>
              <w:kinsoku/>
              <w:wordWrap/>
              <w:overflowPunct w:val="0"/>
              <w:topLinePunct/>
              <w:autoSpaceDE/>
              <w:autoSpaceDN/>
              <w:bidi w:val="0"/>
              <w:spacing w:beforeAutospacing="0" w:afterAutospacing="0" w:line="460" w:lineRule="exact"/>
              <w:ind w:left="0" w:right="0" w:firstLine="480" w:firstLineChars="200"/>
              <w:jc w:val="both"/>
              <w:textAlignment w:val="auto"/>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kern w:val="0"/>
                <w:sz w:val="24"/>
                <w:szCs w:val="24"/>
                <w:highlight w:val="none"/>
                <w:lang w:val="en-US" w:eastAsia="zh-CN"/>
              </w:rPr>
              <w:t>（1）区域</w:t>
            </w:r>
            <w:r>
              <w:rPr>
                <w:rFonts w:hint="default" w:ascii="Times New Roman" w:hAnsi="Times New Roman" w:cs="Times New Roman"/>
                <w:b w:val="0"/>
                <w:bCs w:val="0"/>
                <w:color w:val="auto"/>
                <w:kern w:val="0"/>
                <w:sz w:val="24"/>
                <w:szCs w:val="24"/>
                <w:highlight w:val="none"/>
              </w:rPr>
              <w:t>达标判定</w:t>
            </w:r>
          </w:p>
          <w:p w14:paraId="05D8C0D9">
            <w:pPr>
              <w:pStyle w:val="43"/>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根据《建设项目环境影响报告表编制技术指南(污染影响类)(试行)》要求，</w:t>
            </w:r>
            <w:r>
              <w:rPr>
                <w:rFonts w:hint="default" w:ascii="Times New Roman" w:hAnsi="Times New Roman" w:eastAsia="宋体" w:cs="Times New Roman"/>
                <w:color w:val="auto"/>
                <w:sz w:val="24"/>
                <w:szCs w:val="22"/>
                <w:highlight w:val="none"/>
                <w:lang w:val="en-US" w:eastAsia="zh-CN"/>
              </w:rPr>
              <w:t>本次评价</w:t>
            </w:r>
            <w:r>
              <w:rPr>
                <w:rFonts w:hint="default" w:ascii="Times New Roman" w:hAnsi="Times New Roman" w:eastAsia="宋体" w:cs="Times New Roman"/>
                <w:color w:val="auto"/>
                <w:kern w:val="0"/>
                <w:sz w:val="24"/>
                <w:szCs w:val="28"/>
                <w:highlight w:val="none"/>
              </w:rPr>
              <w:t>常规污染物引用重庆市生态环境局公开发布的《2024年重庆市生态环境状况公报》中九龙坡区监测数据进行评价</w:t>
            </w:r>
            <w:r>
              <w:rPr>
                <w:rFonts w:hint="default" w:ascii="Times New Roman" w:hAnsi="Times New Roman" w:eastAsia="宋体" w:cs="Times New Roman"/>
                <w:color w:val="auto"/>
                <w:sz w:val="24"/>
                <w:szCs w:val="22"/>
                <w:highlight w:val="none"/>
              </w:rPr>
              <w:t>。空气质量达标区判定情况见表3.1-1。</w:t>
            </w:r>
          </w:p>
          <w:p w14:paraId="6AB95D72">
            <w:pPr>
              <w:keepNext w:val="0"/>
              <w:keepLines w:val="0"/>
              <w:pageBreakBefore w:val="0"/>
              <w:widowControl/>
              <w:suppressLineNumbers w:val="0"/>
              <w:kinsoku/>
              <w:wordWrap/>
              <w:overflowPunct w:val="0"/>
              <w:topLinePunct/>
              <w:autoSpaceDE/>
              <w:autoSpaceDN/>
              <w:bidi w:val="0"/>
              <w:adjustRightInd w:val="0"/>
              <w:snapToGrid/>
              <w:spacing w:before="0" w:beforeAutospacing="0" w:after="0" w:afterAutospacing="0" w:line="460" w:lineRule="exact"/>
              <w:ind w:left="0" w:right="0" w:firstLine="0" w:firstLineChars="0"/>
              <w:jc w:val="center"/>
              <w:textAlignment w:val="auto"/>
              <w:rPr>
                <w:rFonts w:hint="default" w:ascii="Times New Roman" w:hAnsi="Times New Roman" w:eastAsia="宋体" w:cs="Times New Roman"/>
                <w:b/>
                <w:bCs w:val="0"/>
                <w:color w:val="auto"/>
                <w:kern w:val="0"/>
                <w:sz w:val="22"/>
                <w:szCs w:val="22"/>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表3.1-1区域空气质量现状评价表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2181"/>
              <w:gridCol w:w="1197"/>
              <w:gridCol w:w="978"/>
              <w:gridCol w:w="1050"/>
              <w:gridCol w:w="1140"/>
            </w:tblGrid>
            <w:tr w14:paraId="2FC2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pct"/>
                  <w:noWrap w:val="0"/>
                  <w:vAlign w:val="center"/>
                </w:tcPr>
                <w:p w14:paraId="64BFDF96">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363" w:type="pct"/>
                  <w:noWrap w:val="0"/>
                  <w:vAlign w:val="center"/>
                </w:tcPr>
                <w:p w14:paraId="2F167A2C">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年评价指标</w:t>
                  </w:r>
                </w:p>
              </w:tc>
              <w:tc>
                <w:tcPr>
                  <w:tcW w:w="748" w:type="pct"/>
                  <w:noWrap w:val="0"/>
                  <w:vAlign w:val="center"/>
                </w:tcPr>
                <w:p w14:paraId="2B586398">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现状浓度</w:t>
                  </w:r>
                </w:p>
              </w:tc>
              <w:tc>
                <w:tcPr>
                  <w:tcW w:w="611" w:type="pct"/>
                  <w:noWrap w:val="0"/>
                  <w:vAlign w:val="center"/>
                </w:tcPr>
                <w:p w14:paraId="379DD23C">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656" w:type="pct"/>
                  <w:noWrap w:val="0"/>
                  <w:vAlign w:val="center"/>
                </w:tcPr>
                <w:p w14:paraId="4292D4C9">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占标率%</w:t>
                  </w:r>
                </w:p>
              </w:tc>
              <w:tc>
                <w:tcPr>
                  <w:tcW w:w="712" w:type="pct"/>
                  <w:noWrap w:val="0"/>
                  <w:vAlign w:val="center"/>
                </w:tcPr>
                <w:p w14:paraId="4FEAE184">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0967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pct"/>
                  <w:noWrap w:val="0"/>
                  <w:vAlign w:val="center"/>
                </w:tcPr>
                <w:p w14:paraId="2D36B6AE">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363" w:type="pct"/>
                  <w:noWrap w:val="0"/>
                  <w:vAlign w:val="center"/>
                </w:tcPr>
                <w:p w14:paraId="19753368">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748" w:type="pct"/>
                  <w:noWrap w:val="0"/>
                  <w:vAlign w:val="center"/>
                </w:tcPr>
                <w:p w14:paraId="16A7C4CE">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611" w:type="pct"/>
                  <w:noWrap w:val="0"/>
                  <w:vAlign w:val="center"/>
                </w:tcPr>
                <w:p w14:paraId="56A6EC42">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656" w:type="pct"/>
                  <w:noWrap w:val="0"/>
                  <w:vAlign w:val="center"/>
                </w:tcPr>
                <w:p w14:paraId="53424CF5">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712" w:type="pct"/>
                  <w:noWrap w:val="0"/>
                  <w:vAlign w:val="center"/>
                </w:tcPr>
                <w:p w14:paraId="00DF21BA">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B14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pct"/>
                  <w:noWrap w:val="0"/>
                  <w:vAlign w:val="center"/>
                </w:tcPr>
                <w:p w14:paraId="3A003C6A">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363" w:type="pct"/>
                  <w:noWrap w:val="0"/>
                  <w:vAlign w:val="center"/>
                </w:tcPr>
                <w:p w14:paraId="460FB5C3">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748" w:type="pct"/>
                  <w:noWrap w:val="0"/>
                  <w:vAlign w:val="center"/>
                </w:tcPr>
                <w:p w14:paraId="373E746A">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c>
                <w:tcPr>
                  <w:tcW w:w="611" w:type="pct"/>
                  <w:noWrap w:val="0"/>
                  <w:vAlign w:val="center"/>
                </w:tcPr>
                <w:p w14:paraId="525C395D">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656" w:type="pct"/>
                  <w:noWrap w:val="0"/>
                  <w:vAlign w:val="center"/>
                </w:tcPr>
                <w:p w14:paraId="49B2DBDC">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w:t>
                  </w:r>
                </w:p>
              </w:tc>
              <w:tc>
                <w:tcPr>
                  <w:tcW w:w="712" w:type="pct"/>
                  <w:noWrap w:val="0"/>
                  <w:vAlign w:val="center"/>
                </w:tcPr>
                <w:p w14:paraId="58C2C8FA">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044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pct"/>
                  <w:noWrap w:val="0"/>
                  <w:vAlign w:val="center"/>
                </w:tcPr>
                <w:p w14:paraId="7350C625">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363" w:type="pct"/>
                  <w:noWrap w:val="0"/>
                  <w:vAlign w:val="center"/>
                </w:tcPr>
                <w:p w14:paraId="71508EBF">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748" w:type="pct"/>
                  <w:noWrap w:val="0"/>
                  <w:vAlign w:val="center"/>
                </w:tcPr>
                <w:p w14:paraId="01F542FA">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w:t>
                  </w:r>
                </w:p>
              </w:tc>
              <w:tc>
                <w:tcPr>
                  <w:tcW w:w="611" w:type="pct"/>
                  <w:noWrap w:val="0"/>
                  <w:vAlign w:val="center"/>
                </w:tcPr>
                <w:p w14:paraId="1B9FF014">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656" w:type="pct"/>
                  <w:noWrap w:val="0"/>
                  <w:vAlign w:val="center"/>
                </w:tcPr>
                <w:p w14:paraId="1FE5FE80">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w:t>
                  </w:r>
                </w:p>
              </w:tc>
              <w:tc>
                <w:tcPr>
                  <w:tcW w:w="712" w:type="pct"/>
                  <w:noWrap w:val="0"/>
                  <w:vAlign w:val="center"/>
                </w:tcPr>
                <w:p w14:paraId="5D70E893">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288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pct"/>
                  <w:noWrap w:val="0"/>
                  <w:vAlign w:val="center"/>
                </w:tcPr>
                <w:p w14:paraId="10DD61AE">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363" w:type="pct"/>
                  <w:noWrap w:val="0"/>
                  <w:vAlign w:val="center"/>
                </w:tcPr>
                <w:p w14:paraId="6D1C7FC9">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748" w:type="pct"/>
                  <w:noWrap w:val="0"/>
                  <w:vAlign w:val="center"/>
                </w:tcPr>
                <w:p w14:paraId="611673BE">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32.3</w:t>
                  </w:r>
                </w:p>
              </w:tc>
              <w:tc>
                <w:tcPr>
                  <w:tcW w:w="611" w:type="pct"/>
                  <w:noWrap w:val="0"/>
                  <w:vAlign w:val="center"/>
                </w:tcPr>
                <w:p w14:paraId="629B9F80">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656" w:type="pct"/>
                  <w:noWrap w:val="0"/>
                  <w:vAlign w:val="center"/>
                </w:tcPr>
                <w:p w14:paraId="6A1EE78D">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w:t>
                  </w:r>
                </w:p>
              </w:tc>
              <w:tc>
                <w:tcPr>
                  <w:tcW w:w="712" w:type="pct"/>
                  <w:noWrap w:val="0"/>
                  <w:vAlign w:val="center"/>
                </w:tcPr>
                <w:p w14:paraId="204EF374">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33AA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pct"/>
                  <w:noWrap w:val="0"/>
                  <w:vAlign w:val="center"/>
                </w:tcPr>
                <w:p w14:paraId="17FE365D">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CO（mg/m³）</w:t>
                  </w:r>
                </w:p>
              </w:tc>
              <w:tc>
                <w:tcPr>
                  <w:tcW w:w="1363" w:type="pct"/>
                  <w:noWrap w:val="0"/>
                  <w:vAlign w:val="center"/>
                </w:tcPr>
                <w:p w14:paraId="26CDE7FB">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第95百分位数日均浓度的</w:t>
                  </w:r>
                </w:p>
              </w:tc>
              <w:tc>
                <w:tcPr>
                  <w:tcW w:w="748" w:type="pct"/>
                  <w:noWrap w:val="0"/>
                  <w:vAlign w:val="center"/>
                </w:tcPr>
                <w:p w14:paraId="77D82B3D">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611" w:type="pct"/>
                  <w:noWrap w:val="0"/>
                  <w:vAlign w:val="center"/>
                </w:tcPr>
                <w:p w14:paraId="18555C4A">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656" w:type="pct"/>
                  <w:noWrap w:val="0"/>
                  <w:vAlign w:val="center"/>
                </w:tcPr>
                <w:p w14:paraId="7010909C">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712" w:type="pct"/>
                  <w:noWrap w:val="0"/>
                  <w:vAlign w:val="center"/>
                </w:tcPr>
                <w:p w14:paraId="66DD83C7">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995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 w:type="pct"/>
                  <w:noWrap w:val="0"/>
                  <w:vAlign w:val="center"/>
                </w:tcPr>
                <w:p w14:paraId="72B79DF7">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363" w:type="pct"/>
                  <w:noWrap w:val="0"/>
                  <w:vAlign w:val="center"/>
                </w:tcPr>
                <w:p w14:paraId="47B21EA8">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第90百分位数日最大8h平均浓度</w:t>
                  </w:r>
                </w:p>
              </w:tc>
              <w:tc>
                <w:tcPr>
                  <w:tcW w:w="748" w:type="pct"/>
                  <w:noWrap w:val="0"/>
                  <w:vAlign w:val="center"/>
                </w:tcPr>
                <w:p w14:paraId="15FF9456">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140</w:t>
                  </w:r>
                </w:p>
              </w:tc>
              <w:tc>
                <w:tcPr>
                  <w:tcW w:w="611" w:type="pct"/>
                  <w:noWrap w:val="0"/>
                  <w:vAlign w:val="center"/>
                </w:tcPr>
                <w:p w14:paraId="7AA29C5B">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656" w:type="pct"/>
                  <w:noWrap w:val="0"/>
                  <w:vAlign w:val="center"/>
                </w:tcPr>
                <w:p w14:paraId="4C78576F">
                  <w:pPr>
                    <w:pStyle w:val="45"/>
                    <w:keepNext w:val="0"/>
                    <w:keepLines w:val="0"/>
                    <w:pageBreakBefore w:val="0"/>
                    <w:widowControl w:val="0"/>
                    <w:kinsoku/>
                    <w:wordWrap/>
                    <w:overflowPunct/>
                    <w:topLinePunct w:val="0"/>
                    <w:bidi w:val="0"/>
                    <w:adjustRightInd w:val="0"/>
                    <w:ind w:lef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w:t>
                  </w:r>
                </w:p>
              </w:tc>
              <w:tc>
                <w:tcPr>
                  <w:tcW w:w="712" w:type="pct"/>
                  <w:noWrap w:val="0"/>
                  <w:vAlign w:val="center"/>
                </w:tcPr>
                <w:p w14:paraId="4EA67744">
                  <w:pPr>
                    <w:pStyle w:val="44"/>
                    <w:keepNext w:val="0"/>
                    <w:keepLines w:val="0"/>
                    <w:pageBreakBefore w:val="0"/>
                    <w:widowControl w:val="0"/>
                    <w:kinsoku/>
                    <w:wordWrap/>
                    <w:overflowPunct/>
                    <w:topLinePunct w:val="0"/>
                    <w:bidi w:val="0"/>
                    <w:adjustRightInd w:val="0"/>
                    <w:ind w:lef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07B8F2DE">
            <w:pPr>
              <w:pStyle w:val="43"/>
              <w:keepNext w:val="0"/>
              <w:keepLines w:val="0"/>
              <w:pageBreakBefore w:val="0"/>
              <w:widowControl w:val="0"/>
              <w:kinsoku/>
              <w:wordWrap/>
              <w:autoSpaceDE/>
              <w:autoSpaceDN/>
              <w:bidi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由上表可知，</w:t>
            </w:r>
            <w:r>
              <w:rPr>
                <w:rFonts w:hint="eastAsia"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所在区域基本污染物中O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、CO、O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均能够满足《环境空气质量标准》（GB3095-2012）中的二级浓度限值要求，为</w:t>
            </w:r>
            <w:r>
              <w:rPr>
                <w:rFonts w:hint="default" w:ascii="Times New Roman" w:hAnsi="Times New Roman" w:eastAsia="宋体" w:cs="Times New Roman"/>
                <w:color w:val="auto"/>
                <w:sz w:val="24"/>
                <w:szCs w:val="24"/>
                <w:highlight w:val="none"/>
                <w:lang w:val="en-US" w:eastAsia="zh-CN"/>
              </w:rPr>
              <w:t>环境空气质量</w:t>
            </w:r>
            <w:r>
              <w:rPr>
                <w:rFonts w:hint="default" w:ascii="Times New Roman" w:hAnsi="Times New Roman" w:eastAsia="宋体" w:cs="Times New Roman"/>
                <w:color w:val="auto"/>
                <w:sz w:val="24"/>
                <w:szCs w:val="24"/>
                <w:highlight w:val="none"/>
              </w:rPr>
              <w:t>达标区。</w:t>
            </w:r>
          </w:p>
          <w:p w14:paraId="1223D2FE">
            <w:pPr>
              <w:pStyle w:val="3"/>
              <w:keepNext w:val="0"/>
              <w:keepLines w:val="0"/>
              <w:pageBreakBefore w:val="0"/>
              <w:widowControl w:val="0"/>
              <w:kinsoku/>
              <w:wordWrap/>
              <w:overflowPunct w:val="0"/>
              <w:topLinePunct/>
              <w:autoSpaceDE/>
              <w:autoSpaceDN/>
              <w:bidi w:val="0"/>
              <w:adjustRightInd w:val="0"/>
              <w:snapToGrid w:val="0"/>
              <w:spacing w:before="0" w:after="0" w:line="360" w:lineRule="auto"/>
              <w:ind w:right="0" w:firstLine="514" w:firstLineChars="200"/>
              <w:jc w:val="both"/>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（2）其他污染物环境质量现状评价</w:t>
            </w:r>
          </w:p>
          <w:p w14:paraId="6898C23D">
            <w:pPr>
              <w:keepNext w:val="0"/>
              <w:keepLines w:val="0"/>
              <w:pageBreakBefore w:val="0"/>
              <w:widowControl w:val="0"/>
              <w:kinsoku/>
              <w:wordWrap/>
              <w:autoSpaceDE/>
              <w:autoSpaceDN/>
              <w:bidi w:val="0"/>
              <w:adjustRightInd w:val="0"/>
              <w:snapToGrid w:val="0"/>
              <w:spacing w:line="360" w:lineRule="auto"/>
              <w:ind w:firstLine="480" w:firstLineChars="200"/>
              <w:jc w:val="both"/>
              <w:textAlignment w:val="baseline"/>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大气污染物特征因子为非甲烷总烃，</w:t>
            </w:r>
            <w:r>
              <w:rPr>
                <w:rFonts w:hint="default" w:ascii="Times New Roman" w:hAnsi="Times New Roman" w:eastAsia="宋体" w:cs="Times New Roman"/>
                <w:color w:val="auto"/>
                <w:sz w:val="24"/>
                <w:szCs w:val="24"/>
                <w:highlight w:val="none"/>
              </w:rPr>
              <w:t>为了解项目所在地特征污染物非甲烷总烃环境质量现状，</w:t>
            </w:r>
            <w:r>
              <w:rPr>
                <w:rFonts w:hint="default" w:ascii="Times New Roman" w:hAnsi="Times New Roman" w:cs="Times New Roman"/>
                <w:color w:val="auto"/>
                <w:sz w:val="24"/>
                <w:szCs w:val="24"/>
                <w:highlight w:val="none"/>
              </w:rPr>
              <w:t>本评价对项目所在地环境空气质量现状进行了监测。</w:t>
            </w:r>
          </w:p>
          <w:p w14:paraId="15F6A5B6">
            <w:pPr>
              <w:pStyle w:val="43"/>
              <w:keepNext w:val="0"/>
              <w:keepLines w:val="0"/>
              <w:pageBreakBefore w:val="0"/>
              <w:widowControl w:val="0"/>
              <w:kinsoku/>
              <w:wordWrap/>
              <w:autoSpaceDE/>
              <w:autoSpaceDN/>
              <w:bidi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监测因子：非甲烷总烃；</w:t>
            </w:r>
          </w:p>
          <w:p w14:paraId="30D7642A">
            <w:pPr>
              <w:pStyle w:val="43"/>
              <w:keepNext w:val="0"/>
              <w:keepLines w:val="0"/>
              <w:pageBreakBefore w:val="0"/>
              <w:widowControl w:val="0"/>
              <w:kinsoku/>
              <w:wordWrap/>
              <w:autoSpaceDE/>
              <w:autoSpaceDN/>
              <w:bidi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监测时间：202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日；</w:t>
            </w:r>
          </w:p>
          <w:p w14:paraId="2A2BC8E9">
            <w:pPr>
              <w:pStyle w:val="43"/>
              <w:keepNext w:val="0"/>
              <w:keepLines w:val="0"/>
              <w:pageBreakBefore w:val="0"/>
              <w:widowControl w:val="0"/>
              <w:kinsoku/>
              <w:wordWrap/>
              <w:autoSpaceDE/>
              <w:autoSpaceDN/>
              <w:bidi w:val="0"/>
              <w:snapToGrid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监测点位：厂区西南侧砖瓦房廉租房处（G1）；</w:t>
            </w:r>
          </w:p>
          <w:p w14:paraId="0B856D2E">
            <w:pPr>
              <w:keepNext w:val="0"/>
              <w:keepLines w:val="0"/>
              <w:pageBreakBefore w:val="0"/>
              <w:widowControl w:val="0"/>
              <w:kinsoku/>
              <w:wordWrap/>
              <w:autoSpaceDE/>
              <w:autoSpaceDN/>
              <w:bidi w:val="0"/>
              <w:adjustRightInd w:val="0"/>
              <w:snapToGrid w:val="0"/>
              <w:spacing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本评价采用占标率法进行评价，计算公式如下：</w:t>
            </w:r>
          </w:p>
          <w:p w14:paraId="6DB00A25">
            <w:pPr>
              <w:keepNext w:val="0"/>
              <w:keepLines w:val="0"/>
              <w:pageBreakBefore w:val="0"/>
              <w:widowControl w:val="0"/>
              <w:kinsoku/>
              <w:wordWrap/>
              <w:autoSpaceDE/>
              <w:autoSpaceDN/>
              <w:bidi w:val="0"/>
              <w:adjustRightInd w:val="0"/>
              <w:snapToGrid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=C</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/C</w:t>
            </w:r>
            <w:r>
              <w:rPr>
                <w:rFonts w:hint="default" w:ascii="Times New Roman" w:hAnsi="Times New Roman" w:cs="Times New Roman"/>
                <w:color w:val="auto"/>
                <w:sz w:val="24"/>
                <w:szCs w:val="24"/>
                <w:highlight w:val="none"/>
                <w:vertAlign w:val="subscript"/>
              </w:rPr>
              <w:t>oi</w:t>
            </w:r>
            <w:r>
              <w:rPr>
                <w:rFonts w:hint="default" w:ascii="Times New Roman" w:hAnsi="Times New Roman" w:cs="Times New Roman"/>
                <w:color w:val="auto"/>
                <w:sz w:val="24"/>
                <w:szCs w:val="24"/>
                <w:highlight w:val="none"/>
              </w:rPr>
              <w:t>×100%</w:t>
            </w:r>
          </w:p>
          <w:p w14:paraId="51C865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式中：Pi——第i个污染物的地面浓度占标率，%；</w:t>
            </w:r>
          </w:p>
          <w:p w14:paraId="782A2CD8">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Ci——第i个污染物的实测浓度值，mg/m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p>
          <w:p w14:paraId="4B0F9C1A">
            <w:pPr>
              <w:keepNext w:val="0"/>
              <w:keepLines w:val="0"/>
              <w:pageBreakBefore w:val="0"/>
              <w:widowControl w:val="0"/>
              <w:kinsoku/>
              <w:wordWrap/>
              <w:overflowPunct/>
              <w:topLinePunct w:val="0"/>
              <w:autoSpaceDE/>
              <w:autoSpaceDN/>
              <w:bidi w:val="0"/>
              <w:adjustRightInd w:val="0"/>
              <w:snapToGrid w:val="0"/>
              <w:spacing w:line="360" w:lineRule="auto"/>
              <w:ind w:firstLine="1300" w:firstLineChars="500"/>
              <w:textAlignment w:val="auto"/>
              <w:rPr>
                <w:rFonts w:hint="default" w:ascii="Times New Roman" w:hAnsi="Times New Roman" w:cs="Times New Roman"/>
                <w:color w:val="auto"/>
                <w:sz w:val="26"/>
                <w:szCs w:val="26"/>
                <w:highlight w:val="none"/>
              </w:rPr>
            </w:pPr>
            <w:r>
              <w:rPr>
                <w:rFonts w:hint="default" w:ascii="Times New Roman" w:hAnsi="Times New Roman" w:cs="Times New Roman"/>
                <w:color w:val="auto"/>
                <w:sz w:val="26"/>
                <w:szCs w:val="26"/>
                <w:highlight w:val="none"/>
              </w:rPr>
              <w:t>Coi——第i个污染物的环境空气质量标准，mg/m</w:t>
            </w:r>
            <w:r>
              <w:rPr>
                <w:rFonts w:hint="default" w:ascii="Times New Roman" w:hAnsi="Times New Roman" w:cs="Times New Roman"/>
                <w:color w:val="auto"/>
                <w:sz w:val="26"/>
                <w:szCs w:val="26"/>
                <w:highlight w:val="none"/>
                <w:vertAlign w:val="superscript"/>
              </w:rPr>
              <w:t>3</w:t>
            </w:r>
            <w:r>
              <w:rPr>
                <w:rFonts w:hint="default" w:ascii="Times New Roman" w:hAnsi="Times New Roman" w:cs="Times New Roman"/>
                <w:color w:val="auto"/>
                <w:sz w:val="26"/>
                <w:szCs w:val="26"/>
                <w:highlight w:val="none"/>
              </w:rPr>
              <w:t>；</w:t>
            </w:r>
          </w:p>
          <w:p w14:paraId="66D17E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监测点位</w:t>
            </w:r>
            <w:r>
              <w:rPr>
                <w:rFonts w:hint="default" w:ascii="Times New Roman" w:hAnsi="Times New Roman" w:cs="Times New Roman"/>
                <w:color w:val="auto"/>
                <w:sz w:val="24"/>
                <w:szCs w:val="24"/>
                <w:highlight w:val="none"/>
                <w:lang w:val="en-US" w:eastAsia="zh-CN"/>
              </w:rPr>
              <w:t>基本信息</w:t>
            </w:r>
            <w:r>
              <w:rPr>
                <w:rFonts w:hint="default" w:ascii="Times New Roman" w:hAnsi="Times New Roman" w:cs="Times New Roman"/>
                <w:color w:val="auto"/>
                <w:sz w:val="24"/>
                <w:szCs w:val="24"/>
                <w:highlight w:val="none"/>
              </w:rPr>
              <w:t>见表3</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-2。</w:t>
            </w:r>
          </w:p>
          <w:p w14:paraId="3431A5AC">
            <w:pPr>
              <w:pStyle w:val="47"/>
              <w:keepNext w:val="0"/>
              <w:keepLines w:val="0"/>
              <w:pageBreakBefore w:val="0"/>
              <w:widowControl w:val="0"/>
              <w:kinsoku/>
              <w:wordWrap/>
              <w:overflowPunct/>
              <w:topLinePunct w:val="0"/>
              <w:autoSpaceDE/>
              <w:autoSpaceDN/>
              <w:bidi w:val="0"/>
              <w:adjustRightInd/>
              <w:snapToGrid w:val="0"/>
              <w:spacing w:before="0" w:beforeLines="0"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-2其他污染物补充监测点位基本信息</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600"/>
              <w:gridCol w:w="812"/>
              <w:gridCol w:w="977"/>
              <w:gridCol w:w="1985"/>
              <w:gridCol w:w="860"/>
              <w:gridCol w:w="920"/>
            </w:tblGrid>
            <w:tr w14:paraId="06B6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152" w:type="pct"/>
                  <w:vMerge w:val="restart"/>
                  <w:noWrap w:val="0"/>
                  <w:vAlign w:val="center"/>
                </w:tcPr>
                <w:p w14:paraId="2D4AE3DF">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w:t>
                  </w:r>
                  <w:r>
                    <w:rPr>
                      <w:rFonts w:hint="default" w:ascii="Times New Roman" w:hAnsi="Times New Roman" w:cs="Times New Roman"/>
                      <w:b/>
                      <w:bCs/>
                      <w:color w:val="auto"/>
                      <w:sz w:val="21"/>
                      <w:szCs w:val="21"/>
                      <w:highlight w:val="none"/>
                      <w:lang w:val="en-US" w:eastAsia="zh-CN"/>
                    </w:rPr>
                    <w:t>点</w:t>
                  </w:r>
                  <w:r>
                    <w:rPr>
                      <w:rFonts w:hint="default" w:ascii="Times New Roman" w:hAnsi="Times New Roman" w:cs="Times New Roman"/>
                      <w:b/>
                      <w:bCs/>
                      <w:color w:val="auto"/>
                      <w:sz w:val="21"/>
                      <w:szCs w:val="21"/>
                      <w:highlight w:val="none"/>
                    </w:rPr>
                    <w:t>名称</w:t>
                  </w:r>
                </w:p>
              </w:tc>
              <w:tc>
                <w:tcPr>
                  <w:tcW w:w="883" w:type="pct"/>
                  <w:gridSpan w:val="2"/>
                  <w:noWrap w:val="0"/>
                  <w:vAlign w:val="center"/>
                </w:tcPr>
                <w:p w14:paraId="76D03B90">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监测</w:t>
                  </w:r>
                  <w:r>
                    <w:rPr>
                      <w:rFonts w:hint="default" w:ascii="Times New Roman" w:hAnsi="Times New Roman" w:cs="Times New Roman"/>
                      <w:b/>
                      <w:bCs/>
                      <w:color w:val="auto"/>
                      <w:sz w:val="21"/>
                      <w:szCs w:val="21"/>
                      <w:highlight w:val="none"/>
                      <w:lang w:val="en-US" w:eastAsia="zh-CN"/>
                    </w:rPr>
                    <w:t>点坐标</w:t>
                  </w:r>
                </w:p>
              </w:tc>
              <w:tc>
                <w:tcPr>
                  <w:tcW w:w="611" w:type="pct"/>
                  <w:vMerge w:val="restart"/>
                  <w:noWrap w:val="0"/>
                  <w:vAlign w:val="center"/>
                </w:tcPr>
                <w:p w14:paraId="52BA1F03">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w:t>
                  </w:r>
                </w:p>
                <w:p w14:paraId="2DEE2495">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因子</w:t>
                  </w:r>
                </w:p>
              </w:tc>
              <w:tc>
                <w:tcPr>
                  <w:tcW w:w="1241" w:type="pct"/>
                  <w:vMerge w:val="restart"/>
                  <w:noWrap w:val="0"/>
                  <w:vAlign w:val="center"/>
                </w:tcPr>
                <w:p w14:paraId="248C78B1">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监测时段</w:t>
                  </w:r>
                </w:p>
              </w:tc>
              <w:tc>
                <w:tcPr>
                  <w:tcW w:w="538" w:type="pct"/>
                  <w:vMerge w:val="restart"/>
                  <w:noWrap w:val="0"/>
                  <w:vAlign w:val="center"/>
                </w:tcPr>
                <w:p w14:paraId="73D46AF9">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相对方位</w:t>
                  </w:r>
                </w:p>
              </w:tc>
              <w:tc>
                <w:tcPr>
                  <w:tcW w:w="573" w:type="pct"/>
                  <w:vMerge w:val="restart"/>
                  <w:noWrap w:val="0"/>
                  <w:vAlign w:val="center"/>
                </w:tcPr>
                <w:p w14:paraId="70086767">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相对场址距离/m</w:t>
                  </w:r>
                </w:p>
              </w:tc>
            </w:tr>
            <w:tr w14:paraId="1178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2" w:type="pct"/>
                  <w:vMerge w:val="continue"/>
                  <w:noWrap w:val="0"/>
                  <w:vAlign w:val="center"/>
                </w:tcPr>
                <w:p w14:paraId="49FF79A2">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p>
              </w:tc>
              <w:tc>
                <w:tcPr>
                  <w:tcW w:w="375" w:type="pct"/>
                  <w:noWrap w:val="0"/>
                  <w:vAlign w:val="center"/>
                </w:tcPr>
                <w:p w14:paraId="319E4002">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X</w:t>
                  </w:r>
                </w:p>
              </w:tc>
              <w:tc>
                <w:tcPr>
                  <w:tcW w:w="508" w:type="pct"/>
                  <w:noWrap w:val="0"/>
                  <w:vAlign w:val="center"/>
                </w:tcPr>
                <w:p w14:paraId="2C1EE137">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Y</w:t>
                  </w:r>
                </w:p>
              </w:tc>
              <w:tc>
                <w:tcPr>
                  <w:tcW w:w="611" w:type="pct"/>
                  <w:vMerge w:val="continue"/>
                  <w:noWrap w:val="0"/>
                  <w:vAlign w:val="center"/>
                </w:tcPr>
                <w:p w14:paraId="0A9D6285">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p>
              </w:tc>
              <w:tc>
                <w:tcPr>
                  <w:tcW w:w="1241" w:type="pct"/>
                  <w:vMerge w:val="continue"/>
                  <w:noWrap w:val="0"/>
                  <w:vAlign w:val="center"/>
                </w:tcPr>
                <w:p w14:paraId="47D9E618">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p>
              </w:tc>
              <w:tc>
                <w:tcPr>
                  <w:tcW w:w="538" w:type="pct"/>
                  <w:vMerge w:val="continue"/>
                  <w:noWrap w:val="0"/>
                  <w:vAlign w:val="center"/>
                </w:tcPr>
                <w:p w14:paraId="34C3A8A9">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p>
              </w:tc>
              <w:tc>
                <w:tcPr>
                  <w:tcW w:w="573" w:type="pct"/>
                  <w:vMerge w:val="continue"/>
                  <w:noWrap w:val="0"/>
                  <w:vAlign w:val="center"/>
                </w:tcPr>
                <w:p w14:paraId="0919459D">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b/>
                      <w:bCs/>
                      <w:color w:val="auto"/>
                      <w:sz w:val="21"/>
                      <w:szCs w:val="21"/>
                      <w:highlight w:val="none"/>
                    </w:rPr>
                  </w:pPr>
                </w:p>
              </w:tc>
            </w:tr>
            <w:tr w14:paraId="48E8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52" w:type="pct"/>
                  <w:noWrap w:val="0"/>
                  <w:vAlign w:val="center"/>
                </w:tcPr>
                <w:p w14:paraId="4E2A2BB8">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厂区西南侧砖瓦房廉租房处</w:t>
                  </w:r>
                </w:p>
                <w:p w14:paraId="1D718B1F">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（G1）</w:t>
                  </w:r>
                </w:p>
              </w:tc>
              <w:tc>
                <w:tcPr>
                  <w:tcW w:w="375" w:type="pct"/>
                  <w:noWrap w:val="0"/>
                  <w:vAlign w:val="center"/>
                </w:tcPr>
                <w:p w14:paraId="6EFF0953">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118</w:t>
                  </w:r>
                </w:p>
              </w:tc>
              <w:tc>
                <w:tcPr>
                  <w:tcW w:w="508" w:type="pct"/>
                  <w:noWrap w:val="0"/>
                  <w:vAlign w:val="center"/>
                </w:tcPr>
                <w:p w14:paraId="34DCB1C7">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204</w:t>
                  </w:r>
                </w:p>
              </w:tc>
              <w:tc>
                <w:tcPr>
                  <w:tcW w:w="611" w:type="pct"/>
                  <w:noWrap w:val="0"/>
                  <w:vAlign w:val="center"/>
                </w:tcPr>
                <w:p w14:paraId="1F80ADFE">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241" w:type="pct"/>
                  <w:noWrap w:val="0"/>
                  <w:vAlign w:val="center"/>
                </w:tcPr>
                <w:p w14:paraId="5D661CCC">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2025.12.15-12.17</w:t>
                  </w:r>
                </w:p>
              </w:tc>
              <w:tc>
                <w:tcPr>
                  <w:tcW w:w="538" w:type="pct"/>
                  <w:noWrap w:val="0"/>
                  <w:vAlign w:val="center"/>
                </w:tcPr>
                <w:p w14:paraId="62D35C4B">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西南</w:t>
                  </w:r>
                </w:p>
              </w:tc>
              <w:tc>
                <w:tcPr>
                  <w:tcW w:w="573" w:type="pct"/>
                  <w:noWrap w:val="0"/>
                  <w:vAlign w:val="center"/>
                </w:tcPr>
                <w:p w14:paraId="10E239E3">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r w14:paraId="0DC8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1F4590C8">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注：以</w:t>
                  </w:r>
                  <w:r>
                    <w:rPr>
                      <w:rFonts w:hint="eastAsia"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lang w:val="en-US" w:eastAsia="zh-CN"/>
                    </w:rPr>
                    <w:t>中心</w:t>
                  </w:r>
                  <w:r>
                    <w:rPr>
                      <w:rFonts w:hint="default" w:ascii="Times New Roman" w:hAnsi="Times New Roman" w:cs="Times New Roman"/>
                      <w:color w:val="auto"/>
                      <w:sz w:val="21"/>
                      <w:szCs w:val="21"/>
                      <w:highlight w:val="none"/>
                      <w:lang w:val="zh-CN"/>
                    </w:rPr>
                    <w:t>为原点（</w:t>
                  </w: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zh-CN"/>
                    </w:rPr>
                    <w:t>）</w:t>
                  </w:r>
                </w:p>
              </w:tc>
            </w:tr>
          </w:tbl>
          <w:p w14:paraId="22157CD1">
            <w:pPr>
              <w:adjustRightInd w:val="0"/>
              <w:snapToGrid w:val="0"/>
              <w:spacing w:line="360" w:lineRule="auto"/>
              <w:ind w:firstLine="480" w:firstLineChars="200"/>
              <w:rPr>
                <w:rFonts w:hint="default" w:ascii="Times New Roman" w:hAnsi="Times New Roman" w:cs="Times New Roman"/>
                <w:snapToGrid w:val="0"/>
                <w:color w:val="auto"/>
                <w:sz w:val="24"/>
                <w:highlight w:val="none"/>
              </w:rPr>
            </w:pPr>
            <w:r>
              <w:rPr>
                <w:rFonts w:hint="default" w:ascii="Times New Roman" w:hAnsi="Times New Roman" w:cs="Times New Roman"/>
                <w:snapToGrid w:val="0"/>
                <w:color w:val="auto"/>
                <w:sz w:val="24"/>
                <w:highlight w:val="none"/>
                <w:lang w:val="en-US" w:eastAsia="zh-CN"/>
              </w:rPr>
              <w:t>环境空</w:t>
            </w:r>
            <w:r>
              <w:rPr>
                <w:rFonts w:hint="default" w:ascii="Times New Roman" w:hAnsi="Times New Roman" w:cs="Times New Roman"/>
                <w:snapToGrid w:val="0"/>
                <w:color w:val="auto"/>
                <w:sz w:val="24"/>
                <w:highlight w:val="none"/>
              </w:rPr>
              <w:t>气现状监测值和评价结果见表</w:t>
            </w:r>
            <w:r>
              <w:rPr>
                <w:rFonts w:hint="default" w:ascii="Times New Roman" w:hAnsi="Times New Roman" w:cs="Times New Roman"/>
                <w:snapToGrid w:val="0"/>
                <w:color w:val="auto"/>
                <w:sz w:val="24"/>
                <w:highlight w:val="none"/>
                <w:lang w:val="en-US" w:eastAsia="zh-CN"/>
              </w:rPr>
              <w:t>3.1</w:t>
            </w:r>
            <w:r>
              <w:rPr>
                <w:rFonts w:hint="default" w:ascii="Times New Roman" w:hAnsi="Times New Roman" w:cs="Times New Roman"/>
                <w:snapToGrid w:val="0"/>
                <w:color w:val="auto"/>
                <w:sz w:val="24"/>
                <w:highlight w:val="none"/>
              </w:rPr>
              <w:t>-3。</w:t>
            </w:r>
          </w:p>
          <w:p w14:paraId="00300331">
            <w:pPr>
              <w:adjustRightInd w:val="0"/>
              <w:snapToGrid w:val="0"/>
              <w:ind w:firstLine="442" w:firstLineChars="200"/>
              <w:jc w:val="center"/>
              <w:rPr>
                <w:rFonts w:hint="default" w:ascii="Times New Roman" w:hAnsi="Times New Roman" w:cs="Times New Roman"/>
                <w:b/>
                <w:snapToGrid w:val="0"/>
                <w:color w:val="auto"/>
                <w:sz w:val="22"/>
                <w:szCs w:val="22"/>
                <w:highlight w:val="none"/>
              </w:rPr>
            </w:pPr>
            <w:r>
              <w:rPr>
                <w:rFonts w:hint="default" w:ascii="Times New Roman" w:hAnsi="Times New Roman" w:cs="Times New Roman"/>
                <w:b/>
                <w:snapToGrid w:val="0"/>
                <w:color w:val="auto"/>
                <w:sz w:val="22"/>
                <w:szCs w:val="22"/>
                <w:highlight w:val="none"/>
              </w:rPr>
              <w:t>表</w:t>
            </w:r>
            <w:r>
              <w:rPr>
                <w:rFonts w:hint="default" w:ascii="Times New Roman" w:hAnsi="Times New Roman" w:cs="Times New Roman"/>
                <w:b/>
                <w:snapToGrid w:val="0"/>
                <w:color w:val="auto"/>
                <w:sz w:val="22"/>
                <w:szCs w:val="22"/>
                <w:highlight w:val="none"/>
                <w:lang w:val="en-US" w:eastAsia="zh-CN"/>
              </w:rPr>
              <w:t>3.1</w:t>
            </w:r>
            <w:r>
              <w:rPr>
                <w:rFonts w:hint="default" w:ascii="Times New Roman" w:hAnsi="Times New Roman" w:cs="Times New Roman"/>
                <w:b/>
                <w:snapToGrid w:val="0"/>
                <w:color w:val="auto"/>
                <w:sz w:val="22"/>
                <w:szCs w:val="22"/>
                <w:highlight w:val="none"/>
              </w:rPr>
              <w:t>-3特征因子环境空气现状监测统计结果</w:t>
            </w:r>
          </w:p>
          <w:tbl>
            <w:tblPr>
              <w:tblStyle w:val="18"/>
              <w:tblW w:w="497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691"/>
              <w:gridCol w:w="4272"/>
            </w:tblGrid>
            <w:tr w14:paraId="264F4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0" w:hRule="atLeast"/>
                <w:jc w:val="center"/>
              </w:trPr>
              <w:tc>
                <w:tcPr>
                  <w:tcW w:w="2317" w:type="pct"/>
                  <w:tcBorders>
                    <w:tl2br w:val="single" w:color="auto" w:sz="2" w:space="0"/>
                  </w:tcBorders>
                  <w:noWrap w:val="0"/>
                  <w:vAlign w:val="center"/>
                </w:tcPr>
                <w:p w14:paraId="5A67F983">
                  <w:pPr>
                    <w:spacing w:line="300" w:lineRule="exact"/>
                    <w:jc w:val="righ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p w14:paraId="0C3503FA">
                  <w:pPr>
                    <w:spacing w:line="300" w:lineRule="exact"/>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监测情况</w:t>
                  </w:r>
                </w:p>
              </w:tc>
              <w:tc>
                <w:tcPr>
                  <w:tcW w:w="2682" w:type="pct"/>
                  <w:noWrap w:val="0"/>
                  <w:vAlign w:val="center"/>
                </w:tcPr>
                <w:p w14:paraId="164FD5D1">
                  <w:pPr>
                    <w:pStyle w:val="32"/>
                    <w:numPr>
                      <w:ilvl w:val="1"/>
                      <w:numId w:val="0"/>
                    </w:numPr>
                    <w:spacing w:line="300" w:lineRule="exact"/>
                    <w:jc w:val="center"/>
                    <w:rPr>
                      <w:rFonts w:hint="default" w:ascii="Times New Roman" w:hAnsi="Times New Roman" w:eastAsia="宋体" w:cs="Times New Roman"/>
                      <w:b/>
                      <w:bCs/>
                      <w:snapToGrid w:val="0"/>
                      <w:color w:val="auto"/>
                      <w:sz w:val="21"/>
                      <w:szCs w:val="21"/>
                      <w:highlight w:val="none"/>
                      <w:vertAlign w:val="baseline"/>
                      <w:lang w:val="en-US" w:eastAsia="zh-CN"/>
                    </w:rPr>
                  </w:pPr>
                  <w:r>
                    <w:rPr>
                      <w:rFonts w:hint="default" w:ascii="Times New Roman" w:hAnsi="Times New Roman" w:cs="Times New Roman"/>
                      <w:b/>
                      <w:bCs/>
                      <w:snapToGrid w:val="0"/>
                      <w:color w:val="auto"/>
                      <w:sz w:val="21"/>
                      <w:szCs w:val="21"/>
                      <w:highlight w:val="none"/>
                    </w:rPr>
                    <w:t>非甲烷总烃</w:t>
                  </w:r>
                  <w:r>
                    <w:rPr>
                      <w:rFonts w:hint="eastAsia" w:ascii="Times New Roman" w:hAnsi="Times New Roman" w:cs="Times New Roman"/>
                      <w:b/>
                      <w:bCs/>
                      <w:snapToGrid w:val="0"/>
                      <w:color w:val="auto"/>
                      <w:sz w:val="21"/>
                      <w:szCs w:val="21"/>
                      <w:highlight w:val="none"/>
                      <w:lang w:val="en-US" w:eastAsia="zh-CN"/>
                    </w:rPr>
                    <w:t>(mg/m</w:t>
                  </w:r>
                  <w:r>
                    <w:rPr>
                      <w:rFonts w:hint="eastAsia" w:ascii="Times New Roman" w:hAnsi="Times New Roman" w:cs="Times New Roman"/>
                      <w:b/>
                      <w:bCs/>
                      <w:snapToGrid w:val="0"/>
                      <w:color w:val="auto"/>
                      <w:sz w:val="21"/>
                      <w:szCs w:val="21"/>
                      <w:highlight w:val="none"/>
                      <w:vertAlign w:val="superscript"/>
                      <w:lang w:val="en-US" w:eastAsia="zh-CN"/>
                    </w:rPr>
                    <w:t>3</w:t>
                  </w:r>
                  <w:r>
                    <w:rPr>
                      <w:rFonts w:hint="eastAsia" w:ascii="Times New Roman" w:hAnsi="Times New Roman" w:cs="Times New Roman"/>
                      <w:b/>
                      <w:bCs/>
                      <w:snapToGrid w:val="0"/>
                      <w:color w:val="auto"/>
                      <w:sz w:val="21"/>
                      <w:szCs w:val="21"/>
                      <w:highlight w:val="none"/>
                      <w:vertAlign w:val="baseline"/>
                      <w:lang w:val="en-US" w:eastAsia="zh-CN"/>
                    </w:rPr>
                    <w:t>)</w:t>
                  </w:r>
                </w:p>
              </w:tc>
            </w:tr>
            <w:tr w14:paraId="33B991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17" w:type="pct"/>
                  <w:noWrap w:val="0"/>
                  <w:vAlign w:val="center"/>
                </w:tcPr>
                <w:p w14:paraId="5B8F93FE">
                  <w:pPr>
                    <w:spacing w:line="300" w:lineRule="exact"/>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2025年12月15日</w:t>
                  </w:r>
                </w:p>
              </w:tc>
              <w:tc>
                <w:tcPr>
                  <w:tcW w:w="2682" w:type="pct"/>
                  <w:noWrap w:val="0"/>
                  <w:vAlign w:val="center"/>
                </w:tcPr>
                <w:p w14:paraId="28BEC132">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r>
                    <w:rPr>
                      <w:rFonts w:hint="eastAsia" w:cs="Times New Roman"/>
                      <w:color w:val="auto"/>
                      <w:sz w:val="21"/>
                      <w:szCs w:val="21"/>
                      <w:highlight w:val="none"/>
                      <w:lang w:val="en-US" w:eastAsia="zh-CN"/>
                    </w:rPr>
                    <w:t>~0.40</w:t>
                  </w:r>
                </w:p>
              </w:tc>
            </w:tr>
            <w:tr w14:paraId="700508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17" w:type="pct"/>
                  <w:noWrap w:val="0"/>
                  <w:vAlign w:val="center"/>
                </w:tcPr>
                <w:p w14:paraId="6637722C">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lang w:val="en-US" w:eastAsia="zh-CN"/>
                    </w:rPr>
                    <w:t>2025年12月16日</w:t>
                  </w:r>
                </w:p>
              </w:tc>
              <w:tc>
                <w:tcPr>
                  <w:tcW w:w="2682" w:type="pct"/>
                  <w:noWrap w:val="0"/>
                  <w:vAlign w:val="center"/>
                </w:tcPr>
                <w:p w14:paraId="5B270CA9">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0.39</w:t>
                  </w:r>
                  <w:r>
                    <w:rPr>
                      <w:rFonts w:hint="eastAsia" w:cs="Times New Roman"/>
                      <w:color w:val="auto"/>
                      <w:sz w:val="21"/>
                      <w:szCs w:val="21"/>
                      <w:highlight w:val="none"/>
                      <w:lang w:val="en-US" w:eastAsia="zh-CN"/>
                    </w:rPr>
                    <w:t>~0.52</w:t>
                  </w:r>
                </w:p>
              </w:tc>
            </w:tr>
            <w:tr w14:paraId="019F10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17" w:type="pct"/>
                  <w:noWrap w:val="0"/>
                  <w:vAlign w:val="center"/>
                </w:tcPr>
                <w:p w14:paraId="57607FD6">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2025年12月17日</w:t>
                  </w:r>
                </w:p>
              </w:tc>
              <w:tc>
                <w:tcPr>
                  <w:tcW w:w="2682" w:type="pct"/>
                  <w:noWrap w:val="0"/>
                  <w:vAlign w:val="center"/>
                </w:tcPr>
                <w:p w14:paraId="619DC3DC">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w:t>
                  </w:r>
                  <w:r>
                    <w:rPr>
                      <w:rFonts w:hint="eastAsia" w:cs="Times New Roman"/>
                      <w:color w:val="auto"/>
                      <w:sz w:val="21"/>
                      <w:szCs w:val="21"/>
                      <w:highlight w:val="none"/>
                      <w:lang w:val="en-US" w:eastAsia="zh-CN"/>
                    </w:rPr>
                    <w:t>2~0.75</w:t>
                  </w:r>
                </w:p>
              </w:tc>
            </w:tr>
            <w:tr w14:paraId="0D889A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17" w:type="pct"/>
                  <w:noWrap w:val="0"/>
                  <w:vAlign w:val="center"/>
                </w:tcPr>
                <w:p w14:paraId="0A7335ED">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10"/>
                      <w:sz w:val="21"/>
                      <w:szCs w:val="21"/>
                      <w:highlight w:val="none"/>
                    </w:rPr>
                    <w:t>评价标准（</w:t>
                  </w:r>
                  <w:r>
                    <w:rPr>
                      <w:rFonts w:hint="default" w:ascii="Times New Roman" w:hAnsi="Times New Roman" w:cs="Times New Roman"/>
                      <w:color w:val="auto"/>
                      <w:spacing w:val="-10"/>
                      <w:sz w:val="21"/>
                      <w:szCs w:val="21"/>
                      <w:highlight w:val="none"/>
                      <w:lang w:val="en-US" w:eastAsia="zh-CN"/>
                    </w:rPr>
                    <w:t>m</w:t>
                  </w:r>
                  <w:r>
                    <w:rPr>
                      <w:rFonts w:hint="default" w:ascii="Times New Roman" w:hAnsi="Times New Roman" w:cs="Times New Roman"/>
                      <w:color w:val="auto"/>
                      <w:spacing w:val="-10"/>
                      <w:sz w:val="21"/>
                      <w:szCs w:val="21"/>
                      <w:highlight w:val="none"/>
                    </w:rPr>
                    <w:t>g/m</w:t>
                  </w:r>
                  <w:r>
                    <w:rPr>
                      <w:rFonts w:hint="default" w:ascii="Times New Roman" w:hAnsi="Times New Roman" w:cs="Times New Roman"/>
                      <w:color w:val="auto"/>
                      <w:spacing w:val="-10"/>
                      <w:sz w:val="21"/>
                      <w:szCs w:val="21"/>
                      <w:highlight w:val="none"/>
                      <w:vertAlign w:val="superscript"/>
                    </w:rPr>
                    <w:t>3</w:t>
                  </w:r>
                  <w:r>
                    <w:rPr>
                      <w:rFonts w:hint="default" w:ascii="Times New Roman" w:hAnsi="Times New Roman" w:cs="Times New Roman"/>
                      <w:color w:val="auto"/>
                      <w:spacing w:val="-10"/>
                      <w:sz w:val="21"/>
                      <w:szCs w:val="21"/>
                      <w:highlight w:val="none"/>
                    </w:rPr>
                    <w:t>）</w:t>
                  </w:r>
                </w:p>
              </w:tc>
              <w:tc>
                <w:tcPr>
                  <w:tcW w:w="2682" w:type="pct"/>
                  <w:noWrap w:val="0"/>
                  <w:vAlign w:val="center"/>
                </w:tcPr>
                <w:p w14:paraId="43EFC0A7">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r w14:paraId="679319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17" w:type="pct"/>
                  <w:noWrap w:val="0"/>
                  <w:vAlign w:val="center"/>
                </w:tcPr>
                <w:p w14:paraId="610DCFC8">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最大浓度占标率（%）</w:t>
                  </w:r>
                </w:p>
              </w:tc>
              <w:tc>
                <w:tcPr>
                  <w:tcW w:w="2682" w:type="pct"/>
                  <w:noWrap w:val="0"/>
                  <w:vAlign w:val="center"/>
                </w:tcPr>
                <w:p w14:paraId="153103F1">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37.5</w:t>
                  </w:r>
                </w:p>
              </w:tc>
            </w:tr>
            <w:tr w14:paraId="5CEDC1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17" w:type="pct"/>
                  <w:noWrap w:val="0"/>
                  <w:vAlign w:val="center"/>
                </w:tcPr>
                <w:p w14:paraId="1B4B9D84">
                  <w:pPr>
                    <w:spacing w:line="30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超标率%</w:t>
                  </w:r>
                </w:p>
              </w:tc>
              <w:tc>
                <w:tcPr>
                  <w:tcW w:w="2682" w:type="pct"/>
                  <w:noWrap w:val="0"/>
                  <w:vAlign w:val="center"/>
                </w:tcPr>
                <w:p w14:paraId="485BE30D">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489A8F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317" w:type="pct"/>
                  <w:noWrap w:val="0"/>
                  <w:vAlign w:val="center"/>
                </w:tcPr>
                <w:p w14:paraId="0D091979">
                  <w:pPr>
                    <w:spacing w:line="30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达</w:t>
                  </w:r>
                  <w:r>
                    <w:rPr>
                      <w:rFonts w:hint="default" w:ascii="Times New Roman" w:hAnsi="Times New Roman" w:cs="Times New Roman"/>
                      <w:bCs/>
                      <w:color w:val="auto"/>
                      <w:sz w:val="21"/>
                      <w:szCs w:val="21"/>
                      <w:highlight w:val="none"/>
                      <w:lang w:val="en-US" w:eastAsia="zh-CN"/>
                    </w:rPr>
                    <w:t>标</w:t>
                  </w:r>
                  <w:r>
                    <w:rPr>
                      <w:rFonts w:hint="default" w:ascii="Times New Roman" w:hAnsi="Times New Roman" w:cs="Times New Roman"/>
                      <w:bCs/>
                      <w:color w:val="auto"/>
                      <w:sz w:val="21"/>
                      <w:szCs w:val="21"/>
                      <w:highlight w:val="none"/>
                    </w:rPr>
                    <w:t>情况</w:t>
                  </w:r>
                </w:p>
              </w:tc>
              <w:tc>
                <w:tcPr>
                  <w:tcW w:w="2682" w:type="pct"/>
                  <w:noWrap w:val="0"/>
                  <w:vAlign w:val="center"/>
                </w:tcPr>
                <w:p w14:paraId="2C407E7B">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14:paraId="108EF6AD">
            <w:pPr>
              <w:pStyle w:val="43"/>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由表3</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-3可知，</w:t>
            </w:r>
            <w:r>
              <w:rPr>
                <w:rFonts w:hint="eastAsia"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所在地环境空气中非甲烷总烃满足河北省《环境空气质量非甲烷总烃限值》（DB13/1577-2012）二级标准要求。</w:t>
            </w:r>
          </w:p>
          <w:p w14:paraId="70A33D31">
            <w:pPr>
              <w:pStyle w:val="3"/>
              <w:keepNext w:val="0"/>
              <w:keepLines w:val="0"/>
              <w:pageBreakBefore w:val="0"/>
              <w:widowControl w:val="0"/>
              <w:kinsoku/>
              <w:wordWrap/>
              <w:overflowPunct w:val="0"/>
              <w:topLinePunct/>
              <w:autoSpaceDE/>
              <w:autoSpaceDN/>
              <w:bidi w:val="0"/>
              <w:adjustRightInd w:val="0"/>
              <w:snapToGrid w:val="0"/>
              <w:spacing w:before="0" w:after="0" w:line="360" w:lineRule="auto"/>
              <w:ind w:right="0" w:firstLine="514" w:firstLineChars="200"/>
              <w:jc w:val="both"/>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3.1.2地表水环境质量现状</w:t>
            </w:r>
          </w:p>
          <w:p w14:paraId="7507527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bCs/>
                <w:color w:val="auto"/>
                <w:kern w:val="2"/>
                <w:sz w:val="24"/>
                <w:szCs w:val="24"/>
                <w:highlight w:val="none"/>
                <w:lang w:val="en-US" w:eastAsia="zh-CN" w:bidi="ar-SA"/>
              </w:rPr>
            </w:pP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位于九龙坡区，</w:t>
            </w:r>
            <w:r>
              <w:rPr>
                <w:rFonts w:hint="default" w:ascii="Times New Roman" w:hAnsi="Times New Roman" w:eastAsia="新宋体" w:cs="Times New Roman"/>
                <w:bCs/>
                <w:color w:val="auto"/>
                <w:kern w:val="2"/>
                <w:sz w:val="24"/>
                <w:szCs w:val="24"/>
                <w:highlight w:val="none"/>
                <w:lang w:val="en-US" w:eastAsia="zh-CN" w:bidi="ar-SA"/>
              </w:rPr>
              <w:t>项目运营期水洗工段废水、车间清洗废水经收集后进入厂区现有污水处理站处理达《污水综合排放标准》（GB8978-1996）三级标准后再排入市政污水管网，最终进入铜罐驿污水处理厂深度处理达《地表水环境质量标准》（GB3838-2002）IV类标准（其中TN、SS满足《城镇污水处理厂污染物排放标准》（GB18918-2002）一级A标准）后排入金竹沟，最后汇入长江</w:t>
            </w:r>
            <w:r>
              <w:rPr>
                <w:rFonts w:hint="default" w:ascii="Times New Roman" w:hAnsi="Times New Roman" w:cs="Times New Roman"/>
                <w:bCs/>
                <w:color w:val="auto"/>
                <w:kern w:val="2"/>
                <w:sz w:val="24"/>
                <w:szCs w:val="24"/>
                <w:highlight w:val="none"/>
                <w:lang w:val="en-US" w:eastAsia="zh-CN" w:bidi="ar-SA"/>
              </w:rPr>
              <w:t>。</w:t>
            </w:r>
          </w:p>
          <w:p w14:paraId="5210B31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2024年重庆市生态环境状况公报》：“2024年，长江干流重庆段水质为优，20个监测断面水质均为II类。长江支流总体水质为优，122条河流布设的218个监测断面中，I~III类断面比例为97.2%；水质满足水域功能的断面占99.1%。”</w:t>
            </w:r>
          </w:p>
          <w:p w14:paraId="63DD0C2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综上，项目所在区域地表水环境状况较好。</w:t>
            </w:r>
          </w:p>
          <w:p w14:paraId="71919177">
            <w:pPr>
              <w:pStyle w:val="43"/>
              <w:keepNext w:val="0"/>
              <w:keepLines w:val="0"/>
              <w:pageBreakBefore w:val="0"/>
              <w:widowControl w:val="0"/>
              <w:kinsoku/>
              <w:wordWrap/>
              <w:overflowPunct/>
              <w:topLinePunct w:val="0"/>
              <w:autoSpaceDE/>
              <w:autoSpaceDN/>
              <w:bidi w:val="0"/>
              <w:adjustRightInd/>
              <w:spacing w:line="360" w:lineRule="auto"/>
              <w:textAlignment w:val="auto"/>
              <w:rPr>
                <w:rFonts w:hint="default" w:cs="Times New Roman"/>
                <w:b/>
                <w:bCs w:val="0"/>
                <w:color w:val="auto"/>
                <w:sz w:val="24"/>
                <w:szCs w:val="24"/>
                <w:highlight w:val="none"/>
                <w:vertAlign w:val="baseline"/>
                <w:lang w:val="en-US" w:eastAsia="zh-CN"/>
              </w:rPr>
            </w:pPr>
            <w:r>
              <w:rPr>
                <w:rFonts w:hint="eastAsia" w:cs="Times New Roman"/>
                <w:b/>
                <w:bCs w:val="0"/>
                <w:color w:val="auto"/>
                <w:sz w:val="24"/>
                <w:szCs w:val="24"/>
                <w:highlight w:val="none"/>
                <w:vertAlign w:val="baseline"/>
                <w:lang w:val="en-US" w:eastAsia="zh-CN"/>
              </w:rPr>
              <w:t>3.1.3地下水环境质量现状</w:t>
            </w:r>
          </w:p>
          <w:p w14:paraId="6B6329A6">
            <w:pPr>
              <w:pStyle w:val="43"/>
              <w:keepNext w:val="0"/>
              <w:keepLines w:val="0"/>
              <w:pageBreakBefore w:val="0"/>
              <w:widowControl w:val="0"/>
              <w:kinsoku/>
              <w:wordWrap/>
              <w:overflowPunct/>
              <w:topLinePunct w:val="0"/>
              <w:autoSpaceDE/>
              <w:autoSpaceDN/>
              <w:bidi w:val="0"/>
              <w:adjustRightInd/>
              <w:spacing w:line="360" w:lineRule="auto"/>
              <w:textAlignment w:val="auto"/>
              <w:rPr>
                <w:rFonts w:hint="eastAsia" w:cs="Times New Roman"/>
                <w:color w:val="auto"/>
                <w:szCs w:val="24"/>
                <w:highlight w:val="none"/>
                <w:lang w:val="en-US" w:eastAsia="zh-CN"/>
              </w:rPr>
            </w:pPr>
            <w:r>
              <w:rPr>
                <w:rFonts w:hint="eastAsia" w:cs="Times New Roman"/>
                <w:b w:val="0"/>
                <w:bCs/>
                <w:color w:val="auto"/>
                <w:sz w:val="24"/>
                <w:szCs w:val="24"/>
                <w:highlight w:val="none"/>
                <w:vertAlign w:val="baseline"/>
                <w:lang w:val="en-US" w:eastAsia="zh-CN"/>
              </w:rPr>
              <w:t>为了解项目所在区域地下水环境质量现状，本次评价引用</w:t>
            </w:r>
            <w:r>
              <w:rPr>
                <w:rFonts w:hint="default" w:ascii="Times New Roman" w:hAnsi="Times New Roman" w:eastAsia="宋体" w:cs="Times New Roman"/>
                <w:color w:val="auto"/>
                <w:sz w:val="24"/>
                <w:highlight w:val="none"/>
                <w:lang w:val="en-US" w:eastAsia="zh-CN" w:bidi="ar"/>
              </w:rPr>
              <w:t>《西部（重庆）科学城九龙新城园区规划环境影响报告书》</w:t>
            </w:r>
            <w:r>
              <w:rPr>
                <w:rFonts w:hint="eastAsia" w:eastAsia="宋体" w:cs="Times New Roman"/>
                <w:color w:val="auto"/>
                <w:sz w:val="24"/>
                <w:highlight w:val="none"/>
                <w:lang w:val="en-US" w:eastAsia="zh-CN" w:bidi="ar"/>
              </w:rPr>
              <w:t>中地下水环境质量现状监测数据，监测报告编号：港庆（监）字〔2024〕第07003-4-HP号，监测时间为2025年6月27日，监测点位D12位于厂区南侧下游约43m处，该监测数据具有代表性，</w:t>
            </w:r>
            <w:r>
              <w:rPr>
                <w:rFonts w:hint="default" w:ascii="Times New Roman" w:hAnsi="Times New Roman" w:cs="Times New Roman"/>
                <w:color w:val="auto"/>
                <w:szCs w:val="24"/>
                <w:highlight w:val="none"/>
              </w:rPr>
              <w:t>监测布点情况</w:t>
            </w:r>
            <w:r>
              <w:rPr>
                <w:rFonts w:hint="eastAsia" w:cs="Times New Roman"/>
                <w:color w:val="auto"/>
                <w:szCs w:val="24"/>
                <w:highlight w:val="none"/>
                <w:lang w:val="en-US" w:eastAsia="zh-CN"/>
              </w:rPr>
              <w:t>如下。</w:t>
            </w:r>
          </w:p>
          <w:p w14:paraId="7DF200D7">
            <w:pPr>
              <w:pStyle w:val="43"/>
              <w:keepNext w:val="0"/>
              <w:keepLines w:val="0"/>
              <w:pageBreakBefore w:val="0"/>
              <w:widowControl w:val="0"/>
              <w:kinsoku/>
              <w:wordWrap/>
              <w:overflowPunct/>
              <w:topLinePunct w:val="0"/>
              <w:autoSpaceDE/>
              <w:autoSpaceDN/>
              <w:bidi w:val="0"/>
              <w:adjustRightInd/>
              <w:spacing w:line="360" w:lineRule="auto"/>
              <w:textAlignment w:val="auto"/>
              <w:rPr>
                <w:rFonts w:hint="default" w:cs="Times New Roman"/>
                <w:color w:val="auto"/>
                <w:szCs w:val="24"/>
                <w:highlight w:val="none"/>
                <w:lang w:val="en-US" w:eastAsia="zh-CN"/>
              </w:rPr>
            </w:pPr>
            <w:r>
              <w:rPr>
                <w:rFonts w:hint="default" w:cs="Times New Roman"/>
                <w:color w:val="auto"/>
                <w:szCs w:val="24"/>
                <w:highlight w:val="none"/>
                <w:lang w:val="en-US" w:eastAsia="zh-CN"/>
              </w:rPr>
              <w:t>（1）监测点位及监测项目</w:t>
            </w:r>
          </w:p>
          <w:p w14:paraId="27B03CB8">
            <w:pPr>
              <w:adjustRightInd w:val="0"/>
              <w:snapToGrid w:val="0"/>
              <w:jc w:val="center"/>
              <w:rPr>
                <w:b/>
                <w:color w:val="auto"/>
                <w:kern w:val="0"/>
                <w:szCs w:val="21"/>
                <w:highlight w:val="none"/>
              </w:rPr>
            </w:pPr>
            <w:r>
              <w:rPr>
                <w:b/>
                <w:color w:val="auto"/>
                <w:kern w:val="0"/>
                <w:szCs w:val="21"/>
                <w:highlight w:val="none"/>
              </w:rPr>
              <w:t>表</w:t>
            </w:r>
            <w:r>
              <w:rPr>
                <w:rFonts w:hint="eastAsia"/>
                <w:b/>
                <w:color w:val="auto"/>
                <w:kern w:val="0"/>
                <w:szCs w:val="21"/>
                <w:highlight w:val="none"/>
                <w:lang w:val="en-US" w:eastAsia="zh-CN"/>
              </w:rPr>
              <w:t>3.1-4</w:t>
            </w:r>
            <w:r>
              <w:rPr>
                <w:b/>
                <w:color w:val="auto"/>
                <w:kern w:val="0"/>
                <w:szCs w:val="21"/>
                <w:highlight w:val="none"/>
              </w:rPr>
              <w:t>地下水监测点位</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757"/>
              <w:gridCol w:w="1367"/>
              <w:gridCol w:w="3343"/>
              <w:gridCol w:w="965"/>
            </w:tblGrid>
            <w:tr w14:paraId="5C9C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0" w:type="pct"/>
                  <w:tcBorders>
                    <w:tl2br w:val="nil"/>
                    <w:tr2bl w:val="nil"/>
                  </w:tcBorders>
                  <w:noWrap w:val="0"/>
                  <w:vAlign w:val="center"/>
                </w:tcPr>
                <w:p w14:paraId="259672B1">
                  <w:pPr>
                    <w:pStyle w:val="16"/>
                    <w:widowControl w:val="0"/>
                    <w:spacing w:before="0" w:beforeAutospacing="0" w:after="0" w:afterAutospacing="0"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kern w:val="2"/>
                      <w:sz w:val="20"/>
                      <w:szCs w:val="20"/>
                      <w:highlight w:val="none"/>
                      <w:lang w:bidi="ar"/>
                    </w:rPr>
                    <w:t>编号</w:t>
                  </w:r>
                </w:p>
              </w:tc>
              <w:tc>
                <w:tcPr>
                  <w:tcW w:w="1099" w:type="pct"/>
                  <w:tcBorders>
                    <w:tl2br w:val="nil"/>
                    <w:tr2bl w:val="nil"/>
                  </w:tcBorders>
                  <w:noWrap w:val="0"/>
                  <w:vAlign w:val="center"/>
                </w:tcPr>
                <w:p w14:paraId="39489CFD">
                  <w:pPr>
                    <w:pStyle w:val="16"/>
                    <w:widowControl w:val="0"/>
                    <w:spacing w:before="0" w:beforeAutospacing="0" w:after="0" w:afterAutospacing="0"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kern w:val="2"/>
                      <w:sz w:val="20"/>
                      <w:szCs w:val="20"/>
                      <w:highlight w:val="none"/>
                      <w:lang w:bidi="ar"/>
                    </w:rPr>
                    <w:t>监测点位</w:t>
                  </w:r>
                </w:p>
              </w:tc>
              <w:tc>
                <w:tcPr>
                  <w:tcW w:w="855" w:type="pct"/>
                  <w:tcBorders>
                    <w:tl2br w:val="nil"/>
                    <w:tr2bl w:val="nil"/>
                  </w:tcBorders>
                  <w:noWrap w:val="0"/>
                  <w:vAlign w:val="center"/>
                </w:tcPr>
                <w:p w14:paraId="48F18B95">
                  <w:pPr>
                    <w:pStyle w:val="16"/>
                    <w:widowControl w:val="0"/>
                    <w:spacing w:before="0" w:beforeAutospacing="0" w:after="0" w:afterAutospacing="0" w:line="240" w:lineRule="auto"/>
                    <w:jc w:val="center"/>
                    <w:rPr>
                      <w:rFonts w:hint="default" w:ascii="Times New Roman" w:hAnsi="Times New Roman" w:eastAsia="宋体" w:cs="Times New Roman"/>
                      <w:b/>
                      <w:bCs/>
                      <w:color w:val="auto"/>
                      <w:kern w:val="2"/>
                      <w:sz w:val="20"/>
                      <w:szCs w:val="20"/>
                      <w:highlight w:val="none"/>
                      <w:lang w:val="en-US" w:eastAsia="zh-CN" w:bidi="ar"/>
                    </w:rPr>
                  </w:pPr>
                  <w:r>
                    <w:rPr>
                      <w:rFonts w:hint="eastAsia" w:ascii="Times New Roman" w:hAnsi="Times New Roman" w:cs="Times New Roman"/>
                      <w:b/>
                      <w:bCs/>
                      <w:color w:val="auto"/>
                      <w:kern w:val="2"/>
                      <w:sz w:val="20"/>
                      <w:szCs w:val="20"/>
                      <w:highlight w:val="none"/>
                      <w:lang w:val="en-US" w:eastAsia="zh-CN" w:bidi="ar"/>
                    </w:rPr>
                    <w:t>相对厂区地下水流向</w:t>
                  </w:r>
                </w:p>
              </w:tc>
              <w:tc>
                <w:tcPr>
                  <w:tcW w:w="2090" w:type="pct"/>
                  <w:tcBorders>
                    <w:tl2br w:val="nil"/>
                    <w:tr2bl w:val="nil"/>
                  </w:tcBorders>
                  <w:noWrap w:val="0"/>
                  <w:vAlign w:val="center"/>
                </w:tcPr>
                <w:p w14:paraId="4346B805">
                  <w:pPr>
                    <w:pStyle w:val="16"/>
                    <w:widowControl w:val="0"/>
                    <w:spacing w:before="0" w:beforeAutospacing="0" w:after="0" w:afterAutospacing="0"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kern w:val="2"/>
                      <w:sz w:val="20"/>
                      <w:szCs w:val="20"/>
                      <w:highlight w:val="none"/>
                      <w:lang w:bidi="ar"/>
                    </w:rPr>
                    <w:t>监测项目</w:t>
                  </w:r>
                </w:p>
              </w:tc>
              <w:tc>
                <w:tcPr>
                  <w:tcW w:w="603" w:type="pct"/>
                  <w:tcBorders>
                    <w:tl2br w:val="nil"/>
                    <w:tr2bl w:val="nil"/>
                  </w:tcBorders>
                  <w:noWrap w:val="0"/>
                  <w:vAlign w:val="center"/>
                </w:tcPr>
                <w:p w14:paraId="681D7AEC">
                  <w:pPr>
                    <w:pStyle w:val="16"/>
                    <w:widowControl w:val="0"/>
                    <w:spacing w:before="0" w:beforeAutospacing="0" w:after="0" w:afterAutospacing="0" w:line="240" w:lineRule="auto"/>
                    <w:jc w:val="center"/>
                    <w:rPr>
                      <w:rFonts w:hint="default" w:ascii="Times New Roman" w:hAnsi="Times New Roman" w:cs="Times New Roman"/>
                      <w:b/>
                      <w:bCs/>
                      <w:color w:val="auto"/>
                      <w:kern w:val="2"/>
                      <w:sz w:val="20"/>
                      <w:szCs w:val="20"/>
                      <w:highlight w:val="none"/>
                      <w:lang w:eastAsia="zh-CN" w:bidi="ar"/>
                    </w:rPr>
                  </w:pPr>
                  <w:r>
                    <w:rPr>
                      <w:rFonts w:hint="default" w:ascii="Times New Roman" w:hAnsi="Times New Roman" w:cs="Times New Roman"/>
                      <w:b/>
                      <w:bCs/>
                      <w:color w:val="auto"/>
                      <w:kern w:val="2"/>
                      <w:sz w:val="20"/>
                      <w:szCs w:val="20"/>
                      <w:highlight w:val="none"/>
                      <w:lang w:eastAsia="zh-CN" w:bidi="ar"/>
                    </w:rPr>
                    <w:t>监测</w:t>
                  </w:r>
                </w:p>
                <w:p w14:paraId="2A60662F">
                  <w:pPr>
                    <w:pStyle w:val="16"/>
                    <w:widowControl w:val="0"/>
                    <w:spacing w:before="0" w:beforeAutospacing="0" w:after="0" w:afterAutospacing="0"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kern w:val="2"/>
                      <w:sz w:val="20"/>
                      <w:szCs w:val="20"/>
                      <w:highlight w:val="none"/>
                      <w:lang w:bidi="ar"/>
                    </w:rPr>
                    <w:t>频</w:t>
                  </w:r>
                  <w:r>
                    <w:rPr>
                      <w:rFonts w:hint="default" w:ascii="Times New Roman" w:hAnsi="Times New Roman" w:cs="Times New Roman"/>
                      <w:b/>
                      <w:bCs/>
                      <w:color w:val="auto"/>
                      <w:kern w:val="2"/>
                      <w:sz w:val="20"/>
                      <w:szCs w:val="20"/>
                      <w:highlight w:val="none"/>
                      <w:lang w:eastAsia="zh-CN" w:bidi="ar"/>
                    </w:rPr>
                    <w:t>次</w:t>
                  </w:r>
                </w:p>
              </w:tc>
            </w:tr>
            <w:tr w14:paraId="5042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tcBorders>
                    <w:tl2br w:val="nil"/>
                    <w:tr2bl w:val="nil"/>
                  </w:tcBorders>
                  <w:noWrap w:val="0"/>
                  <w:vAlign w:val="center"/>
                </w:tcPr>
                <w:p w14:paraId="55A858DB">
                  <w:pPr>
                    <w:pStyle w:val="16"/>
                    <w:widowControl w:val="0"/>
                    <w:spacing w:before="0" w:beforeAutospacing="0" w:after="0" w:afterAutospacing="0" w:line="240" w:lineRule="auto"/>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kern w:val="2"/>
                      <w:sz w:val="20"/>
                      <w:szCs w:val="20"/>
                      <w:highlight w:val="none"/>
                      <w:lang w:val="en-US" w:eastAsia="zh-CN" w:bidi="ar"/>
                    </w:rPr>
                    <w:t>D12</w:t>
                  </w:r>
                </w:p>
              </w:tc>
              <w:tc>
                <w:tcPr>
                  <w:tcW w:w="1099" w:type="pct"/>
                  <w:tcBorders>
                    <w:tl2br w:val="nil"/>
                    <w:tr2bl w:val="nil"/>
                  </w:tcBorders>
                  <w:noWrap w:val="0"/>
                  <w:vAlign w:val="center"/>
                </w:tcPr>
                <w:p w14:paraId="09286FB3">
                  <w:pPr>
                    <w:keepNext w:val="0"/>
                    <w:keepLines w:val="0"/>
                    <w:widowControl/>
                    <w:suppressLineNumbers w:val="0"/>
                    <w:jc w:val="center"/>
                    <w:textAlignment w:val="center"/>
                    <w:rPr>
                      <w:rFonts w:hint="eastAsia" w:ascii="Times New Roman" w:hAnsi="Times New Roman" w:eastAsia="宋体" w:cs="Times New Roman"/>
                      <w:color w:val="auto"/>
                      <w:kern w:val="2"/>
                      <w:sz w:val="20"/>
                      <w:szCs w:val="20"/>
                      <w:highlight w:val="none"/>
                      <w:lang w:val="en-US" w:eastAsia="zh-CN" w:bidi="ar"/>
                    </w:rPr>
                  </w:pPr>
                  <w:r>
                    <w:rPr>
                      <w:rFonts w:hint="default" w:ascii="Times New Roman" w:hAnsi="Times New Roman" w:eastAsia="宋体" w:cs="Times New Roman"/>
                      <w:color w:val="auto"/>
                      <w:kern w:val="2"/>
                      <w:sz w:val="20"/>
                      <w:szCs w:val="20"/>
                      <w:highlight w:val="none"/>
                      <w:lang w:val="en-US" w:eastAsia="zh-CN" w:bidi="ar"/>
                    </w:rPr>
                    <w:t>铜罐驿污水处理厂</w:t>
                  </w:r>
                  <w:r>
                    <w:rPr>
                      <w:rFonts w:hint="eastAsia"/>
                      <w:color w:val="auto"/>
                      <w:highlight w:val="none"/>
                      <w:lang w:eastAsia="zh-CN"/>
                    </w:rPr>
                    <w:t>（厂区南侧下游约43m处）</w:t>
                  </w:r>
                </w:p>
              </w:tc>
              <w:tc>
                <w:tcPr>
                  <w:tcW w:w="855" w:type="pct"/>
                  <w:tcBorders>
                    <w:tl2br w:val="nil"/>
                    <w:tr2bl w:val="nil"/>
                  </w:tcBorders>
                  <w:noWrap w:val="0"/>
                  <w:vAlign w:val="center"/>
                </w:tcPr>
                <w:p w14:paraId="2281AB3D">
                  <w:pPr>
                    <w:jc w:val="center"/>
                    <w:rPr>
                      <w:rFonts w:hint="default" w:ascii="Times New Roman" w:hAnsi="Times New Roman" w:eastAsia="宋体" w:cs="Times New Roman"/>
                      <w:color w:val="auto"/>
                      <w:kern w:val="2"/>
                      <w:sz w:val="20"/>
                      <w:szCs w:val="20"/>
                      <w:highlight w:val="none"/>
                      <w:lang w:val="en-US" w:eastAsia="zh-CN" w:bidi="ar"/>
                    </w:rPr>
                  </w:pPr>
                  <w:r>
                    <w:rPr>
                      <w:rFonts w:hint="eastAsia" w:cs="Times New Roman"/>
                      <w:color w:val="auto"/>
                      <w:kern w:val="2"/>
                      <w:sz w:val="20"/>
                      <w:szCs w:val="20"/>
                      <w:highlight w:val="none"/>
                      <w:lang w:val="en-US" w:eastAsia="zh-CN" w:bidi="ar"/>
                    </w:rPr>
                    <w:t>下游</w:t>
                  </w:r>
                </w:p>
              </w:tc>
              <w:tc>
                <w:tcPr>
                  <w:tcW w:w="2090" w:type="pct"/>
                  <w:tcBorders>
                    <w:tl2br w:val="nil"/>
                    <w:tr2bl w:val="nil"/>
                  </w:tcBorders>
                  <w:noWrap w:val="0"/>
                  <w:vAlign w:val="center"/>
                </w:tcPr>
                <w:p w14:paraId="77ECE612">
                  <w:pPr>
                    <w:pStyle w:val="16"/>
                    <w:widowControl w:val="0"/>
                    <w:spacing w:before="0" w:after="0" w:line="240" w:lineRule="auto"/>
                    <w:jc w:val="both"/>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K</w:t>
                  </w:r>
                  <w:r>
                    <w:rPr>
                      <w:rFonts w:hint="default" w:ascii="Times New Roman" w:hAnsi="Times New Roman" w:eastAsia="宋体" w:cs="Times New Roman"/>
                      <w:color w:val="auto"/>
                      <w:sz w:val="20"/>
                      <w:szCs w:val="20"/>
                      <w:highlight w:val="none"/>
                      <w:vertAlign w:val="superscript"/>
                      <w:lang w:val="en-US" w:eastAsia="zh-CN"/>
                    </w:rPr>
                    <w:t>+</w:t>
                  </w:r>
                  <w:r>
                    <w:rPr>
                      <w:rFonts w:hint="default" w:ascii="Times New Roman" w:hAnsi="Times New Roman" w:eastAsia="宋体" w:cs="Times New Roman"/>
                      <w:color w:val="auto"/>
                      <w:sz w:val="20"/>
                      <w:szCs w:val="20"/>
                      <w:highlight w:val="none"/>
                      <w:lang w:val="en-US" w:eastAsia="zh-CN"/>
                    </w:rPr>
                    <w:t>、Na</w:t>
                  </w:r>
                  <w:r>
                    <w:rPr>
                      <w:rFonts w:hint="default" w:ascii="Times New Roman" w:hAnsi="Times New Roman" w:eastAsia="宋体" w:cs="Times New Roman"/>
                      <w:color w:val="auto"/>
                      <w:sz w:val="20"/>
                      <w:szCs w:val="20"/>
                      <w:highlight w:val="none"/>
                      <w:vertAlign w:val="superscript"/>
                      <w:lang w:val="en-US" w:eastAsia="zh-CN"/>
                    </w:rPr>
                    <w:t>+</w:t>
                  </w:r>
                  <w:r>
                    <w:rPr>
                      <w:rFonts w:hint="default" w:ascii="Times New Roman" w:hAnsi="Times New Roman" w:eastAsia="宋体" w:cs="Times New Roman"/>
                      <w:color w:val="auto"/>
                      <w:sz w:val="20"/>
                      <w:szCs w:val="20"/>
                      <w:highlight w:val="none"/>
                      <w:lang w:val="en-US" w:eastAsia="zh-CN"/>
                    </w:rPr>
                    <w:t>、Ca</w:t>
                  </w:r>
                  <w:r>
                    <w:rPr>
                      <w:rFonts w:hint="default" w:ascii="Times New Roman" w:hAnsi="Times New Roman" w:eastAsia="宋体" w:cs="Times New Roman"/>
                      <w:color w:val="auto"/>
                      <w:sz w:val="20"/>
                      <w:szCs w:val="20"/>
                      <w:highlight w:val="none"/>
                      <w:vertAlign w:val="superscript"/>
                      <w:lang w:val="en-US" w:eastAsia="zh-CN"/>
                    </w:rPr>
                    <w:t>2+</w:t>
                  </w:r>
                  <w:r>
                    <w:rPr>
                      <w:rFonts w:hint="default" w:ascii="Times New Roman" w:hAnsi="Times New Roman" w:eastAsia="宋体" w:cs="Times New Roman"/>
                      <w:color w:val="auto"/>
                      <w:sz w:val="20"/>
                      <w:szCs w:val="20"/>
                      <w:highlight w:val="none"/>
                      <w:lang w:val="en-US" w:eastAsia="zh-CN"/>
                    </w:rPr>
                    <w:t>、Mg</w:t>
                  </w:r>
                  <w:r>
                    <w:rPr>
                      <w:rFonts w:hint="default" w:ascii="Times New Roman" w:hAnsi="Times New Roman" w:eastAsia="宋体" w:cs="Times New Roman"/>
                      <w:color w:val="auto"/>
                      <w:sz w:val="20"/>
                      <w:szCs w:val="20"/>
                      <w:highlight w:val="none"/>
                      <w:vertAlign w:val="superscript"/>
                      <w:lang w:val="en-US" w:eastAsia="zh-CN"/>
                    </w:rPr>
                    <w:t>2+</w:t>
                  </w:r>
                  <w:r>
                    <w:rPr>
                      <w:rFonts w:hint="default" w:ascii="Times New Roman" w:hAnsi="Times New Roman" w:eastAsia="宋体" w:cs="Times New Roman"/>
                      <w:color w:val="auto"/>
                      <w:sz w:val="20"/>
                      <w:szCs w:val="20"/>
                      <w:highlight w:val="none"/>
                      <w:lang w:val="en-US" w:eastAsia="zh-CN"/>
                    </w:rPr>
                    <w:t>、CO</w:t>
                  </w:r>
                  <w:r>
                    <w:rPr>
                      <w:rFonts w:hint="default" w:ascii="Times New Roman" w:hAnsi="Times New Roman" w:eastAsia="宋体" w:cs="Times New Roman"/>
                      <w:color w:val="auto"/>
                      <w:sz w:val="20"/>
                      <w:szCs w:val="20"/>
                      <w:highlight w:val="none"/>
                      <w:vertAlign w:val="subscript"/>
                      <w:lang w:val="en-US" w:eastAsia="zh-CN"/>
                    </w:rPr>
                    <w:t>3</w:t>
                  </w:r>
                  <w:r>
                    <w:rPr>
                      <w:rFonts w:hint="default" w:ascii="Times New Roman" w:hAnsi="Times New Roman" w:eastAsia="宋体" w:cs="Times New Roman"/>
                      <w:color w:val="auto"/>
                      <w:sz w:val="20"/>
                      <w:szCs w:val="20"/>
                      <w:highlight w:val="none"/>
                      <w:vertAlign w:val="superscript"/>
                      <w:lang w:val="en-US" w:eastAsia="zh-CN"/>
                    </w:rPr>
                    <w:t>2-</w:t>
                  </w:r>
                  <w:r>
                    <w:rPr>
                      <w:rFonts w:hint="default" w:ascii="Times New Roman" w:hAnsi="Times New Roman" w:eastAsia="宋体" w:cs="Times New Roman"/>
                      <w:color w:val="auto"/>
                      <w:sz w:val="20"/>
                      <w:szCs w:val="20"/>
                      <w:highlight w:val="none"/>
                      <w:lang w:val="en-US" w:eastAsia="zh-CN"/>
                    </w:rPr>
                    <w:t>、</w:t>
                  </w:r>
                  <w:r>
                    <w:rPr>
                      <w:rFonts w:hint="eastAsia" w:ascii="Times New Roman" w:hAnsi="Times New Roman" w:eastAsia="宋体" w:cs="Times New Roman"/>
                      <w:color w:val="auto"/>
                      <w:sz w:val="20"/>
                      <w:szCs w:val="20"/>
                      <w:highlight w:val="none"/>
                      <w:lang w:val="en-US" w:eastAsia="zh-CN"/>
                    </w:rPr>
                    <w:t>H</w:t>
                  </w:r>
                  <w:r>
                    <w:rPr>
                      <w:rFonts w:hint="default" w:ascii="Times New Roman" w:hAnsi="Times New Roman" w:eastAsia="宋体" w:cs="Times New Roman"/>
                      <w:color w:val="auto"/>
                      <w:sz w:val="20"/>
                      <w:szCs w:val="20"/>
                      <w:highlight w:val="none"/>
                      <w:lang w:val="en-US" w:eastAsia="zh-CN"/>
                    </w:rPr>
                    <w:t>CO</w:t>
                  </w:r>
                  <w:r>
                    <w:rPr>
                      <w:rFonts w:hint="default" w:ascii="Times New Roman" w:hAnsi="Times New Roman" w:eastAsia="宋体" w:cs="Times New Roman"/>
                      <w:color w:val="auto"/>
                      <w:sz w:val="20"/>
                      <w:szCs w:val="20"/>
                      <w:highlight w:val="none"/>
                      <w:vertAlign w:val="subscript"/>
                      <w:lang w:val="en-US" w:eastAsia="zh-CN"/>
                    </w:rPr>
                    <w:t>3</w:t>
                  </w:r>
                  <w:r>
                    <w:rPr>
                      <w:rFonts w:hint="default" w:ascii="Times New Roman" w:hAnsi="Times New Roman" w:eastAsia="宋体" w:cs="Times New Roman"/>
                      <w:color w:val="auto"/>
                      <w:sz w:val="20"/>
                      <w:szCs w:val="20"/>
                      <w:highlight w:val="none"/>
                      <w:vertAlign w:val="superscript"/>
                      <w:lang w:val="en-US" w:eastAsia="zh-CN"/>
                    </w:rPr>
                    <w:t>-</w:t>
                  </w:r>
                  <w:r>
                    <w:rPr>
                      <w:rFonts w:hint="default" w:ascii="Times New Roman" w:hAnsi="Times New Roman" w:eastAsia="宋体" w:cs="Times New Roman"/>
                      <w:color w:val="auto"/>
                      <w:sz w:val="20"/>
                      <w:szCs w:val="20"/>
                      <w:highlight w:val="none"/>
                      <w:lang w:val="en-US" w:eastAsia="zh-CN"/>
                    </w:rPr>
                    <w:t>、Cl</w:t>
                  </w:r>
                  <w:r>
                    <w:rPr>
                      <w:rFonts w:hint="default" w:ascii="Times New Roman" w:hAnsi="Times New Roman" w:eastAsia="宋体" w:cs="Times New Roman"/>
                      <w:color w:val="auto"/>
                      <w:sz w:val="20"/>
                      <w:szCs w:val="20"/>
                      <w:highlight w:val="none"/>
                      <w:vertAlign w:val="superscript"/>
                      <w:lang w:val="en-US" w:eastAsia="zh-CN"/>
                    </w:rPr>
                    <w:t>-</w:t>
                  </w:r>
                  <w:r>
                    <w:rPr>
                      <w:rFonts w:hint="default" w:ascii="Times New Roman" w:hAnsi="Times New Roman" w:eastAsia="宋体" w:cs="Times New Roman"/>
                      <w:color w:val="auto"/>
                      <w:sz w:val="20"/>
                      <w:szCs w:val="20"/>
                      <w:highlight w:val="none"/>
                      <w:lang w:val="en-US" w:eastAsia="zh-CN"/>
                    </w:rPr>
                    <w:t>、SO</w:t>
                  </w:r>
                  <w:r>
                    <w:rPr>
                      <w:rFonts w:hint="default" w:ascii="Times New Roman" w:hAnsi="Times New Roman" w:eastAsia="宋体" w:cs="Times New Roman"/>
                      <w:color w:val="auto"/>
                      <w:sz w:val="20"/>
                      <w:szCs w:val="20"/>
                      <w:highlight w:val="none"/>
                      <w:vertAlign w:val="subscript"/>
                      <w:lang w:val="en-US" w:eastAsia="zh-CN"/>
                    </w:rPr>
                    <w:t>4</w:t>
                  </w:r>
                  <w:r>
                    <w:rPr>
                      <w:rFonts w:hint="default" w:ascii="Times New Roman" w:hAnsi="Times New Roman" w:eastAsia="宋体" w:cs="Times New Roman"/>
                      <w:color w:val="auto"/>
                      <w:sz w:val="20"/>
                      <w:szCs w:val="20"/>
                      <w:highlight w:val="none"/>
                      <w:vertAlign w:val="superscript"/>
                      <w:lang w:val="en-US" w:eastAsia="zh-CN"/>
                    </w:rPr>
                    <w:t>2-</w:t>
                  </w:r>
                  <w:r>
                    <w:rPr>
                      <w:rFonts w:hint="default" w:ascii="Times New Roman" w:hAnsi="Times New Roman" w:eastAsia="宋体" w:cs="Times New Roman"/>
                      <w:color w:val="auto"/>
                      <w:sz w:val="20"/>
                      <w:szCs w:val="20"/>
                      <w:highlight w:val="none"/>
                      <w:lang w:val="en-US" w:eastAsia="zh-CN"/>
                    </w:rPr>
                    <w:t>、pH、氨氮、硝酸盐、亚硝酸盐、挥发性酚类、砷、汞、铬（六价）、总硬度、氟化物、铁、锰、溶解性总固体、耗氧量、硫酸盐、氯化物、总大肠菌群、细菌总数。</w:t>
                  </w:r>
                </w:p>
              </w:tc>
              <w:tc>
                <w:tcPr>
                  <w:tcW w:w="603" w:type="pct"/>
                  <w:tcBorders>
                    <w:tl2br w:val="nil"/>
                    <w:tr2bl w:val="nil"/>
                  </w:tcBorders>
                  <w:noWrap w:val="0"/>
                  <w:vAlign w:val="center"/>
                </w:tcPr>
                <w:p w14:paraId="7B952487">
                  <w:pPr>
                    <w:pStyle w:val="16"/>
                    <w:widowControl w:val="0"/>
                    <w:spacing w:before="0" w:beforeAutospacing="0" w:after="0" w:afterAutospacing="0"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2"/>
                      <w:sz w:val="20"/>
                      <w:szCs w:val="20"/>
                      <w:highlight w:val="none"/>
                      <w:lang w:eastAsia="zh-CN" w:bidi="ar"/>
                    </w:rPr>
                    <w:t>监测</w:t>
                  </w:r>
                  <w:r>
                    <w:rPr>
                      <w:rFonts w:hint="default" w:ascii="Times New Roman" w:hAnsi="Times New Roman" w:cs="Times New Roman"/>
                      <w:color w:val="auto"/>
                      <w:kern w:val="2"/>
                      <w:sz w:val="20"/>
                      <w:szCs w:val="20"/>
                      <w:highlight w:val="none"/>
                      <w:lang w:bidi="ar"/>
                    </w:rPr>
                    <w:t>1天，1</w:t>
                  </w:r>
                  <w:r>
                    <w:rPr>
                      <w:rFonts w:hint="default" w:ascii="Times New Roman" w:hAnsi="Times New Roman" w:cs="Times New Roman"/>
                      <w:color w:val="auto"/>
                      <w:kern w:val="2"/>
                      <w:sz w:val="20"/>
                      <w:szCs w:val="20"/>
                      <w:highlight w:val="none"/>
                      <w:lang w:eastAsia="zh-CN" w:bidi="ar"/>
                    </w:rPr>
                    <w:t>天</w:t>
                  </w:r>
                  <w:r>
                    <w:rPr>
                      <w:rFonts w:hint="default" w:ascii="Times New Roman" w:hAnsi="Times New Roman" w:cs="Times New Roman"/>
                      <w:color w:val="auto"/>
                      <w:kern w:val="2"/>
                      <w:sz w:val="20"/>
                      <w:szCs w:val="20"/>
                      <w:highlight w:val="none"/>
                      <w:lang w:val="en-US" w:eastAsia="zh-CN" w:bidi="ar"/>
                    </w:rPr>
                    <w:t>1</w:t>
                  </w:r>
                  <w:r>
                    <w:rPr>
                      <w:rFonts w:hint="default" w:ascii="Times New Roman" w:hAnsi="Times New Roman" w:cs="Times New Roman"/>
                      <w:color w:val="auto"/>
                      <w:kern w:val="2"/>
                      <w:sz w:val="20"/>
                      <w:szCs w:val="20"/>
                      <w:highlight w:val="none"/>
                      <w:lang w:bidi="ar"/>
                    </w:rPr>
                    <w:t>次</w:t>
                  </w:r>
                </w:p>
              </w:tc>
            </w:tr>
          </w:tbl>
          <w:p w14:paraId="168D66C7">
            <w:pPr>
              <w:pStyle w:val="52"/>
              <w:tabs>
                <w:tab w:val="left" w:pos="420"/>
                <w:tab w:val="clear" w:pos="377"/>
              </w:tabs>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（2）监测频次：监测1天，每天采样1次。</w:t>
            </w:r>
          </w:p>
          <w:p w14:paraId="0ABA90C5">
            <w:pPr>
              <w:pStyle w:val="52"/>
              <w:tabs>
                <w:tab w:val="left" w:pos="420"/>
                <w:tab w:val="clear" w:pos="377"/>
              </w:tabs>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）取样时间：202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11</w:t>
            </w:r>
            <w:r>
              <w:rPr>
                <w:rFonts w:hint="default" w:ascii="Times New Roman" w:hAnsi="Times New Roman"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日</w:t>
            </w:r>
          </w:p>
          <w:p w14:paraId="3F524EC1">
            <w:pPr>
              <w:pStyle w:val="52"/>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）评价标准：《地下水质量标准》（GB/T14848-2017）中</w:t>
            </w:r>
            <w:r>
              <w:rPr>
                <w:rFonts w:hint="default" w:ascii="Times New Roman" w:hAnsi="Times New Roman" w:cs="Times New Roman"/>
                <w:color w:val="auto"/>
                <w:sz w:val="24"/>
                <w:szCs w:val="24"/>
                <w:highlight w:val="none"/>
                <w:lang w:eastAsia="zh-CN"/>
              </w:rPr>
              <w:t>Ⅲ</w:t>
            </w:r>
            <w:r>
              <w:rPr>
                <w:rFonts w:hint="default" w:ascii="Times New Roman" w:hAnsi="Times New Roman" w:cs="Times New Roman"/>
                <w:color w:val="auto"/>
                <w:sz w:val="24"/>
                <w:szCs w:val="24"/>
                <w:highlight w:val="none"/>
              </w:rPr>
              <w:t>类标准。</w:t>
            </w:r>
          </w:p>
          <w:p w14:paraId="325E5562">
            <w:pPr>
              <w:pStyle w:val="52"/>
              <w:tabs>
                <w:tab w:val="left" w:pos="420"/>
                <w:tab w:val="clear" w:pos="377"/>
              </w:tabs>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）评价方法：地下水环境质量现状评价方法采用标准指数法，除pH值外，其它水质参数的单项标准指数</w:t>
            </w:r>
            <w:r>
              <w:rPr>
                <w:rFonts w:hint="default" w:ascii="Times New Roman" w:hAnsi="Times New Roman" w:cs="Times New Roman"/>
                <w:color w:val="auto"/>
                <w:sz w:val="24"/>
                <w:szCs w:val="24"/>
                <w:highlight w:val="none"/>
                <w:lang w:val="en-US" w:eastAsia="zh-CN"/>
              </w:rPr>
              <w:t>P</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为：</w:t>
            </w:r>
          </w:p>
          <w:p w14:paraId="07E49E16">
            <w:pPr>
              <w:autoSpaceDE w:val="0"/>
              <w:autoSpaceDN w:val="0"/>
              <w:adjustRightInd w:val="0"/>
              <w:spacing w:line="360" w:lineRule="auto"/>
              <w:ind w:firstLine="20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P</w:t>
            </w:r>
            <w:r>
              <w:rPr>
                <w:rFonts w:hint="default" w:ascii="Times New Roman" w:hAnsi="Times New Roman" w:cs="Times New Roman"/>
                <w:color w:val="auto"/>
                <w:kern w:val="0"/>
                <w:sz w:val="24"/>
                <w:szCs w:val="24"/>
                <w:highlight w:val="none"/>
                <w:vertAlign w:val="subscript"/>
              </w:rPr>
              <w:t>i</w:t>
            </w:r>
            <w:r>
              <w:rPr>
                <w:rFonts w:hint="default" w:ascii="Times New Roman" w:hAnsi="Times New Roman" w:cs="Times New Roman"/>
                <w:color w:val="auto"/>
                <w:kern w:val="0"/>
                <w:sz w:val="24"/>
                <w:szCs w:val="24"/>
                <w:highlight w:val="none"/>
              </w:rPr>
              <w:t>=C</w:t>
            </w:r>
            <w:r>
              <w:rPr>
                <w:rFonts w:hint="default" w:ascii="Times New Roman" w:hAnsi="Times New Roman" w:cs="Times New Roman"/>
                <w:color w:val="auto"/>
                <w:kern w:val="0"/>
                <w:sz w:val="24"/>
                <w:szCs w:val="24"/>
                <w:highlight w:val="none"/>
                <w:vertAlign w:val="subscript"/>
              </w:rPr>
              <w:t>i</w:t>
            </w:r>
            <w:r>
              <w:rPr>
                <w:rFonts w:hint="default" w:ascii="Times New Roman" w:hAnsi="Times New Roman" w:cs="Times New Roman"/>
                <w:color w:val="auto"/>
                <w:kern w:val="0"/>
                <w:sz w:val="24"/>
                <w:szCs w:val="24"/>
                <w:highlight w:val="none"/>
              </w:rPr>
              <w:t>/C</w:t>
            </w:r>
            <w:r>
              <w:rPr>
                <w:rFonts w:hint="default" w:ascii="Times New Roman" w:hAnsi="Times New Roman" w:cs="Times New Roman"/>
                <w:color w:val="auto"/>
                <w:kern w:val="0"/>
                <w:sz w:val="24"/>
                <w:szCs w:val="24"/>
                <w:highlight w:val="none"/>
                <w:vertAlign w:val="subscript"/>
              </w:rPr>
              <w:t>0i</w:t>
            </w:r>
          </w:p>
          <w:p w14:paraId="3489CEAB">
            <w:pPr>
              <w:autoSpaceDE w:val="0"/>
              <w:autoSpaceDN w:val="0"/>
              <w:adjustRightIn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式中：C</w:t>
            </w:r>
            <w:r>
              <w:rPr>
                <w:rFonts w:hint="default" w:ascii="Times New Roman" w:hAnsi="Times New Roman" w:cs="Times New Roman"/>
                <w:color w:val="auto"/>
                <w:kern w:val="0"/>
                <w:sz w:val="24"/>
                <w:szCs w:val="24"/>
                <w:highlight w:val="none"/>
                <w:vertAlign w:val="subscript"/>
              </w:rPr>
              <w:t>i</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第i种污染物实测浓度值，mg/L；</w:t>
            </w:r>
          </w:p>
          <w:p w14:paraId="138E03BB">
            <w:pPr>
              <w:autoSpaceDE w:val="0"/>
              <w:autoSpaceDN w:val="0"/>
              <w:adjustRightInd w:val="0"/>
              <w:spacing w:line="360" w:lineRule="auto"/>
              <w:ind w:firstLine="1200" w:firstLineChars="5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C</w:t>
            </w:r>
            <w:r>
              <w:rPr>
                <w:rFonts w:hint="default" w:ascii="Times New Roman" w:hAnsi="Times New Roman" w:cs="Times New Roman"/>
                <w:color w:val="auto"/>
                <w:kern w:val="0"/>
                <w:sz w:val="24"/>
                <w:szCs w:val="24"/>
                <w:highlight w:val="none"/>
                <w:vertAlign w:val="subscript"/>
              </w:rPr>
              <w:t>0i</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第i种污染物在GB3838-2002中</w:t>
            </w:r>
            <w:r>
              <w:rPr>
                <w:rFonts w:hint="default" w:ascii="Times New Roman" w:hAnsi="Times New Roman" w:cs="Times New Roman"/>
                <w:color w:val="auto"/>
                <w:kern w:val="0"/>
                <w:sz w:val="24"/>
                <w:szCs w:val="24"/>
                <w:highlight w:val="none"/>
                <w:lang w:eastAsia="zh-CN"/>
              </w:rPr>
              <w:t>Ⅲ</w:t>
            </w:r>
            <w:r>
              <w:rPr>
                <w:rFonts w:hint="default" w:ascii="Times New Roman" w:hAnsi="Times New Roman" w:cs="Times New Roman"/>
                <w:color w:val="auto"/>
                <w:kern w:val="0"/>
                <w:sz w:val="24"/>
                <w:szCs w:val="24"/>
                <w:highlight w:val="none"/>
              </w:rPr>
              <w:t>类标准值，mg/L；</w:t>
            </w:r>
          </w:p>
          <w:p w14:paraId="4ABA4BD5">
            <w:pPr>
              <w:autoSpaceDE w:val="0"/>
              <w:autoSpaceDN w:val="0"/>
              <w:adjustRightIn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pH的标准指数</w:t>
            </w:r>
            <w:r>
              <w:rPr>
                <w:rFonts w:hint="default" w:ascii="Times New Roman" w:hAnsi="Times New Roman" w:cs="Times New Roman"/>
                <w:color w:val="auto"/>
                <w:kern w:val="0"/>
                <w:sz w:val="24"/>
                <w:szCs w:val="24"/>
                <w:highlight w:val="none"/>
                <w:lang w:val="en-US" w:eastAsia="zh-CN"/>
              </w:rPr>
              <w:t>P</w:t>
            </w:r>
            <w:r>
              <w:rPr>
                <w:rFonts w:hint="default" w:ascii="Times New Roman" w:hAnsi="Times New Roman" w:cs="Times New Roman"/>
                <w:color w:val="auto"/>
                <w:kern w:val="0"/>
                <w:sz w:val="24"/>
                <w:szCs w:val="24"/>
                <w:highlight w:val="none"/>
                <w:vertAlign w:val="subscript"/>
              </w:rPr>
              <w:t>pH</w:t>
            </w:r>
            <w:r>
              <w:rPr>
                <w:rFonts w:hint="default" w:ascii="Times New Roman" w:hAnsi="Times New Roman" w:cs="Times New Roman"/>
                <w:color w:val="auto"/>
                <w:kern w:val="0"/>
                <w:sz w:val="24"/>
                <w:szCs w:val="24"/>
                <w:highlight w:val="none"/>
              </w:rPr>
              <w:t>为：</w:t>
            </w:r>
          </w:p>
          <w:p w14:paraId="70B4293B">
            <w:pPr>
              <w:overflowPunct w:val="0"/>
              <w:autoSpaceDE w:val="0"/>
              <w:autoSpaceDN w:val="0"/>
              <w:adjustRightInd w:val="0"/>
              <w:spacing w:line="360" w:lineRule="auto"/>
              <w:ind w:firstLine="20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当pH≤7.0</w:t>
            </w:r>
            <w:r>
              <w:rPr>
                <w:rFonts w:hint="default" w:ascii="Times New Roman" w:hAnsi="Times New Roman" w:cs="Times New Roman"/>
                <w:color w:val="auto"/>
                <w:kern w:val="0"/>
                <w:sz w:val="24"/>
                <w:szCs w:val="24"/>
                <w:highlight w:val="none"/>
                <w:lang w:val="en-US" w:eastAsia="zh-CN"/>
              </w:rPr>
              <w:t>P</w:t>
            </w:r>
            <w:r>
              <w:rPr>
                <w:rFonts w:hint="default" w:ascii="Times New Roman" w:hAnsi="Times New Roman" w:cs="Times New Roman"/>
                <w:color w:val="auto"/>
                <w:kern w:val="0"/>
                <w:sz w:val="24"/>
                <w:szCs w:val="24"/>
                <w:highlight w:val="none"/>
                <w:vertAlign w:val="subscript"/>
              </w:rPr>
              <w:t>pH</w:t>
            </w:r>
            <w:r>
              <w:rPr>
                <w:rFonts w:hint="default" w:ascii="Times New Roman" w:hAnsi="Times New Roman" w:cs="Times New Roman"/>
                <w:color w:val="auto"/>
                <w:kern w:val="0"/>
                <w:sz w:val="24"/>
                <w:szCs w:val="24"/>
                <w:highlight w:val="none"/>
              </w:rPr>
              <w:t>=（7.0-pH）/（7.0-pH</w:t>
            </w:r>
            <w:r>
              <w:rPr>
                <w:rFonts w:hint="default" w:ascii="Times New Roman" w:hAnsi="Times New Roman" w:cs="Times New Roman"/>
                <w:color w:val="auto"/>
                <w:kern w:val="0"/>
                <w:sz w:val="24"/>
                <w:szCs w:val="24"/>
                <w:highlight w:val="none"/>
                <w:vertAlign w:val="subscript"/>
              </w:rPr>
              <w:t>sd</w:t>
            </w:r>
            <w:r>
              <w:rPr>
                <w:rFonts w:hint="default" w:ascii="Times New Roman" w:hAnsi="Times New Roman" w:cs="Times New Roman"/>
                <w:color w:val="auto"/>
                <w:kern w:val="0"/>
                <w:sz w:val="24"/>
                <w:szCs w:val="24"/>
                <w:highlight w:val="none"/>
              </w:rPr>
              <w:t>）</w:t>
            </w:r>
          </w:p>
          <w:p w14:paraId="6101EC05">
            <w:pPr>
              <w:overflowPunct w:val="0"/>
              <w:autoSpaceDE w:val="0"/>
              <w:autoSpaceDN w:val="0"/>
              <w:adjustRightInd w:val="0"/>
              <w:spacing w:line="360" w:lineRule="auto"/>
              <w:ind w:firstLine="20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当pH≥7.0</w:t>
            </w:r>
            <w:r>
              <w:rPr>
                <w:rFonts w:hint="default" w:ascii="Times New Roman" w:hAnsi="Times New Roman" w:cs="Times New Roman"/>
                <w:color w:val="auto"/>
                <w:kern w:val="0"/>
                <w:sz w:val="24"/>
                <w:szCs w:val="24"/>
                <w:highlight w:val="none"/>
                <w:lang w:val="en-US" w:eastAsia="zh-CN"/>
              </w:rPr>
              <w:t>P</w:t>
            </w:r>
            <w:r>
              <w:rPr>
                <w:rFonts w:hint="default" w:ascii="Times New Roman" w:hAnsi="Times New Roman" w:cs="Times New Roman"/>
                <w:color w:val="auto"/>
                <w:kern w:val="0"/>
                <w:sz w:val="24"/>
                <w:szCs w:val="24"/>
                <w:highlight w:val="none"/>
                <w:vertAlign w:val="subscript"/>
              </w:rPr>
              <w:t>pH</w:t>
            </w:r>
            <w:r>
              <w:rPr>
                <w:rFonts w:hint="default" w:ascii="Times New Roman" w:hAnsi="Times New Roman" w:cs="Times New Roman"/>
                <w:color w:val="auto"/>
                <w:kern w:val="0"/>
                <w:sz w:val="24"/>
                <w:szCs w:val="24"/>
                <w:highlight w:val="none"/>
              </w:rPr>
              <w:t>=（pH-7.0）/（pH</w:t>
            </w:r>
            <w:r>
              <w:rPr>
                <w:rFonts w:hint="default" w:ascii="Times New Roman" w:hAnsi="Times New Roman" w:cs="Times New Roman"/>
                <w:color w:val="auto"/>
                <w:kern w:val="0"/>
                <w:sz w:val="24"/>
                <w:szCs w:val="24"/>
                <w:highlight w:val="none"/>
                <w:vertAlign w:val="subscript"/>
              </w:rPr>
              <w:t>sw</w:t>
            </w:r>
            <w:r>
              <w:rPr>
                <w:rFonts w:hint="default" w:ascii="Times New Roman" w:hAnsi="Times New Roman" w:cs="Times New Roman"/>
                <w:color w:val="auto"/>
                <w:kern w:val="0"/>
                <w:sz w:val="24"/>
                <w:szCs w:val="24"/>
                <w:highlight w:val="none"/>
              </w:rPr>
              <w:t>-7.0）</w:t>
            </w:r>
          </w:p>
          <w:p w14:paraId="5B8371A2">
            <w:pPr>
              <w:overflowPunct w:val="0"/>
              <w:autoSpaceDE w:val="0"/>
              <w:autoSpaceDN w:val="0"/>
              <w:adjustRightInd w:val="0"/>
              <w:spacing w:line="360" w:lineRule="auto"/>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式中：pH</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实测的pH值；</w:t>
            </w:r>
          </w:p>
          <w:p w14:paraId="0ABB396E">
            <w:pPr>
              <w:overflowPunct w:val="0"/>
              <w:autoSpaceDE w:val="0"/>
              <w:autoSpaceDN w:val="0"/>
              <w:adjustRightInd w:val="0"/>
              <w:spacing w:line="360" w:lineRule="auto"/>
              <w:ind w:firstLine="1200" w:firstLineChars="5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pH</w:t>
            </w:r>
            <w:r>
              <w:rPr>
                <w:rFonts w:hint="default" w:ascii="Times New Roman" w:hAnsi="Times New Roman" w:cs="Times New Roman"/>
                <w:color w:val="auto"/>
                <w:kern w:val="0"/>
                <w:sz w:val="24"/>
                <w:szCs w:val="24"/>
                <w:highlight w:val="none"/>
                <w:vertAlign w:val="subscript"/>
              </w:rPr>
              <w:t>sd</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地下水质量标准中规定的pH值下限；</w:t>
            </w:r>
          </w:p>
          <w:p w14:paraId="3DACD192">
            <w:pPr>
              <w:pStyle w:val="52"/>
              <w:tabs>
                <w:tab w:val="left" w:pos="420"/>
                <w:tab w:val="clear" w:pos="377"/>
              </w:tabs>
              <w:ind w:firstLine="1200" w:firstLineChars="5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SA"/>
              </w:rPr>
              <w:t>pH</w:t>
            </w:r>
            <w:r>
              <w:rPr>
                <w:rFonts w:hint="default" w:ascii="Times New Roman" w:hAnsi="Times New Roman" w:eastAsia="宋体" w:cs="Times New Roman"/>
                <w:color w:val="auto"/>
                <w:kern w:val="0"/>
                <w:sz w:val="24"/>
                <w:szCs w:val="24"/>
                <w:highlight w:val="none"/>
                <w:vertAlign w:val="subscript"/>
                <w:lang w:val="en-US" w:eastAsia="zh-CN" w:bidi="ar-SA"/>
              </w:rPr>
              <w:t>sw</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地下水质量标准中规定的pH值上限。</w:t>
            </w:r>
          </w:p>
          <w:p w14:paraId="321FCDF9">
            <w:pPr>
              <w:pStyle w:val="16"/>
              <w:spacing w:before="0" w:beforeAutospacing="0" w:after="0" w:afterAutospacing="0" w:line="360" w:lineRule="auto"/>
              <w:ind w:firstLine="480" w:firstLineChars="200"/>
              <w:rPr>
                <w:rFonts w:ascii="Times New Roman" w:hAnsi="Times New Roman"/>
                <w:snapToGrid w:val="0"/>
                <w:color w:val="auto"/>
                <w:kern w:val="2"/>
                <w:sz w:val="24"/>
                <w:szCs w:val="24"/>
                <w:highlight w:val="none"/>
              </w:rPr>
            </w:pPr>
            <w:r>
              <w:rPr>
                <w:rFonts w:ascii="Times New Roman" w:hAnsi="Times New Roman"/>
                <w:snapToGrid w:val="0"/>
                <w:color w:val="auto"/>
                <w:kern w:val="2"/>
                <w:sz w:val="24"/>
                <w:szCs w:val="24"/>
                <w:highlight w:val="none"/>
              </w:rPr>
              <w:t>（</w:t>
            </w:r>
            <w:r>
              <w:rPr>
                <w:rFonts w:hint="eastAsia" w:ascii="Times New Roman" w:hAnsi="Times New Roman"/>
                <w:snapToGrid w:val="0"/>
                <w:color w:val="auto"/>
                <w:kern w:val="2"/>
                <w:sz w:val="24"/>
                <w:szCs w:val="24"/>
                <w:highlight w:val="none"/>
                <w:lang w:val="en-US" w:eastAsia="zh-CN"/>
              </w:rPr>
              <w:t>6</w:t>
            </w:r>
            <w:r>
              <w:rPr>
                <w:rFonts w:ascii="Times New Roman" w:hAnsi="Times New Roman"/>
                <w:snapToGrid w:val="0"/>
                <w:color w:val="auto"/>
                <w:kern w:val="2"/>
                <w:sz w:val="24"/>
                <w:szCs w:val="24"/>
                <w:highlight w:val="none"/>
              </w:rPr>
              <w:t>）监测结果</w:t>
            </w:r>
          </w:p>
          <w:p w14:paraId="76871C2B">
            <w:pPr>
              <w:pStyle w:val="43"/>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snapToGrid w:val="0"/>
                <w:color w:val="auto"/>
                <w:kern w:val="2"/>
                <w:sz w:val="24"/>
                <w:szCs w:val="24"/>
                <w:highlight w:val="none"/>
                <w:lang w:eastAsia="zh-CN"/>
              </w:rPr>
            </w:pPr>
            <w:r>
              <w:rPr>
                <w:rFonts w:ascii="Times New Roman" w:hAnsi="Times New Roman"/>
                <w:snapToGrid w:val="0"/>
                <w:color w:val="auto"/>
                <w:kern w:val="2"/>
                <w:sz w:val="24"/>
                <w:szCs w:val="24"/>
                <w:highlight w:val="none"/>
              </w:rPr>
              <w:t>水质现状监测结果及标准指数评价结果见下表</w:t>
            </w:r>
            <w:r>
              <w:rPr>
                <w:rFonts w:hint="eastAsia" w:ascii="Times New Roman" w:hAnsi="Times New Roman"/>
                <w:snapToGrid w:val="0"/>
                <w:color w:val="auto"/>
                <w:kern w:val="2"/>
                <w:sz w:val="24"/>
                <w:szCs w:val="24"/>
                <w:highlight w:val="none"/>
                <w:lang w:eastAsia="zh-CN"/>
              </w:rPr>
              <w:t>：</w:t>
            </w:r>
          </w:p>
          <w:p w14:paraId="760273A1">
            <w:pPr>
              <w:adjustRightInd w:val="0"/>
              <w:snapToGrid w:val="0"/>
              <w:jc w:val="center"/>
              <w:rPr>
                <w:b/>
                <w:color w:val="auto"/>
                <w:kern w:val="0"/>
                <w:szCs w:val="21"/>
                <w:highlight w:val="none"/>
              </w:rPr>
            </w:pPr>
            <w:r>
              <w:rPr>
                <w:b/>
                <w:color w:val="auto"/>
                <w:kern w:val="0"/>
                <w:szCs w:val="21"/>
                <w:highlight w:val="none"/>
              </w:rPr>
              <w:t>表</w:t>
            </w:r>
            <w:r>
              <w:rPr>
                <w:rFonts w:hint="eastAsia"/>
                <w:b/>
                <w:color w:val="auto"/>
                <w:kern w:val="0"/>
                <w:szCs w:val="21"/>
                <w:highlight w:val="none"/>
                <w:lang w:val="en-US" w:eastAsia="zh-CN"/>
              </w:rPr>
              <w:t>3.1-5</w:t>
            </w:r>
            <w:r>
              <w:rPr>
                <w:rFonts w:hint="eastAsia"/>
                <w:b/>
                <w:color w:val="auto"/>
                <w:kern w:val="0"/>
                <w:szCs w:val="21"/>
                <w:highlight w:val="none"/>
              </w:rPr>
              <w:t>地下水监测点基本情况一览表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2241"/>
              <w:gridCol w:w="1337"/>
              <w:gridCol w:w="1800"/>
              <w:gridCol w:w="1619"/>
            </w:tblGrid>
            <w:tr w14:paraId="0C54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tcBorders>
                    <w:tl2br w:val="nil"/>
                    <w:tr2bl w:val="nil"/>
                  </w:tcBorders>
                  <w:noWrap w:val="0"/>
                  <w:vAlign w:val="center"/>
                </w:tcPr>
                <w:p w14:paraId="224B2A74">
                  <w:pPr>
                    <w:pStyle w:val="16"/>
                    <w:widowControl w:val="0"/>
                    <w:spacing w:before="0" w:beforeAutospacing="0" w:after="0" w:afterAutospacing="0"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kern w:val="2"/>
                      <w:sz w:val="20"/>
                      <w:szCs w:val="20"/>
                      <w:highlight w:val="none"/>
                      <w:lang w:bidi="ar"/>
                    </w:rPr>
                    <w:t>编号</w:t>
                  </w:r>
                </w:p>
              </w:tc>
              <w:tc>
                <w:tcPr>
                  <w:tcW w:w="1401" w:type="pct"/>
                  <w:tcBorders>
                    <w:tl2br w:val="nil"/>
                    <w:tr2bl w:val="nil"/>
                  </w:tcBorders>
                  <w:noWrap w:val="0"/>
                  <w:vAlign w:val="center"/>
                </w:tcPr>
                <w:p w14:paraId="4AAE1857">
                  <w:pPr>
                    <w:pStyle w:val="16"/>
                    <w:widowControl w:val="0"/>
                    <w:spacing w:before="0" w:beforeAutospacing="0" w:after="0" w:afterAutospacing="0" w:line="240" w:lineRule="auto"/>
                    <w:jc w:val="center"/>
                    <w:rPr>
                      <w:rFonts w:hint="eastAsia" w:ascii="Times New Roman" w:hAnsi="Times New Roman" w:eastAsia="宋体" w:cs="Times New Roman"/>
                      <w:b/>
                      <w:bCs/>
                      <w:color w:val="auto"/>
                      <w:sz w:val="20"/>
                      <w:szCs w:val="20"/>
                      <w:highlight w:val="none"/>
                      <w:lang w:eastAsia="zh-CN"/>
                    </w:rPr>
                  </w:pPr>
                  <w:r>
                    <w:rPr>
                      <w:rFonts w:hint="default" w:ascii="Times New Roman" w:hAnsi="Times New Roman" w:cs="Times New Roman"/>
                      <w:b/>
                      <w:bCs/>
                      <w:color w:val="auto"/>
                      <w:kern w:val="2"/>
                      <w:sz w:val="20"/>
                      <w:szCs w:val="20"/>
                      <w:highlight w:val="none"/>
                      <w:lang w:bidi="ar"/>
                    </w:rPr>
                    <w:t>监测</w:t>
                  </w:r>
                  <w:r>
                    <w:rPr>
                      <w:rFonts w:hint="eastAsia" w:ascii="Times New Roman" w:hAnsi="Times New Roman" w:cs="Times New Roman"/>
                      <w:b/>
                      <w:bCs/>
                      <w:color w:val="auto"/>
                      <w:kern w:val="2"/>
                      <w:sz w:val="20"/>
                      <w:szCs w:val="20"/>
                      <w:highlight w:val="none"/>
                      <w:lang w:val="en-US" w:eastAsia="zh-CN" w:bidi="ar"/>
                    </w:rPr>
                    <w:t>位置</w:t>
                  </w:r>
                </w:p>
              </w:tc>
              <w:tc>
                <w:tcPr>
                  <w:tcW w:w="836" w:type="pct"/>
                  <w:tcBorders>
                    <w:tl2br w:val="nil"/>
                    <w:tr2bl w:val="nil"/>
                  </w:tcBorders>
                  <w:noWrap w:val="0"/>
                  <w:vAlign w:val="center"/>
                </w:tcPr>
                <w:p w14:paraId="7ACAE7B4">
                  <w:pPr>
                    <w:pStyle w:val="16"/>
                    <w:widowControl w:val="0"/>
                    <w:spacing w:before="0" w:beforeAutospacing="0" w:after="0" w:afterAutospacing="0" w:line="240" w:lineRule="auto"/>
                    <w:jc w:val="center"/>
                    <w:rPr>
                      <w:rFonts w:hint="default" w:ascii="Times New Roman" w:hAnsi="Times New Roman" w:eastAsia="宋体" w:cs="Times New Roman"/>
                      <w:b/>
                      <w:bCs/>
                      <w:color w:val="auto"/>
                      <w:kern w:val="2"/>
                      <w:sz w:val="20"/>
                      <w:szCs w:val="20"/>
                      <w:highlight w:val="none"/>
                      <w:lang w:val="en-US" w:eastAsia="zh-CN" w:bidi="ar"/>
                    </w:rPr>
                  </w:pPr>
                  <w:r>
                    <w:rPr>
                      <w:rFonts w:hint="eastAsia" w:ascii="Times New Roman" w:hAnsi="Times New Roman" w:eastAsia="宋体" w:cs="Times New Roman"/>
                      <w:b/>
                      <w:bCs/>
                      <w:color w:val="auto"/>
                      <w:kern w:val="2"/>
                      <w:sz w:val="20"/>
                      <w:szCs w:val="20"/>
                      <w:highlight w:val="none"/>
                      <w:lang w:val="en-US" w:eastAsia="zh-CN" w:bidi="ar"/>
                    </w:rPr>
                    <w:t>高程/m</w:t>
                  </w:r>
                </w:p>
              </w:tc>
              <w:tc>
                <w:tcPr>
                  <w:tcW w:w="1125" w:type="pct"/>
                  <w:tcBorders>
                    <w:tl2br w:val="nil"/>
                    <w:tr2bl w:val="nil"/>
                  </w:tcBorders>
                  <w:noWrap w:val="0"/>
                  <w:vAlign w:val="center"/>
                </w:tcPr>
                <w:p w14:paraId="54344ADF">
                  <w:pPr>
                    <w:pStyle w:val="16"/>
                    <w:widowControl w:val="0"/>
                    <w:spacing w:before="0" w:beforeAutospacing="0" w:after="0" w:afterAutospacing="0" w:line="240" w:lineRule="auto"/>
                    <w:jc w:val="center"/>
                    <w:rPr>
                      <w:rFonts w:hint="default" w:ascii="Times New Roman" w:hAnsi="Times New Roman" w:cs="Times New Roman"/>
                      <w:b/>
                      <w:bCs/>
                      <w:color w:val="auto"/>
                      <w:sz w:val="20"/>
                      <w:szCs w:val="20"/>
                      <w:highlight w:val="none"/>
                      <w:lang w:val="en-US" w:eastAsia="zh-CN"/>
                    </w:rPr>
                  </w:pPr>
                  <w:r>
                    <w:rPr>
                      <w:rFonts w:hint="eastAsia" w:ascii="Times New Roman" w:hAnsi="Times New Roman" w:cs="Times New Roman"/>
                      <w:b/>
                      <w:bCs/>
                      <w:color w:val="auto"/>
                      <w:sz w:val="20"/>
                      <w:szCs w:val="20"/>
                      <w:highlight w:val="none"/>
                      <w:lang w:val="en-US" w:eastAsia="zh-CN"/>
                    </w:rPr>
                    <w:t>水位标高（m）</w:t>
                  </w:r>
                </w:p>
              </w:tc>
              <w:tc>
                <w:tcPr>
                  <w:tcW w:w="1012" w:type="pct"/>
                  <w:tcBorders>
                    <w:tl2br w:val="nil"/>
                    <w:tr2bl w:val="nil"/>
                  </w:tcBorders>
                  <w:noWrap w:val="0"/>
                  <w:vAlign w:val="center"/>
                </w:tcPr>
                <w:p w14:paraId="3A449745">
                  <w:pPr>
                    <w:pStyle w:val="16"/>
                    <w:widowControl w:val="0"/>
                    <w:spacing w:before="0" w:beforeAutospacing="0" w:after="0" w:afterAutospacing="0" w:line="240" w:lineRule="auto"/>
                    <w:jc w:val="center"/>
                    <w:rPr>
                      <w:rFonts w:hint="default" w:ascii="Times New Roman" w:hAnsi="Times New Roman" w:eastAsia="宋体" w:cs="Times New Roman"/>
                      <w:b/>
                      <w:bCs/>
                      <w:color w:val="auto"/>
                      <w:sz w:val="20"/>
                      <w:szCs w:val="20"/>
                      <w:highlight w:val="none"/>
                      <w:lang w:val="en-US" w:eastAsia="zh-CN"/>
                    </w:rPr>
                  </w:pPr>
                  <w:r>
                    <w:rPr>
                      <w:rFonts w:hint="eastAsia" w:ascii="Times New Roman" w:hAnsi="Times New Roman" w:cs="Times New Roman"/>
                      <w:b/>
                      <w:bCs/>
                      <w:color w:val="auto"/>
                      <w:sz w:val="20"/>
                      <w:szCs w:val="20"/>
                      <w:highlight w:val="none"/>
                      <w:lang w:val="en-US" w:eastAsia="zh-CN"/>
                    </w:rPr>
                    <w:t>水位埋深（m）</w:t>
                  </w:r>
                </w:p>
              </w:tc>
            </w:tr>
            <w:tr w14:paraId="3E08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tcBorders>
                    <w:tl2br w:val="nil"/>
                    <w:tr2bl w:val="nil"/>
                  </w:tcBorders>
                  <w:noWrap w:val="0"/>
                  <w:vAlign w:val="center"/>
                </w:tcPr>
                <w:p w14:paraId="26FA082C">
                  <w:pPr>
                    <w:pStyle w:val="16"/>
                    <w:widowControl w:val="0"/>
                    <w:spacing w:before="0" w:beforeAutospacing="0" w:after="0" w:afterAutospacing="0" w:line="240" w:lineRule="auto"/>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kern w:val="2"/>
                      <w:sz w:val="20"/>
                      <w:szCs w:val="20"/>
                      <w:highlight w:val="none"/>
                      <w:lang w:val="en-US" w:eastAsia="zh-CN" w:bidi="ar"/>
                    </w:rPr>
                    <w:t>D12</w:t>
                  </w:r>
                </w:p>
              </w:tc>
              <w:tc>
                <w:tcPr>
                  <w:tcW w:w="1401" w:type="pct"/>
                  <w:tcBorders>
                    <w:tl2br w:val="nil"/>
                    <w:tr2bl w:val="nil"/>
                  </w:tcBorders>
                  <w:noWrap w:val="0"/>
                  <w:vAlign w:val="center"/>
                </w:tcPr>
                <w:p w14:paraId="1A937E17">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lang w:val="en-US" w:eastAsia="zh-CN" w:bidi="ar"/>
                    </w:rPr>
                  </w:pPr>
                  <w:r>
                    <w:rPr>
                      <w:rFonts w:hint="default" w:ascii="Times New Roman" w:hAnsi="Times New Roman" w:eastAsia="宋体" w:cs="Times New Roman"/>
                      <w:color w:val="auto"/>
                      <w:kern w:val="2"/>
                      <w:sz w:val="20"/>
                      <w:szCs w:val="20"/>
                      <w:highlight w:val="none"/>
                      <w:lang w:val="en-US" w:eastAsia="zh-CN" w:bidi="ar"/>
                    </w:rPr>
                    <w:t>铜罐驿污水处理厂</w:t>
                  </w:r>
                </w:p>
              </w:tc>
              <w:tc>
                <w:tcPr>
                  <w:tcW w:w="836" w:type="pct"/>
                  <w:tcBorders>
                    <w:tl2br w:val="nil"/>
                    <w:tr2bl w:val="nil"/>
                  </w:tcBorders>
                  <w:noWrap w:val="0"/>
                  <w:vAlign w:val="center"/>
                </w:tcPr>
                <w:p w14:paraId="77FD3DA0">
                  <w:pPr>
                    <w:jc w:val="center"/>
                    <w:rPr>
                      <w:rFonts w:hint="default" w:ascii="Times New Roman" w:hAnsi="Times New Roman" w:eastAsia="宋体" w:cs="Times New Roman"/>
                      <w:color w:val="auto"/>
                      <w:kern w:val="2"/>
                      <w:sz w:val="20"/>
                      <w:szCs w:val="20"/>
                      <w:highlight w:val="none"/>
                      <w:lang w:val="en-US" w:eastAsia="zh-CN" w:bidi="ar"/>
                    </w:rPr>
                  </w:pPr>
                  <w:r>
                    <w:rPr>
                      <w:rFonts w:hint="eastAsia" w:eastAsia="宋体" w:cs="Times New Roman"/>
                      <w:color w:val="auto"/>
                      <w:kern w:val="2"/>
                      <w:sz w:val="20"/>
                      <w:szCs w:val="20"/>
                      <w:highlight w:val="none"/>
                      <w:lang w:val="en-US" w:eastAsia="zh-CN" w:bidi="ar"/>
                    </w:rPr>
                    <w:t>194</w:t>
                  </w:r>
                </w:p>
              </w:tc>
              <w:tc>
                <w:tcPr>
                  <w:tcW w:w="1125" w:type="pct"/>
                  <w:tcBorders>
                    <w:tl2br w:val="nil"/>
                    <w:tr2bl w:val="nil"/>
                  </w:tcBorders>
                  <w:noWrap w:val="0"/>
                  <w:vAlign w:val="center"/>
                </w:tcPr>
                <w:p w14:paraId="1D1264F8">
                  <w:pPr>
                    <w:pStyle w:val="16"/>
                    <w:widowControl w:val="0"/>
                    <w:spacing w:before="0" w:after="0" w:line="240" w:lineRule="auto"/>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159</w:t>
                  </w:r>
                </w:p>
              </w:tc>
              <w:tc>
                <w:tcPr>
                  <w:tcW w:w="1012" w:type="pct"/>
                  <w:tcBorders>
                    <w:tl2br w:val="nil"/>
                    <w:tr2bl w:val="nil"/>
                  </w:tcBorders>
                  <w:noWrap w:val="0"/>
                  <w:vAlign w:val="center"/>
                </w:tcPr>
                <w:p w14:paraId="45A6C3C5">
                  <w:pPr>
                    <w:pStyle w:val="16"/>
                    <w:widowControl w:val="0"/>
                    <w:spacing w:before="0" w:beforeAutospacing="0" w:after="0" w:afterAutospacing="0" w:line="240" w:lineRule="auto"/>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35</w:t>
                  </w:r>
                </w:p>
              </w:tc>
            </w:tr>
          </w:tbl>
          <w:p w14:paraId="40152A07">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eastAsia="宋体"/>
                <w:b/>
                <w:color w:val="auto"/>
                <w:kern w:val="0"/>
                <w:szCs w:val="21"/>
                <w:highlight w:val="none"/>
              </w:rPr>
            </w:pPr>
            <w:r>
              <w:rPr>
                <w:rFonts w:eastAsia="宋体"/>
                <w:b/>
                <w:color w:val="auto"/>
                <w:kern w:val="0"/>
                <w:szCs w:val="21"/>
                <w:highlight w:val="none"/>
              </w:rPr>
              <w:t>表3</w:t>
            </w:r>
            <w:r>
              <w:rPr>
                <w:rFonts w:hint="eastAsia" w:eastAsia="宋体"/>
                <w:b/>
                <w:color w:val="auto"/>
                <w:kern w:val="0"/>
                <w:szCs w:val="21"/>
                <w:highlight w:val="none"/>
                <w:lang w:val="en-US" w:eastAsia="zh-CN"/>
              </w:rPr>
              <w:t>.1-6</w:t>
            </w:r>
            <w:r>
              <w:rPr>
                <w:rFonts w:eastAsia="宋体"/>
                <w:b/>
                <w:color w:val="auto"/>
                <w:kern w:val="0"/>
                <w:szCs w:val="21"/>
                <w:highlight w:val="none"/>
              </w:rPr>
              <w:t>地下水八大离子监测结果统计表单位：mg/L</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5"/>
              <w:gridCol w:w="2614"/>
              <w:gridCol w:w="2904"/>
            </w:tblGrid>
            <w:tr w14:paraId="2F91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3" w:type="pct"/>
                  <w:gridSpan w:val="2"/>
                  <w:vMerge w:val="restart"/>
                  <w:tcBorders>
                    <w:top w:val="single" w:color="auto" w:sz="4" w:space="0"/>
                    <w:left w:val="single" w:color="auto" w:sz="4" w:space="0"/>
                    <w:right w:val="single" w:color="auto" w:sz="4" w:space="0"/>
                  </w:tcBorders>
                  <w:noWrap w:val="0"/>
                  <w:vAlign w:val="center"/>
                </w:tcPr>
                <w:p w14:paraId="1B949B32">
                  <w:pPr>
                    <w:adjustRightInd w:val="0"/>
                    <w:snapToGrid w:val="0"/>
                    <w:jc w:val="center"/>
                    <w:rPr>
                      <w:b/>
                      <w:bCs/>
                      <w:color w:val="auto"/>
                      <w:sz w:val="20"/>
                      <w:szCs w:val="20"/>
                      <w:highlight w:val="none"/>
                    </w:rPr>
                  </w:pPr>
                  <w:r>
                    <w:rPr>
                      <w:b/>
                      <w:bCs/>
                      <w:color w:val="auto"/>
                      <w:sz w:val="20"/>
                      <w:szCs w:val="20"/>
                      <w:highlight w:val="none"/>
                    </w:rPr>
                    <w:t>监测因子</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1E43123E">
                  <w:pPr>
                    <w:adjustRightInd w:val="0"/>
                    <w:snapToGrid w:val="0"/>
                    <w:jc w:val="center"/>
                    <w:rPr>
                      <w:b/>
                      <w:bCs/>
                      <w:color w:val="auto"/>
                      <w:sz w:val="20"/>
                      <w:szCs w:val="20"/>
                      <w:highlight w:val="none"/>
                    </w:rPr>
                  </w:pPr>
                  <w:r>
                    <w:rPr>
                      <w:b/>
                      <w:bCs/>
                      <w:color w:val="auto"/>
                      <w:sz w:val="20"/>
                      <w:szCs w:val="20"/>
                      <w:highlight w:val="none"/>
                    </w:rPr>
                    <w:t>监测值</w:t>
                  </w:r>
                </w:p>
              </w:tc>
            </w:tr>
            <w:tr w14:paraId="39D5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3" w:type="pct"/>
                  <w:gridSpan w:val="2"/>
                  <w:vMerge w:val="continue"/>
                  <w:tcBorders>
                    <w:left w:val="single" w:color="auto" w:sz="4" w:space="0"/>
                    <w:bottom w:val="single" w:color="auto" w:sz="4" w:space="0"/>
                    <w:right w:val="single" w:color="auto" w:sz="4" w:space="0"/>
                  </w:tcBorders>
                  <w:noWrap w:val="0"/>
                  <w:vAlign w:val="center"/>
                </w:tcPr>
                <w:p w14:paraId="03B15458">
                  <w:pPr>
                    <w:keepNext w:val="0"/>
                    <w:keepLines w:val="0"/>
                    <w:widowControl/>
                    <w:suppressLineNumbers w:val="0"/>
                    <w:jc w:val="center"/>
                    <w:textAlignment w:val="center"/>
                    <w:rPr>
                      <w:b/>
                      <w:bCs/>
                      <w:color w:val="auto"/>
                      <w:sz w:val="20"/>
                      <w:szCs w:val="20"/>
                      <w:highlight w:val="none"/>
                    </w:rPr>
                  </w:pPr>
                </w:p>
              </w:tc>
              <w:tc>
                <w:tcPr>
                  <w:tcW w:w="1816" w:type="pct"/>
                  <w:tcBorders>
                    <w:top w:val="single" w:color="auto" w:sz="4" w:space="0"/>
                    <w:left w:val="single" w:color="auto" w:sz="4" w:space="0"/>
                    <w:bottom w:val="single" w:color="auto" w:sz="4" w:space="0"/>
                    <w:right w:val="single" w:color="auto" w:sz="4" w:space="0"/>
                  </w:tcBorders>
                  <w:noWrap w:val="0"/>
                  <w:vAlign w:val="center"/>
                </w:tcPr>
                <w:p w14:paraId="6009125B">
                  <w:pPr>
                    <w:keepNext w:val="0"/>
                    <w:keepLines w:val="0"/>
                    <w:widowControl/>
                    <w:suppressLineNumbers w:val="0"/>
                    <w:jc w:val="center"/>
                    <w:textAlignment w:val="center"/>
                    <w:rPr>
                      <w:rFonts w:hint="default"/>
                      <w:b/>
                      <w:bCs/>
                      <w:color w:val="auto"/>
                      <w:sz w:val="20"/>
                      <w:szCs w:val="20"/>
                      <w:highlight w:val="none"/>
                      <w:lang w:val="en-US"/>
                    </w:rPr>
                  </w:pPr>
                  <w:r>
                    <w:rPr>
                      <w:rFonts w:hint="eastAsia" w:cs="Times New Roman"/>
                      <w:b/>
                      <w:bCs/>
                      <w:color w:val="auto"/>
                      <w:kern w:val="2"/>
                      <w:sz w:val="20"/>
                      <w:szCs w:val="20"/>
                      <w:highlight w:val="none"/>
                      <w:lang w:val="en-US" w:eastAsia="zh-CN" w:bidi="ar"/>
                    </w:rPr>
                    <w:t>D12</w:t>
                  </w:r>
                </w:p>
              </w:tc>
            </w:tr>
            <w:tr w14:paraId="1D0C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restart"/>
                  <w:tcBorders>
                    <w:top w:val="single" w:color="auto" w:sz="4" w:space="0"/>
                    <w:left w:val="single" w:color="auto" w:sz="4" w:space="0"/>
                    <w:right w:val="single" w:color="auto" w:sz="4" w:space="0"/>
                  </w:tcBorders>
                  <w:noWrap w:val="0"/>
                  <w:vAlign w:val="center"/>
                </w:tcPr>
                <w:p w14:paraId="43F9BF4F">
                  <w:pPr>
                    <w:keepNext w:val="0"/>
                    <w:keepLines w:val="0"/>
                    <w:widowControl/>
                    <w:suppressLineNumbers w:val="0"/>
                    <w:jc w:val="center"/>
                    <w:textAlignment w:val="center"/>
                    <w:rPr>
                      <w:rFonts w:hint="eastAsia" w:eastAsia="宋体"/>
                      <w:color w:val="auto"/>
                      <w:sz w:val="20"/>
                      <w:szCs w:val="20"/>
                      <w:highlight w:val="none"/>
                      <w:lang w:val="en-US" w:eastAsia="zh-CN"/>
                    </w:rPr>
                  </w:pPr>
                  <w:r>
                    <w:rPr>
                      <w:rFonts w:hint="eastAsia"/>
                      <w:color w:val="auto"/>
                      <w:sz w:val="20"/>
                      <w:szCs w:val="20"/>
                      <w:highlight w:val="none"/>
                      <w:lang w:val="en-US" w:eastAsia="zh-CN"/>
                    </w:rPr>
                    <w:t>阳离子</w:t>
                  </w:r>
                </w:p>
              </w:tc>
              <w:tc>
                <w:tcPr>
                  <w:tcW w:w="1635" w:type="pct"/>
                  <w:tcBorders>
                    <w:top w:val="single" w:color="auto" w:sz="4" w:space="0"/>
                    <w:left w:val="single" w:color="auto" w:sz="4" w:space="0"/>
                    <w:bottom w:val="single" w:color="auto" w:sz="4" w:space="0"/>
                    <w:right w:val="single" w:color="auto" w:sz="4" w:space="0"/>
                  </w:tcBorders>
                  <w:noWrap w:val="0"/>
                  <w:vAlign w:val="center"/>
                </w:tcPr>
                <w:p w14:paraId="33C20411">
                  <w:pPr>
                    <w:keepNext w:val="0"/>
                    <w:keepLines w:val="0"/>
                    <w:widowControl/>
                    <w:suppressLineNumbers w:val="0"/>
                    <w:jc w:val="center"/>
                    <w:textAlignment w:val="center"/>
                    <w:rPr>
                      <w:rFonts w:hint="eastAsia" w:eastAsia="宋体"/>
                      <w:color w:val="auto"/>
                      <w:sz w:val="20"/>
                      <w:szCs w:val="20"/>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K</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40731AF8">
                  <w:pPr>
                    <w:keepNext w:val="0"/>
                    <w:keepLines w:val="0"/>
                    <w:widowControl/>
                    <w:suppressLineNumbers w:val="0"/>
                    <w:jc w:val="center"/>
                    <w:textAlignment w:val="center"/>
                    <w:rPr>
                      <w:rFonts w:hint="default" w:eastAsia="宋体"/>
                      <w:color w:val="auto"/>
                      <w:sz w:val="20"/>
                      <w:szCs w:val="20"/>
                      <w:highlight w:val="none"/>
                      <w:lang w:val="en-US" w:eastAsia="zh-CN"/>
                    </w:rPr>
                  </w:pPr>
                  <w:r>
                    <w:rPr>
                      <w:rFonts w:hint="eastAsia" w:eastAsia="宋体"/>
                      <w:color w:val="auto"/>
                      <w:sz w:val="20"/>
                      <w:szCs w:val="20"/>
                      <w:highlight w:val="none"/>
                      <w:lang w:val="en-US" w:eastAsia="zh-CN"/>
                    </w:rPr>
                    <w:t>1.68</w:t>
                  </w:r>
                </w:p>
              </w:tc>
            </w:tr>
            <w:tr w14:paraId="249F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continue"/>
                  <w:tcBorders>
                    <w:left w:val="single" w:color="auto" w:sz="4" w:space="0"/>
                    <w:right w:val="single" w:color="auto" w:sz="4" w:space="0"/>
                  </w:tcBorders>
                  <w:noWrap w:val="0"/>
                  <w:vAlign w:val="center"/>
                </w:tcPr>
                <w:p w14:paraId="1419D786">
                  <w:pPr>
                    <w:keepNext w:val="0"/>
                    <w:keepLines w:val="0"/>
                    <w:widowControl/>
                    <w:suppressLineNumbers w:val="0"/>
                    <w:jc w:val="center"/>
                    <w:textAlignment w:val="center"/>
                    <w:rPr>
                      <w:color w:val="auto"/>
                      <w:sz w:val="20"/>
                      <w:szCs w:val="20"/>
                      <w:highlight w:val="none"/>
                    </w:rPr>
                  </w:pPr>
                </w:p>
              </w:tc>
              <w:tc>
                <w:tcPr>
                  <w:tcW w:w="1635" w:type="pct"/>
                  <w:tcBorders>
                    <w:top w:val="single" w:color="auto" w:sz="4" w:space="0"/>
                    <w:left w:val="single" w:color="auto" w:sz="4" w:space="0"/>
                    <w:bottom w:val="single" w:color="auto" w:sz="4" w:space="0"/>
                    <w:right w:val="single" w:color="auto" w:sz="4" w:space="0"/>
                  </w:tcBorders>
                  <w:noWrap w:val="0"/>
                  <w:vAlign w:val="center"/>
                </w:tcPr>
                <w:p w14:paraId="6C7BB9A3">
                  <w:pPr>
                    <w:keepNext w:val="0"/>
                    <w:keepLines w:val="0"/>
                    <w:widowControl/>
                    <w:suppressLineNumbers w:val="0"/>
                    <w:jc w:val="center"/>
                    <w:textAlignment w:val="center"/>
                    <w:rPr>
                      <w:rFonts w:hint="default" w:eastAsia="宋体"/>
                      <w:color w:val="auto"/>
                      <w:sz w:val="20"/>
                      <w:szCs w:val="20"/>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Na</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688366D8">
                  <w:pPr>
                    <w:keepNext w:val="0"/>
                    <w:keepLines w:val="0"/>
                    <w:widowControl/>
                    <w:suppressLineNumbers w:val="0"/>
                    <w:jc w:val="center"/>
                    <w:textAlignment w:val="center"/>
                    <w:rPr>
                      <w:rFonts w:hint="default" w:eastAsia="宋体"/>
                      <w:color w:val="auto"/>
                      <w:sz w:val="20"/>
                      <w:szCs w:val="20"/>
                      <w:highlight w:val="none"/>
                      <w:lang w:val="en-US" w:eastAsia="zh-CN"/>
                    </w:rPr>
                  </w:pPr>
                  <w:r>
                    <w:rPr>
                      <w:rFonts w:hint="eastAsia" w:eastAsia="宋体"/>
                      <w:color w:val="auto"/>
                      <w:sz w:val="20"/>
                      <w:szCs w:val="20"/>
                      <w:highlight w:val="none"/>
                      <w:lang w:val="en-US" w:eastAsia="zh-CN"/>
                    </w:rPr>
                    <w:t>30.2</w:t>
                  </w:r>
                </w:p>
              </w:tc>
            </w:tr>
            <w:tr w14:paraId="5B23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continue"/>
                  <w:tcBorders>
                    <w:left w:val="single" w:color="auto" w:sz="4" w:space="0"/>
                    <w:right w:val="single" w:color="auto" w:sz="4" w:space="0"/>
                  </w:tcBorders>
                  <w:noWrap w:val="0"/>
                  <w:vAlign w:val="center"/>
                </w:tcPr>
                <w:p w14:paraId="09883CFA">
                  <w:pPr>
                    <w:keepNext w:val="0"/>
                    <w:keepLines w:val="0"/>
                    <w:widowControl/>
                    <w:suppressLineNumbers w:val="0"/>
                    <w:jc w:val="center"/>
                    <w:textAlignment w:val="center"/>
                    <w:rPr>
                      <w:color w:val="auto"/>
                      <w:sz w:val="20"/>
                      <w:szCs w:val="20"/>
                      <w:highlight w:val="none"/>
                    </w:rPr>
                  </w:pPr>
                </w:p>
              </w:tc>
              <w:tc>
                <w:tcPr>
                  <w:tcW w:w="1635" w:type="pct"/>
                  <w:tcBorders>
                    <w:top w:val="single" w:color="auto" w:sz="4" w:space="0"/>
                    <w:left w:val="single" w:color="auto" w:sz="4" w:space="0"/>
                    <w:bottom w:val="single" w:color="auto" w:sz="4" w:space="0"/>
                    <w:right w:val="single" w:color="auto" w:sz="4" w:space="0"/>
                  </w:tcBorders>
                  <w:noWrap w:val="0"/>
                  <w:vAlign w:val="center"/>
                </w:tcPr>
                <w:p w14:paraId="3BD59900">
                  <w:pPr>
                    <w:keepNext w:val="0"/>
                    <w:keepLines w:val="0"/>
                    <w:widowControl/>
                    <w:suppressLineNumbers w:val="0"/>
                    <w:jc w:val="center"/>
                    <w:textAlignment w:val="center"/>
                    <w:rPr>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Ca</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70E68273">
                  <w:pPr>
                    <w:keepNext w:val="0"/>
                    <w:keepLines w:val="0"/>
                    <w:widowControl/>
                    <w:suppressLineNumbers w:val="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110</w:t>
                  </w:r>
                </w:p>
              </w:tc>
            </w:tr>
            <w:tr w14:paraId="22A9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continue"/>
                  <w:tcBorders>
                    <w:left w:val="single" w:color="auto" w:sz="4" w:space="0"/>
                    <w:right w:val="single" w:color="auto" w:sz="4" w:space="0"/>
                  </w:tcBorders>
                  <w:noWrap w:val="0"/>
                  <w:vAlign w:val="center"/>
                </w:tcPr>
                <w:p w14:paraId="692528D0">
                  <w:pPr>
                    <w:keepNext w:val="0"/>
                    <w:keepLines w:val="0"/>
                    <w:widowControl/>
                    <w:suppressLineNumbers w:val="0"/>
                    <w:jc w:val="center"/>
                    <w:textAlignment w:val="center"/>
                    <w:rPr>
                      <w:color w:val="auto"/>
                      <w:sz w:val="20"/>
                      <w:szCs w:val="20"/>
                      <w:highlight w:val="none"/>
                    </w:rPr>
                  </w:pPr>
                </w:p>
              </w:tc>
              <w:tc>
                <w:tcPr>
                  <w:tcW w:w="1635" w:type="pct"/>
                  <w:tcBorders>
                    <w:top w:val="single" w:color="auto" w:sz="4" w:space="0"/>
                    <w:left w:val="single" w:color="auto" w:sz="4" w:space="0"/>
                    <w:bottom w:val="single" w:color="auto" w:sz="4" w:space="0"/>
                    <w:right w:val="single" w:color="auto" w:sz="4" w:space="0"/>
                  </w:tcBorders>
                  <w:noWrap w:val="0"/>
                  <w:vAlign w:val="center"/>
                </w:tcPr>
                <w:p w14:paraId="16B17DB2">
                  <w:pPr>
                    <w:keepNext w:val="0"/>
                    <w:keepLines w:val="0"/>
                    <w:widowControl/>
                    <w:suppressLineNumbers w:val="0"/>
                    <w:jc w:val="center"/>
                    <w:textAlignment w:val="center"/>
                    <w:rPr>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73CA6B31">
                  <w:pPr>
                    <w:keepNext w:val="0"/>
                    <w:keepLines w:val="0"/>
                    <w:widowControl/>
                    <w:suppressLineNumbers w:val="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30.7</w:t>
                  </w:r>
                </w:p>
              </w:tc>
            </w:tr>
            <w:tr w14:paraId="07C5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continue"/>
                  <w:tcBorders>
                    <w:left w:val="single" w:color="auto" w:sz="4" w:space="0"/>
                    <w:bottom w:val="single" w:color="auto" w:sz="4" w:space="0"/>
                    <w:right w:val="single" w:color="auto" w:sz="4" w:space="0"/>
                  </w:tcBorders>
                  <w:noWrap w:val="0"/>
                  <w:vAlign w:val="center"/>
                </w:tcPr>
                <w:p w14:paraId="32724F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35" w:type="pct"/>
                  <w:tcBorders>
                    <w:top w:val="single" w:color="auto" w:sz="4" w:space="0"/>
                    <w:left w:val="single" w:color="auto" w:sz="4" w:space="0"/>
                    <w:bottom w:val="single" w:color="auto" w:sz="4" w:space="0"/>
                    <w:right w:val="single" w:color="auto" w:sz="4" w:space="0"/>
                  </w:tcBorders>
                  <w:noWrap w:val="0"/>
                  <w:vAlign w:val="center"/>
                </w:tcPr>
                <w:p w14:paraId="0B74C0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合计（∑Nc）（meq/L）</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4F8ED0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9.37</w:t>
                  </w:r>
                </w:p>
              </w:tc>
            </w:tr>
            <w:tr w14:paraId="1035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restart"/>
                  <w:tcBorders>
                    <w:top w:val="single" w:color="auto" w:sz="4" w:space="0"/>
                    <w:left w:val="single" w:color="auto" w:sz="4" w:space="0"/>
                    <w:right w:val="single" w:color="auto" w:sz="4" w:space="0"/>
                  </w:tcBorders>
                  <w:noWrap w:val="0"/>
                  <w:vAlign w:val="center"/>
                </w:tcPr>
                <w:p w14:paraId="0B9AFA11">
                  <w:pPr>
                    <w:keepNext w:val="0"/>
                    <w:keepLines w:val="0"/>
                    <w:widowControl/>
                    <w:suppressLineNumbers w:val="0"/>
                    <w:jc w:val="center"/>
                    <w:textAlignment w:val="center"/>
                    <w:rPr>
                      <w:rFonts w:hint="eastAsia" w:eastAsia="宋体"/>
                      <w:color w:val="auto"/>
                      <w:sz w:val="20"/>
                      <w:szCs w:val="20"/>
                      <w:highlight w:val="none"/>
                      <w:lang w:val="en-US" w:eastAsia="zh-CN"/>
                    </w:rPr>
                  </w:pPr>
                  <w:r>
                    <w:rPr>
                      <w:rFonts w:hint="eastAsia"/>
                      <w:color w:val="auto"/>
                      <w:sz w:val="20"/>
                      <w:szCs w:val="20"/>
                      <w:highlight w:val="none"/>
                      <w:lang w:val="en-US" w:eastAsia="zh-CN"/>
                    </w:rPr>
                    <w:t>阴离子</w:t>
                  </w:r>
                </w:p>
              </w:tc>
              <w:tc>
                <w:tcPr>
                  <w:tcW w:w="1635" w:type="pct"/>
                  <w:tcBorders>
                    <w:top w:val="single" w:color="auto" w:sz="4" w:space="0"/>
                    <w:left w:val="single" w:color="auto" w:sz="4" w:space="0"/>
                    <w:bottom w:val="single" w:color="auto" w:sz="4" w:space="0"/>
                    <w:right w:val="single" w:color="auto" w:sz="4" w:space="0"/>
                  </w:tcBorders>
                  <w:noWrap w:val="0"/>
                  <w:vAlign w:val="center"/>
                </w:tcPr>
                <w:p w14:paraId="13F0592E">
                  <w:pPr>
                    <w:keepNext w:val="0"/>
                    <w:keepLines w:val="0"/>
                    <w:widowControl/>
                    <w:suppressLineNumbers w:val="0"/>
                    <w:jc w:val="center"/>
                    <w:textAlignment w:val="center"/>
                    <w:rPr>
                      <w:rFonts w:hint="default"/>
                      <w:color w:val="auto"/>
                      <w:kern w:val="2"/>
                      <w:sz w:val="20"/>
                      <w:szCs w:val="20"/>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eastAsia" w:eastAsia="宋体" w:cs="Times New Roman"/>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133553D5">
                  <w:pPr>
                    <w:keepNext w:val="0"/>
                    <w:keepLines w:val="0"/>
                    <w:widowControl/>
                    <w:suppressLineNumbers w:val="0"/>
                    <w:jc w:val="center"/>
                    <w:textAlignment w:val="center"/>
                    <w:rPr>
                      <w:rFonts w:hint="default"/>
                      <w:color w:val="auto"/>
                      <w:kern w:val="2"/>
                      <w:sz w:val="20"/>
                      <w:szCs w:val="20"/>
                      <w:highlight w:val="none"/>
                      <w:lang w:val="en-US" w:eastAsia="zh-CN" w:bidi="ar-SA"/>
                    </w:rPr>
                  </w:pPr>
                  <w:r>
                    <w:rPr>
                      <w:rFonts w:hint="eastAsia"/>
                      <w:color w:val="auto"/>
                      <w:kern w:val="2"/>
                      <w:sz w:val="20"/>
                      <w:szCs w:val="20"/>
                      <w:highlight w:val="none"/>
                      <w:lang w:val="en-US" w:eastAsia="zh-CN" w:bidi="ar-SA"/>
                    </w:rPr>
                    <w:t>5L</w:t>
                  </w:r>
                </w:p>
              </w:tc>
            </w:tr>
            <w:tr w14:paraId="3046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continue"/>
                  <w:tcBorders>
                    <w:left w:val="single" w:color="auto" w:sz="4" w:space="0"/>
                    <w:right w:val="single" w:color="auto" w:sz="4" w:space="0"/>
                  </w:tcBorders>
                  <w:noWrap w:val="0"/>
                  <w:vAlign w:val="center"/>
                </w:tcPr>
                <w:p w14:paraId="254C04C1">
                  <w:pPr>
                    <w:keepNext w:val="0"/>
                    <w:keepLines w:val="0"/>
                    <w:widowControl/>
                    <w:suppressLineNumbers w:val="0"/>
                    <w:jc w:val="center"/>
                    <w:textAlignment w:val="center"/>
                    <w:rPr>
                      <w:color w:val="auto"/>
                      <w:sz w:val="20"/>
                      <w:szCs w:val="20"/>
                      <w:highlight w:val="none"/>
                    </w:rPr>
                  </w:pPr>
                </w:p>
              </w:tc>
              <w:tc>
                <w:tcPr>
                  <w:tcW w:w="2614" w:type="dxa"/>
                  <w:tcBorders>
                    <w:top w:val="single" w:color="auto" w:sz="4" w:space="0"/>
                    <w:left w:val="single" w:color="auto" w:sz="4" w:space="0"/>
                    <w:bottom w:val="single" w:color="auto" w:sz="4" w:space="0"/>
                    <w:right w:val="single" w:color="auto" w:sz="4" w:space="0"/>
                  </w:tcBorders>
                  <w:noWrap w:val="0"/>
                  <w:vAlign w:val="center"/>
                </w:tcPr>
                <w:p w14:paraId="4063EACF">
                  <w:pPr>
                    <w:keepNext w:val="0"/>
                    <w:keepLines w:val="0"/>
                    <w:widowControl/>
                    <w:suppressLineNumbers w:val="0"/>
                    <w:jc w:val="center"/>
                    <w:textAlignment w:val="center"/>
                    <w:rPr>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HCO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2E2E5314">
                  <w:pPr>
                    <w:keepNext w:val="0"/>
                    <w:keepLines w:val="0"/>
                    <w:widowControl/>
                    <w:suppressLineNumbers w:val="0"/>
                    <w:jc w:val="center"/>
                    <w:textAlignment w:val="center"/>
                    <w:rPr>
                      <w:color w:val="auto"/>
                      <w:sz w:val="20"/>
                      <w:szCs w:val="20"/>
                      <w:highlight w:val="none"/>
                    </w:rPr>
                  </w:pPr>
                  <w:r>
                    <w:rPr>
                      <w:rFonts w:hint="eastAsia"/>
                      <w:color w:val="auto"/>
                      <w:kern w:val="2"/>
                      <w:sz w:val="20"/>
                      <w:szCs w:val="20"/>
                      <w:highlight w:val="none"/>
                      <w:lang w:val="en-US" w:eastAsia="zh-CN" w:bidi="ar-SA"/>
                    </w:rPr>
                    <w:t>372</w:t>
                  </w:r>
                </w:p>
              </w:tc>
            </w:tr>
            <w:tr w14:paraId="18EF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continue"/>
                  <w:tcBorders>
                    <w:left w:val="single" w:color="auto" w:sz="4" w:space="0"/>
                    <w:right w:val="single" w:color="auto" w:sz="4" w:space="0"/>
                  </w:tcBorders>
                  <w:noWrap w:val="0"/>
                  <w:vAlign w:val="center"/>
                </w:tcPr>
                <w:p w14:paraId="29913E3D">
                  <w:pPr>
                    <w:keepNext w:val="0"/>
                    <w:keepLines w:val="0"/>
                    <w:widowControl/>
                    <w:suppressLineNumbers w:val="0"/>
                    <w:jc w:val="center"/>
                    <w:textAlignment w:val="center"/>
                    <w:rPr>
                      <w:color w:val="auto"/>
                      <w:sz w:val="20"/>
                      <w:szCs w:val="20"/>
                      <w:highlight w:val="none"/>
                    </w:rPr>
                  </w:pPr>
                </w:p>
              </w:tc>
              <w:tc>
                <w:tcPr>
                  <w:tcW w:w="2614" w:type="dxa"/>
                  <w:tcBorders>
                    <w:top w:val="single" w:color="auto" w:sz="4" w:space="0"/>
                    <w:left w:val="single" w:color="auto" w:sz="4" w:space="0"/>
                    <w:bottom w:val="single" w:color="auto" w:sz="4" w:space="0"/>
                    <w:right w:val="single" w:color="auto" w:sz="4" w:space="0"/>
                  </w:tcBorders>
                  <w:noWrap w:val="0"/>
                  <w:vAlign w:val="center"/>
                </w:tcPr>
                <w:p w14:paraId="2FD0210A">
                  <w:pPr>
                    <w:keepNext w:val="0"/>
                    <w:keepLines w:val="0"/>
                    <w:widowControl/>
                    <w:suppressLineNumbers w:val="0"/>
                    <w:jc w:val="center"/>
                    <w:textAlignment w:val="center"/>
                    <w:rPr>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Cl</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7144B890">
                  <w:pPr>
                    <w:keepNext w:val="0"/>
                    <w:keepLines w:val="0"/>
                    <w:widowControl/>
                    <w:suppressLineNumbers w:val="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26.3</w:t>
                  </w:r>
                </w:p>
              </w:tc>
            </w:tr>
            <w:tr w14:paraId="2A1E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continue"/>
                  <w:tcBorders>
                    <w:left w:val="single" w:color="auto" w:sz="4" w:space="0"/>
                    <w:right w:val="single" w:color="auto" w:sz="4" w:space="0"/>
                  </w:tcBorders>
                  <w:noWrap w:val="0"/>
                  <w:vAlign w:val="center"/>
                </w:tcPr>
                <w:p w14:paraId="0F870020">
                  <w:pPr>
                    <w:keepNext w:val="0"/>
                    <w:keepLines w:val="0"/>
                    <w:widowControl/>
                    <w:suppressLineNumbers w:val="0"/>
                    <w:jc w:val="center"/>
                    <w:textAlignment w:val="center"/>
                    <w:rPr>
                      <w:color w:val="auto"/>
                      <w:sz w:val="20"/>
                      <w:szCs w:val="20"/>
                      <w:highlight w:val="none"/>
                    </w:rPr>
                  </w:pPr>
                </w:p>
              </w:tc>
              <w:tc>
                <w:tcPr>
                  <w:tcW w:w="2614" w:type="dxa"/>
                  <w:tcBorders>
                    <w:top w:val="single" w:color="auto" w:sz="4" w:space="0"/>
                    <w:left w:val="single" w:color="auto" w:sz="4" w:space="0"/>
                    <w:bottom w:val="single" w:color="auto" w:sz="4" w:space="0"/>
                    <w:right w:val="single" w:color="auto" w:sz="4" w:space="0"/>
                  </w:tcBorders>
                  <w:noWrap w:val="0"/>
                  <w:vAlign w:val="center"/>
                </w:tcPr>
                <w:p w14:paraId="2BC65BBD">
                  <w:pPr>
                    <w:keepNext w:val="0"/>
                    <w:keepLines w:val="0"/>
                    <w:widowControl/>
                    <w:suppressLineNumbers w:val="0"/>
                    <w:jc w:val="center"/>
                    <w:textAlignment w:val="center"/>
                    <w:rPr>
                      <w:color w:val="auto"/>
                      <w:sz w:val="20"/>
                      <w:szCs w:val="20"/>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404B6177">
                  <w:pPr>
                    <w:keepNext w:val="0"/>
                    <w:keepLines w:val="0"/>
                    <w:widowControl/>
                    <w:suppressLineNumbers w:val="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88.6</w:t>
                  </w:r>
                </w:p>
              </w:tc>
            </w:tr>
            <w:tr w14:paraId="10A5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vMerge w:val="continue"/>
                  <w:tcBorders>
                    <w:left w:val="single" w:color="auto" w:sz="4" w:space="0"/>
                    <w:bottom w:val="single" w:color="auto" w:sz="4" w:space="0"/>
                    <w:right w:val="single" w:color="auto" w:sz="4" w:space="0"/>
                  </w:tcBorders>
                  <w:noWrap w:val="0"/>
                  <w:vAlign w:val="center"/>
                </w:tcPr>
                <w:p w14:paraId="174908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35" w:type="pct"/>
                  <w:tcBorders>
                    <w:top w:val="single" w:color="auto" w:sz="4" w:space="0"/>
                    <w:left w:val="single" w:color="auto" w:sz="4" w:space="0"/>
                    <w:bottom w:val="single" w:color="auto" w:sz="4" w:space="0"/>
                    <w:right w:val="single" w:color="auto" w:sz="4" w:space="0"/>
                  </w:tcBorders>
                  <w:noWrap w:val="0"/>
                  <w:vAlign w:val="center"/>
                </w:tcPr>
                <w:p w14:paraId="76000E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合计（∑Na）（meq/L）</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0B3680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8.85</w:t>
                  </w:r>
                </w:p>
              </w:tc>
            </w:tr>
            <w:tr w14:paraId="3FC4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3" w:type="pct"/>
                  <w:gridSpan w:val="2"/>
                  <w:tcBorders>
                    <w:top w:val="single" w:color="auto" w:sz="4" w:space="0"/>
                    <w:left w:val="single" w:color="auto" w:sz="4" w:space="0"/>
                    <w:bottom w:val="single" w:color="auto" w:sz="4" w:space="0"/>
                    <w:right w:val="single" w:color="auto" w:sz="4" w:space="0"/>
                  </w:tcBorders>
                  <w:noWrap w:val="0"/>
                  <w:vAlign w:val="center"/>
                </w:tcPr>
                <w:p w14:paraId="4FB1A6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矿化度（g/L）</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08A590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0.66</w:t>
                  </w:r>
                </w:p>
              </w:tc>
            </w:tr>
            <w:tr w14:paraId="3A2E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3" w:type="pct"/>
                  <w:gridSpan w:val="2"/>
                  <w:tcBorders>
                    <w:top w:val="single" w:color="auto" w:sz="4" w:space="0"/>
                    <w:left w:val="single" w:color="auto" w:sz="4" w:space="0"/>
                    <w:bottom w:val="single" w:color="auto" w:sz="4" w:space="0"/>
                    <w:right w:val="single" w:color="auto" w:sz="4" w:space="0"/>
                  </w:tcBorders>
                  <w:noWrap w:val="0"/>
                  <w:vAlign w:val="center"/>
                </w:tcPr>
                <w:p w14:paraId="63501B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相对误差（E%）</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11E098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2.83</w:t>
                  </w:r>
                </w:p>
              </w:tc>
            </w:tr>
            <w:tr w14:paraId="1175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3" w:type="pct"/>
                  <w:gridSpan w:val="2"/>
                  <w:tcBorders>
                    <w:top w:val="single" w:color="auto" w:sz="4" w:space="0"/>
                    <w:left w:val="single" w:color="auto" w:sz="4" w:space="0"/>
                    <w:bottom w:val="single" w:color="auto" w:sz="4" w:space="0"/>
                    <w:right w:val="single" w:color="auto" w:sz="4" w:space="0"/>
                  </w:tcBorders>
                  <w:noWrap w:val="0"/>
                  <w:vAlign w:val="center"/>
                </w:tcPr>
                <w:p w14:paraId="05D9DF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地下水化学类型</w:t>
                  </w:r>
                </w:p>
              </w:tc>
              <w:tc>
                <w:tcPr>
                  <w:tcW w:w="1816" w:type="pct"/>
                  <w:tcBorders>
                    <w:top w:val="single" w:color="auto" w:sz="4" w:space="0"/>
                    <w:left w:val="single" w:color="auto" w:sz="4" w:space="0"/>
                    <w:bottom w:val="single" w:color="auto" w:sz="4" w:space="0"/>
                    <w:right w:val="single" w:color="auto" w:sz="4" w:space="0"/>
                  </w:tcBorders>
                  <w:noWrap w:val="0"/>
                  <w:vAlign w:val="center"/>
                </w:tcPr>
                <w:p w14:paraId="39B5CA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Ca·Mg-HCO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eastAsia" w:eastAsia="宋体" w:cs="Times New Roman"/>
                      <w:i w:val="0"/>
                      <w:iCs w:val="0"/>
                      <w:color w:val="auto"/>
                      <w:kern w:val="0"/>
                      <w:sz w:val="21"/>
                      <w:szCs w:val="21"/>
                      <w:highlight w:val="none"/>
                      <w:u w:val="none"/>
                      <w:vertAlign w:val="superscript"/>
                      <w:lang w:val="en-US" w:eastAsia="zh-CN" w:bidi="ar"/>
                    </w:rPr>
                    <w:t>-</w:t>
                  </w:r>
                </w:p>
              </w:tc>
            </w:tr>
          </w:tbl>
          <w:p w14:paraId="59F1632E">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eastAsia="宋体"/>
                <w:b/>
                <w:color w:val="auto"/>
                <w:kern w:val="0"/>
                <w:szCs w:val="21"/>
                <w:highlight w:val="none"/>
              </w:rPr>
            </w:pPr>
            <w:r>
              <w:rPr>
                <w:rFonts w:eastAsia="宋体"/>
                <w:b/>
                <w:color w:val="auto"/>
                <w:kern w:val="0"/>
                <w:szCs w:val="21"/>
                <w:highlight w:val="none"/>
              </w:rPr>
              <w:t>表3</w:t>
            </w:r>
            <w:r>
              <w:rPr>
                <w:rFonts w:hint="eastAsia" w:eastAsia="宋体"/>
                <w:b/>
                <w:color w:val="auto"/>
                <w:kern w:val="0"/>
                <w:szCs w:val="21"/>
                <w:highlight w:val="none"/>
                <w:lang w:val="en-US" w:eastAsia="zh-CN"/>
              </w:rPr>
              <w:t>.1-7</w:t>
            </w:r>
            <w:r>
              <w:rPr>
                <w:rFonts w:eastAsia="宋体"/>
                <w:b/>
                <w:color w:val="auto"/>
                <w:kern w:val="0"/>
                <w:szCs w:val="21"/>
                <w:highlight w:val="none"/>
              </w:rPr>
              <w:t>地下水监测结果统计表单位：mg/L</w:t>
            </w:r>
          </w:p>
          <w:tbl>
            <w:tblPr>
              <w:tblStyle w:val="18"/>
              <w:tblW w:w="80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75"/>
              <w:gridCol w:w="1484"/>
              <w:gridCol w:w="1271"/>
              <w:gridCol w:w="1401"/>
              <w:gridCol w:w="1272"/>
            </w:tblGrid>
            <w:tr w14:paraId="4DDF6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vMerge w:val="restart"/>
                  <w:tcBorders>
                    <w:top w:val="single" w:color="000000" w:sz="4" w:space="0"/>
                    <w:left w:val="single" w:color="000000" w:sz="4" w:space="0"/>
                    <w:bottom w:val="single" w:color="000000" w:sz="4" w:space="0"/>
                    <w:right w:val="single" w:color="000000" w:sz="4" w:space="0"/>
                  </w:tcBorders>
                  <w:noWrap w:val="0"/>
                  <w:vAlign w:val="center"/>
                </w:tcPr>
                <w:p w14:paraId="78ED3AA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监测因子</w:t>
                  </w:r>
                </w:p>
              </w:tc>
              <w:tc>
                <w:tcPr>
                  <w:tcW w:w="927" w:type="pct"/>
                  <w:vMerge w:val="restart"/>
                  <w:tcBorders>
                    <w:top w:val="single" w:color="000000" w:sz="4" w:space="0"/>
                    <w:left w:val="single" w:color="000000" w:sz="4" w:space="0"/>
                    <w:bottom w:val="single" w:color="000000" w:sz="4" w:space="0"/>
                    <w:right w:val="single" w:color="000000" w:sz="4" w:space="0"/>
                  </w:tcBorders>
                  <w:noWrap w:val="0"/>
                  <w:vAlign w:val="center"/>
                </w:tcPr>
                <w:p w14:paraId="3EB906D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Ⅲ类标准值</w:t>
                  </w:r>
                </w:p>
              </w:tc>
              <w:tc>
                <w:tcPr>
                  <w:tcW w:w="2463" w:type="pct"/>
                  <w:gridSpan w:val="3"/>
                  <w:tcBorders>
                    <w:top w:val="single" w:color="000000" w:sz="4" w:space="0"/>
                    <w:left w:val="single" w:color="000000" w:sz="4" w:space="0"/>
                    <w:bottom w:val="single" w:color="000000" w:sz="4" w:space="0"/>
                    <w:right w:val="single" w:color="000000" w:sz="4" w:space="0"/>
                  </w:tcBorders>
                  <w:noWrap w:val="0"/>
                  <w:vAlign w:val="center"/>
                </w:tcPr>
                <w:p w14:paraId="4EA0A8B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lang w:val="en-US"/>
                    </w:rPr>
                  </w:pPr>
                  <w:r>
                    <w:rPr>
                      <w:rFonts w:hint="eastAsia" w:cs="Times New Roman"/>
                      <w:color w:val="auto"/>
                      <w:kern w:val="2"/>
                      <w:sz w:val="20"/>
                      <w:szCs w:val="20"/>
                      <w:highlight w:val="none"/>
                      <w:lang w:val="en-US" w:eastAsia="zh-CN" w:bidi="ar"/>
                    </w:rPr>
                    <w:t>D12</w:t>
                  </w:r>
                </w:p>
              </w:tc>
            </w:tr>
            <w:tr w14:paraId="7F9E7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467A30">
                  <w:pPr>
                    <w:jc w:val="center"/>
                    <w:rPr>
                      <w:rFonts w:hint="default" w:ascii="Times New Roman" w:hAnsi="Times New Roman" w:eastAsia="宋体" w:cs="Times New Roman"/>
                      <w:b/>
                      <w:bCs/>
                      <w:i w:val="0"/>
                      <w:iCs w:val="0"/>
                      <w:color w:val="auto"/>
                      <w:sz w:val="20"/>
                      <w:szCs w:val="20"/>
                      <w:highlight w:val="none"/>
                      <w:u w:val="none"/>
                    </w:rPr>
                  </w:pPr>
                </w:p>
              </w:tc>
              <w:tc>
                <w:tcPr>
                  <w:tcW w:w="92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E4F610">
                  <w:pPr>
                    <w:jc w:val="center"/>
                    <w:rPr>
                      <w:rFonts w:hint="default" w:ascii="Times New Roman" w:hAnsi="Times New Roman" w:eastAsia="宋体" w:cs="Times New Roman"/>
                      <w:b/>
                      <w:bCs/>
                      <w:i w:val="0"/>
                      <w:iCs w:val="0"/>
                      <w:color w:val="auto"/>
                      <w:sz w:val="20"/>
                      <w:szCs w:val="20"/>
                      <w:highlight w:val="none"/>
                      <w:u w:val="none"/>
                    </w:rPr>
                  </w:pP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25425A1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监测值</w:t>
                  </w:r>
                </w:p>
              </w:tc>
              <w:tc>
                <w:tcPr>
                  <w:tcW w:w="875" w:type="pct"/>
                  <w:tcBorders>
                    <w:top w:val="single" w:color="000000" w:sz="4" w:space="0"/>
                    <w:left w:val="single" w:color="000000" w:sz="4" w:space="0"/>
                    <w:bottom w:val="single" w:color="000000" w:sz="4" w:space="0"/>
                    <w:right w:val="single" w:color="000000" w:sz="4" w:space="0"/>
                  </w:tcBorders>
                  <w:noWrap w:val="0"/>
                  <w:vAlign w:val="center"/>
                </w:tcPr>
                <w:p w14:paraId="4DDEA82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color w:val="auto"/>
                      <w:sz w:val="20"/>
                      <w:szCs w:val="20"/>
                      <w:highlight w:val="none"/>
                    </w:rPr>
                    <w:t>标准指数</w:t>
                  </w:r>
                  <w:r>
                    <w:rPr>
                      <w:rFonts w:hint="default" w:ascii="Times New Roman" w:hAnsi="Times New Roman" w:cs="Times New Roman"/>
                      <w:color w:val="auto"/>
                      <w:sz w:val="20"/>
                      <w:szCs w:val="20"/>
                      <w:highlight w:val="none"/>
                      <w:lang w:val="en-US" w:eastAsia="zh-CN"/>
                    </w:rPr>
                    <w:t>P</w:t>
                  </w:r>
                  <w:r>
                    <w:rPr>
                      <w:rFonts w:hint="default" w:ascii="Times New Roman" w:hAnsi="Times New Roman" w:cs="Times New Roman"/>
                      <w:color w:val="auto"/>
                      <w:sz w:val="20"/>
                      <w:szCs w:val="20"/>
                      <w:highlight w:val="none"/>
                      <w:vertAlign w:val="subscript"/>
                    </w:rPr>
                    <w:t>i</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17A22E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eastAsia" w:eastAsia="宋体" w:cs="Times New Roman"/>
                      <w:b/>
                      <w:bCs/>
                      <w:i w:val="0"/>
                      <w:iCs w:val="0"/>
                      <w:color w:val="auto"/>
                      <w:kern w:val="0"/>
                      <w:sz w:val="20"/>
                      <w:szCs w:val="20"/>
                      <w:highlight w:val="none"/>
                      <w:u w:val="none"/>
                      <w:lang w:val="en-US" w:eastAsia="zh-CN" w:bidi="ar"/>
                    </w:rPr>
                    <w:t>达标情况</w:t>
                  </w:r>
                </w:p>
              </w:tc>
            </w:tr>
            <w:tr w14:paraId="66BC1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111A2F5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pH值（无量纲）</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57CD4BB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6.5~8.5</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1C14B91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eastAsia" w:eastAsia="宋体" w:cs="Times New Roman"/>
                      <w:i w:val="0"/>
                      <w:iCs w:val="0"/>
                      <w:color w:val="auto"/>
                      <w:sz w:val="20"/>
                      <w:szCs w:val="20"/>
                      <w:highlight w:val="none"/>
                      <w:u w:val="none"/>
                      <w:lang w:val="en-US" w:eastAsia="zh-CN"/>
                    </w:rPr>
                    <w:t>8.6</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7AFB961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eastAsia" w:eastAsia="宋体" w:cs="Times New Roman"/>
                      <w:i w:val="0"/>
                      <w:iCs w:val="0"/>
                      <w:color w:val="auto"/>
                      <w:sz w:val="20"/>
                      <w:szCs w:val="20"/>
                      <w:highlight w:val="none"/>
                      <w:u w:val="none"/>
                      <w:lang w:val="en-US" w:eastAsia="zh-CN"/>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74672B6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eastAsia" w:eastAsia="宋体" w:cs="Times New Roman"/>
                      <w:i w:val="0"/>
                      <w:iCs w:val="0"/>
                      <w:color w:val="auto"/>
                      <w:sz w:val="20"/>
                      <w:szCs w:val="20"/>
                      <w:highlight w:val="none"/>
                      <w:u w:val="none"/>
                      <w:lang w:val="en-US" w:eastAsia="zh-CN"/>
                    </w:rPr>
                    <w:t>达标</w:t>
                  </w:r>
                </w:p>
              </w:tc>
            </w:tr>
            <w:tr w14:paraId="39CD1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27AAB6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氨氮</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21EBDB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≤0.5</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01A44C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0.046</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11809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0.092</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0F45BF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6B035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779318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硝酸根（硝酸盐氮）</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191425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r>
                    <w:rPr>
                      <w:rFonts w:hint="eastAsia" w:eastAsia="宋体" w:cs="Times New Roman"/>
                      <w:i w:val="0"/>
                      <w:iCs w:val="0"/>
                      <w:color w:val="auto"/>
                      <w:kern w:val="0"/>
                      <w:sz w:val="20"/>
                      <w:szCs w:val="20"/>
                      <w:highlight w:val="none"/>
                      <w:u w:val="none"/>
                      <w:lang w:val="en-US" w:eastAsia="zh-CN" w:bidi="ar"/>
                    </w:rPr>
                    <w:t>.0</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5AB75C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16.8</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0EA1FA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0.84</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517B20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3B80F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387BBE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亚硝酸根（亚硝酸盐氮）</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3A371A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w:t>
                  </w:r>
                  <w:r>
                    <w:rPr>
                      <w:rFonts w:hint="eastAsia" w:eastAsia="宋体" w:cs="Times New Roman"/>
                      <w:i w:val="0"/>
                      <w:iCs w:val="0"/>
                      <w:color w:val="auto"/>
                      <w:kern w:val="0"/>
                      <w:sz w:val="20"/>
                      <w:szCs w:val="20"/>
                      <w:highlight w:val="none"/>
                      <w:u w:val="none"/>
                      <w:lang w:val="en-US" w:eastAsia="zh-CN" w:bidi="ar"/>
                    </w:rPr>
                    <w:t>0</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60B9D9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0.063</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28E0D6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0.063</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0E2387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36EE1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19DD1B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挥发性酚类</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1A7330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≤0.002</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253F0C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0.0003L</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77672E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51C84E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78DDE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04ED56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氰化物</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69F568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≤0.05</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691F3A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0.002L</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184A85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5C4923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79355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52E37E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砷</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28555C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≤0.01</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5FA8F5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vertAlign w:val="baseline"/>
                      <w:lang w:val="en-US" w:eastAsia="zh-CN" w:bidi="ar"/>
                    </w:rPr>
                  </w:pPr>
                  <w:r>
                    <w:rPr>
                      <w:rFonts w:hint="eastAsia" w:eastAsia="宋体" w:cs="Times New Roman"/>
                      <w:i w:val="0"/>
                      <w:iCs w:val="0"/>
                      <w:color w:val="auto"/>
                      <w:kern w:val="0"/>
                      <w:sz w:val="20"/>
                      <w:szCs w:val="20"/>
                      <w:highlight w:val="none"/>
                      <w:u w:val="none"/>
                      <w:lang w:val="en-US" w:eastAsia="zh-CN" w:bidi="ar"/>
                    </w:rPr>
                    <w:t>3×10</w:t>
                  </w:r>
                  <w:r>
                    <w:rPr>
                      <w:rFonts w:hint="eastAsia" w:eastAsia="宋体" w:cs="Times New Roman"/>
                      <w:i w:val="0"/>
                      <w:iCs w:val="0"/>
                      <w:color w:val="auto"/>
                      <w:kern w:val="0"/>
                      <w:sz w:val="20"/>
                      <w:szCs w:val="20"/>
                      <w:highlight w:val="none"/>
                      <w:u w:val="none"/>
                      <w:vertAlign w:val="superscript"/>
                      <w:lang w:val="en-US" w:eastAsia="zh-CN" w:bidi="ar"/>
                    </w:rPr>
                    <w:t>-4</w:t>
                  </w:r>
                  <w:r>
                    <w:rPr>
                      <w:rFonts w:hint="eastAsia" w:eastAsia="宋体" w:cs="Times New Roman"/>
                      <w:i w:val="0"/>
                      <w:iCs w:val="0"/>
                      <w:color w:val="auto"/>
                      <w:kern w:val="0"/>
                      <w:sz w:val="20"/>
                      <w:szCs w:val="20"/>
                      <w:highlight w:val="none"/>
                      <w:u w:val="none"/>
                      <w:vertAlign w:val="baseline"/>
                      <w:lang w:val="en-US" w:eastAsia="zh-CN" w:bidi="ar"/>
                    </w:rPr>
                    <w:t>L</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28F0B1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6B83A3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7D443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4F2390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汞</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320D6D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≤0.001</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7C56E7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5×10</w:t>
                  </w:r>
                  <w:r>
                    <w:rPr>
                      <w:rFonts w:hint="eastAsia" w:eastAsia="宋体" w:cs="Times New Roman"/>
                      <w:i w:val="0"/>
                      <w:iCs w:val="0"/>
                      <w:color w:val="auto"/>
                      <w:kern w:val="0"/>
                      <w:sz w:val="20"/>
                      <w:szCs w:val="20"/>
                      <w:highlight w:val="none"/>
                      <w:u w:val="none"/>
                      <w:vertAlign w:val="superscript"/>
                      <w:lang w:val="en-US" w:eastAsia="zh-CN" w:bidi="ar"/>
                    </w:rPr>
                    <w:t>-5</w:t>
                  </w:r>
                  <w:r>
                    <w:rPr>
                      <w:rFonts w:hint="eastAsia" w:eastAsia="宋体" w:cs="Times New Roman"/>
                      <w:i w:val="0"/>
                      <w:iCs w:val="0"/>
                      <w:color w:val="auto"/>
                      <w:kern w:val="0"/>
                      <w:sz w:val="20"/>
                      <w:szCs w:val="20"/>
                      <w:highlight w:val="none"/>
                      <w:u w:val="none"/>
                      <w:vertAlign w:val="baseline"/>
                      <w:lang w:val="en-US" w:eastAsia="zh-CN" w:bidi="ar"/>
                    </w:rPr>
                    <w:t>L</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183DF4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24F3AA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49F24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2870A3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六价铬</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0808D7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≤0.05</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685955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0.004L</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554E59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3E435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0D3CF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6146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总硬度（钙和镁总量）</w:t>
                  </w:r>
                </w:p>
              </w:tc>
              <w:tc>
                <w:tcPr>
                  <w:tcW w:w="9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5A97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≤450</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D30E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408</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DB1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0.91</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D7FA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sz w:val="20"/>
                      <w:szCs w:val="20"/>
                      <w:highlight w:val="none"/>
                      <w:u w:val="none"/>
                      <w:lang w:val="en-US" w:eastAsia="zh-CN"/>
                    </w:rPr>
                    <w:t>达标</w:t>
                  </w:r>
                </w:p>
              </w:tc>
            </w:tr>
            <w:tr w14:paraId="3BA65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3D25F4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4E1426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≤0.005</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5C68D1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0.000363</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1F19CF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0.0726</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10B0E4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2F4AC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1DD790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铁</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489F3A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≤0.3</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7E92DB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0.01L</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6D99F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2312E4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5FBE9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0F2344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锰</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2D41B5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≤0.1</w:t>
                  </w:r>
                  <w:r>
                    <w:rPr>
                      <w:rFonts w:hint="eastAsia" w:eastAsia="宋体" w:cs="Times New Roman"/>
                      <w:i w:val="0"/>
                      <w:iCs w:val="0"/>
                      <w:color w:val="auto"/>
                      <w:kern w:val="0"/>
                      <w:sz w:val="20"/>
                      <w:szCs w:val="20"/>
                      <w:highlight w:val="none"/>
                      <w:u w:val="none"/>
                      <w:lang w:val="en-US" w:eastAsia="zh-CN" w:bidi="ar"/>
                    </w:rPr>
                    <w:t>0</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4BF64E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0.01L</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C0D47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73F9FA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314FE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0CA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溶解性总固体</w:t>
                  </w:r>
                </w:p>
              </w:tc>
              <w:tc>
                <w:tcPr>
                  <w:tcW w:w="9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49C8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≤1000</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09DE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488</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18D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0.49</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F3C5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sz w:val="20"/>
                      <w:szCs w:val="20"/>
                      <w:highlight w:val="none"/>
                      <w:u w:val="none"/>
                      <w:lang w:val="en-US" w:eastAsia="zh-CN"/>
                    </w:rPr>
                    <w:t>达标</w:t>
                  </w:r>
                </w:p>
              </w:tc>
            </w:tr>
            <w:tr w14:paraId="0294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C93F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耗氧量</w:t>
                  </w:r>
                </w:p>
              </w:tc>
              <w:tc>
                <w:tcPr>
                  <w:tcW w:w="9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D919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≤3.0</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0D9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0.94</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2E8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0.31</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A55C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sz w:val="20"/>
                      <w:szCs w:val="20"/>
                      <w:highlight w:val="none"/>
                      <w:u w:val="none"/>
                      <w:lang w:val="en-US" w:eastAsia="zh-CN"/>
                    </w:rPr>
                    <w:t>达标</w:t>
                  </w:r>
                </w:p>
              </w:tc>
            </w:tr>
            <w:tr w14:paraId="6B3D9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E141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硫酸盐</w:t>
                  </w:r>
                </w:p>
              </w:tc>
              <w:tc>
                <w:tcPr>
                  <w:tcW w:w="9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0505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≤250</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AEEB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88.6</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A5FB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0.35</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62E5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sz w:val="20"/>
                      <w:szCs w:val="20"/>
                      <w:highlight w:val="none"/>
                      <w:u w:val="none"/>
                      <w:lang w:val="en-US" w:eastAsia="zh-CN"/>
                    </w:rPr>
                    <w:t>达标</w:t>
                  </w:r>
                </w:p>
              </w:tc>
            </w:tr>
            <w:tr w14:paraId="63C8C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0C8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氯化物</w:t>
                  </w:r>
                </w:p>
              </w:tc>
              <w:tc>
                <w:tcPr>
                  <w:tcW w:w="9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9669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≤250</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F499A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26.3</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E9E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kern w:val="2"/>
                      <w:sz w:val="20"/>
                      <w:szCs w:val="20"/>
                      <w:highlight w:val="none"/>
                      <w:u w:val="none"/>
                      <w:lang w:val="en-US" w:eastAsia="zh-CN" w:bidi="ar-SA"/>
                    </w:rPr>
                    <w:t>0.11</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C59F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eastAsia="宋体" w:cs="Times New Roman"/>
                      <w:i w:val="0"/>
                      <w:iCs w:val="0"/>
                      <w:color w:val="auto"/>
                      <w:sz w:val="20"/>
                      <w:szCs w:val="20"/>
                      <w:highlight w:val="none"/>
                      <w:u w:val="none"/>
                      <w:lang w:val="en-US" w:eastAsia="zh-CN"/>
                    </w:rPr>
                    <w:t>达标</w:t>
                  </w:r>
                </w:p>
              </w:tc>
            </w:tr>
            <w:tr w14:paraId="03AE4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35F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总大肠菌群（MPN/100mL）</w:t>
                  </w:r>
                </w:p>
              </w:tc>
              <w:tc>
                <w:tcPr>
                  <w:tcW w:w="9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2A7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≤3.0</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9C6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2</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FB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0.67</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9CA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5EAE4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998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细菌总数（CFU/ml）</w:t>
                  </w:r>
                </w:p>
              </w:tc>
              <w:tc>
                <w:tcPr>
                  <w:tcW w:w="9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C63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≤100</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01A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67</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92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kern w:val="0"/>
                      <w:sz w:val="20"/>
                      <w:szCs w:val="20"/>
                      <w:highlight w:val="none"/>
                      <w:u w:val="none"/>
                      <w:lang w:val="en-US" w:eastAsia="zh-CN" w:bidi="ar"/>
                    </w:rPr>
                    <w:t>0.67</w:t>
                  </w:r>
                </w:p>
              </w:tc>
              <w:tc>
                <w:tcPr>
                  <w:tcW w:w="79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0B0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eastAsia="宋体" w:cs="Times New Roman"/>
                      <w:i w:val="0"/>
                      <w:iCs w:val="0"/>
                      <w:color w:val="auto"/>
                      <w:sz w:val="20"/>
                      <w:szCs w:val="20"/>
                      <w:highlight w:val="none"/>
                      <w:u w:val="none"/>
                      <w:lang w:val="en-US" w:eastAsia="zh-CN"/>
                    </w:rPr>
                    <w:t>达标</w:t>
                  </w:r>
                </w:p>
              </w:tc>
            </w:tr>
            <w:tr w14:paraId="3241F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09" w:type="pct"/>
                  <w:tcBorders>
                    <w:top w:val="single" w:color="000000" w:sz="4" w:space="0"/>
                    <w:left w:val="single" w:color="000000" w:sz="4" w:space="0"/>
                    <w:bottom w:val="single" w:color="000000" w:sz="4" w:space="0"/>
                    <w:right w:val="single" w:color="000000" w:sz="4" w:space="0"/>
                  </w:tcBorders>
                  <w:noWrap w:val="0"/>
                  <w:vAlign w:val="center"/>
                </w:tcPr>
                <w:p w14:paraId="7E3FB3B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氟化物</w:t>
                  </w:r>
                </w:p>
              </w:tc>
              <w:tc>
                <w:tcPr>
                  <w:tcW w:w="927" w:type="pct"/>
                  <w:tcBorders>
                    <w:top w:val="single" w:color="000000" w:sz="4" w:space="0"/>
                    <w:left w:val="single" w:color="000000" w:sz="4" w:space="0"/>
                    <w:bottom w:val="single" w:color="000000" w:sz="4" w:space="0"/>
                    <w:right w:val="single" w:color="000000" w:sz="4" w:space="0"/>
                  </w:tcBorders>
                  <w:noWrap w:val="0"/>
                  <w:vAlign w:val="center"/>
                </w:tcPr>
                <w:p w14:paraId="2D0A211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4FCAC9A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eastAsia" w:eastAsia="宋体" w:cs="Times New Roman"/>
                      <w:i w:val="0"/>
                      <w:iCs w:val="0"/>
                      <w:color w:val="auto"/>
                      <w:sz w:val="20"/>
                      <w:szCs w:val="20"/>
                      <w:highlight w:val="none"/>
                      <w:u w:val="none"/>
                      <w:lang w:val="en-US" w:eastAsia="zh-CN"/>
                    </w:rPr>
                    <w:t>0.363</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5604718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eastAsia" w:eastAsia="宋体" w:cs="Times New Roman"/>
                      <w:i w:val="0"/>
                      <w:iCs w:val="0"/>
                      <w:color w:val="auto"/>
                      <w:sz w:val="20"/>
                      <w:szCs w:val="20"/>
                      <w:highlight w:val="none"/>
                      <w:u w:val="none"/>
                      <w:lang w:val="en-US" w:eastAsia="zh-CN"/>
                    </w:rPr>
                    <w:t>0.363</w:t>
                  </w:r>
                </w:p>
              </w:tc>
              <w:tc>
                <w:tcPr>
                  <w:tcW w:w="794" w:type="pct"/>
                  <w:tcBorders>
                    <w:top w:val="single" w:color="000000" w:sz="4" w:space="0"/>
                    <w:left w:val="single" w:color="000000" w:sz="4" w:space="0"/>
                    <w:bottom w:val="single" w:color="000000" w:sz="4" w:space="0"/>
                    <w:right w:val="single" w:color="000000" w:sz="4" w:space="0"/>
                  </w:tcBorders>
                  <w:noWrap w:val="0"/>
                  <w:vAlign w:val="center"/>
                </w:tcPr>
                <w:p w14:paraId="0B8B5DD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lang w:val="en-US" w:eastAsia="zh-CN"/>
                    </w:rPr>
                  </w:pPr>
                  <w:r>
                    <w:rPr>
                      <w:rFonts w:hint="eastAsia" w:eastAsia="宋体" w:cs="Times New Roman"/>
                      <w:i w:val="0"/>
                      <w:iCs w:val="0"/>
                      <w:color w:val="auto"/>
                      <w:sz w:val="20"/>
                      <w:szCs w:val="20"/>
                      <w:highlight w:val="none"/>
                      <w:u w:val="none"/>
                      <w:lang w:val="en-US" w:eastAsia="zh-CN"/>
                    </w:rPr>
                    <w:t>达标</w:t>
                  </w:r>
                </w:p>
              </w:tc>
            </w:tr>
            <w:tr w14:paraId="6589D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13C695DB">
                  <w:pPr>
                    <w:keepNext w:val="0"/>
                    <w:keepLines w:val="0"/>
                    <w:widowControl/>
                    <w:suppressLineNumbers w:val="0"/>
                    <w:jc w:val="both"/>
                    <w:textAlignment w:val="center"/>
                    <w:rPr>
                      <w:rFonts w:hint="default" w:eastAsia="宋体" w:cs="Times New Roman"/>
                      <w:i w:val="0"/>
                      <w:iCs w:val="0"/>
                      <w:color w:val="auto"/>
                      <w:sz w:val="20"/>
                      <w:szCs w:val="20"/>
                      <w:highlight w:val="none"/>
                      <w:u w:val="none"/>
                      <w:lang w:val="en-US" w:eastAsia="zh-CN"/>
                    </w:rPr>
                  </w:pPr>
                  <w:r>
                    <w:rPr>
                      <w:rFonts w:hint="eastAsia" w:cs="Times New Roman"/>
                      <w:i w:val="0"/>
                      <w:iCs w:val="0"/>
                      <w:color w:val="auto"/>
                      <w:sz w:val="20"/>
                      <w:szCs w:val="20"/>
                      <w:highlight w:val="none"/>
                      <w:u w:val="none"/>
                      <w:lang w:val="en-US" w:eastAsia="zh-CN"/>
                    </w:rPr>
                    <w:t>注：结果低于检出限，检测结果以检出限加“L”标识。</w:t>
                  </w:r>
                </w:p>
              </w:tc>
            </w:tr>
          </w:tbl>
          <w:p w14:paraId="066EA541">
            <w:pPr>
              <w:pStyle w:val="43"/>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snapToGrid w:val="0"/>
                <w:color w:val="auto"/>
                <w:kern w:val="2"/>
                <w:sz w:val="24"/>
                <w:szCs w:val="24"/>
                <w:highlight w:val="none"/>
                <w:lang w:eastAsia="zh-CN"/>
              </w:rPr>
            </w:pPr>
            <w:r>
              <w:rPr>
                <w:rFonts w:hint="eastAsia" w:ascii="Times New Roman" w:hAnsi="Times New Roman"/>
                <w:snapToGrid w:val="0"/>
                <w:color w:val="auto"/>
                <w:kern w:val="2"/>
                <w:sz w:val="24"/>
                <w:szCs w:val="24"/>
                <w:highlight w:val="none"/>
                <w:lang w:eastAsia="zh-CN"/>
              </w:rPr>
              <w:t>由上表可知，</w:t>
            </w:r>
            <w:r>
              <w:rPr>
                <w:rFonts w:hint="eastAsia"/>
                <w:snapToGrid w:val="0"/>
                <w:color w:val="auto"/>
                <w:kern w:val="2"/>
                <w:sz w:val="24"/>
                <w:szCs w:val="24"/>
                <w:highlight w:val="none"/>
                <w:lang w:val="en-US" w:eastAsia="zh-CN"/>
              </w:rPr>
              <w:t>引用D12各</w:t>
            </w:r>
            <w:r>
              <w:rPr>
                <w:rFonts w:hint="eastAsia" w:ascii="Times New Roman" w:hAnsi="Times New Roman"/>
                <w:snapToGrid w:val="0"/>
                <w:color w:val="auto"/>
                <w:kern w:val="2"/>
                <w:sz w:val="24"/>
                <w:szCs w:val="24"/>
                <w:highlight w:val="none"/>
                <w:lang w:eastAsia="zh-CN"/>
              </w:rPr>
              <w:t>监测指标均满足《地下水质量标准》（GB/T14848-2017）中的Ⅲ类标准要求；地下水化学类型阳离子以钙</w:t>
            </w:r>
            <w:r>
              <w:rPr>
                <w:rFonts w:hint="eastAsia"/>
                <w:snapToGrid w:val="0"/>
                <w:color w:val="auto"/>
                <w:kern w:val="2"/>
                <w:sz w:val="24"/>
                <w:szCs w:val="24"/>
                <w:highlight w:val="none"/>
                <w:lang w:eastAsia="zh-CN"/>
              </w:rPr>
              <w:t>、</w:t>
            </w:r>
            <w:r>
              <w:rPr>
                <w:rFonts w:hint="eastAsia"/>
                <w:snapToGrid w:val="0"/>
                <w:color w:val="auto"/>
                <w:kern w:val="2"/>
                <w:sz w:val="24"/>
                <w:szCs w:val="24"/>
                <w:highlight w:val="none"/>
                <w:lang w:val="en-US" w:eastAsia="zh-CN"/>
              </w:rPr>
              <w:t>镁</w:t>
            </w:r>
            <w:r>
              <w:rPr>
                <w:rFonts w:hint="eastAsia" w:ascii="Times New Roman" w:hAnsi="Times New Roman"/>
                <w:snapToGrid w:val="0"/>
                <w:color w:val="auto"/>
                <w:kern w:val="2"/>
                <w:sz w:val="24"/>
                <w:szCs w:val="24"/>
                <w:highlight w:val="none"/>
                <w:lang w:eastAsia="zh-CN"/>
              </w:rPr>
              <w:t>离子为主，阴离子以碳酸氢根离子为主。经计算，地下水中阴阳离子差与和的比值0.58%~5.82%，满足《生活饮用水标准检验方法第3部分：水质分析质量控制》（GB/T5750.3-2023）规范中小于10%限值的要求。</w:t>
            </w:r>
          </w:p>
          <w:p w14:paraId="3E24C48E">
            <w:pPr>
              <w:pStyle w:val="4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b/>
                <w:bCs w:val="0"/>
                <w:color w:val="auto"/>
                <w:sz w:val="24"/>
                <w:szCs w:val="22"/>
                <w:highlight w:val="none"/>
                <w:vertAlign w:val="baseline"/>
                <w:lang w:val="en-US" w:eastAsia="zh-CN"/>
              </w:rPr>
            </w:pPr>
            <w:r>
              <w:rPr>
                <w:rFonts w:hint="default" w:ascii="Times New Roman" w:hAnsi="Times New Roman" w:cs="Times New Roman"/>
                <w:b/>
                <w:bCs w:val="0"/>
                <w:color w:val="auto"/>
                <w:sz w:val="24"/>
                <w:szCs w:val="22"/>
                <w:highlight w:val="none"/>
                <w:vertAlign w:val="baseline"/>
                <w:lang w:val="en-US" w:eastAsia="zh-CN"/>
              </w:rPr>
              <w:t>3.1.</w:t>
            </w:r>
            <w:r>
              <w:rPr>
                <w:rFonts w:hint="eastAsia" w:cs="Times New Roman"/>
                <w:b/>
                <w:bCs w:val="0"/>
                <w:color w:val="auto"/>
                <w:sz w:val="24"/>
                <w:szCs w:val="22"/>
                <w:highlight w:val="none"/>
                <w:vertAlign w:val="baseline"/>
                <w:lang w:val="en-US" w:eastAsia="zh-CN"/>
              </w:rPr>
              <w:t>4</w:t>
            </w:r>
            <w:r>
              <w:rPr>
                <w:rFonts w:hint="default" w:ascii="Times New Roman" w:hAnsi="Times New Roman" w:cs="Times New Roman"/>
                <w:b/>
                <w:bCs w:val="0"/>
                <w:color w:val="auto"/>
                <w:sz w:val="24"/>
                <w:szCs w:val="22"/>
                <w:highlight w:val="none"/>
                <w:vertAlign w:val="baseline"/>
                <w:lang w:val="en-US" w:eastAsia="zh-CN"/>
              </w:rPr>
              <w:t>声环境质量现状</w:t>
            </w:r>
          </w:p>
          <w:p w14:paraId="7E8557B7">
            <w:pPr>
              <w:pStyle w:val="48"/>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rPr>
              <w:t>为了解项目所在地声环境质量现状，本评价对项目所在区域声环境进行了实测，共设</w:t>
            </w:r>
            <w:r>
              <w:rPr>
                <w:rFonts w:hint="default"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个噪声监测点进行等效连续A声级监测，监测时间为202</w:t>
            </w:r>
            <w:r>
              <w:rPr>
                <w:rFonts w:hint="default"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rPr>
              <w:t>年</w:t>
            </w:r>
            <w:r>
              <w:rPr>
                <w:rFonts w:hint="default" w:ascii="Times New Roman" w:hAnsi="Times New Roman" w:cs="Times New Roman"/>
                <w:color w:val="auto"/>
                <w:szCs w:val="24"/>
                <w:highlight w:val="none"/>
                <w:lang w:val="en-US" w:eastAsia="zh-CN"/>
              </w:rPr>
              <w:t>12</w:t>
            </w:r>
            <w:r>
              <w:rPr>
                <w:rFonts w:hint="default" w:ascii="Times New Roman" w:hAnsi="Times New Roman" w:cs="Times New Roman"/>
                <w:color w:val="auto"/>
                <w:szCs w:val="24"/>
                <w:highlight w:val="none"/>
              </w:rPr>
              <w:t>月</w:t>
            </w:r>
            <w:r>
              <w:rPr>
                <w:rFonts w:hint="default" w:ascii="Times New Roman" w:hAnsi="Times New Roman" w:cs="Times New Roman"/>
                <w:color w:val="auto"/>
                <w:szCs w:val="24"/>
                <w:highlight w:val="none"/>
                <w:lang w:val="en-US" w:eastAsia="zh-CN"/>
              </w:rPr>
              <w:t>15</w:t>
            </w:r>
            <w:r>
              <w:rPr>
                <w:rFonts w:hint="default" w:ascii="Times New Roman" w:hAnsi="Times New Roman" w:cs="Times New Roman"/>
                <w:color w:val="auto"/>
                <w:szCs w:val="24"/>
                <w:highlight w:val="none"/>
              </w:rPr>
              <w:t>日~</w:t>
            </w:r>
            <w:r>
              <w:rPr>
                <w:rFonts w:hint="default" w:ascii="Times New Roman" w:hAnsi="Times New Roman" w:cs="Times New Roman"/>
                <w:color w:val="auto"/>
                <w:szCs w:val="24"/>
                <w:highlight w:val="none"/>
                <w:lang w:val="en-US" w:eastAsia="zh-CN"/>
              </w:rPr>
              <w:t>12</w:t>
            </w:r>
            <w:r>
              <w:rPr>
                <w:rFonts w:hint="default" w:ascii="Times New Roman" w:hAnsi="Times New Roman" w:cs="Times New Roman"/>
                <w:color w:val="auto"/>
                <w:szCs w:val="24"/>
                <w:highlight w:val="none"/>
              </w:rPr>
              <w:t>月</w:t>
            </w:r>
            <w:r>
              <w:rPr>
                <w:rFonts w:hint="default" w:ascii="Times New Roman" w:hAnsi="Times New Roman" w:cs="Times New Roman"/>
                <w:color w:val="auto"/>
                <w:szCs w:val="24"/>
                <w:highlight w:val="none"/>
                <w:lang w:val="en-US" w:eastAsia="zh-CN"/>
              </w:rPr>
              <w:t>16</w:t>
            </w:r>
            <w:r>
              <w:rPr>
                <w:rFonts w:hint="default" w:ascii="Times New Roman" w:hAnsi="Times New Roman" w:cs="Times New Roman"/>
                <w:color w:val="auto"/>
                <w:szCs w:val="24"/>
                <w:highlight w:val="none"/>
              </w:rPr>
              <w:t>日。监测布点情况见下表</w:t>
            </w:r>
            <w:r>
              <w:rPr>
                <w:rFonts w:hint="default" w:ascii="Times New Roman" w:hAnsi="Times New Roman" w:cs="Times New Roman"/>
                <w:color w:val="auto"/>
                <w:szCs w:val="24"/>
                <w:highlight w:val="none"/>
                <w:lang w:eastAsia="zh-CN"/>
              </w:rPr>
              <w:t>：</w:t>
            </w:r>
          </w:p>
          <w:p w14:paraId="42B140A1">
            <w:pPr>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表</w:t>
            </w:r>
            <w:r>
              <w:rPr>
                <w:rFonts w:hint="default" w:ascii="Times New Roman" w:hAnsi="Times New Roman" w:cs="Times New Roman"/>
                <w:b/>
                <w:color w:val="auto"/>
                <w:sz w:val="22"/>
                <w:szCs w:val="22"/>
                <w:highlight w:val="none"/>
                <w:lang w:val="en-US" w:eastAsia="zh-CN"/>
              </w:rPr>
              <w:t>3.1-</w:t>
            </w:r>
            <w:r>
              <w:rPr>
                <w:rFonts w:hint="eastAsia" w:cs="Times New Roman"/>
                <w:b/>
                <w:color w:val="auto"/>
                <w:sz w:val="22"/>
                <w:szCs w:val="22"/>
                <w:highlight w:val="none"/>
                <w:lang w:val="en-US" w:eastAsia="zh-CN"/>
              </w:rPr>
              <w:t>8</w:t>
            </w:r>
            <w:r>
              <w:rPr>
                <w:rFonts w:hint="default" w:ascii="Times New Roman" w:hAnsi="Times New Roman" w:cs="Times New Roman"/>
                <w:b/>
                <w:color w:val="auto"/>
                <w:sz w:val="22"/>
                <w:szCs w:val="22"/>
                <w:highlight w:val="none"/>
              </w:rPr>
              <w:t>声环境监测一览表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422"/>
              <w:gridCol w:w="1704"/>
              <w:gridCol w:w="905"/>
              <w:gridCol w:w="1146"/>
            </w:tblGrid>
            <w:tr w14:paraId="5B55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1" w:type="pct"/>
                  <w:gridSpan w:val="2"/>
                  <w:noWrap w:val="0"/>
                  <w:vAlign w:val="center"/>
                </w:tcPr>
                <w:p w14:paraId="18975FB9">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1065" w:type="pct"/>
                  <w:noWrap w:val="0"/>
                  <w:vAlign w:val="center"/>
                </w:tcPr>
                <w:p w14:paraId="2AEA2B26">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监测时间</w:t>
                  </w:r>
                </w:p>
              </w:tc>
              <w:tc>
                <w:tcPr>
                  <w:tcW w:w="566" w:type="pct"/>
                  <w:noWrap w:val="0"/>
                  <w:vAlign w:val="center"/>
                </w:tcPr>
                <w:p w14:paraId="39537E40">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监测因子</w:t>
                  </w:r>
                </w:p>
              </w:tc>
              <w:tc>
                <w:tcPr>
                  <w:tcW w:w="716" w:type="pct"/>
                  <w:noWrap w:val="0"/>
                  <w:vAlign w:val="center"/>
                </w:tcPr>
                <w:p w14:paraId="55B93702">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监测频率</w:t>
                  </w:r>
                </w:p>
              </w:tc>
            </w:tr>
            <w:tr w14:paraId="6E12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noWrap w:val="0"/>
                  <w:vAlign w:val="center"/>
                </w:tcPr>
                <w:p w14:paraId="3749E1A5">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Z1</w:t>
                  </w:r>
                </w:p>
              </w:tc>
              <w:tc>
                <w:tcPr>
                  <w:tcW w:w="2138" w:type="pct"/>
                  <w:noWrap w:val="0"/>
                  <w:vAlign w:val="center"/>
                </w:tcPr>
                <w:p w14:paraId="3F642534">
                  <w:pPr>
                    <w:pStyle w:val="24"/>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厂区西南侧砖瓦房廉租房处</w:t>
                  </w:r>
                </w:p>
              </w:tc>
              <w:tc>
                <w:tcPr>
                  <w:tcW w:w="1065" w:type="pct"/>
                  <w:vMerge w:val="restart"/>
                  <w:noWrap w:val="0"/>
                  <w:vAlign w:val="center"/>
                </w:tcPr>
                <w:p w14:paraId="26109EB1">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2025.12.15-12.16</w:t>
                  </w:r>
                </w:p>
              </w:tc>
              <w:tc>
                <w:tcPr>
                  <w:tcW w:w="566" w:type="pct"/>
                  <w:vMerge w:val="restart"/>
                  <w:noWrap w:val="0"/>
                  <w:vAlign w:val="center"/>
                </w:tcPr>
                <w:p w14:paraId="36FC42D7">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716" w:type="pct"/>
                  <w:vMerge w:val="restart"/>
                  <w:noWrap w:val="0"/>
                  <w:vAlign w:val="center"/>
                </w:tcPr>
                <w:p w14:paraId="5B987E25">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连续监测2天，每天昼间、夜间各一次</w:t>
                  </w:r>
                </w:p>
              </w:tc>
            </w:tr>
            <w:tr w14:paraId="6CD0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noWrap w:val="0"/>
                  <w:vAlign w:val="center"/>
                </w:tcPr>
                <w:p w14:paraId="769498E5">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Z</w:t>
                  </w:r>
                  <w:r>
                    <w:rPr>
                      <w:rFonts w:hint="default" w:ascii="Times New Roman" w:hAnsi="Times New Roman" w:cs="Times New Roman"/>
                      <w:color w:val="auto"/>
                      <w:sz w:val="21"/>
                      <w:szCs w:val="21"/>
                      <w:highlight w:val="none"/>
                    </w:rPr>
                    <w:t>2</w:t>
                  </w:r>
                </w:p>
              </w:tc>
              <w:tc>
                <w:tcPr>
                  <w:tcW w:w="2138" w:type="pct"/>
                  <w:noWrap w:val="0"/>
                  <w:vAlign w:val="center"/>
                </w:tcPr>
                <w:p w14:paraId="0DE70DEA">
                  <w:pPr>
                    <w:pStyle w:val="24"/>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position w:val="1"/>
                      <w:sz w:val="21"/>
                      <w:szCs w:val="21"/>
                      <w:highlight w:val="none"/>
                    </w:rPr>
                    <w:t>厂区西侧居民处</w:t>
                  </w:r>
                </w:p>
              </w:tc>
              <w:tc>
                <w:tcPr>
                  <w:tcW w:w="1065" w:type="pct"/>
                  <w:vMerge w:val="continue"/>
                  <w:noWrap w:val="0"/>
                  <w:vAlign w:val="center"/>
                </w:tcPr>
                <w:p w14:paraId="17512411">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p>
              </w:tc>
              <w:tc>
                <w:tcPr>
                  <w:tcW w:w="566" w:type="pct"/>
                  <w:vMerge w:val="continue"/>
                  <w:noWrap w:val="0"/>
                  <w:vAlign w:val="center"/>
                </w:tcPr>
                <w:p w14:paraId="5734503C">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p>
              </w:tc>
              <w:tc>
                <w:tcPr>
                  <w:tcW w:w="716" w:type="pct"/>
                  <w:vMerge w:val="continue"/>
                  <w:noWrap w:val="0"/>
                  <w:vAlign w:val="center"/>
                </w:tcPr>
                <w:p w14:paraId="3CEA53AB">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p>
              </w:tc>
            </w:tr>
            <w:tr w14:paraId="44E2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noWrap w:val="0"/>
                  <w:vAlign w:val="center"/>
                </w:tcPr>
                <w:p w14:paraId="4A960FA9">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Z</w:t>
                  </w:r>
                  <w:r>
                    <w:rPr>
                      <w:rFonts w:hint="default" w:ascii="Times New Roman" w:hAnsi="Times New Roman" w:cs="Times New Roman"/>
                      <w:color w:val="auto"/>
                      <w:sz w:val="21"/>
                      <w:szCs w:val="21"/>
                      <w:highlight w:val="none"/>
                    </w:rPr>
                    <w:t>3</w:t>
                  </w:r>
                </w:p>
              </w:tc>
              <w:tc>
                <w:tcPr>
                  <w:tcW w:w="2138" w:type="pct"/>
                  <w:noWrap w:val="0"/>
                  <w:vAlign w:val="center"/>
                </w:tcPr>
                <w:p w14:paraId="59F6B543">
                  <w:pPr>
                    <w:pStyle w:val="24"/>
                    <w:keepNext w:val="0"/>
                    <w:keepLines w:val="0"/>
                    <w:pageBreakBefore w:val="0"/>
                    <w:widowControl w:val="0"/>
                    <w:kinsoku/>
                    <w:wordWrap/>
                    <w:overflowPunct/>
                    <w:topLinePunct w:val="0"/>
                    <w:autoSpaceDE/>
                    <w:autoSpaceDN/>
                    <w:bidi w:val="0"/>
                    <w:spacing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position w:val="1"/>
                      <w:sz w:val="21"/>
                      <w:szCs w:val="21"/>
                      <w:highlight w:val="none"/>
                    </w:rPr>
                    <w:t>厂区西北侧厂界外</w:t>
                  </w:r>
                  <w:r>
                    <w:rPr>
                      <w:rFonts w:hint="default" w:ascii="Times New Roman" w:hAnsi="Times New Roman" w:eastAsia="Times New Roman" w:cs="Times New Roman"/>
                      <w:color w:val="auto"/>
                      <w:spacing w:val="4"/>
                      <w:position w:val="1"/>
                      <w:sz w:val="21"/>
                      <w:szCs w:val="21"/>
                      <w:highlight w:val="none"/>
                    </w:rPr>
                    <w:t>1m</w:t>
                  </w:r>
                </w:p>
              </w:tc>
              <w:tc>
                <w:tcPr>
                  <w:tcW w:w="1065" w:type="pct"/>
                  <w:vMerge w:val="continue"/>
                  <w:noWrap w:val="0"/>
                  <w:vAlign w:val="center"/>
                </w:tcPr>
                <w:p w14:paraId="65FED4AF">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p>
              </w:tc>
              <w:tc>
                <w:tcPr>
                  <w:tcW w:w="566" w:type="pct"/>
                  <w:vMerge w:val="continue"/>
                  <w:noWrap w:val="0"/>
                  <w:vAlign w:val="center"/>
                </w:tcPr>
                <w:p w14:paraId="00C25027">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p>
              </w:tc>
              <w:tc>
                <w:tcPr>
                  <w:tcW w:w="716" w:type="pct"/>
                  <w:vMerge w:val="continue"/>
                  <w:noWrap w:val="0"/>
                  <w:vAlign w:val="center"/>
                </w:tcPr>
                <w:p w14:paraId="41B6C427">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p>
              </w:tc>
            </w:tr>
            <w:tr w14:paraId="5715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noWrap w:val="0"/>
                  <w:vAlign w:val="center"/>
                </w:tcPr>
                <w:p w14:paraId="700B7BD7">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Z</w:t>
                  </w:r>
                  <w:r>
                    <w:rPr>
                      <w:rFonts w:hint="default" w:ascii="Times New Roman" w:hAnsi="Times New Roman" w:cs="Times New Roman"/>
                      <w:color w:val="auto"/>
                      <w:sz w:val="21"/>
                      <w:szCs w:val="21"/>
                      <w:highlight w:val="none"/>
                    </w:rPr>
                    <w:t>4</w:t>
                  </w:r>
                </w:p>
              </w:tc>
              <w:tc>
                <w:tcPr>
                  <w:tcW w:w="2138" w:type="pct"/>
                  <w:noWrap w:val="0"/>
                  <w:vAlign w:val="center"/>
                </w:tcPr>
                <w:p w14:paraId="61B63F72">
                  <w:pPr>
                    <w:pStyle w:val="24"/>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5"/>
                      <w:position w:val="1"/>
                      <w:sz w:val="21"/>
                      <w:szCs w:val="21"/>
                      <w:highlight w:val="none"/>
                    </w:rPr>
                    <w:t>厂区南侧厂界外</w:t>
                  </w:r>
                  <w:r>
                    <w:rPr>
                      <w:rFonts w:hint="default" w:ascii="Times New Roman" w:hAnsi="Times New Roman" w:eastAsia="Times New Roman" w:cs="Times New Roman"/>
                      <w:color w:val="auto"/>
                      <w:spacing w:val="5"/>
                      <w:position w:val="1"/>
                      <w:sz w:val="21"/>
                      <w:szCs w:val="21"/>
                      <w:highlight w:val="none"/>
                    </w:rPr>
                    <w:t>1m</w:t>
                  </w:r>
                </w:p>
              </w:tc>
              <w:tc>
                <w:tcPr>
                  <w:tcW w:w="1065" w:type="pct"/>
                  <w:vMerge w:val="continue"/>
                  <w:noWrap w:val="0"/>
                  <w:vAlign w:val="center"/>
                </w:tcPr>
                <w:p w14:paraId="5F93D7D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bCs/>
                      <w:color w:val="auto"/>
                      <w:sz w:val="21"/>
                      <w:szCs w:val="21"/>
                      <w:highlight w:val="none"/>
                    </w:rPr>
                  </w:pPr>
                </w:p>
              </w:tc>
              <w:tc>
                <w:tcPr>
                  <w:tcW w:w="566" w:type="pct"/>
                  <w:vMerge w:val="continue"/>
                  <w:noWrap w:val="0"/>
                  <w:vAlign w:val="center"/>
                </w:tcPr>
                <w:p w14:paraId="32AD0A11">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p>
              </w:tc>
              <w:tc>
                <w:tcPr>
                  <w:tcW w:w="716" w:type="pct"/>
                  <w:vMerge w:val="continue"/>
                  <w:noWrap w:val="0"/>
                  <w:vAlign w:val="center"/>
                </w:tcPr>
                <w:p w14:paraId="7046C41C">
                  <w:pPr>
                    <w:keepNext w:val="0"/>
                    <w:keepLines w:val="0"/>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1"/>
                      <w:szCs w:val="21"/>
                      <w:highlight w:val="none"/>
                    </w:rPr>
                  </w:pPr>
                </w:p>
              </w:tc>
            </w:tr>
          </w:tbl>
          <w:p w14:paraId="087EF5CE">
            <w:pPr>
              <w:pStyle w:val="48"/>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声环境监测及评价结果见下表。</w:t>
            </w:r>
          </w:p>
          <w:p w14:paraId="01015473">
            <w:pPr>
              <w:adjustRightInd w:val="0"/>
              <w:snapToGrid w:val="0"/>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表</w:t>
            </w:r>
            <w:r>
              <w:rPr>
                <w:rFonts w:hint="default" w:ascii="Times New Roman" w:hAnsi="Times New Roman" w:cs="Times New Roman"/>
                <w:b/>
                <w:color w:val="auto"/>
                <w:sz w:val="22"/>
                <w:szCs w:val="22"/>
                <w:highlight w:val="none"/>
                <w:lang w:val="en-US" w:eastAsia="zh-CN"/>
              </w:rPr>
              <w:t>3.1-</w:t>
            </w:r>
            <w:r>
              <w:rPr>
                <w:rFonts w:hint="eastAsia" w:cs="Times New Roman"/>
                <w:b/>
                <w:color w:val="auto"/>
                <w:sz w:val="22"/>
                <w:szCs w:val="22"/>
                <w:highlight w:val="none"/>
                <w:lang w:val="en-US" w:eastAsia="zh-CN"/>
              </w:rPr>
              <w:t>9</w:t>
            </w:r>
            <w:r>
              <w:rPr>
                <w:rFonts w:hint="default" w:ascii="Times New Roman" w:hAnsi="Times New Roman" w:cs="Times New Roman"/>
                <w:b/>
                <w:color w:val="auto"/>
                <w:sz w:val="22"/>
                <w:szCs w:val="22"/>
                <w:highlight w:val="none"/>
              </w:rPr>
              <w:t>噪声现状监测结果表LAeqdB（A）</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4"/>
              <w:gridCol w:w="3624"/>
              <w:gridCol w:w="942"/>
              <w:gridCol w:w="950"/>
              <w:gridCol w:w="942"/>
              <w:gridCol w:w="971"/>
            </w:tblGrid>
            <w:tr w14:paraId="58C9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353" w:type="pct"/>
                  <w:vMerge w:val="restart"/>
                  <w:noWrap w:val="0"/>
                  <w:vAlign w:val="center"/>
                </w:tcPr>
                <w:p w14:paraId="48E7FDBF">
                  <w:pPr>
                    <w:adjustRightInd w:val="0"/>
                    <w:snapToGrid w:val="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监测项目</w:t>
                  </w:r>
                </w:p>
              </w:tc>
              <w:tc>
                <w:tcPr>
                  <w:tcW w:w="2266" w:type="pct"/>
                  <w:vMerge w:val="restart"/>
                  <w:noWrap w:val="0"/>
                  <w:vAlign w:val="center"/>
                </w:tcPr>
                <w:p w14:paraId="71DCCCF8">
                  <w:pPr>
                    <w:adjustRightInd w:val="0"/>
                    <w:snapToGrid w:val="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监测点位</w:t>
                  </w:r>
                </w:p>
              </w:tc>
              <w:tc>
                <w:tcPr>
                  <w:tcW w:w="2379" w:type="pct"/>
                  <w:gridSpan w:val="4"/>
                  <w:noWrap w:val="0"/>
                  <w:vAlign w:val="center"/>
                </w:tcPr>
                <w:p w14:paraId="4DA2FF7D">
                  <w:pPr>
                    <w:adjustRightInd w:val="0"/>
                    <w:snapToGrid w:val="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监测时间、时段及结果[单位：dB</w:t>
                  </w:r>
                  <w:r>
                    <w:rPr>
                      <w:rFonts w:hint="default" w:ascii="Times New Roman" w:hAnsi="Times New Roman" w:cs="Times New Roman"/>
                      <w:color w:val="auto"/>
                      <w:kern w:val="21"/>
                      <w:sz w:val="21"/>
                      <w:szCs w:val="21"/>
                      <w:highlight w:val="none"/>
                      <w:lang w:eastAsia="zh-CN"/>
                    </w:rPr>
                    <w:t>（</w:t>
                  </w:r>
                  <w:r>
                    <w:rPr>
                      <w:rFonts w:hint="default" w:ascii="Times New Roman" w:hAnsi="Times New Roman" w:cs="Times New Roman"/>
                      <w:color w:val="auto"/>
                      <w:kern w:val="21"/>
                      <w:sz w:val="21"/>
                      <w:szCs w:val="21"/>
                      <w:highlight w:val="none"/>
                    </w:rPr>
                    <w:t>A</w:t>
                  </w:r>
                  <w:r>
                    <w:rPr>
                      <w:rFonts w:hint="default" w:ascii="Times New Roman" w:hAnsi="Times New Roman" w:cs="Times New Roman"/>
                      <w:color w:val="auto"/>
                      <w:kern w:val="21"/>
                      <w:sz w:val="21"/>
                      <w:szCs w:val="21"/>
                      <w:highlight w:val="none"/>
                      <w:lang w:eastAsia="zh-CN"/>
                    </w:rPr>
                    <w:t>）</w:t>
                  </w:r>
                  <w:r>
                    <w:rPr>
                      <w:rFonts w:hint="default" w:ascii="Times New Roman" w:hAnsi="Times New Roman" w:cs="Times New Roman"/>
                      <w:color w:val="auto"/>
                      <w:kern w:val="21"/>
                      <w:sz w:val="21"/>
                      <w:szCs w:val="21"/>
                      <w:highlight w:val="none"/>
                    </w:rPr>
                    <w:t>]</w:t>
                  </w:r>
                </w:p>
              </w:tc>
            </w:tr>
            <w:tr w14:paraId="5CA6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53" w:type="pct"/>
                  <w:vMerge w:val="continue"/>
                  <w:noWrap w:val="0"/>
                  <w:vAlign w:val="center"/>
                </w:tcPr>
                <w:p w14:paraId="4F7DFDAB">
                  <w:pPr>
                    <w:adjustRightInd w:val="0"/>
                    <w:snapToGrid w:val="0"/>
                    <w:jc w:val="center"/>
                    <w:rPr>
                      <w:rFonts w:hint="default" w:ascii="Times New Roman" w:hAnsi="Times New Roman" w:cs="Times New Roman"/>
                      <w:color w:val="auto"/>
                      <w:kern w:val="21"/>
                      <w:sz w:val="21"/>
                      <w:szCs w:val="21"/>
                      <w:highlight w:val="none"/>
                    </w:rPr>
                  </w:pPr>
                </w:p>
              </w:tc>
              <w:tc>
                <w:tcPr>
                  <w:tcW w:w="2266" w:type="pct"/>
                  <w:vMerge w:val="continue"/>
                  <w:noWrap w:val="0"/>
                  <w:vAlign w:val="center"/>
                </w:tcPr>
                <w:p w14:paraId="00892A7B">
                  <w:pPr>
                    <w:adjustRightInd w:val="0"/>
                    <w:snapToGrid w:val="0"/>
                    <w:jc w:val="center"/>
                    <w:rPr>
                      <w:rFonts w:hint="default" w:ascii="Times New Roman" w:hAnsi="Times New Roman" w:cs="Times New Roman"/>
                      <w:color w:val="auto"/>
                      <w:kern w:val="21"/>
                      <w:sz w:val="21"/>
                      <w:szCs w:val="21"/>
                      <w:highlight w:val="none"/>
                    </w:rPr>
                  </w:pPr>
                </w:p>
              </w:tc>
              <w:tc>
                <w:tcPr>
                  <w:tcW w:w="1183" w:type="pct"/>
                  <w:gridSpan w:val="2"/>
                  <w:noWrap w:val="0"/>
                  <w:vAlign w:val="center"/>
                </w:tcPr>
                <w:p w14:paraId="5DE0E381">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color w:val="auto"/>
                      <w:kern w:val="21"/>
                      <w:sz w:val="21"/>
                      <w:szCs w:val="21"/>
                      <w:highlight w:val="none"/>
                      <w:lang w:val="en-US" w:eastAsia="zh-CN"/>
                    </w:rPr>
                    <w:t>2025.12.15</w:t>
                  </w:r>
                </w:p>
              </w:tc>
              <w:tc>
                <w:tcPr>
                  <w:tcW w:w="1196" w:type="pct"/>
                  <w:gridSpan w:val="2"/>
                  <w:noWrap w:val="0"/>
                  <w:vAlign w:val="center"/>
                </w:tcPr>
                <w:p w14:paraId="576BED82">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cs="Times New Roman"/>
                      <w:color w:val="auto"/>
                      <w:kern w:val="21"/>
                      <w:sz w:val="21"/>
                      <w:szCs w:val="21"/>
                      <w:highlight w:val="none"/>
                    </w:rPr>
                    <w:t>202</w:t>
                  </w:r>
                  <w:r>
                    <w:rPr>
                      <w:rFonts w:hint="default" w:ascii="Times New Roman" w:hAnsi="Times New Roman" w:cs="Times New Roman"/>
                      <w:color w:val="auto"/>
                      <w:kern w:val="21"/>
                      <w:sz w:val="21"/>
                      <w:szCs w:val="21"/>
                      <w:highlight w:val="none"/>
                      <w:lang w:val="en-US" w:eastAsia="zh-CN"/>
                    </w:rPr>
                    <w:t>5.12.16</w:t>
                  </w:r>
                </w:p>
              </w:tc>
            </w:tr>
            <w:tr w14:paraId="3D8B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53" w:type="pct"/>
                  <w:vMerge w:val="continue"/>
                  <w:noWrap w:val="0"/>
                  <w:vAlign w:val="center"/>
                </w:tcPr>
                <w:p w14:paraId="278E4019">
                  <w:pPr>
                    <w:adjustRightInd w:val="0"/>
                    <w:snapToGrid w:val="0"/>
                    <w:jc w:val="center"/>
                    <w:rPr>
                      <w:rFonts w:hint="default" w:ascii="Times New Roman" w:hAnsi="Times New Roman" w:cs="Times New Roman"/>
                      <w:color w:val="auto"/>
                      <w:kern w:val="21"/>
                      <w:sz w:val="21"/>
                      <w:szCs w:val="21"/>
                      <w:highlight w:val="none"/>
                    </w:rPr>
                  </w:pPr>
                </w:p>
              </w:tc>
              <w:tc>
                <w:tcPr>
                  <w:tcW w:w="2266" w:type="pct"/>
                  <w:vMerge w:val="continue"/>
                  <w:noWrap w:val="0"/>
                  <w:vAlign w:val="center"/>
                </w:tcPr>
                <w:p w14:paraId="4EC3599D">
                  <w:pPr>
                    <w:adjustRightInd w:val="0"/>
                    <w:snapToGrid w:val="0"/>
                    <w:jc w:val="center"/>
                    <w:rPr>
                      <w:rFonts w:hint="default" w:ascii="Times New Roman" w:hAnsi="Times New Roman" w:cs="Times New Roman"/>
                      <w:color w:val="auto"/>
                      <w:kern w:val="21"/>
                      <w:sz w:val="21"/>
                      <w:szCs w:val="21"/>
                      <w:highlight w:val="none"/>
                    </w:rPr>
                  </w:pPr>
                </w:p>
              </w:tc>
              <w:tc>
                <w:tcPr>
                  <w:tcW w:w="589" w:type="pct"/>
                  <w:noWrap w:val="0"/>
                  <w:vAlign w:val="center"/>
                </w:tcPr>
                <w:p w14:paraId="7D66D338">
                  <w:pPr>
                    <w:adjustRightInd w:val="0"/>
                    <w:snapToGrid w:val="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昼间</w:t>
                  </w:r>
                </w:p>
              </w:tc>
              <w:tc>
                <w:tcPr>
                  <w:tcW w:w="594" w:type="pct"/>
                  <w:noWrap w:val="0"/>
                  <w:vAlign w:val="center"/>
                </w:tcPr>
                <w:p w14:paraId="32320ACF">
                  <w:pPr>
                    <w:adjustRightInd w:val="0"/>
                    <w:snapToGrid w:val="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夜间</w:t>
                  </w:r>
                </w:p>
              </w:tc>
              <w:tc>
                <w:tcPr>
                  <w:tcW w:w="589" w:type="pct"/>
                  <w:noWrap w:val="0"/>
                  <w:vAlign w:val="center"/>
                </w:tcPr>
                <w:p w14:paraId="05D48D38">
                  <w:pPr>
                    <w:adjustRightInd w:val="0"/>
                    <w:snapToGrid w:val="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昼间</w:t>
                  </w:r>
                </w:p>
              </w:tc>
              <w:tc>
                <w:tcPr>
                  <w:tcW w:w="607" w:type="pct"/>
                  <w:noWrap w:val="0"/>
                  <w:vAlign w:val="center"/>
                </w:tcPr>
                <w:p w14:paraId="3B13CF8E">
                  <w:pPr>
                    <w:adjustRightInd w:val="0"/>
                    <w:snapToGrid w:val="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夜间</w:t>
                  </w:r>
                </w:p>
              </w:tc>
            </w:tr>
            <w:tr w14:paraId="1AF7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53" w:type="pct"/>
                  <w:vMerge w:val="restart"/>
                  <w:noWrap w:val="0"/>
                  <w:vAlign w:val="center"/>
                </w:tcPr>
                <w:p w14:paraId="6ECE4DE7">
                  <w:pPr>
                    <w:adjustRightInd w:val="0"/>
                    <w:snapToGrid w:val="0"/>
                    <w:jc w:val="center"/>
                    <w:rPr>
                      <w:rFonts w:hint="default" w:ascii="Times New Roman" w:hAnsi="Times New Roman" w:cs="Times New Roman"/>
                      <w:color w:val="auto"/>
                      <w:kern w:val="21"/>
                      <w:sz w:val="21"/>
                      <w:szCs w:val="21"/>
                      <w:highlight w:val="none"/>
                    </w:rPr>
                  </w:pPr>
                  <w:r>
                    <w:rPr>
                      <w:rFonts w:hint="default" w:ascii="Times New Roman" w:hAnsi="Times New Roman" w:cs="Times New Roman"/>
                      <w:color w:val="auto"/>
                      <w:kern w:val="21"/>
                      <w:sz w:val="21"/>
                      <w:szCs w:val="21"/>
                      <w:highlight w:val="none"/>
                    </w:rPr>
                    <w:t>厂界噪声</w:t>
                  </w:r>
                </w:p>
              </w:tc>
              <w:tc>
                <w:tcPr>
                  <w:tcW w:w="2266" w:type="pct"/>
                  <w:noWrap w:val="0"/>
                  <w:vAlign w:val="center"/>
                </w:tcPr>
                <w:p w14:paraId="42E7C3B7">
                  <w:pPr>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4"/>
                      <w:position w:val="1"/>
                      <w:sz w:val="21"/>
                      <w:szCs w:val="21"/>
                      <w:highlight w:val="none"/>
                    </w:rPr>
                    <w:t>厂区西北侧厂界外</w:t>
                  </w:r>
                  <w:r>
                    <w:rPr>
                      <w:rFonts w:hint="default" w:ascii="Times New Roman" w:hAnsi="Times New Roman" w:eastAsia="Times New Roman" w:cs="Times New Roman"/>
                      <w:color w:val="auto"/>
                      <w:spacing w:val="4"/>
                      <w:position w:val="1"/>
                      <w:sz w:val="21"/>
                      <w:szCs w:val="21"/>
                      <w:highlight w:val="none"/>
                    </w:rPr>
                    <w:t>1m</w:t>
                  </w:r>
                </w:p>
              </w:tc>
              <w:tc>
                <w:tcPr>
                  <w:tcW w:w="589" w:type="pct"/>
                  <w:noWrap w:val="0"/>
                  <w:vAlign w:val="center"/>
                </w:tcPr>
                <w:p w14:paraId="23B41A1C">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43.7</w:t>
                  </w:r>
                </w:p>
              </w:tc>
              <w:tc>
                <w:tcPr>
                  <w:tcW w:w="594" w:type="pct"/>
                  <w:noWrap w:val="0"/>
                  <w:vAlign w:val="center"/>
                </w:tcPr>
                <w:p w14:paraId="32EF8957">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40.2</w:t>
                  </w:r>
                </w:p>
              </w:tc>
              <w:tc>
                <w:tcPr>
                  <w:tcW w:w="589" w:type="pct"/>
                  <w:noWrap w:val="0"/>
                  <w:vAlign w:val="center"/>
                </w:tcPr>
                <w:p w14:paraId="1213B931">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45.5</w:t>
                  </w:r>
                </w:p>
              </w:tc>
              <w:tc>
                <w:tcPr>
                  <w:tcW w:w="607" w:type="pct"/>
                  <w:noWrap w:val="0"/>
                  <w:vAlign w:val="center"/>
                </w:tcPr>
                <w:p w14:paraId="2757BDCF">
                  <w:pPr>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42.7</w:t>
                  </w:r>
                </w:p>
              </w:tc>
            </w:tr>
            <w:tr w14:paraId="053A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353" w:type="pct"/>
                  <w:vMerge w:val="continue"/>
                  <w:noWrap w:val="0"/>
                  <w:vAlign w:val="center"/>
                </w:tcPr>
                <w:p w14:paraId="05DD7BFC">
                  <w:pPr>
                    <w:adjustRightInd w:val="0"/>
                    <w:snapToGrid w:val="0"/>
                    <w:jc w:val="center"/>
                    <w:rPr>
                      <w:rFonts w:hint="default" w:ascii="Times New Roman" w:hAnsi="Times New Roman" w:cs="Times New Roman"/>
                      <w:color w:val="auto"/>
                      <w:sz w:val="21"/>
                      <w:szCs w:val="21"/>
                      <w:highlight w:val="none"/>
                    </w:rPr>
                  </w:pPr>
                </w:p>
              </w:tc>
              <w:tc>
                <w:tcPr>
                  <w:tcW w:w="2266" w:type="pct"/>
                  <w:noWrap w:val="0"/>
                  <w:vAlign w:val="center"/>
                </w:tcPr>
                <w:p w14:paraId="5A868D23">
                  <w:pPr>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5"/>
                      <w:position w:val="1"/>
                      <w:sz w:val="21"/>
                      <w:szCs w:val="21"/>
                      <w:highlight w:val="none"/>
                    </w:rPr>
                    <w:t>厂区南侧厂界外</w:t>
                  </w:r>
                  <w:r>
                    <w:rPr>
                      <w:rFonts w:hint="default" w:ascii="Times New Roman" w:hAnsi="Times New Roman" w:eastAsia="Times New Roman" w:cs="Times New Roman"/>
                      <w:color w:val="auto"/>
                      <w:spacing w:val="5"/>
                      <w:position w:val="1"/>
                      <w:sz w:val="21"/>
                      <w:szCs w:val="21"/>
                      <w:highlight w:val="none"/>
                    </w:rPr>
                    <w:t>1m</w:t>
                  </w:r>
                </w:p>
              </w:tc>
              <w:tc>
                <w:tcPr>
                  <w:tcW w:w="589" w:type="pct"/>
                  <w:noWrap w:val="0"/>
                  <w:vAlign w:val="center"/>
                </w:tcPr>
                <w:p w14:paraId="5169980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52.1</w:t>
                  </w:r>
                </w:p>
              </w:tc>
              <w:tc>
                <w:tcPr>
                  <w:tcW w:w="594" w:type="pct"/>
                  <w:noWrap w:val="0"/>
                  <w:vAlign w:val="center"/>
                </w:tcPr>
                <w:p w14:paraId="09745BE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50.6</w:t>
                  </w:r>
                </w:p>
              </w:tc>
              <w:tc>
                <w:tcPr>
                  <w:tcW w:w="589" w:type="pct"/>
                  <w:noWrap w:val="0"/>
                  <w:vAlign w:val="center"/>
                </w:tcPr>
                <w:p w14:paraId="5FF2F55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54.6</w:t>
                  </w:r>
                </w:p>
              </w:tc>
              <w:tc>
                <w:tcPr>
                  <w:tcW w:w="607" w:type="pct"/>
                  <w:noWrap w:val="0"/>
                  <w:vAlign w:val="center"/>
                </w:tcPr>
                <w:p w14:paraId="502609E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50.8</w:t>
                  </w:r>
                </w:p>
              </w:tc>
            </w:tr>
            <w:tr w14:paraId="698F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353" w:type="pct"/>
                  <w:vMerge w:val="continue"/>
                  <w:noWrap w:val="0"/>
                  <w:vAlign w:val="center"/>
                </w:tcPr>
                <w:p w14:paraId="0F754354">
                  <w:pPr>
                    <w:adjustRightInd w:val="0"/>
                    <w:snapToGrid w:val="0"/>
                    <w:jc w:val="center"/>
                    <w:rPr>
                      <w:rFonts w:hint="default" w:ascii="Times New Roman" w:hAnsi="Times New Roman" w:cs="Times New Roman"/>
                      <w:color w:val="auto"/>
                      <w:sz w:val="21"/>
                      <w:szCs w:val="21"/>
                      <w:highlight w:val="none"/>
                    </w:rPr>
                  </w:pPr>
                </w:p>
              </w:tc>
              <w:tc>
                <w:tcPr>
                  <w:tcW w:w="2266" w:type="pct"/>
                  <w:noWrap w:val="0"/>
                  <w:vAlign w:val="center"/>
                </w:tcPr>
                <w:p w14:paraId="14B779A6">
                  <w:pPr>
                    <w:jc w:val="center"/>
                    <w:rPr>
                      <w:rFonts w:hint="default" w:ascii="Times New Roman" w:hAnsi="Times New Roman"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rPr>
                    <w:t>《工业企业厂界环境噪声排放标准》（GB12348-2008）</w:t>
                  </w:r>
                  <w:r>
                    <w:rPr>
                      <w:rFonts w:hint="default" w:ascii="Times New Roman" w:hAnsi="Times New Roman" w:cs="Times New Roman"/>
                      <w:color w:val="auto"/>
                      <w:spacing w:val="8"/>
                      <w:sz w:val="21"/>
                      <w:szCs w:val="21"/>
                      <w:highlight w:val="none"/>
                      <w:lang w:val="en-US" w:eastAsia="zh-CN"/>
                    </w:rPr>
                    <w:t>3</w:t>
                  </w:r>
                  <w:r>
                    <w:rPr>
                      <w:rFonts w:hint="default" w:ascii="Times New Roman" w:hAnsi="Times New Roman" w:cs="Times New Roman"/>
                      <w:color w:val="auto"/>
                      <w:spacing w:val="8"/>
                      <w:sz w:val="21"/>
                      <w:szCs w:val="21"/>
                      <w:highlight w:val="none"/>
                    </w:rPr>
                    <w:t>类</w:t>
                  </w:r>
                  <w:r>
                    <w:rPr>
                      <w:rFonts w:hint="eastAsia" w:ascii="Times New Roman" w:hAnsi="Times New Roman" w:cs="Times New Roman"/>
                      <w:color w:val="auto"/>
                      <w:spacing w:val="8"/>
                      <w:sz w:val="21"/>
                      <w:szCs w:val="21"/>
                      <w:highlight w:val="none"/>
                      <w:lang w:val="en-US" w:eastAsia="zh-CN"/>
                    </w:rPr>
                    <w:t>标准</w:t>
                  </w:r>
                </w:p>
              </w:tc>
              <w:tc>
                <w:tcPr>
                  <w:tcW w:w="589" w:type="pct"/>
                  <w:noWrap w:val="0"/>
                  <w:vAlign w:val="center"/>
                </w:tcPr>
                <w:p w14:paraId="211BE92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594" w:type="pct"/>
                  <w:noWrap w:val="0"/>
                  <w:vAlign w:val="center"/>
                </w:tcPr>
                <w:p w14:paraId="4E87AC6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c>
                <w:tcPr>
                  <w:tcW w:w="589" w:type="pct"/>
                  <w:noWrap w:val="0"/>
                  <w:vAlign w:val="center"/>
                </w:tcPr>
                <w:p w14:paraId="4345B89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607" w:type="pct"/>
                  <w:noWrap w:val="0"/>
                  <w:vAlign w:val="center"/>
                </w:tcPr>
                <w:p w14:paraId="12CD37A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r>
            <w:tr w14:paraId="7925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3" w:type="pct"/>
                  <w:vMerge w:val="restart"/>
                  <w:noWrap w:val="0"/>
                  <w:vAlign w:val="center"/>
                </w:tcPr>
                <w:p w14:paraId="0BC97F0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1"/>
                      <w:sz w:val="21"/>
                      <w:szCs w:val="21"/>
                      <w:highlight w:val="none"/>
                    </w:rPr>
                    <w:t>环境噪声</w:t>
                  </w:r>
                </w:p>
              </w:tc>
              <w:tc>
                <w:tcPr>
                  <w:tcW w:w="2266" w:type="pct"/>
                  <w:noWrap w:val="0"/>
                  <w:vAlign w:val="center"/>
                </w:tcPr>
                <w:p w14:paraId="047AF741">
                  <w:pPr>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厂区西南侧砖瓦房廉租房处</w:t>
                  </w:r>
                </w:p>
              </w:tc>
              <w:tc>
                <w:tcPr>
                  <w:tcW w:w="589" w:type="pct"/>
                  <w:noWrap w:val="0"/>
                  <w:vAlign w:val="center"/>
                </w:tcPr>
                <w:p w14:paraId="684C0B2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594" w:type="pct"/>
                  <w:noWrap w:val="0"/>
                  <w:vAlign w:val="center"/>
                </w:tcPr>
                <w:p w14:paraId="407CCEF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589" w:type="pct"/>
                  <w:noWrap w:val="0"/>
                  <w:vAlign w:val="center"/>
                </w:tcPr>
                <w:p w14:paraId="7283F4B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w:t>
                  </w:r>
                </w:p>
              </w:tc>
              <w:tc>
                <w:tcPr>
                  <w:tcW w:w="607" w:type="pct"/>
                  <w:noWrap w:val="0"/>
                  <w:vAlign w:val="center"/>
                </w:tcPr>
                <w:p w14:paraId="142C1FA9">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r>
            <w:tr w14:paraId="0CA3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noWrap w:val="0"/>
                  <w:vAlign w:val="center"/>
                </w:tcPr>
                <w:p w14:paraId="4DE896FE">
                  <w:pPr>
                    <w:adjustRightInd w:val="0"/>
                    <w:snapToGrid w:val="0"/>
                    <w:jc w:val="center"/>
                    <w:rPr>
                      <w:rFonts w:hint="default" w:ascii="Times New Roman" w:hAnsi="Times New Roman" w:cs="Times New Roman"/>
                      <w:color w:val="auto"/>
                      <w:sz w:val="21"/>
                      <w:szCs w:val="21"/>
                      <w:highlight w:val="none"/>
                    </w:rPr>
                  </w:pPr>
                </w:p>
              </w:tc>
              <w:tc>
                <w:tcPr>
                  <w:tcW w:w="2266" w:type="pct"/>
                  <w:noWrap w:val="0"/>
                  <w:vAlign w:val="center"/>
                </w:tcPr>
                <w:p w14:paraId="2BB7362D">
                  <w:pPr>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厂区西侧居民处</w:t>
                  </w:r>
                </w:p>
              </w:tc>
              <w:tc>
                <w:tcPr>
                  <w:tcW w:w="589" w:type="pct"/>
                  <w:noWrap w:val="0"/>
                  <w:vAlign w:val="center"/>
                </w:tcPr>
                <w:p w14:paraId="5A36E5F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w:t>
                  </w:r>
                </w:p>
              </w:tc>
              <w:tc>
                <w:tcPr>
                  <w:tcW w:w="594" w:type="pct"/>
                  <w:noWrap w:val="0"/>
                  <w:vAlign w:val="center"/>
                </w:tcPr>
                <w:p w14:paraId="227E291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589" w:type="pct"/>
                  <w:noWrap w:val="0"/>
                  <w:vAlign w:val="center"/>
                </w:tcPr>
                <w:p w14:paraId="7E2FAAE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w:t>
                  </w:r>
                </w:p>
              </w:tc>
              <w:tc>
                <w:tcPr>
                  <w:tcW w:w="607" w:type="pct"/>
                  <w:noWrap w:val="0"/>
                  <w:vAlign w:val="center"/>
                </w:tcPr>
                <w:p w14:paraId="66E404F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r>
            <w:tr w14:paraId="0254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3" w:type="pct"/>
                  <w:vMerge w:val="continue"/>
                  <w:noWrap w:val="0"/>
                  <w:vAlign w:val="center"/>
                </w:tcPr>
                <w:p w14:paraId="582CC0CC">
                  <w:pPr>
                    <w:adjustRightInd w:val="0"/>
                    <w:snapToGrid w:val="0"/>
                    <w:jc w:val="center"/>
                    <w:rPr>
                      <w:rFonts w:hint="default" w:ascii="Times New Roman" w:hAnsi="Times New Roman" w:cs="Times New Roman"/>
                      <w:color w:val="auto"/>
                      <w:sz w:val="21"/>
                      <w:szCs w:val="21"/>
                      <w:highlight w:val="none"/>
                    </w:rPr>
                  </w:pPr>
                </w:p>
              </w:tc>
              <w:tc>
                <w:tcPr>
                  <w:tcW w:w="2266" w:type="pct"/>
                  <w:noWrap w:val="0"/>
                  <w:vAlign w:val="center"/>
                </w:tcPr>
                <w:p w14:paraId="105A5835">
                  <w:pPr>
                    <w:jc w:val="center"/>
                    <w:rPr>
                      <w:rFonts w:hint="default" w:ascii="Times New Roman" w:hAnsi="Times New Roman"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rPr>
                    <w:t>《声环境质量标准》（GB3096-2008）2类标准</w:t>
                  </w:r>
                </w:p>
              </w:tc>
              <w:tc>
                <w:tcPr>
                  <w:tcW w:w="589" w:type="pct"/>
                  <w:noWrap w:val="0"/>
                  <w:vAlign w:val="center"/>
                </w:tcPr>
                <w:p w14:paraId="2C9F8E3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594" w:type="pct"/>
                  <w:noWrap w:val="0"/>
                  <w:vAlign w:val="center"/>
                </w:tcPr>
                <w:p w14:paraId="143B5BA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589" w:type="pct"/>
                  <w:noWrap w:val="0"/>
                  <w:vAlign w:val="center"/>
                </w:tcPr>
                <w:p w14:paraId="0AB5102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607" w:type="pct"/>
                  <w:noWrap w:val="0"/>
                  <w:vAlign w:val="center"/>
                </w:tcPr>
                <w:p w14:paraId="59851DD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r>
          </w:tbl>
          <w:p w14:paraId="75B314FE">
            <w:pPr>
              <w:pStyle w:val="48"/>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监测结果表明：</w:t>
            </w: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厂界噪声满足《工业企业厂界环境噪声排放标准》（GB12348-2008）中</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类标准要求；</w:t>
            </w:r>
            <w:r>
              <w:rPr>
                <w:rFonts w:hint="default" w:ascii="Times New Roman" w:hAnsi="Times New Roman" w:cs="Times New Roman"/>
                <w:color w:val="auto"/>
                <w:sz w:val="24"/>
                <w:szCs w:val="24"/>
                <w:highlight w:val="none"/>
                <w:lang w:val="en-US" w:eastAsia="zh-CN"/>
              </w:rPr>
              <w:t>厂区</w:t>
            </w:r>
            <w:r>
              <w:rPr>
                <w:rFonts w:hint="default" w:ascii="Times New Roman" w:hAnsi="Times New Roman" w:cs="Times New Roman"/>
                <w:color w:val="auto"/>
                <w:sz w:val="24"/>
                <w:szCs w:val="24"/>
                <w:highlight w:val="none"/>
              </w:rPr>
              <w:t>周边各邻近居民点处昼、夜间环境噪声值均能满足《声环境质量标准》（GB3096-2008）中的2类标准要求。</w:t>
            </w:r>
          </w:p>
          <w:p w14:paraId="46F10B06">
            <w:pPr>
              <w:pStyle w:val="4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b/>
                <w:bCs w:val="0"/>
                <w:color w:val="auto"/>
                <w:sz w:val="24"/>
                <w:szCs w:val="24"/>
                <w:highlight w:val="none"/>
                <w:vertAlign w:val="baseline"/>
                <w:lang w:val="en-US" w:eastAsia="zh-CN"/>
              </w:rPr>
            </w:pPr>
            <w:r>
              <w:rPr>
                <w:rFonts w:hint="default" w:ascii="Times New Roman" w:hAnsi="Times New Roman" w:cs="Times New Roman"/>
                <w:b/>
                <w:bCs w:val="0"/>
                <w:color w:val="auto"/>
                <w:sz w:val="24"/>
                <w:szCs w:val="24"/>
                <w:highlight w:val="none"/>
                <w:vertAlign w:val="baseline"/>
                <w:lang w:val="en-US" w:eastAsia="zh-CN"/>
              </w:rPr>
              <w:t>3.1.</w:t>
            </w:r>
            <w:r>
              <w:rPr>
                <w:rFonts w:hint="eastAsia" w:cs="Times New Roman"/>
                <w:b/>
                <w:bCs w:val="0"/>
                <w:color w:val="auto"/>
                <w:sz w:val="24"/>
                <w:szCs w:val="24"/>
                <w:highlight w:val="none"/>
                <w:vertAlign w:val="baseline"/>
                <w:lang w:val="en-US" w:eastAsia="zh-CN"/>
              </w:rPr>
              <w:t>5</w:t>
            </w:r>
            <w:r>
              <w:rPr>
                <w:rFonts w:hint="default" w:ascii="Times New Roman" w:hAnsi="Times New Roman" w:cs="Times New Roman"/>
                <w:b/>
                <w:bCs w:val="0"/>
                <w:color w:val="auto"/>
                <w:sz w:val="24"/>
                <w:szCs w:val="24"/>
                <w:highlight w:val="none"/>
                <w:vertAlign w:val="baseline"/>
                <w:lang w:val="en-US" w:eastAsia="zh-CN"/>
              </w:rPr>
              <w:t>生态环境质量现状</w:t>
            </w:r>
          </w:p>
          <w:p w14:paraId="295007A3">
            <w:pPr>
              <w:pStyle w:val="4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所在区域为西部（重庆）科学城九龙新城园区铜罐驿组团，利用现有项目已建的厂房进行建设，用地性质为工业用地。根据调查，项目周边</w:t>
            </w:r>
            <w:r>
              <w:rPr>
                <w:rFonts w:hint="default" w:ascii="Times New Roman" w:hAnsi="Times New Roman" w:eastAsia="宋体" w:cs="Times New Roman"/>
                <w:color w:val="auto"/>
                <w:sz w:val="24"/>
                <w:szCs w:val="24"/>
                <w:highlight w:val="none"/>
              </w:rPr>
              <w:t>无重点文物保护单位，无名胜古迹和珍稀野生动植物分布，场地周边没有需要特殊保护的环境敏感目标和珍稀野生动植物等。</w:t>
            </w:r>
          </w:p>
          <w:p w14:paraId="40700A0C">
            <w:pPr>
              <w:pStyle w:val="4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b/>
                <w:bCs w:val="0"/>
                <w:color w:val="auto"/>
                <w:sz w:val="24"/>
                <w:szCs w:val="24"/>
                <w:highlight w:val="none"/>
                <w:vertAlign w:val="baseline"/>
                <w:lang w:val="en-US" w:eastAsia="zh-CN"/>
              </w:rPr>
            </w:pPr>
            <w:r>
              <w:rPr>
                <w:rFonts w:hint="default" w:ascii="Times New Roman" w:hAnsi="Times New Roman" w:cs="Times New Roman"/>
                <w:b/>
                <w:bCs w:val="0"/>
                <w:color w:val="auto"/>
                <w:sz w:val="24"/>
                <w:szCs w:val="24"/>
                <w:highlight w:val="none"/>
                <w:vertAlign w:val="baseline"/>
                <w:lang w:val="en-US" w:eastAsia="zh-CN"/>
              </w:rPr>
              <w:t>3.1.</w:t>
            </w:r>
            <w:r>
              <w:rPr>
                <w:rFonts w:hint="eastAsia" w:cs="Times New Roman"/>
                <w:b/>
                <w:bCs w:val="0"/>
                <w:color w:val="auto"/>
                <w:sz w:val="24"/>
                <w:szCs w:val="24"/>
                <w:highlight w:val="none"/>
                <w:vertAlign w:val="baseline"/>
                <w:lang w:val="en-US" w:eastAsia="zh-CN"/>
              </w:rPr>
              <w:t>6</w:t>
            </w:r>
            <w:r>
              <w:rPr>
                <w:rFonts w:hint="default" w:ascii="Times New Roman" w:hAnsi="Times New Roman" w:cs="Times New Roman"/>
                <w:b/>
                <w:bCs w:val="0"/>
                <w:color w:val="auto"/>
                <w:sz w:val="24"/>
                <w:szCs w:val="24"/>
                <w:highlight w:val="none"/>
                <w:vertAlign w:val="baseline"/>
                <w:lang w:val="en-US" w:eastAsia="zh-CN"/>
              </w:rPr>
              <w:t>土壤环境现状</w:t>
            </w:r>
          </w:p>
          <w:p w14:paraId="0406DE0A">
            <w:pPr>
              <w:pStyle w:val="48"/>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储罐区</w:t>
            </w:r>
            <w:r>
              <w:rPr>
                <w:rFonts w:hint="eastAsia" w:cs="Times New Roman"/>
                <w:color w:val="auto"/>
                <w:sz w:val="24"/>
                <w:szCs w:val="24"/>
                <w:highlight w:val="none"/>
                <w:lang w:val="en-US" w:eastAsia="zh-CN"/>
              </w:rPr>
              <w:t>、生产区</w:t>
            </w:r>
            <w:r>
              <w:rPr>
                <w:rFonts w:hint="default" w:ascii="Times New Roman" w:hAnsi="Times New Roman" w:eastAsia="宋体" w:cs="Times New Roman"/>
                <w:color w:val="auto"/>
                <w:sz w:val="24"/>
                <w:szCs w:val="24"/>
                <w:highlight w:val="none"/>
              </w:rPr>
              <w:t>设置为重点防渗区，地面按重点防渗区要求进行防腐防渗处理，重点防渗区的防渗性能要求不</w:t>
            </w:r>
            <w:r>
              <w:rPr>
                <w:rFonts w:hint="eastAsia" w:cs="Times New Roman"/>
                <w:color w:val="auto"/>
                <w:sz w:val="24"/>
                <w:szCs w:val="24"/>
                <w:highlight w:val="none"/>
                <w:lang w:eastAsia="zh-CN"/>
              </w:rPr>
              <w:t>低于</w:t>
            </w:r>
            <w:r>
              <w:rPr>
                <w:rFonts w:hint="default" w:ascii="Times New Roman" w:hAnsi="Times New Roman" w:eastAsia="宋体" w:cs="Times New Roman"/>
                <w:color w:val="auto"/>
                <w:sz w:val="24"/>
                <w:szCs w:val="24"/>
                <w:highlight w:val="none"/>
              </w:rPr>
              <w:t>6.0m厚、渗透系数为1.0×10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cm/s的黏土层防渗性能，并采取防腐措施。</w:t>
            </w:r>
            <w:r>
              <w:rPr>
                <w:rFonts w:hint="eastAsia"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rPr>
              <w:t>危险废物贮存点按照《危险废物贮存污染控制标准》（GB18597-2023）要求执行，设置“六防”措施；采取以上措施后，建设项目无直接土壤环境污染途径。故本次评价不对土壤进行现状监测。</w:t>
            </w:r>
          </w:p>
        </w:tc>
      </w:tr>
      <w:tr w14:paraId="7ECB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9" w:type="dxa"/>
            <w:vAlign w:val="center"/>
          </w:tcPr>
          <w:p w14:paraId="7464A513">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rPr>
              <w:t>保护目标</w:t>
            </w:r>
          </w:p>
        </w:tc>
        <w:tc>
          <w:tcPr>
            <w:tcW w:w="8222" w:type="dxa"/>
          </w:tcPr>
          <w:p w14:paraId="45213918">
            <w:pPr>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b/>
                <w:color w:val="auto"/>
                <w:kern w:val="2"/>
                <w:sz w:val="26"/>
                <w:szCs w:val="24"/>
                <w:highlight w:val="none"/>
                <w:lang w:val="en-US" w:eastAsia="zh-CN" w:bidi="ar-SA"/>
              </w:rPr>
            </w:pPr>
            <w:r>
              <w:rPr>
                <w:rFonts w:hint="default" w:ascii="Times New Roman" w:hAnsi="Times New Roman" w:eastAsia="宋体" w:cs="Times New Roman"/>
                <w:b/>
                <w:color w:val="auto"/>
                <w:kern w:val="2"/>
                <w:sz w:val="26"/>
                <w:szCs w:val="24"/>
                <w:highlight w:val="none"/>
                <w:lang w:val="en-US" w:eastAsia="zh-CN" w:bidi="ar-SA"/>
              </w:rPr>
              <w:t>3.2主要环境保护目标</w:t>
            </w:r>
          </w:p>
          <w:p w14:paraId="0D92C7CB">
            <w:pPr>
              <w:pStyle w:val="4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b/>
                <w:bCs w:val="0"/>
                <w:color w:val="auto"/>
                <w:sz w:val="24"/>
                <w:szCs w:val="22"/>
                <w:highlight w:val="none"/>
                <w:lang w:val="en-US" w:eastAsia="zh-CN"/>
              </w:rPr>
            </w:pPr>
            <w:r>
              <w:rPr>
                <w:rFonts w:hint="default" w:ascii="Times New Roman" w:hAnsi="Times New Roman" w:eastAsia="宋体" w:cs="Times New Roman"/>
                <w:b/>
                <w:bCs w:val="0"/>
                <w:color w:val="auto"/>
                <w:sz w:val="24"/>
                <w:szCs w:val="22"/>
                <w:highlight w:val="none"/>
                <w:lang w:val="en-US" w:eastAsia="zh-CN"/>
              </w:rPr>
              <w:t>3.2.1大气环境保护目标</w:t>
            </w:r>
          </w:p>
          <w:p w14:paraId="69EDA9F8">
            <w:pPr>
              <w:pStyle w:val="43"/>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本次评价大气环境现状调查时，重点调查</w:t>
            </w:r>
            <w:r>
              <w:rPr>
                <w:rFonts w:hint="eastAsia" w:eastAsia="宋体" w:cs="Times New Roman"/>
                <w:color w:val="auto"/>
                <w:sz w:val="24"/>
                <w:szCs w:val="22"/>
                <w:highlight w:val="none"/>
                <w:lang w:val="en-US" w:eastAsia="zh-CN"/>
              </w:rPr>
              <w:t>厂界</w:t>
            </w:r>
            <w:r>
              <w:rPr>
                <w:rFonts w:hint="default" w:ascii="Times New Roman" w:hAnsi="Times New Roman" w:eastAsia="宋体" w:cs="Times New Roman"/>
                <w:color w:val="auto"/>
                <w:sz w:val="24"/>
                <w:szCs w:val="22"/>
                <w:highlight w:val="none"/>
              </w:rPr>
              <w:t>周边500m范围内的保护目标，</w:t>
            </w:r>
            <w:r>
              <w:rPr>
                <w:rFonts w:hint="eastAsia" w:eastAsia="宋体" w:cs="Times New Roman"/>
                <w:color w:val="auto"/>
                <w:sz w:val="24"/>
                <w:szCs w:val="22"/>
                <w:highlight w:val="none"/>
                <w:lang w:val="en-US" w:eastAsia="zh-CN"/>
              </w:rPr>
              <w:t>主要包括厂界500m范围内散居农户及廉租房等，</w:t>
            </w:r>
            <w:r>
              <w:rPr>
                <w:rFonts w:hint="default" w:ascii="Times New Roman" w:hAnsi="Times New Roman" w:eastAsia="宋体" w:cs="Times New Roman"/>
                <w:color w:val="auto"/>
                <w:sz w:val="24"/>
                <w:szCs w:val="22"/>
                <w:highlight w:val="none"/>
              </w:rPr>
              <w:t>厂界外500m范围内大气环境保护目标见表3.2-</w:t>
            </w:r>
            <w:r>
              <w:rPr>
                <w:rFonts w:hint="default" w:ascii="Times New Roman" w:hAnsi="Times New Roman" w:eastAsia="宋体"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rPr>
              <w:t>。</w:t>
            </w:r>
          </w:p>
          <w:p w14:paraId="20C3FFDB">
            <w:pPr>
              <w:pStyle w:val="47"/>
              <w:keepNext w:val="0"/>
              <w:keepLines w:val="0"/>
              <w:pageBreakBefore w:val="0"/>
              <w:widowControl w:val="0"/>
              <w:kinsoku/>
              <w:wordWrap/>
              <w:overflowPunct/>
              <w:topLinePunct w:val="0"/>
              <w:autoSpaceDE/>
              <w:autoSpaceDN/>
              <w:bidi w:val="0"/>
              <w:adjustRightInd/>
              <w:snapToGrid w:val="0"/>
              <w:spacing w:before="0" w:beforeLines="0"/>
              <w:textAlignment w:val="auto"/>
              <w:rPr>
                <w:rFonts w:hint="default" w:ascii="Times New Roman" w:hAnsi="Times New Roman" w:eastAsia="宋体" w:cs="Times New Roman"/>
                <w:color w:val="auto"/>
                <w:highlight w:val="none"/>
              </w:rPr>
            </w:pPr>
          </w:p>
          <w:p w14:paraId="254AA015">
            <w:pPr>
              <w:pStyle w:val="47"/>
              <w:keepNext w:val="0"/>
              <w:keepLines w:val="0"/>
              <w:pageBreakBefore w:val="0"/>
              <w:widowControl w:val="0"/>
              <w:kinsoku/>
              <w:wordWrap/>
              <w:overflowPunct/>
              <w:topLinePunct w:val="0"/>
              <w:autoSpaceDE/>
              <w:autoSpaceDN/>
              <w:bidi w:val="0"/>
              <w:adjustRightInd/>
              <w:snapToGrid w:val="0"/>
              <w:spacing w:before="0" w:beforeLines="0"/>
              <w:textAlignment w:val="auto"/>
              <w:rPr>
                <w:rFonts w:hint="default" w:ascii="Times New Roman" w:hAnsi="Times New Roman" w:eastAsia="宋体" w:cs="Times New Roman"/>
                <w:color w:val="auto"/>
                <w:highlight w:val="none"/>
              </w:rPr>
            </w:pPr>
          </w:p>
          <w:p w14:paraId="5556D5DC">
            <w:pPr>
              <w:pStyle w:val="47"/>
              <w:keepNext w:val="0"/>
              <w:keepLines w:val="0"/>
              <w:pageBreakBefore w:val="0"/>
              <w:widowControl w:val="0"/>
              <w:kinsoku/>
              <w:wordWrap/>
              <w:overflowPunct/>
              <w:topLinePunct w:val="0"/>
              <w:autoSpaceDE/>
              <w:autoSpaceDN/>
              <w:bidi w:val="0"/>
              <w:adjustRightInd/>
              <w:snapToGrid w:val="0"/>
              <w:spacing w:before="0" w:beforeLines="0"/>
              <w:textAlignment w:val="auto"/>
              <w:rPr>
                <w:rFonts w:hint="default" w:ascii="Times New Roman" w:hAnsi="Times New Roman" w:eastAsia="宋体" w:cs="Times New Roman"/>
                <w:color w:val="auto"/>
                <w:highlight w:val="none"/>
              </w:rPr>
            </w:pPr>
          </w:p>
          <w:p w14:paraId="3F5F14E6">
            <w:pPr>
              <w:pStyle w:val="47"/>
              <w:keepNext w:val="0"/>
              <w:keepLines w:val="0"/>
              <w:pageBreakBefore w:val="0"/>
              <w:widowControl w:val="0"/>
              <w:kinsoku/>
              <w:wordWrap/>
              <w:overflowPunct/>
              <w:topLinePunct w:val="0"/>
              <w:autoSpaceDE/>
              <w:autoSpaceDN/>
              <w:bidi w:val="0"/>
              <w:adjustRightInd/>
              <w:snapToGrid w:val="0"/>
              <w:spacing w:before="0" w:beforeLines="0"/>
              <w:textAlignment w:val="auto"/>
              <w:rPr>
                <w:rFonts w:hint="default" w:ascii="Times New Roman" w:hAnsi="Times New Roman" w:eastAsia="宋体" w:cs="Times New Roman"/>
                <w:color w:val="auto"/>
                <w:highlight w:val="none"/>
              </w:rPr>
            </w:pPr>
          </w:p>
          <w:p w14:paraId="1A0DD0FA">
            <w:pPr>
              <w:pStyle w:val="47"/>
              <w:keepNext w:val="0"/>
              <w:keepLines w:val="0"/>
              <w:pageBreakBefore w:val="0"/>
              <w:widowControl w:val="0"/>
              <w:kinsoku/>
              <w:wordWrap/>
              <w:overflowPunct/>
              <w:topLinePunct w:val="0"/>
              <w:autoSpaceDE/>
              <w:autoSpaceDN/>
              <w:bidi w:val="0"/>
              <w:adjustRightInd/>
              <w:snapToGrid w:val="0"/>
              <w:spacing w:before="0" w:beforeLine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表3.2-</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厂界外500m范围内大气环境保护目标</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46"/>
              <w:gridCol w:w="1166"/>
              <w:gridCol w:w="655"/>
              <w:gridCol w:w="627"/>
              <w:gridCol w:w="682"/>
              <w:gridCol w:w="1268"/>
              <w:gridCol w:w="873"/>
              <w:gridCol w:w="723"/>
              <w:gridCol w:w="668"/>
              <w:gridCol w:w="888"/>
            </w:tblGrid>
            <w:tr w14:paraId="6367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68089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序号</w:t>
                  </w:r>
                </w:p>
              </w:tc>
              <w:tc>
                <w:tcPr>
                  <w:tcW w:w="11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4651A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保护目标名称</w:t>
                  </w:r>
                </w:p>
              </w:tc>
              <w:tc>
                <w:tcPr>
                  <w:tcW w:w="12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20AB1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坐标</w:t>
                  </w:r>
                  <w:r>
                    <w:rPr>
                      <w:rFonts w:hint="default" w:ascii="Times New Roman" w:hAnsi="Times New Roman" w:cs="Times New Roman"/>
                      <w:color w:val="auto"/>
                      <w:kern w:val="2"/>
                      <w:sz w:val="21"/>
                      <w:szCs w:val="21"/>
                      <w:highlight w:val="none"/>
                      <w:lang w:val="en-US" w:eastAsia="zh-CN" w:bidi="ar"/>
                    </w:rPr>
                    <w:t>/m</w:t>
                  </w:r>
                </w:p>
              </w:tc>
              <w:tc>
                <w:tcPr>
                  <w:tcW w:w="6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721E9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保护对象</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F5488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保护内容</w:t>
                  </w:r>
                </w:p>
              </w:tc>
              <w:tc>
                <w:tcPr>
                  <w:tcW w:w="8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9BD1D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环境功能区</w:t>
                  </w:r>
                </w:p>
              </w:tc>
              <w:tc>
                <w:tcPr>
                  <w:tcW w:w="7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5B864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相对厂址方向</w:t>
                  </w:r>
                </w:p>
              </w:tc>
              <w:tc>
                <w:tcPr>
                  <w:tcW w:w="668" w:type="dxa"/>
                  <w:vMerge w:val="restart"/>
                  <w:tcBorders>
                    <w:top w:val="single" w:color="auto" w:sz="4" w:space="0"/>
                    <w:left w:val="single" w:color="auto" w:sz="4" w:space="0"/>
                    <w:right w:val="single" w:color="auto" w:sz="4" w:space="0"/>
                  </w:tcBorders>
                  <w:shd w:val="clear" w:color="auto" w:fill="auto"/>
                  <w:vAlign w:val="center"/>
                </w:tcPr>
                <w:p w14:paraId="5ABAC61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相对厂界距离</w:t>
                  </w:r>
                  <w:r>
                    <w:rPr>
                      <w:rFonts w:hint="default" w:ascii="Times New Roman" w:hAnsi="Times New Roman" w:cs="Times New Roman"/>
                      <w:color w:val="auto"/>
                      <w:kern w:val="2"/>
                      <w:sz w:val="21"/>
                      <w:szCs w:val="21"/>
                      <w:highlight w:val="none"/>
                      <w:lang w:val="en-US" w:eastAsia="zh-CN" w:bidi="ar"/>
                    </w:rPr>
                    <w:t>/m</w:t>
                  </w:r>
                </w:p>
              </w:tc>
              <w:tc>
                <w:tcPr>
                  <w:tcW w:w="888" w:type="dxa"/>
                  <w:vMerge w:val="restart"/>
                  <w:tcBorders>
                    <w:top w:val="single" w:color="auto" w:sz="4" w:space="0"/>
                    <w:left w:val="single" w:color="auto" w:sz="4" w:space="0"/>
                    <w:right w:val="single" w:color="auto" w:sz="4" w:space="0"/>
                  </w:tcBorders>
                  <w:shd w:val="clear" w:color="auto" w:fill="auto"/>
                  <w:vAlign w:val="center"/>
                </w:tcPr>
                <w:p w14:paraId="5ECF403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相对精炼车间距离/m</w:t>
                  </w:r>
                </w:p>
              </w:tc>
            </w:tr>
            <w:tr w14:paraId="0B2C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AF35F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0"/>
                      <w:szCs w:val="20"/>
                      <w:highlight w:val="none"/>
                    </w:rPr>
                  </w:pPr>
                </w:p>
              </w:tc>
              <w:tc>
                <w:tcPr>
                  <w:tcW w:w="11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82291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0"/>
                      <w:szCs w:val="20"/>
                      <w:highlight w:val="none"/>
                    </w:rPr>
                  </w:pP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0DA1CAD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X</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DB2303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Y</w:t>
                  </w:r>
                </w:p>
              </w:tc>
              <w:tc>
                <w:tcPr>
                  <w:tcW w:w="6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C35A7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0"/>
                      <w:szCs w:val="20"/>
                      <w:highlight w:val="none"/>
                    </w:rPr>
                  </w:pPr>
                </w:p>
              </w:tc>
              <w:tc>
                <w:tcPr>
                  <w:tcW w:w="1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1F8D3B">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0"/>
                      <w:szCs w:val="20"/>
                      <w:highlight w:val="none"/>
                    </w:rPr>
                  </w:pPr>
                </w:p>
              </w:tc>
              <w:tc>
                <w:tcPr>
                  <w:tcW w:w="87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89EDE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0"/>
                      <w:szCs w:val="20"/>
                      <w:highlight w:val="none"/>
                    </w:rPr>
                  </w:pPr>
                </w:p>
              </w:tc>
              <w:tc>
                <w:tcPr>
                  <w:tcW w:w="7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9AC662">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0"/>
                      <w:szCs w:val="20"/>
                      <w:highlight w:val="none"/>
                    </w:rPr>
                  </w:pPr>
                </w:p>
              </w:tc>
              <w:tc>
                <w:tcPr>
                  <w:tcW w:w="668" w:type="dxa"/>
                  <w:vMerge w:val="continue"/>
                  <w:tcBorders>
                    <w:left w:val="single" w:color="auto" w:sz="4" w:space="0"/>
                    <w:bottom w:val="single" w:color="auto" w:sz="4" w:space="0"/>
                    <w:right w:val="single" w:color="auto" w:sz="4" w:space="0"/>
                  </w:tcBorders>
                  <w:shd w:val="clear" w:color="auto" w:fill="auto"/>
                  <w:vAlign w:val="center"/>
                </w:tcPr>
                <w:p w14:paraId="4FD9AE7A">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0"/>
                      <w:szCs w:val="20"/>
                      <w:highlight w:val="none"/>
                    </w:rPr>
                  </w:pPr>
                </w:p>
              </w:tc>
              <w:tc>
                <w:tcPr>
                  <w:tcW w:w="888" w:type="dxa"/>
                  <w:vMerge w:val="continue"/>
                  <w:tcBorders>
                    <w:left w:val="single" w:color="auto" w:sz="4" w:space="0"/>
                    <w:bottom w:val="single" w:color="auto" w:sz="4" w:space="0"/>
                    <w:right w:val="single" w:color="auto" w:sz="4" w:space="0"/>
                  </w:tcBorders>
                  <w:shd w:val="clear" w:color="auto" w:fill="auto"/>
                  <w:vAlign w:val="center"/>
                </w:tcPr>
                <w:p w14:paraId="05DCC6E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0"/>
                      <w:szCs w:val="20"/>
                      <w:highlight w:val="none"/>
                    </w:rPr>
                  </w:pPr>
                </w:p>
              </w:tc>
            </w:tr>
            <w:tr w14:paraId="5489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062E023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1</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60B4A15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3F5B75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34608D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193</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7246669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3AECE0D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1户4人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CDBB22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629A495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3064CDE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25</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1E2683F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108</w:t>
                  </w:r>
                </w:p>
              </w:tc>
            </w:tr>
            <w:tr w14:paraId="231E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34254E0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6483C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78CDF73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93BB2D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231</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18951B0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0E7716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2户7人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E3D4FE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12D3D05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47778F3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6</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0718218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206</w:t>
                  </w:r>
                </w:p>
              </w:tc>
            </w:tr>
            <w:tr w14:paraId="76FB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5318C44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3</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65EABF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0CC650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-176</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1C7CA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2995682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67CEC8E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2户7人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6DE401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28C01B9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西</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190144A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34</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54DCE1F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71</w:t>
                  </w:r>
                </w:p>
              </w:tc>
            </w:tr>
            <w:tr w14:paraId="69F8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42969DD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4</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026A41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0F79FB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-196</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4A655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-276</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1319BE9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486EC28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3户10人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328574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5C6BF89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西南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1E368AB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19</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2978BA6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241</w:t>
                  </w:r>
                </w:p>
              </w:tc>
            </w:tr>
            <w:tr w14:paraId="46D9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3C96830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5</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2FC9D4B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砖瓦村廉租房</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40A8A9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B4E11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-191</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573C5CF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675F958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80户240人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1F18AD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141873D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西南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1CC0D99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57</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094D601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190</w:t>
                  </w:r>
                </w:p>
              </w:tc>
            </w:tr>
            <w:tr w14:paraId="442C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660B7A8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6</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32FA8A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3537A3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875E2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-330</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71E8F1C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70C8BD0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14户33人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391699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7B69D01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西南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701DF40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73</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19D1C1C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311</w:t>
                  </w:r>
                </w:p>
              </w:tc>
            </w:tr>
            <w:tr w14:paraId="1788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20D05CE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7</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089529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425BB8F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-215</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D5967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-480</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19347FD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2997378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2户6人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E06340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2C8CA5D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00A0BEA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122</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51F3F00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384</w:t>
                  </w:r>
                </w:p>
              </w:tc>
            </w:tr>
            <w:tr w14:paraId="6AC1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658D8F6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8</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4A8E7DA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丰正苑一期居民区</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6C7A8DF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3AFD17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-575</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2297AB1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80C1BF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180户240人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5C4D1E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3FA3982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A1113D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115</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32059A9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379</w:t>
                  </w:r>
                </w:p>
              </w:tc>
            </w:tr>
            <w:tr w14:paraId="2465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24316BA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9</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7DF337A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丰正苑三期居民区</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09F55E7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5BDDF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-426</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202EA1D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72C371A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322户960人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9E5DC3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16360EF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东南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5D5FAE4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375</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117401A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374</w:t>
                  </w:r>
                </w:p>
              </w:tc>
            </w:tr>
            <w:tr w14:paraId="42E2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45A3D58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10</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20E1A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369786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E14E12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-714</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00B830D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6A7770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2户9人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91D3C8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348D1BE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47DF04D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53</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4DB0699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627</w:t>
                  </w:r>
                </w:p>
              </w:tc>
            </w:tr>
            <w:tr w14:paraId="2E10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22DA79B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11</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3719F9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4772623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-228</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B3079A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7DD915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6144754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3户10人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4439A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0B6E296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0F92883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143</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0EDF373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72</w:t>
                  </w:r>
                </w:p>
              </w:tc>
            </w:tr>
            <w:tr w14:paraId="1CC4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0AEC6B2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12</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2CC9CB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2E6358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-209</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93DB52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162</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1B5B89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76EE0AE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4户12人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BD77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7F8F741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1E12C0C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153</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6EBB5EB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173</w:t>
                  </w:r>
                </w:p>
              </w:tc>
            </w:tr>
            <w:tr w14:paraId="6128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1A8D6A0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13</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028697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3E70A4B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-169</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09546BF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2FF8E4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2268979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6户20人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E072F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347AE6A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E0639A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293</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21C53DC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253</w:t>
                  </w:r>
                </w:p>
              </w:tc>
            </w:tr>
            <w:tr w14:paraId="1AB2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459B7F9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14</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6F4FF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71D0800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-159</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736ACC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484</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79E9A8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2D40EC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2户7人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1EE6A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40BD3F2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222031F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437</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28ABA7B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488</w:t>
                  </w:r>
                </w:p>
              </w:tc>
            </w:tr>
            <w:tr w14:paraId="1B6E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1B22815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15</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517A7F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28833D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-307</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2433E3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575</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6433D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11DF921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3户10人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4BDB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5C47AA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388DBF7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372</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7403518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522</w:t>
                  </w:r>
                </w:p>
              </w:tc>
            </w:tr>
            <w:tr w14:paraId="6D67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0C33553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16</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3928C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785D6D0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-252</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38B28C4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518</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75D30F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0DDBAB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5户15人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7A5B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03DE22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5D35D97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339</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2FA00D9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607</w:t>
                  </w:r>
                </w:p>
              </w:tc>
            </w:tr>
            <w:tr w14:paraId="2DA8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709BDAE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17</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6BF4BE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285A96B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-418</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723611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213</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06AA5A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5CAB8ED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3户10人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C16D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4BF072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4D48B8B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310</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0A93CE7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339</w:t>
                  </w:r>
                </w:p>
              </w:tc>
            </w:tr>
            <w:tr w14:paraId="2AC3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2234F4D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18</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163D3C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596F56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-399</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51DCBD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1E8231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399832F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2户7人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4C909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71EB0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50954E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435</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6B3AA00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351</w:t>
                  </w:r>
                </w:p>
              </w:tc>
            </w:tr>
            <w:tr w14:paraId="2421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7846021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19</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2F511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38CDDAC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-534</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6FE86C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218</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023B7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0F7A0AB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1户3人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891E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7D2D3F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35B9D76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446</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32FF8E5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474</w:t>
                  </w:r>
                </w:p>
              </w:tc>
            </w:tr>
            <w:tr w14:paraId="3572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12962D8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20</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7C8CC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03A77D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-647</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51517B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-144</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5FBFA2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4FC81CC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2户7人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8B061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50919E8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538B2D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460</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582E5E7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543</w:t>
                  </w:r>
                </w:p>
              </w:tc>
            </w:tr>
            <w:tr w14:paraId="4FEB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auto"/>
                  <w:vAlign w:val="center"/>
                </w:tcPr>
                <w:p w14:paraId="471951A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21</w:t>
                  </w:r>
                </w:p>
              </w:tc>
              <w:tc>
                <w:tcPr>
                  <w:tcW w:w="1166" w:type="dxa"/>
                  <w:tcBorders>
                    <w:top w:val="single" w:color="auto" w:sz="4" w:space="0"/>
                    <w:left w:val="single" w:color="auto" w:sz="4" w:space="0"/>
                    <w:bottom w:val="single" w:color="auto" w:sz="4" w:space="0"/>
                    <w:right w:val="single" w:color="auto" w:sz="4" w:space="0"/>
                  </w:tcBorders>
                  <w:shd w:val="clear" w:color="auto" w:fill="auto"/>
                  <w:vAlign w:val="center"/>
                </w:tcPr>
                <w:p w14:paraId="0264812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散居住户</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14:paraId="5BD4BF2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-640</w:t>
                  </w:r>
                </w:p>
              </w:tc>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14:paraId="1A151E0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-312</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2DF978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住户</w:t>
                  </w:r>
                </w:p>
              </w:tc>
              <w:tc>
                <w:tcPr>
                  <w:tcW w:w="1268" w:type="dxa"/>
                  <w:tcBorders>
                    <w:top w:val="single" w:color="auto" w:sz="4" w:space="0"/>
                    <w:left w:val="single" w:color="auto" w:sz="4" w:space="0"/>
                    <w:bottom w:val="single" w:color="auto" w:sz="4" w:space="0"/>
                    <w:right w:val="single" w:color="auto" w:sz="4" w:space="0"/>
                  </w:tcBorders>
                  <w:shd w:val="clear" w:color="auto" w:fill="auto"/>
                  <w:vAlign w:val="center"/>
                </w:tcPr>
                <w:p w14:paraId="3F09119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3户10人</w:t>
                  </w:r>
                </w:p>
              </w:tc>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04A81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二类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05E0ADB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西南</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57DA9D7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451</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14:paraId="21508D7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606</w:t>
                  </w:r>
                </w:p>
              </w:tc>
            </w:tr>
            <w:tr w14:paraId="481F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6"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4580615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备注：以厂址中心为原点（0，0）。</w:t>
                  </w:r>
                </w:p>
              </w:tc>
            </w:tr>
          </w:tbl>
          <w:p w14:paraId="42E9D205">
            <w:pPr>
              <w:pStyle w:val="43"/>
              <w:rPr>
                <w:rFonts w:hint="default" w:ascii="Times New Roman" w:hAnsi="Times New Roman" w:eastAsia="宋体" w:cs="Times New Roman"/>
                <w:b/>
                <w:bCs w:val="0"/>
                <w:color w:val="auto"/>
                <w:sz w:val="24"/>
                <w:szCs w:val="22"/>
                <w:highlight w:val="none"/>
                <w:lang w:val="en-US" w:eastAsia="zh-CN"/>
              </w:rPr>
            </w:pPr>
            <w:r>
              <w:rPr>
                <w:rFonts w:hint="default" w:ascii="Times New Roman" w:hAnsi="Times New Roman" w:eastAsia="宋体" w:cs="Times New Roman"/>
                <w:b/>
                <w:bCs w:val="0"/>
                <w:color w:val="auto"/>
                <w:sz w:val="24"/>
                <w:szCs w:val="22"/>
                <w:highlight w:val="none"/>
                <w:lang w:val="en-US" w:eastAsia="zh-CN"/>
              </w:rPr>
              <w:t>3.2.2声环境保护目标</w:t>
            </w:r>
          </w:p>
          <w:p w14:paraId="3FB4010A">
            <w:pPr>
              <w:pStyle w:val="43"/>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rPr>
              <w:t>本次评价</w:t>
            </w:r>
            <w:r>
              <w:rPr>
                <w:rFonts w:hint="eastAsia" w:eastAsia="宋体" w:cs="Times New Roman"/>
                <w:color w:val="auto"/>
                <w:sz w:val="24"/>
                <w:szCs w:val="22"/>
                <w:highlight w:val="none"/>
                <w:lang w:val="en-US" w:eastAsia="zh-CN"/>
              </w:rPr>
              <w:t>声</w:t>
            </w:r>
            <w:r>
              <w:rPr>
                <w:rFonts w:hint="default" w:ascii="Times New Roman" w:hAnsi="Times New Roman" w:eastAsia="宋体" w:cs="Times New Roman"/>
                <w:color w:val="auto"/>
                <w:sz w:val="24"/>
                <w:szCs w:val="22"/>
                <w:highlight w:val="none"/>
              </w:rPr>
              <w:t>环境现状调查时，重点</w:t>
            </w:r>
            <w:r>
              <w:rPr>
                <w:rFonts w:hint="eastAsia" w:eastAsia="宋体" w:cs="Times New Roman"/>
                <w:color w:val="auto"/>
                <w:sz w:val="24"/>
                <w:szCs w:val="22"/>
                <w:highlight w:val="none"/>
                <w:lang w:val="en-US" w:eastAsia="zh-CN"/>
              </w:rPr>
              <w:t>厂界</w:t>
            </w:r>
            <w:r>
              <w:rPr>
                <w:rFonts w:hint="default" w:ascii="Times New Roman" w:hAnsi="Times New Roman" w:eastAsia="宋体" w:cs="Times New Roman"/>
                <w:color w:val="auto"/>
                <w:sz w:val="24"/>
                <w:szCs w:val="22"/>
                <w:highlight w:val="none"/>
              </w:rPr>
              <w:t>周边50m范围内的保护目标，</w:t>
            </w:r>
            <w:r>
              <w:rPr>
                <w:rFonts w:hint="default" w:ascii="Times New Roman" w:hAnsi="Times New Roman" w:eastAsia="宋体" w:cs="Times New Roman"/>
                <w:color w:val="auto"/>
                <w:sz w:val="24"/>
                <w:szCs w:val="22"/>
                <w:highlight w:val="none"/>
                <w:lang w:val="en-US" w:eastAsia="zh-CN"/>
              </w:rPr>
              <w:t>根据现场踏勘，</w:t>
            </w:r>
            <w:r>
              <w:rPr>
                <w:rFonts w:hint="default" w:ascii="Times New Roman" w:hAnsi="Times New Roman" w:eastAsia="宋体" w:cs="Times New Roman"/>
                <w:color w:val="auto"/>
                <w:sz w:val="24"/>
                <w:szCs w:val="22"/>
                <w:highlight w:val="none"/>
              </w:rPr>
              <w:t>项目厂界外50m范围内</w:t>
            </w:r>
            <w:r>
              <w:rPr>
                <w:rFonts w:hint="default" w:ascii="Times New Roman" w:hAnsi="Times New Roman" w:eastAsia="宋体" w:cs="Times New Roman"/>
                <w:color w:val="auto"/>
                <w:sz w:val="24"/>
                <w:szCs w:val="22"/>
                <w:highlight w:val="none"/>
                <w:lang w:val="en-US" w:eastAsia="zh-CN"/>
              </w:rPr>
              <w:t>零散分布有少量居民点，详见下表：</w:t>
            </w:r>
          </w:p>
          <w:p w14:paraId="2B97C22F">
            <w:pPr>
              <w:pStyle w:val="47"/>
              <w:spacing w:before="120"/>
              <w:rPr>
                <w:rFonts w:hint="default" w:ascii="Times New Roman" w:hAnsi="Times New Roman" w:eastAsia="宋体" w:cs="Times New Roman"/>
                <w:color w:val="auto"/>
                <w:highlight w:val="none"/>
              </w:rPr>
            </w:pPr>
          </w:p>
          <w:p w14:paraId="6848DA97">
            <w:pPr>
              <w:pStyle w:val="47"/>
              <w:spacing w:before="120"/>
              <w:rPr>
                <w:rFonts w:hint="default" w:ascii="Times New Roman" w:hAnsi="Times New Roman" w:eastAsia="宋体" w:cs="Times New Roman"/>
                <w:color w:val="auto"/>
                <w:highlight w:val="none"/>
              </w:rPr>
            </w:pPr>
          </w:p>
          <w:p w14:paraId="6A72DFCA">
            <w:pPr>
              <w:pStyle w:val="47"/>
              <w:spacing w:before="120"/>
              <w:rPr>
                <w:rFonts w:hint="default" w:ascii="Times New Roman" w:hAnsi="Times New Roman" w:eastAsia="宋体" w:cs="Times New Roman"/>
                <w:color w:val="auto"/>
                <w:highlight w:val="none"/>
              </w:rPr>
            </w:pPr>
          </w:p>
          <w:p w14:paraId="65FF36B0">
            <w:pPr>
              <w:pStyle w:val="47"/>
              <w:spacing w:before="120"/>
              <w:rPr>
                <w:rFonts w:hint="default" w:ascii="Times New Roman" w:hAnsi="Times New Roman" w:eastAsia="宋体" w:cs="Times New Roman"/>
                <w:color w:val="auto"/>
                <w:highlight w:val="none"/>
              </w:rPr>
            </w:pPr>
          </w:p>
          <w:p w14:paraId="25CC48A3">
            <w:pPr>
              <w:pStyle w:val="47"/>
              <w:spacing w:before="120"/>
              <w:rPr>
                <w:rFonts w:hint="default" w:ascii="Times New Roman" w:hAnsi="Times New Roman" w:eastAsia="宋体" w:cs="Times New Roman"/>
                <w:color w:val="auto"/>
                <w:highlight w:val="none"/>
              </w:rPr>
            </w:pPr>
          </w:p>
          <w:p w14:paraId="2E49542B">
            <w:pPr>
              <w:pStyle w:val="47"/>
              <w:spacing w:before="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表3.2-</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厂界外50m范围内</w:t>
            </w:r>
            <w:r>
              <w:rPr>
                <w:rFonts w:hint="default" w:ascii="Times New Roman" w:hAnsi="Times New Roman" w:eastAsia="宋体" w:cs="Times New Roman"/>
                <w:color w:val="auto"/>
                <w:highlight w:val="none"/>
                <w:lang w:val="en-US" w:eastAsia="zh-CN"/>
              </w:rPr>
              <w:t>声</w:t>
            </w:r>
            <w:r>
              <w:rPr>
                <w:rFonts w:hint="default" w:ascii="Times New Roman" w:hAnsi="Times New Roman" w:eastAsia="宋体" w:cs="Times New Roman"/>
                <w:color w:val="auto"/>
                <w:highlight w:val="none"/>
              </w:rPr>
              <w:t>环境保护目标</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1"/>
              <w:gridCol w:w="1116"/>
              <w:gridCol w:w="668"/>
              <w:gridCol w:w="682"/>
              <w:gridCol w:w="764"/>
              <w:gridCol w:w="1036"/>
              <w:gridCol w:w="764"/>
              <w:gridCol w:w="763"/>
              <w:gridCol w:w="737"/>
              <w:gridCol w:w="915"/>
            </w:tblGrid>
            <w:tr w14:paraId="6032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2F9F2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序号</w:t>
                  </w:r>
                </w:p>
              </w:tc>
              <w:tc>
                <w:tcPr>
                  <w:tcW w:w="11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85C0A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保护目标名称</w:t>
                  </w:r>
                </w:p>
              </w:tc>
              <w:tc>
                <w:tcPr>
                  <w:tcW w:w="13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6B7FE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坐标</w:t>
                  </w:r>
                  <w:r>
                    <w:rPr>
                      <w:rFonts w:hint="default" w:ascii="Times New Roman" w:hAnsi="Times New Roman" w:cs="Times New Roman"/>
                      <w:color w:val="auto"/>
                      <w:kern w:val="2"/>
                      <w:sz w:val="21"/>
                      <w:szCs w:val="21"/>
                      <w:highlight w:val="none"/>
                      <w:lang w:val="en-US" w:eastAsia="zh-CN" w:bidi="ar"/>
                    </w:rPr>
                    <w:t>/m</w:t>
                  </w:r>
                </w:p>
              </w:tc>
              <w:tc>
                <w:tcPr>
                  <w:tcW w:w="7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F8055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保护对象</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06FC2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保护内容</w:t>
                  </w:r>
                </w:p>
              </w:tc>
              <w:tc>
                <w:tcPr>
                  <w:tcW w:w="7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07F09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环境</w:t>
                  </w:r>
                </w:p>
                <w:p w14:paraId="4A59708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功能区</w:t>
                  </w:r>
                </w:p>
              </w:tc>
              <w:tc>
                <w:tcPr>
                  <w:tcW w:w="7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2EB1A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相对厂址方向</w:t>
                  </w:r>
                </w:p>
              </w:tc>
              <w:tc>
                <w:tcPr>
                  <w:tcW w:w="737" w:type="dxa"/>
                  <w:vMerge w:val="restart"/>
                  <w:tcBorders>
                    <w:top w:val="single" w:color="auto" w:sz="4" w:space="0"/>
                    <w:left w:val="single" w:color="auto" w:sz="4" w:space="0"/>
                    <w:right w:val="single" w:color="auto" w:sz="4" w:space="0"/>
                  </w:tcBorders>
                  <w:shd w:val="clear" w:color="auto" w:fill="auto"/>
                  <w:vAlign w:val="center"/>
                </w:tcPr>
                <w:p w14:paraId="5BCF7FB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相对厂界距离</w:t>
                  </w:r>
                </w:p>
                <w:p w14:paraId="156510B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/m</w:t>
                  </w:r>
                </w:p>
              </w:tc>
              <w:tc>
                <w:tcPr>
                  <w:tcW w:w="915" w:type="dxa"/>
                  <w:vMerge w:val="restart"/>
                  <w:tcBorders>
                    <w:top w:val="single" w:color="auto" w:sz="4" w:space="0"/>
                    <w:left w:val="single" w:color="auto" w:sz="4" w:space="0"/>
                    <w:right w:val="single" w:color="auto" w:sz="4" w:space="0"/>
                  </w:tcBorders>
                  <w:shd w:val="clear" w:color="auto" w:fill="auto"/>
                  <w:vAlign w:val="center"/>
                </w:tcPr>
                <w:p w14:paraId="0E0CA7E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相对精炼车间距离/m</w:t>
                  </w:r>
                </w:p>
              </w:tc>
            </w:tr>
            <w:tr w14:paraId="2D79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A6BFC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1"/>
                      <w:szCs w:val="21"/>
                      <w:highlight w:val="none"/>
                    </w:rPr>
                  </w:pPr>
                </w:p>
              </w:tc>
              <w:tc>
                <w:tcPr>
                  <w:tcW w:w="11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682D84">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1"/>
                      <w:szCs w:val="21"/>
                      <w:highlight w:val="none"/>
                    </w:rPr>
                  </w:pP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0D47E7B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X</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7D38255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Y</w:t>
                  </w:r>
                </w:p>
              </w:tc>
              <w:tc>
                <w:tcPr>
                  <w:tcW w:w="7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68CDD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1"/>
                      <w:szCs w:val="21"/>
                      <w:highlight w:val="none"/>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E6B199">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1"/>
                      <w:szCs w:val="21"/>
                      <w:highlight w:val="none"/>
                    </w:rPr>
                  </w:pPr>
                </w:p>
              </w:tc>
              <w:tc>
                <w:tcPr>
                  <w:tcW w:w="7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1851CB">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1"/>
                      <w:szCs w:val="21"/>
                      <w:highlight w:val="none"/>
                    </w:rPr>
                  </w:pPr>
                </w:p>
              </w:tc>
              <w:tc>
                <w:tcPr>
                  <w:tcW w:w="7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90BEC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1"/>
                      <w:szCs w:val="21"/>
                      <w:highlight w:val="none"/>
                    </w:rPr>
                  </w:pPr>
                </w:p>
              </w:tc>
              <w:tc>
                <w:tcPr>
                  <w:tcW w:w="737" w:type="dxa"/>
                  <w:vMerge w:val="continue"/>
                  <w:tcBorders>
                    <w:left w:val="single" w:color="auto" w:sz="4" w:space="0"/>
                    <w:bottom w:val="single" w:color="auto" w:sz="4" w:space="0"/>
                    <w:right w:val="single" w:color="auto" w:sz="4" w:space="0"/>
                  </w:tcBorders>
                  <w:shd w:val="clear" w:color="auto" w:fill="auto"/>
                  <w:vAlign w:val="center"/>
                </w:tcPr>
                <w:p w14:paraId="24A136D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1"/>
                      <w:szCs w:val="21"/>
                      <w:highlight w:val="none"/>
                    </w:rPr>
                  </w:pPr>
                </w:p>
              </w:tc>
              <w:tc>
                <w:tcPr>
                  <w:tcW w:w="915" w:type="dxa"/>
                  <w:vMerge w:val="continue"/>
                  <w:tcBorders>
                    <w:left w:val="single" w:color="auto" w:sz="4" w:space="0"/>
                    <w:bottom w:val="single" w:color="auto" w:sz="4" w:space="0"/>
                    <w:right w:val="single" w:color="auto" w:sz="4" w:space="0"/>
                  </w:tcBorders>
                  <w:shd w:val="clear" w:color="auto" w:fill="auto"/>
                  <w:vAlign w:val="center"/>
                </w:tcPr>
                <w:p w14:paraId="4C70D67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color w:val="auto"/>
                      <w:sz w:val="21"/>
                      <w:szCs w:val="21"/>
                      <w:highlight w:val="none"/>
                    </w:rPr>
                  </w:pPr>
                </w:p>
              </w:tc>
            </w:tr>
            <w:tr w14:paraId="2153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shd w:val="clear" w:color="auto" w:fill="auto"/>
                  <w:vAlign w:val="center"/>
                </w:tcPr>
                <w:p w14:paraId="1D18777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1</w:t>
                  </w: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14:paraId="251B740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DC58D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sz w:val="21"/>
                      <w:szCs w:val="21"/>
                      <w:highlight w:val="none"/>
                    </w:rPr>
                    <w:t>-6</w:t>
                  </w:r>
                  <w:r>
                    <w:rPr>
                      <w:rFonts w:hint="eastAsia" w:cs="Times New Roman"/>
                      <w:color w:val="auto"/>
                      <w:sz w:val="21"/>
                      <w:szCs w:val="21"/>
                      <w:highlight w:val="none"/>
                      <w:lang w:val="en-US" w:eastAsia="zh-CN"/>
                    </w:rPr>
                    <w:t>8</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226075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sz w:val="21"/>
                      <w:szCs w:val="21"/>
                      <w:highlight w:val="none"/>
                    </w:rPr>
                    <w:t>193</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F3F789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14:paraId="41C28F8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1户4人</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58D29AA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E7F27B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西北</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071199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25</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065B1CF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108</w:t>
                  </w:r>
                </w:p>
              </w:tc>
            </w:tr>
            <w:tr w14:paraId="227B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shd w:val="clear" w:color="auto" w:fill="auto"/>
                  <w:vAlign w:val="center"/>
                </w:tcPr>
                <w:p w14:paraId="649E62F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w:t>
                  </w: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14:paraId="3E6DA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30448C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20</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4C6B82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sz w:val="21"/>
                      <w:szCs w:val="21"/>
                      <w:highlight w:val="none"/>
                    </w:rPr>
                    <w:t>23</w:t>
                  </w:r>
                  <w:r>
                    <w:rPr>
                      <w:rFonts w:hint="eastAsia" w:cs="Times New Roman"/>
                      <w:color w:val="auto"/>
                      <w:sz w:val="21"/>
                      <w:szCs w:val="21"/>
                      <w:highlight w:val="none"/>
                      <w:lang w:val="en-US" w:eastAsia="zh-CN"/>
                    </w:rPr>
                    <w:t>1</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5E884CD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14:paraId="23CFC87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2户7人</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3AEEB97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01AE966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西北</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80B9BA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6</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79ECFB4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206</w:t>
                  </w:r>
                </w:p>
              </w:tc>
            </w:tr>
            <w:tr w14:paraId="270B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shd w:val="clear" w:color="auto" w:fill="auto"/>
                  <w:vAlign w:val="center"/>
                </w:tcPr>
                <w:p w14:paraId="71DEB3E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3</w:t>
                  </w: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14:paraId="2E010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55730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sz w:val="21"/>
                      <w:szCs w:val="21"/>
                      <w:highlight w:val="none"/>
                    </w:rPr>
                    <w:t>-17</w:t>
                  </w:r>
                  <w:r>
                    <w:rPr>
                      <w:rFonts w:hint="eastAsia" w:cs="Times New Roman"/>
                      <w:color w:val="auto"/>
                      <w:sz w:val="21"/>
                      <w:szCs w:val="21"/>
                      <w:highlight w:val="none"/>
                      <w:lang w:val="en-US" w:eastAsia="zh-CN"/>
                    </w:rPr>
                    <w:t>6</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388239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sz w:val="21"/>
                      <w:szCs w:val="21"/>
                      <w:highlight w:val="none"/>
                    </w:rPr>
                    <w:t>-18</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38CF436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14:paraId="02C6548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2户7人</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0DA98B8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7D552EF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西</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3CE93C3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34</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7EA76B2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71</w:t>
                  </w:r>
                </w:p>
              </w:tc>
            </w:tr>
            <w:tr w14:paraId="7FBD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551" w:type="dxa"/>
                  <w:tcBorders>
                    <w:top w:val="single" w:color="auto" w:sz="4" w:space="0"/>
                    <w:left w:val="single" w:color="auto" w:sz="4" w:space="0"/>
                    <w:bottom w:val="single" w:color="auto" w:sz="4" w:space="0"/>
                    <w:right w:val="single" w:color="auto" w:sz="4" w:space="0"/>
                  </w:tcBorders>
                  <w:shd w:val="clear" w:color="auto" w:fill="auto"/>
                  <w:vAlign w:val="center"/>
                </w:tcPr>
                <w:p w14:paraId="4C2406E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4</w:t>
                  </w:r>
                </w:p>
              </w:tc>
              <w:tc>
                <w:tcPr>
                  <w:tcW w:w="1116" w:type="dxa"/>
                  <w:tcBorders>
                    <w:top w:val="single" w:color="auto" w:sz="4" w:space="0"/>
                    <w:left w:val="single" w:color="auto" w:sz="4" w:space="0"/>
                    <w:bottom w:val="single" w:color="auto" w:sz="4" w:space="0"/>
                    <w:right w:val="single" w:color="auto" w:sz="4" w:space="0"/>
                  </w:tcBorders>
                  <w:shd w:val="clear" w:color="auto" w:fill="auto"/>
                  <w:vAlign w:val="center"/>
                </w:tcPr>
                <w:p w14:paraId="376802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散居住户</w:t>
                  </w:r>
                </w:p>
              </w:tc>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7B3A8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sz w:val="21"/>
                      <w:szCs w:val="21"/>
                      <w:highlight w:val="none"/>
                    </w:rPr>
                    <w:t>-196</w:t>
                  </w:r>
                </w:p>
              </w:tc>
              <w:tc>
                <w:tcPr>
                  <w:tcW w:w="682" w:type="dxa"/>
                  <w:tcBorders>
                    <w:top w:val="single" w:color="auto" w:sz="4" w:space="0"/>
                    <w:left w:val="single" w:color="auto" w:sz="4" w:space="0"/>
                    <w:bottom w:val="single" w:color="auto" w:sz="4" w:space="0"/>
                    <w:right w:val="single" w:color="auto" w:sz="4" w:space="0"/>
                  </w:tcBorders>
                  <w:shd w:val="clear" w:color="auto" w:fill="auto"/>
                  <w:vAlign w:val="center"/>
                </w:tcPr>
                <w:p w14:paraId="4DF528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sz w:val="21"/>
                      <w:szCs w:val="21"/>
                      <w:highlight w:val="none"/>
                    </w:rPr>
                    <w:t>-27</w:t>
                  </w:r>
                  <w:r>
                    <w:rPr>
                      <w:rFonts w:hint="eastAsia" w:cs="Times New Roman"/>
                      <w:color w:val="auto"/>
                      <w:sz w:val="21"/>
                      <w:szCs w:val="21"/>
                      <w:highlight w:val="none"/>
                      <w:lang w:val="en-US" w:eastAsia="zh-CN"/>
                    </w:rPr>
                    <w:t>6</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5339A3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住户</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14:paraId="1139466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3户10人</w:t>
                  </w: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2EA88D8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二类</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1C319F7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西南</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14:paraId="2D1B060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19</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14:paraId="6DD614E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241</w:t>
                  </w:r>
                </w:p>
              </w:tc>
            </w:tr>
            <w:tr w14:paraId="5E8C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96"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0C93818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备注：以厂址中心为原点（0，0）。</w:t>
                  </w:r>
                </w:p>
              </w:tc>
            </w:tr>
          </w:tbl>
          <w:p w14:paraId="2D3EF43B">
            <w:pPr>
              <w:pStyle w:val="49"/>
              <w:numPr>
                <w:ilvl w:val="2"/>
                <w:numId w:val="0"/>
              </w:numPr>
              <w:tabs>
                <w:tab w:val="clear" w:pos="425"/>
              </w:tabs>
              <w:ind w:firstLine="482"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vertAlign w:val="baseline"/>
                <w:lang w:val="en-US" w:eastAsia="zh-CN"/>
              </w:rPr>
              <w:t>3.2.3</w:t>
            </w:r>
            <w:r>
              <w:rPr>
                <w:rFonts w:hint="default" w:ascii="Times New Roman" w:hAnsi="Times New Roman" w:cs="Times New Roman"/>
                <w:color w:val="auto"/>
                <w:sz w:val="24"/>
                <w:szCs w:val="22"/>
                <w:highlight w:val="none"/>
              </w:rPr>
              <w:t>地下水环境</w:t>
            </w:r>
          </w:p>
          <w:p w14:paraId="1689E3EA">
            <w:pPr>
              <w:pStyle w:val="43"/>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厂界外500米范围内的地下水集中式饮用水水源和热水、矿泉水、温泉等特殊地下水资源。根据调查，企业周边500m范围内不存在以上环境保护目标。</w:t>
            </w:r>
          </w:p>
          <w:p w14:paraId="73DA1039">
            <w:pPr>
              <w:pStyle w:val="49"/>
              <w:numPr>
                <w:ilvl w:val="2"/>
                <w:numId w:val="0"/>
              </w:numPr>
              <w:tabs>
                <w:tab w:val="clear" w:pos="425"/>
              </w:tabs>
              <w:ind w:firstLine="482" w:firstLineChars="200"/>
              <w:rPr>
                <w:rFonts w:hint="default" w:ascii="Times New Roman" w:hAnsi="Times New Roman" w:cs="Times New Roman"/>
                <w:color w:val="auto"/>
                <w:sz w:val="24"/>
                <w:szCs w:val="22"/>
                <w:highlight w:val="none"/>
                <w:vertAlign w:val="baseline"/>
                <w:lang w:val="en-US" w:eastAsia="zh-CN"/>
              </w:rPr>
            </w:pPr>
            <w:r>
              <w:rPr>
                <w:rFonts w:hint="default" w:ascii="Times New Roman" w:hAnsi="Times New Roman" w:cs="Times New Roman"/>
                <w:color w:val="auto"/>
                <w:sz w:val="24"/>
                <w:szCs w:val="22"/>
                <w:highlight w:val="none"/>
                <w:vertAlign w:val="baseline"/>
                <w:lang w:val="en-US" w:eastAsia="zh-CN"/>
              </w:rPr>
              <w:t>3.2.4地表水环境保护目标</w:t>
            </w:r>
          </w:p>
          <w:p w14:paraId="3F5F53BE">
            <w:pPr>
              <w:pStyle w:val="43"/>
              <w:rPr>
                <w:rFonts w:hint="default" w:ascii="Times New Roman" w:hAnsi="Times New Roman" w:eastAsia="宋体" w:cs="Times New Roman"/>
                <w:color w:val="auto"/>
                <w:sz w:val="24"/>
                <w:szCs w:val="22"/>
                <w:highlight w:val="none"/>
                <w:lang w:val="en-US" w:eastAsia="zh-CN"/>
              </w:rPr>
            </w:pPr>
            <w:r>
              <w:rPr>
                <w:rFonts w:hint="eastAsia"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rPr>
              <w:t>位于</w:t>
            </w:r>
            <w:r>
              <w:rPr>
                <w:rFonts w:hint="default" w:ascii="Times New Roman" w:hAnsi="Times New Roman" w:eastAsia="宋体" w:cs="Times New Roman"/>
                <w:color w:val="auto"/>
                <w:sz w:val="24"/>
                <w:szCs w:val="22"/>
                <w:highlight w:val="none"/>
                <w:lang w:val="en-US" w:eastAsia="zh-CN"/>
              </w:rPr>
              <w:t>西部（重庆）科学城九龙新城园区铜罐驿组团</w:t>
            </w:r>
            <w:r>
              <w:rPr>
                <w:rFonts w:hint="default" w:ascii="Times New Roman" w:hAnsi="Times New Roman" w:eastAsia="宋体" w:cs="Times New Roman"/>
                <w:color w:val="auto"/>
                <w:sz w:val="24"/>
                <w:szCs w:val="22"/>
                <w:highlight w:val="none"/>
              </w:rPr>
              <w:t>，根据现场调查，项目</w:t>
            </w:r>
            <w:r>
              <w:rPr>
                <w:rFonts w:hint="default" w:ascii="Times New Roman" w:hAnsi="Times New Roman" w:eastAsia="宋体" w:cs="Times New Roman"/>
                <w:color w:val="auto"/>
                <w:sz w:val="24"/>
                <w:szCs w:val="22"/>
                <w:highlight w:val="none"/>
                <w:lang w:val="en-US" w:eastAsia="zh-CN"/>
              </w:rPr>
              <w:t>东侧邻近长江和长江上游珍稀特有鱼类国家级自然保护区</w:t>
            </w:r>
            <w:r>
              <w:rPr>
                <w:rFonts w:hint="eastAsia" w:eastAsia="宋体" w:cs="Times New Roman"/>
                <w:color w:val="auto"/>
                <w:sz w:val="24"/>
                <w:szCs w:val="22"/>
                <w:highlight w:val="none"/>
                <w:lang w:val="en-US" w:eastAsia="zh-CN"/>
              </w:rPr>
              <w:t>，项目（精炼车间）与长江最近距离约265m，与</w:t>
            </w:r>
            <w:r>
              <w:rPr>
                <w:rFonts w:hint="default" w:ascii="Times New Roman" w:hAnsi="Times New Roman" w:eastAsia="宋体" w:cs="Times New Roman"/>
                <w:color w:val="auto"/>
                <w:sz w:val="24"/>
                <w:szCs w:val="22"/>
                <w:highlight w:val="none"/>
                <w:lang w:val="en-US" w:eastAsia="zh-CN"/>
              </w:rPr>
              <w:t>长江上游珍稀特有鱼类国家级自然保护区</w:t>
            </w:r>
            <w:r>
              <w:rPr>
                <w:rFonts w:hint="eastAsia" w:eastAsia="宋体" w:cs="Times New Roman"/>
                <w:color w:val="auto"/>
                <w:sz w:val="24"/>
                <w:szCs w:val="22"/>
                <w:highlight w:val="none"/>
                <w:lang w:val="en-US" w:eastAsia="zh-CN"/>
              </w:rPr>
              <w:t>最近距离约180m</w:t>
            </w:r>
            <w:r>
              <w:rPr>
                <w:rFonts w:hint="default" w:ascii="Times New Roman" w:hAnsi="Times New Roman" w:eastAsia="宋体" w:cs="Times New Roman"/>
                <w:color w:val="auto"/>
                <w:sz w:val="24"/>
                <w:szCs w:val="22"/>
                <w:highlight w:val="none"/>
                <w:lang w:val="en-US" w:eastAsia="zh-CN"/>
              </w:rPr>
              <w:t>。</w:t>
            </w:r>
          </w:p>
        </w:tc>
      </w:tr>
      <w:tr w14:paraId="0D1F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9" w:type="dxa"/>
            <w:vAlign w:val="center"/>
          </w:tcPr>
          <w:p w14:paraId="387DB224">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rPr>
              <w:t>污染物排放标准</w:t>
            </w:r>
          </w:p>
        </w:tc>
        <w:tc>
          <w:tcPr>
            <w:tcW w:w="8222" w:type="dxa"/>
            <w:vAlign w:val="top"/>
          </w:tcPr>
          <w:p w14:paraId="4FB539EB">
            <w:pPr>
              <w:pStyle w:val="49"/>
              <w:numPr>
                <w:ilvl w:val="2"/>
                <w:numId w:val="0"/>
              </w:numPr>
              <w:tabs>
                <w:tab w:val="clear" w:pos="425"/>
              </w:tabs>
              <w:ind w:lef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3.3污染物排放控制标准</w:t>
            </w:r>
          </w:p>
          <w:p w14:paraId="14166A0F">
            <w:pPr>
              <w:pStyle w:val="43"/>
              <w:rPr>
                <w:rFonts w:hint="default" w:ascii="Times New Roman" w:hAnsi="Times New Roman" w:cs="Times New Roman"/>
                <w:color w:val="auto"/>
                <w:highlight w:val="none"/>
              </w:rPr>
            </w:pPr>
            <w:r>
              <w:rPr>
                <w:rFonts w:hint="default" w:ascii="Times New Roman" w:hAnsi="Times New Roman" w:cs="Times New Roman"/>
                <w:color w:val="auto"/>
                <w:sz w:val="24"/>
                <w:szCs w:val="22"/>
                <w:highlight w:val="none"/>
              </w:rPr>
              <w:t>项目运营期</w:t>
            </w:r>
            <w:r>
              <w:rPr>
                <w:rFonts w:hint="default" w:ascii="Times New Roman" w:hAnsi="Times New Roman" w:cs="Times New Roman"/>
                <w:color w:val="auto"/>
                <w:sz w:val="24"/>
                <w:szCs w:val="22"/>
                <w:highlight w:val="none"/>
                <w:lang w:val="en-US" w:eastAsia="zh-CN"/>
              </w:rPr>
              <w:t>脱臭</w:t>
            </w:r>
            <w:r>
              <w:rPr>
                <w:rFonts w:hint="eastAsia" w:cs="Times New Roman"/>
                <w:color w:val="auto"/>
                <w:sz w:val="24"/>
                <w:szCs w:val="22"/>
                <w:highlight w:val="none"/>
                <w:lang w:val="en-US" w:eastAsia="zh-CN"/>
              </w:rPr>
              <w:t>、脱色</w:t>
            </w:r>
            <w:r>
              <w:rPr>
                <w:rFonts w:hint="default" w:ascii="Times New Roman" w:hAnsi="Times New Roman" w:cs="Times New Roman"/>
                <w:color w:val="auto"/>
                <w:sz w:val="24"/>
                <w:szCs w:val="22"/>
                <w:highlight w:val="none"/>
                <w:lang w:val="en-US" w:eastAsia="zh-CN"/>
              </w:rPr>
              <w:t>工段产生的挥发性废气（以非甲烷总烃表征）排放</w:t>
            </w:r>
            <w:r>
              <w:rPr>
                <w:rFonts w:hint="default" w:ascii="Times New Roman" w:hAnsi="Times New Roman" w:cs="Times New Roman"/>
                <w:color w:val="auto"/>
                <w:sz w:val="24"/>
                <w:szCs w:val="22"/>
                <w:highlight w:val="none"/>
              </w:rPr>
              <w:t>执行</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大气污染物综合排放标准</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（DB50/418-2016</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排放浓度监控标准，</w:t>
            </w:r>
            <w:r>
              <w:rPr>
                <w:rFonts w:hint="eastAsia" w:cs="Times New Roman"/>
                <w:color w:val="auto"/>
                <w:sz w:val="24"/>
                <w:szCs w:val="22"/>
                <w:highlight w:val="none"/>
                <w:lang w:val="en-US" w:eastAsia="zh-CN"/>
              </w:rPr>
              <w:t>厂界颗粒物执行</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大气污染物综合排放标准</w:t>
            </w:r>
            <w:r>
              <w:rPr>
                <w:rFonts w:hint="default" w:ascii="Times New Roman" w:hAnsi="Times New Roman" w:cs="Times New Roman"/>
                <w:color w:val="auto"/>
                <w:sz w:val="24"/>
                <w:szCs w:val="22"/>
                <w:highlight w:val="none"/>
                <w:lang w:eastAsia="zh-CN"/>
              </w:rPr>
              <w:t>》</w:t>
            </w:r>
            <w:r>
              <w:rPr>
                <w:rFonts w:hint="default" w:ascii="Times New Roman" w:hAnsi="Times New Roman" w:cs="Times New Roman"/>
                <w:color w:val="auto"/>
                <w:sz w:val="24"/>
                <w:szCs w:val="22"/>
                <w:highlight w:val="none"/>
              </w:rPr>
              <w:t>（DB50/418-2016</w:t>
            </w:r>
            <w:r>
              <w:rPr>
                <w:rFonts w:hint="default" w:ascii="Times New Roman" w:hAnsi="Times New Roman" w:cs="Times New Roman"/>
                <w:color w:val="auto"/>
                <w:sz w:val="24"/>
                <w:szCs w:val="22"/>
                <w:highlight w:val="none"/>
                <w:lang w:eastAsia="zh-CN"/>
              </w:rPr>
              <w:t>）</w:t>
            </w:r>
            <w:r>
              <w:rPr>
                <w:rFonts w:hint="eastAsia" w:cs="Times New Roman"/>
                <w:color w:val="auto"/>
                <w:sz w:val="24"/>
                <w:szCs w:val="22"/>
                <w:highlight w:val="none"/>
                <w:lang w:val="en-US" w:eastAsia="zh-CN"/>
              </w:rPr>
              <w:t>无组织排放监控浓度限值标准。</w:t>
            </w:r>
            <w:r>
              <w:rPr>
                <w:rFonts w:hint="default" w:ascii="Times New Roman" w:hAnsi="Times New Roman" w:cs="Times New Roman"/>
                <w:color w:val="auto"/>
                <w:sz w:val="24"/>
                <w:szCs w:val="22"/>
                <w:highlight w:val="none"/>
              </w:rPr>
              <w:t>具体标准值见表3</w:t>
            </w:r>
            <w:r>
              <w:rPr>
                <w:rFonts w:hint="default" w:ascii="Times New Roman" w:hAnsi="Times New Roman" w:cs="Times New Roman"/>
                <w:color w:val="auto"/>
                <w:sz w:val="24"/>
                <w:szCs w:val="22"/>
                <w:highlight w:val="none"/>
                <w:lang w:val="en-US" w:eastAsia="zh-CN"/>
              </w:rPr>
              <w:t>.3-1</w:t>
            </w:r>
            <w:r>
              <w:rPr>
                <w:rFonts w:hint="default" w:ascii="Times New Roman" w:hAnsi="Times New Roman" w:cs="Times New Roman"/>
                <w:color w:val="auto"/>
                <w:sz w:val="24"/>
                <w:szCs w:val="22"/>
                <w:highlight w:val="none"/>
              </w:rPr>
              <w:t>。</w:t>
            </w:r>
          </w:p>
          <w:p w14:paraId="2D49F281">
            <w:pPr>
              <w:pStyle w:val="47"/>
              <w:spacing w:before="120"/>
              <w:rPr>
                <w:rFonts w:hint="default" w:ascii="Times New Roman" w:hAnsi="Times New Roman" w:cs="Times New Roman"/>
                <w:color w:val="auto"/>
                <w:highlight w:val="none"/>
              </w:rPr>
            </w:pPr>
            <w:r>
              <w:rPr>
                <w:rFonts w:hint="default" w:ascii="Times New Roman" w:hAnsi="Times New Roman" w:cs="Times New Roman"/>
                <w:color w:val="auto"/>
                <w:highlight w:val="none"/>
              </w:rPr>
              <w:t>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-1大气污染物综合排放标准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96"/>
              <w:gridCol w:w="1380"/>
              <w:gridCol w:w="1380"/>
              <w:gridCol w:w="1323"/>
              <w:gridCol w:w="1295"/>
              <w:gridCol w:w="1619"/>
            </w:tblGrid>
            <w:tr w14:paraId="0C0D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1" w:hRule="atLeast"/>
                <w:jc w:val="center"/>
              </w:trPr>
              <w:tc>
                <w:tcPr>
                  <w:tcW w:w="623" w:type="pct"/>
                  <w:vMerge w:val="restart"/>
                  <w:shd w:val="clear" w:color="auto" w:fill="auto"/>
                  <w:vAlign w:val="center"/>
                </w:tcPr>
                <w:p w14:paraId="7A1ADDCD">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污染物</w:t>
                  </w:r>
                </w:p>
              </w:tc>
              <w:tc>
                <w:tcPr>
                  <w:tcW w:w="863" w:type="pct"/>
                  <w:vMerge w:val="restart"/>
                  <w:shd w:val="clear" w:color="auto" w:fill="auto"/>
                  <w:vAlign w:val="center"/>
                </w:tcPr>
                <w:p w14:paraId="3BFB3EB3">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适用区域</w:t>
                  </w:r>
                </w:p>
              </w:tc>
              <w:tc>
                <w:tcPr>
                  <w:tcW w:w="863" w:type="pct"/>
                  <w:vMerge w:val="restart"/>
                  <w:shd w:val="clear" w:color="auto" w:fill="auto"/>
                  <w:vAlign w:val="center"/>
                </w:tcPr>
                <w:p w14:paraId="718BA7F8">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最高允许浓度</w:t>
                  </w:r>
                  <w:r>
                    <w:rPr>
                      <w:rFonts w:hint="default" w:ascii="Times New Roman" w:hAnsi="Times New Roman" w:cs="Times New Roman"/>
                      <w:color w:val="auto"/>
                      <w:kern w:val="2"/>
                      <w:sz w:val="21"/>
                      <w:szCs w:val="21"/>
                      <w:highlight w:val="none"/>
                      <w:lang w:val="en-US" w:eastAsia="zh-CN" w:bidi="ar"/>
                    </w:rPr>
                    <w:t>(mg/m</w:t>
                  </w:r>
                  <w:r>
                    <w:rPr>
                      <w:rFonts w:hint="default" w:ascii="Times New Roman" w:hAnsi="Times New Roman" w:cs="Times New Roman"/>
                      <w:color w:val="auto"/>
                      <w:kern w:val="2"/>
                      <w:sz w:val="21"/>
                      <w:szCs w:val="21"/>
                      <w:highlight w:val="none"/>
                      <w:vertAlign w:val="superscript"/>
                      <w:lang w:val="en-US" w:eastAsia="zh-CN" w:bidi="ar"/>
                    </w:rPr>
                    <w:t>3</w:t>
                  </w:r>
                  <w:r>
                    <w:rPr>
                      <w:rFonts w:hint="default" w:ascii="Times New Roman" w:hAnsi="Times New Roman" w:cs="Times New Roman"/>
                      <w:color w:val="auto"/>
                      <w:kern w:val="2"/>
                      <w:sz w:val="21"/>
                      <w:szCs w:val="21"/>
                      <w:highlight w:val="none"/>
                      <w:lang w:val="en-US" w:eastAsia="zh-CN" w:bidi="ar"/>
                    </w:rPr>
                    <w:t>)</w:t>
                  </w:r>
                </w:p>
              </w:tc>
              <w:tc>
                <w:tcPr>
                  <w:tcW w:w="1637" w:type="pct"/>
                  <w:gridSpan w:val="2"/>
                  <w:shd w:val="clear" w:color="auto" w:fill="auto"/>
                  <w:vAlign w:val="center"/>
                </w:tcPr>
                <w:p w14:paraId="4C189F26">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最高允许排放速率</w:t>
                  </w:r>
                  <w:r>
                    <w:rPr>
                      <w:rFonts w:hint="default" w:ascii="Times New Roman" w:hAnsi="Times New Roman" w:cs="Times New Roman"/>
                      <w:color w:val="auto"/>
                      <w:kern w:val="2"/>
                      <w:sz w:val="21"/>
                      <w:szCs w:val="21"/>
                      <w:highlight w:val="none"/>
                      <w:lang w:val="en-US" w:eastAsia="zh-CN" w:bidi="ar"/>
                    </w:rPr>
                    <w:t>(kg/h)</w:t>
                  </w:r>
                </w:p>
              </w:tc>
              <w:tc>
                <w:tcPr>
                  <w:tcW w:w="1012" w:type="pct"/>
                  <w:vMerge w:val="restart"/>
                  <w:shd w:val="clear" w:color="auto" w:fill="auto"/>
                  <w:vAlign w:val="center"/>
                </w:tcPr>
                <w:p w14:paraId="4126E025">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无组织排放监控浓度限值</w:t>
                  </w:r>
                  <w:r>
                    <w:rPr>
                      <w:rFonts w:hint="default" w:ascii="Times New Roman" w:hAnsi="Times New Roman" w:cs="Times New Roman"/>
                      <w:color w:val="auto"/>
                      <w:kern w:val="2"/>
                      <w:sz w:val="21"/>
                      <w:szCs w:val="21"/>
                      <w:highlight w:val="none"/>
                      <w:lang w:val="en-US" w:eastAsia="zh-CN" w:bidi="ar"/>
                    </w:rPr>
                    <w:t>(mg/m</w:t>
                  </w:r>
                  <w:r>
                    <w:rPr>
                      <w:rFonts w:hint="default" w:ascii="Times New Roman" w:hAnsi="Times New Roman" w:cs="Times New Roman"/>
                      <w:color w:val="auto"/>
                      <w:kern w:val="2"/>
                      <w:sz w:val="21"/>
                      <w:szCs w:val="21"/>
                      <w:highlight w:val="none"/>
                      <w:vertAlign w:val="superscript"/>
                      <w:lang w:val="en-US" w:eastAsia="zh-CN" w:bidi="ar"/>
                    </w:rPr>
                    <w:t>3</w:t>
                  </w:r>
                  <w:r>
                    <w:rPr>
                      <w:rFonts w:hint="default" w:ascii="Times New Roman" w:hAnsi="Times New Roman" w:cs="Times New Roman"/>
                      <w:color w:val="auto"/>
                      <w:kern w:val="2"/>
                      <w:sz w:val="21"/>
                      <w:szCs w:val="21"/>
                      <w:highlight w:val="none"/>
                      <w:lang w:val="en-US" w:eastAsia="zh-CN" w:bidi="ar"/>
                    </w:rPr>
                    <w:t>)</w:t>
                  </w:r>
                </w:p>
              </w:tc>
            </w:tr>
            <w:tr w14:paraId="0A7B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23" w:type="pct"/>
                  <w:vMerge w:val="continue"/>
                  <w:shd w:val="clear" w:color="auto" w:fill="auto"/>
                  <w:vAlign w:val="center"/>
                </w:tcPr>
                <w:p w14:paraId="6DFF583C">
                  <w:pPr>
                    <w:rPr>
                      <w:rFonts w:hint="default" w:ascii="Times New Roman" w:hAnsi="Times New Roman" w:cs="Times New Roman"/>
                      <w:color w:val="auto"/>
                      <w:sz w:val="20"/>
                      <w:szCs w:val="20"/>
                      <w:highlight w:val="none"/>
                    </w:rPr>
                  </w:pPr>
                </w:p>
              </w:tc>
              <w:tc>
                <w:tcPr>
                  <w:tcW w:w="863" w:type="pct"/>
                  <w:vMerge w:val="continue"/>
                  <w:shd w:val="clear" w:color="auto" w:fill="auto"/>
                  <w:vAlign w:val="center"/>
                </w:tcPr>
                <w:p w14:paraId="5D283A9D">
                  <w:pPr>
                    <w:rPr>
                      <w:rFonts w:hint="default" w:ascii="Times New Roman" w:hAnsi="Times New Roman" w:cs="Times New Roman"/>
                      <w:color w:val="auto"/>
                      <w:sz w:val="20"/>
                      <w:szCs w:val="20"/>
                      <w:highlight w:val="none"/>
                    </w:rPr>
                  </w:pPr>
                </w:p>
              </w:tc>
              <w:tc>
                <w:tcPr>
                  <w:tcW w:w="863" w:type="pct"/>
                  <w:vMerge w:val="continue"/>
                  <w:shd w:val="clear" w:color="auto" w:fill="auto"/>
                  <w:vAlign w:val="center"/>
                </w:tcPr>
                <w:p w14:paraId="38558C2F">
                  <w:pPr>
                    <w:rPr>
                      <w:rFonts w:hint="default" w:ascii="Times New Roman" w:hAnsi="Times New Roman" w:cs="Times New Roman"/>
                      <w:color w:val="auto"/>
                      <w:sz w:val="20"/>
                      <w:szCs w:val="20"/>
                      <w:highlight w:val="none"/>
                    </w:rPr>
                  </w:pPr>
                </w:p>
              </w:tc>
              <w:tc>
                <w:tcPr>
                  <w:tcW w:w="827" w:type="pct"/>
                  <w:shd w:val="clear" w:color="auto" w:fill="auto"/>
                  <w:vAlign w:val="center"/>
                </w:tcPr>
                <w:p w14:paraId="741C49F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排气筒（</w:t>
                  </w:r>
                  <w:r>
                    <w:rPr>
                      <w:rFonts w:hint="default" w:ascii="Times New Roman" w:hAnsi="Times New Roman" w:cs="Times New Roman"/>
                      <w:color w:val="auto"/>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lang w:val="en-US" w:eastAsia="zh-CN" w:bidi="ar"/>
                    </w:rPr>
                    <w:t>）</w:t>
                  </w:r>
                </w:p>
              </w:tc>
              <w:tc>
                <w:tcPr>
                  <w:tcW w:w="810" w:type="pct"/>
                  <w:shd w:val="clear" w:color="auto" w:fill="auto"/>
                  <w:vAlign w:val="center"/>
                </w:tcPr>
                <w:p w14:paraId="2F6263CC">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速率</w:t>
                  </w:r>
                  <w:r>
                    <w:rPr>
                      <w:rFonts w:hint="default" w:ascii="Times New Roman" w:hAnsi="Times New Roman" w:cs="Times New Roman"/>
                      <w:color w:val="auto"/>
                      <w:kern w:val="2"/>
                      <w:sz w:val="21"/>
                      <w:szCs w:val="21"/>
                      <w:highlight w:val="none"/>
                      <w:lang w:val="en-US" w:eastAsia="zh-CN" w:bidi="ar"/>
                    </w:rPr>
                    <w:t>(kg/h)</w:t>
                  </w:r>
                </w:p>
              </w:tc>
              <w:tc>
                <w:tcPr>
                  <w:tcW w:w="1012" w:type="pct"/>
                  <w:vMerge w:val="continue"/>
                  <w:shd w:val="clear" w:color="auto" w:fill="auto"/>
                  <w:vAlign w:val="center"/>
                </w:tcPr>
                <w:p w14:paraId="48BECAFD">
                  <w:pPr>
                    <w:rPr>
                      <w:rFonts w:hint="default" w:ascii="Times New Roman" w:hAnsi="Times New Roman" w:cs="Times New Roman"/>
                      <w:color w:val="auto"/>
                      <w:sz w:val="20"/>
                      <w:szCs w:val="20"/>
                      <w:highlight w:val="none"/>
                    </w:rPr>
                  </w:pPr>
                </w:p>
              </w:tc>
            </w:tr>
            <w:tr w14:paraId="28DA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23" w:type="pct"/>
                  <w:shd w:val="clear" w:color="auto" w:fill="auto"/>
                  <w:vAlign w:val="center"/>
                </w:tcPr>
                <w:p w14:paraId="432B80B0">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非甲烷总烃</w:t>
                  </w:r>
                </w:p>
              </w:tc>
              <w:tc>
                <w:tcPr>
                  <w:tcW w:w="863" w:type="pct"/>
                  <w:shd w:val="clear" w:color="auto" w:fill="auto"/>
                  <w:vAlign w:val="center"/>
                </w:tcPr>
                <w:p w14:paraId="05C91414">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主城区</w:t>
                  </w:r>
                </w:p>
              </w:tc>
              <w:tc>
                <w:tcPr>
                  <w:tcW w:w="863" w:type="pct"/>
                  <w:shd w:val="clear" w:color="auto" w:fill="auto"/>
                  <w:vAlign w:val="center"/>
                </w:tcPr>
                <w:p w14:paraId="23EA45E7">
                  <w:pPr>
                    <w:pStyle w:val="16"/>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120</w:t>
                  </w:r>
                </w:p>
              </w:tc>
              <w:tc>
                <w:tcPr>
                  <w:tcW w:w="827" w:type="pct"/>
                  <w:shd w:val="clear" w:color="auto" w:fill="auto"/>
                  <w:vAlign w:val="center"/>
                </w:tcPr>
                <w:p w14:paraId="728EC826">
                  <w:pPr>
                    <w:pStyle w:val="16"/>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25</w:t>
                  </w:r>
                </w:p>
              </w:tc>
              <w:tc>
                <w:tcPr>
                  <w:tcW w:w="810" w:type="pct"/>
                  <w:shd w:val="clear" w:color="auto" w:fill="auto"/>
                  <w:vAlign w:val="center"/>
                </w:tcPr>
                <w:p w14:paraId="6D736DF5">
                  <w:pPr>
                    <w:pStyle w:val="16"/>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35</w:t>
                  </w:r>
                </w:p>
              </w:tc>
              <w:tc>
                <w:tcPr>
                  <w:tcW w:w="1012" w:type="pct"/>
                  <w:shd w:val="clear" w:color="auto" w:fill="auto"/>
                  <w:vAlign w:val="center"/>
                </w:tcPr>
                <w:p w14:paraId="784D7D5A">
                  <w:pPr>
                    <w:pStyle w:val="16"/>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4.0</w:t>
                  </w:r>
                </w:p>
              </w:tc>
            </w:tr>
            <w:tr w14:paraId="3078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3" w:type="pct"/>
                  <w:shd w:val="clear" w:color="auto" w:fill="auto"/>
                  <w:vAlign w:val="center"/>
                </w:tcPr>
                <w:p w14:paraId="1C53B14E">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颗粒物</w:t>
                  </w:r>
                </w:p>
              </w:tc>
              <w:tc>
                <w:tcPr>
                  <w:tcW w:w="863" w:type="pct"/>
                  <w:shd w:val="clear" w:color="auto" w:fill="auto"/>
                  <w:vAlign w:val="center"/>
                </w:tcPr>
                <w:p w14:paraId="01060026">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主城区</w:t>
                  </w:r>
                </w:p>
              </w:tc>
              <w:tc>
                <w:tcPr>
                  <w:tcW w:w="863" w:type="pct"/>
                  <w:shd w:val="clear" w:color="auto" w:fill="auto"/>
                  <w:vAlign w:val="center"/>
                </w:tcPr>
                <w:p w14:paraId="6C629CF5">
                  <w:pPr>
                    <w:pStyle w:val="16"/>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w:t>
                  </w:r>
                </w:p>
              </w:tc>
              <w:tc>
                <w:tcPr>
                  <w:tcW w:w="827" w:type="pct"/>
                  <w:shd w:val="clear" w:color="auto" w:fill="auto"/>
                  <w:vAlign w:val="center"/>
                </w:tcPr>
                <w:p w14:paraId="4FBDAB81">
                  <w:pPr>
                    <w:pStyle w:val="16"/>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w:t>
                  </w:r>
                </w:p>
              </w:tc>
              <w:tc>
                <w:tcPr>
                  <w:tcW w:w="810" w:type="pct"/>
                  <w:shd w:val="clear" w:color="auto" w:fill="auto"/>
                  <w:vAlign w:val="center"/>
                </w:tcPr>
                <w:p w14:paraId="486EFE3F">
                  <w:pPr>
                    <w:pStyle w:val="16"/>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w:t>
                  </w:r>
                </w:p>
              </w:tc>
              <w:tc>
                <w:tcPr>
                  <w:tcW w:w="1012" w:type="pct"/>
                  <w:shd w:val="clear" w:color="auto" w:fill="auto"/>
                  <w:vAlign w:val="center"/>
                </w:tcPr>
                <w:p w14:paraId="324F3099">
                  <w:pPr>
                    <w:pStyle w:val="16"/>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1.0</w:t>
                  </w:r>
                </w:p>
              </w:tc>
            </w:tr>
          </w:tbl>
          <w:p w14:paraId="2B4CDA2E">
            <w:pPr>
              <w:pStyle w:val="43"/>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项目使用天然气锅炉，锅炉废气排放执行《锅炉大气污染物排放标准》(DB50/658-2016）及第1号修改单，具体标准限值见表3</w:t>
            </w:r>
            <w:r>
              <w:rPr>
                <w:rFonts w:hint="default" w:ascii="Times New Roman" w:hAnsi="Times New Roman" w:cs="Times New Roman"/>
                <w:color w:val="auto"/>
                <w:sz w:val="24"/>
                <w:szCs w:val="22"/>
                <w:highlight w:val="none"/>
                <w:lang w:val="en-US" w:eastAsia="zh-CN"/>
              </w:rPr>
              <w:t>.3-2</w:t>
            </w:r>
            <w:r>
              <w:rPr>
                <w:rFonts w:hint="default" w:ascii="Times New Roman" w:hAnsi="Times New Roman" w:cs="Times New Roman"/>
                <w:color w:val="auto"/>
                <w:sz w:val="24"/>
                <w:szCs w:val="22"/>
                <w:highlight w:val="none"/>
              </w:rPr>
              <w:t>。</w:t>
            </w:r>
          </w:p>
          <w:p w14:paraId="36F7312A">
            <w:pPr>
              <w:pStyle w:val="43"/>
              <w:ind w:left="0" w:leftChars="0" w:firstLine="0" w:firstLineChars="0"/>
              <w:jc w:val="center"/>
              <w:rPr>
                <w:rFonts w:hint="default" w:ascii="Times New Roman" w:hAnsi="Times New Roman" w:cs="Times New Roman"/>
                <w:b/>
                <w:bCs w:val="0"/>
                <w:color w:val="auto"/>
                <w:sz w:val="22"/>
                <w:szCs w:val="21"/>
                <w:highlight w:val="none"/>
                <w:lang w:val="en-US" w:eastAsia="zh-CN"/>
              </w:rPr>
            </w:pPr>
            <w:r>
              <w:rPr>
                <w:rFonts w:hint="default" w:ascii="Times New Roman" w:hAnsi="Times New Roman" w:cs="Times New Roman"/>
                <w:b/>
                <w:bCs w:val="0"/>
                <w:color w:val="auto"/>
                <w:sz w:val="22"/>
                <w:szCs w:val="21"/>
                <w:highlight w:val="none"/>
                <w:lang w:val="en-US" w:eastAsia="zh-CN"/>
              </w:rPr>
              <w:t>表3.3-2锅炉大气污染物排放标准（DB50/658-2016）及第1号修改单</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7"/>
              <w:gridCol w:w="1997"/>
              <w:gridCol w:w="2000"/>
              <w:gridCol w:w="2002"/>
            </w:tblGrid>
            <w:tr w14:paraId="6F0E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Merge w:val="restart"/>
                  <w:vAlign w:val="center"/>
                </w:tcPr>
                <w:p w14:paraId="65630298">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污染物</w:t>
                  </w:r>
                </w:p>
              </w:tc>
              <w:tc>
                <w:tcPr>
                  <w:tcW w:w="1248" w:type="pct"/>
                  <w:vMerge w:val="restart"/>
                  <w:vAlign w:val="center"/>
                </w:tcPr>
                <w:p w14:paraId="01D3BE7B">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适用区域</w:t>
                  </w:r>
                </w:p>
              </w:tc>
              <w:tc>
                <w:tcPr>
                  <w:tcW w:w="1250" w:type="pct"/>
                  <w:vAlign w:val="center"/>
                </w:tcPr>
                <w:p w14:paraId="66BBBE9B">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污染物排放限值</w:t>
                  </w:r>
                </w:p>
              </w:tc>
              <w:tc>
                <w:tcPr>
                  <w:tcW w:w="1251" w:type="pct"/>
                  <w:vMerge w:val="restart"/>
                  <w:vAlign w:val="center"/>
                </w:tcPr>
                <w:p w14:paraId="5099911F">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监控位置</w:t>
                  </w:r>
                </w:p>
              </w:tc>
            </w:tr>
            <w:tr w14:paraId="4D7C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Merge w:val="continue"/>
                  <w:vAlign w:val="center"/>
                </w:tcPr>
                <w:p w14:paraId="64F56726">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248" w:type="pct"/>
                  <w:vMerge w:val="continue"/>
                  <w:vAlign w:val="center"/>
                </w:tcPr>
                <w:p w14:paraId="35D129DF">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250" w:type="pct"/>
                  <w:vAlign w:val="center"/>
                </w:tcPr>
                <w:p w14:paraId="1C252919">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燃气锅炉</w:t>
                  </w:r>
                  <w:r>
                    <w:rPr>
                      <w:rFonts w:hint="default" w:ascii="Times New Roman" w:hAnsi="Times New Roman" w:eastAsia="宋体" w:cs="Times New Roman"/>
                      <w:color w:val="auto"/>
                      <w:kern w:val="2"/>
                      <w:sz w:val="21"/>
                      <w:szCs w:val="21"/>
                      <w:highlight w:val="none"/>
                      <w:lang w:val="en-US" w:eastAsia="zh-CN" w:bidi="ar"/>
                    </w:rPr>
                    <w:t>（mg/m</w:t>
                  </w:r>
                  <w:r>
                    <w:rPr>
                      <w:rFonts w:hint="default" w:ascii="Times New Roman" w:hAnsi="Times New Roman" w:eastAsia="宋体" w:cs="Times New Roman"/>
                      <w:color w:val="auto"/>
                      <w:kern w:val="2"/>
                      <w:sz w:val="21"/>
                      <w:szCs w:val="21"/>
                      <w:highlight w:val="none"/>
                      <w:vertAlign w:val="super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w:t>
                  </w:r>
                </w:p>
              </w:tc>
              <w:tc>
                <w:tcPr>
                  <w:tcW w:w="1251" w:type="pct"/>
                  <w:vMerge w:val="continue"/>
                  <w:vAlign w:val="center"/>
                </w:tcPr>
                <w:p w14:paraId="20563635">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7CE1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Align w:val="center"/>
                </w:tcPr>
                <w:p w14:paraId="54F458BC">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w:t>
                  </w:r>
                </w:p>
              </w:tc>
              <w:tc>
                <w:tcPr>
                  <w:tcW w:w="1248" w:type="pct"/>
                  <w:vMerge w:val="restart"/>
                  <w:vAlign w:val="center"/>
                </w:tcPr>
                <w:p w14:paraId="7C8C2337">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主城区</w:t>
                  </w:r>
                </w:p>
              </w:tc>
              <w:tc>
                <w:tcPr>
                  <w:tcW w:w="1250" w:type="pct"/>
                  <w:vAlign w:val="center"/>
                </w:tcPr>
                <w:p w14:paraId="71305F60">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1251" w:type="pct"/>
                  <w:vMerge w:val="restart"/>
                  <w:vAlign w:val="center"/>
                </w:tcPr>
                <w:p w14:paraId="6E790F0F">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烟囱或烟道</w:t>
                  </w:r>
                </w:p>
              </w:tc>
            </w:tr>
            <w:tr w14:paraId="44D2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Align w:val="center"/>
                </w:tcPr>
                <w:p w14:paraId="656A9416">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氮氧化物</w:t>
                  </w:r>
                </w:p>
              </w:tc>
              <w:tc>
                <w:tcPr>
                  <w:tcW w:w="1248" w:type="pct"/>
                  <w:vMerge w:val="continue"/>
                  <w:vAlign w:val="center"/>
                </w:tcPr>
                <w:p w14:paraId="307C766B">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250" w:type="pct"/>
                  <w:vAlign w:val="center"/>
                </w:tcPr>
                <w:p w14:paraId="7A39606D">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c>
                <w:tcPr>
                  <w:tcW w:w="1251" w:type="pct"/>
                  <w:vMerge w:val="continue"/>
                  <w:vAlign w:val="center"/>
                </w:tcPr>
                <w:p w14:paraId="5646950C">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1357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Align w:val="center"/>
                </w:tcPr>
                <w:p w14:paraId="0126E3E6">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二氧化硫</w:t>
                  </w:r>
                </w:p>
              </w:tc>
              <w:tc>
                <w:tcPr>
                  <w:tcW w:w="1248" w:type="pct"/>
                  <w:vMerge w:val="continue"/>
                  <w:vAlign w:val="center"/>
                </w:tcPr>
                <w:p w14:paraId="4C998F7C">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250" w:type="pct"/>
                  <w:vAlign w:val="center"/>
                </w:tcPr>
                <w:p w14:paraId="5D9E5A94">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1251" w:type="pct"/>
                  <w:vMerge w:val="continue"/>
                  <w:vAlign w:val="center"/>
                </w:tcPr>
                <w:p w14:paraId="78C72CC7">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3003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8" w:type="pct"/>
                  <w:vAlign w:val="center"/>
                </w:tcPr>
                <w:p w14:paraId="40A4EEAB">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烟气黑度（林格曼黑度，级）</w:t>
                  </w:r>
                </w:p>
              </w:tc>
              <w:tc>
                <w:tcPr>
                  <w:tcW w:w="1248" w:type="pct"/>
                  <w:vMerge w:val="continue"/>
                  <w:vAlign w:val="center"/>
                </w:tcPr>
                <w:p w14:paraId="5D3AB1C2">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250" w:type="pct"/>
                  <w:vAlign w:val="center"/>
                </w:tcPr>
                <w:p w14:paraId="311A9A7F">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251" w:type="pct"/>
                  <w:vAlign w:val="center"/>
                </w:tcPr>
                <w:p w14:paraId="1902A176">
                  <w:pPr>
                    <w:pStyle w:val="4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烟囱排放口</w:t>
                  </w:r>
                </w:p>
              </w:tc>
            </w:tr>
          </w:tbl>
          <w:p w14:paraId="00083AD9">
            <w:pPr>
              <w:pStyle w:val="43"/>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lang w:val="en-US" w:eastAsia="zh-CN"/>
              </w:rPr>
              <w:t>项目脱臭工段</w:t>
            </w:r>
            <w:r>
              <w:rPr>
                <w:rFonts w:hint="default" w:ascii="Times New Roman" w:hAnsi="Times New Roman" w:cs="Times New Roman"/>
                <w:color w:val="auto"/>
                <w:sz w:val="24"/>
                <w:szCs w:val="22"/>
                <w:highlight w:val="none"/>
              </w:rPr>
              <w:t>产生的恶臭执行《恶臭污染物排放标准》(GB14554-93)，具体标准限值见表3</w:t>
            </w:r>
            <w:r>
              <w:rPr>
                <w:rFonts w:hint="default" w:ascii="Times New Roman" w:hAnsi="Times New Roman" w:cs="Times New Roman"/>
                <w:color w:val="auto"/>
                <w:sz w:val="24"/>
                <w:szCs w:val="22"/>
                <w:highlight w:val="none"/>
                <w:lang w:val="en-US" w:eastAsia="zh-CN"/>
              </w:rPr>
              <w:t>.3-3</w:t>
            </w:r>
            <w:r>
              <w:rPr>
                <w:rFonts w:hint="default" w:ascii="Times New Roman" w:hAnsi="Times New Roman" w:cs="Times New Roman"/>
                <w:color w:val="auto"/>
                <w:sz w:val="24"/>
                <w:szCs w:val="22"/>
                <w:highlight w:val="none"/>
              </w:rPr>
              <w:t>。</w:t>
            </w:r>
          </w:p>
          <w:p w14:paraId="42542BFC">
            <w:pPr>
              <w:pStyle w:val="43"/>
              <w:ind w:left="0" w:leftChars="0" w:firstLine="0" w:firstLineChars="0"/>
              <w:jc w:val="center"/>
              <w:rPr>
                <w:rFonts w:hint="default" w:ascii="Times New Roman" w:hAnsi="Times New Roman" w:cs="Times New Roman"/>
                <w:b/>
                <w:bCs w:val="0"/>
                <w:color w:val="auto"/>
                <w:sz w:val="22"/>
                <w:szCs w:val="21"/>
                <w:highlight w:val="none"/>
                <w:lang w:val="en-US" w:eastAsia="zh-CN"/>
              </w:rPr>
            </w:pPr>
            <w:r>
              <w:rPr>
                <w:rFonts w:hint="default" w:ascii="Times New Roman" w:hAnsi="Times New Roman" w:cs="Times New Roman"/>
                <w:b/>
                <w:bCs w:val="0"/>
                <w:color w:val="auto"/>
                <w:sz w:val="22"/>
                <w:szCs w:val="21"/>
                <w:highlight w:val="none"/>
                <w:lang w:val="en-US" w:eastAsia="zh-CN"/>
              </w:rPr>
              <w:t>表3.3-3恶臭污染物排放标准（GB14554-93）</w:t>
            </w:r>
          </w:p>
          <w:tbl>
            <w:tblPr>
              <w:tblStyle w:val="18"/>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64"/>
              <w:gridCol w:w="2209"/>
              <w:gridCol w:w="2209"/>
              <w:gridCol w:w="2209"/>
            </w:tblGrid>
            <w:tr w14:paraId="558D5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40" w:hRule="atLeast"/>
                <w:jc w:val="center"/>
              </w:trPr>
              <w:tc>
                <w:tcPr>
                  <w:tcW w:w="853" w:type="pct"/>
                  <w:vMerge w:val="restart"/>
                  <w:tcBorders>
                    <w:tl2br w:val="nil"/>
                    <w:tr2bl w:val="nil"/>
                  </w:tcBorders>
                  <w:shd w:val="clear" w:color="auto" w:fill="auto"/>
                  <w:vAlign w:val="center"/>
                </w:tcPr>
                <w:p w14:paraId="16220657">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污染物</w:t>
                  </w:r>
                </w:p>
              </w:tc>
              <w:tc>
                <w:tcPr>
                  <w:tcW w:w="2764" w:type="pct"/>
                  <w:gridSpan w:val="2"/>
                  <w:tcBorders>
                    <w:tl2br w:val="nil"/>
                    <w:tr2bl w:val="nil"/>
                  </w:tcBorders>
                  <w:shd w:val="clear" w:color="auto" w:fill="auto"/>
                  <w:vAlign w:val="center"/>
                </w:tcPr>
                <w:p w14:paraId="1C678337">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最高允许排放速率</w:t>
                  </w:r>
                </w:p>
              </w:tc>
              <w:tc>
                <w:tcPr>
                  <w:tcW w:w="1382" w:type="pct"/>
                  <w:vMerge w:val="restart"/>
                  <w:tcBorders>
                    <w:tl2br w:val="nil"/>
                    <w:tr2bl w:val="nil"/>
                  </w:tcBorders>
                  <w:shd w:val="clear" w:color="auto" w:fill="auto"/>
                  <w:vAlign w:val="center"/>
                </w:tcPr>
                <w:p w14:paraId="48235D43">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无组织排放监控浓度限值（mg/m</w:t>
                  </w:r>
                  <w:r>
                    <w:rPr>
                      <w:rFonts w:hint="default" w:ascii="Times New Roman" w:hAnsi="Times New Roman" w:eastAsia="宋体" w:cs="Times New Roman"/>
                      <w:color w:val="auto"/>
                      <w:kern w:val="2"/>
                      <w:sz w:val="21"/>
                      <w:szCs w:val="21"/>
                      <w:highlight w:val="none"/>
                      <w:vertAlign w:val="super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w:t>
                  </w:r>
                </w:p>
              </w:tc>
            </w:tr>
            <w:tr w14:paraId="5F03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853" w:type="pct"/>
                  <w:vMerge w:val="continue"/>
                  <w:tcBorders>
                    <w:tl2br w:val="nil"/>
                    <w:tr2bl w:val="nil"/>
                  </w:tcBorders>
                  <w:shd w:val="clear" w:color="auto" w:fill="auto"/>
                  <w:vAlign w:val="center"/>
                </w:tcPr>
                <w:p w14:paraId="07894A35">
                  <w:pPr>
                    <w:rPr>
                      <w:rFonts w:hint="default" w:ascii="Times New Roman" w:hAnsi="Times New Roman" w:cs="Times New Roman"/>
                      <w:color w:val="auto"/>
                      <w:sz w:val="21"/>
                      <w:szCs w:val="21"/>
                      <w:highlight w:val="none"/>
                    </w:rPr>
                  </w:pPr>
                </w:p>
              </w:tc>
              <w:tc>
                <w:tcPr>
                  <w:tcW w:w="1382" w:type="pct"/>
                  <w:tcBorders>
                    <w:tl2br w:val="nil"/>
                    <w:tr2bl w:val="nil"/>
                  </w:tcBorders>
                  <w:shd w:val="clear" w:color="auto" w:fill="auto"/>
                  <w:vAlign w:val="center"/>
                </w:tcPr>
                <w:p w14:paraId="5102D02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排气筒高度</w:t>
                  </w:r>
                </w:p>
              </w:tc>
              <w:tc>
                <w:tcPr>
                  <w:tcW w:w="1382" w:type="pct"/>
                  <w:tcBorders>
                    <w:tl2br w:val="nil"/>
                    <w:tr2bl w:val="nil"/>
                  </w:tcBorders>
                  <w:shd w:val="clear" w:color="auto" w:fill="auto"/>
                  <w:vAlign w:val="center"/>
                </w:tcPr>
                <w:p w14:paraId="5AFA709E">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排放速率（kg/h）</w:t>
                  </w:r>
                </w:p>
              </w:tc>
              <w:tc>
                <w:tcPr>
                  <w:tcW w:w="1382" w:type="pct"/>
                  <w:vMerge w:val="continue"/>
                  <w:tcBorders>
                    <w:tl2br w:val="nil"/>
                    <w:tr2bl w:val="nil"/>
                  </w:tcBorders>
                  <w:shd w:val="clear" w:color="auto" w:fill="auto"/>
                  <w:vAlign w:val="center"/>
                </w:tcPr>
                <w:p w14:paraId="2B5D8A82">
                  <w:pPr>
                    <w:rPr>
                      <w:rFonts w:hint="default" w:ascii="Times New Roman" w:hAnsi="Times New Roman" w:cs="Times New Roman"/>
                      <w:color w:val="auto"/>
                      <w:sz w:val="21"/>
                      <w:szCs w:val="21"/>
                      <w:highlight w:val="none"/>
                    </w:rPr>
                  </w:pPr>
                </w:p>
              </w:tc>
            </w:tr>
            <w:tr w14:paraId="5083A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340" w:hRule="atLeast"/>
                <w:jc w:val="center"/>
              </w:trPr>
              <w:tc>
                <w:tcPr>
                  <w:tcW w:w="853" w:type="pct"/>
                  <w:tcBorders>
                    <w:tl2br w:val="nil"/>
                    <w:tr2bl w:val="nil"/>
                  </w:tcBorders>
                  <w:shd w:val="clear" w:color="auto" w:fill="auto"/>
                  <w:vAlign w:val="center"/>
                </w:tcPr>
                <w:p w14:paraId="20DEA1C2">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臭气浓度</w:t>
                  </w:r>
                </w:p>
              </w:tc>
              <w:tc>
                <w:tcPr>
                  <w:tcW w:w="1382" w:type="pct"/>
                  <w:tcBorders>
                    <w:tl2br w:val="nil"/>
                    <w:tr2bl w:val="nil"/>
                  </w:tcBorders>
                  <w:shd w:val="clear" w:color="auto" w:fill="auto"/>
                  <w:vAlign w:val="center"/>
                </w:tcPr>
                <w:p w14:paraId="3A9D48F9">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25m</w:t>
                  </w:r>
                </w:p>
              </w:tc>
              <w:tc>
                <w:tcPr>
                  <w:tcW w:w="1382" w:type="pct"/>
                  <w:tcBorders>
                    <w:tl2br w:val="nil"/>
                    <w:tr2bl w:val="nil"/>
                  </w:tcBorders>
                  <w:shd w:val="clear" w:color="auto" w:fill="auto"/>
                  <w:vAlign w:val="center"/>
                </w:tcPr>
                <w:p w14:paraId="6F3C5DEC">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60</w:t>
                  </w:r>
                  <w:r>
                    <w:rPr>
                      <w:rFonts w:hint="default" w:ascii="Times New Roman" w:hAnsi="Times New Roman" w:eastAsia="宋体" w:cs="Times New Roman"/>
                      <w:color w:val="auto"/>
                      <w:kern w:val="2"/>
                      <w:sz w:val="21"/>
                      <w:szCs w:val="21"/>
                      <w:highlight w:val="none"/>
                      <w:lang w:val="en-US" w:eastAsia="zh-CN" w:bidi="ar"/>
                    </w:rPr>
                    <w:t>00</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无量纲</w:t>
                  </w:r>
                  <w:r>
                    <w:rPr>
                      <w:rFonts w:hint="default" w:ascii="Times New Roman" w:hAnsi="Times New Roman" w:cs="Times New Roman"/>
                      <w:color w:val="auto"/>
                      <w:kern w:val="2"/>
                      <w:sz w:val="21"/>
                      <w:szCs w:val="21"/>
                      <w:highlight w:val="none"/>
                      <w:lang w:val="en-US" w:eastAsia="zh-CN" w:bidi="ar"/>
                    </w:rPr>
                    <w:t>)</w:t>
                  </w:r>
                </w:p>
              </w:tc>
              <w:tc>
                <w:tcPr>
                  <w:tcW w:w="1382" w:type="pct"/>
                  <w:tcBorders>
                    <w:tl2br w:val="nil"/>
                    <w:tr2bl w:val="nil"/>
                  </w:tcBorders>
                  <w:shd w:val="clear" w:color="auto" w:fill="auto"/>
                  <w:vAlign w:val="center"/>
                </w:tcPr>
                <w:p w14:paraId="2D798FA3">
                  <w:pPr>
                    <w:pStyle w:val="16"/>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20</w:t>
                  </w:r>
                  <w:r>
                    <w:rPr>
                      <w:rFonts w:hint="default" w:ascii="Times New Roman" w:hAnsi="Times New Roman" w:cs="Times New Roman"/>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无量纲</w:t>
                  </w:r>
                  <w:r>
                    <w:rPr>
                      <w:rFonts w:hint="default" w:ascii="Times New Roman" w:hAnsi="Times New Roman" w:cs="Times New Roman"/>
                      <w:color w:val="auto"/>
                      <w:kern w:val="2"/>
                      <w:sz w:val="21"/>
                      <w:szCs w:val="21"/>
                      <w:highlight w:val="none"/>
                      <w:lang w:val="en-US" w:eastAsia="zh-CN" w:bidi="ar"/>
                    </w:rPr>
                    <w:t>)</w:t>
                  </w:r>
                </w:p>
              </w:tc>
            </w:tr>
          </w:tbl>
          <w:p w14:paraId="4D3C345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522" w:firstLineChars="200"/>
              <w:jc w:val="both"/>
              <w:textAlignment w:val="auto"/>
              <w:rPr>
                <w:rFonts w:hint="default" w:ascii="Times New Roman" w:hAnsi="Times New Roman" w:eastAsia="宋体" w:cs="Times New Roman"/>
                <w:b/>
                <w:bCs w:val="0"/>
                <w:color w:val="auto"/>
                <w:kern w:val="2"/>
                <w:sz w:val="26"/>
                <w:szCs w:val="26"/>
                <w:highlight w:val="none"/>
                <w:lang w:val="en-US" w:eastAsia="zh-CN" w:bidi="ar"/>
              </w:rPr>
            </w:pPr>
            <w:r>
              <w:rPr>
                <w:rFonts w:hint="default" w:ascii="Times New Roman" w:hAnsi="Times New Roman" w:eastAsia="宋体" w:cs="Times New Roman"/>
                <w:b/>
                <w:bCs w:val="0"/>
                <w:color w:val="auto"/>
                <w:kern w:val="2"/>
                <w:sz w:val="26"/>
                <w:szCs w:val="26"/>
                <w:highlight w:val="none"/>
                <w:lang w:val="en-US" w:eastAsia="zh-CN" w:bidi="ar"/>
              </w:rPr>
              <w:t>3.3.2废水</w:t>
            </w:r>
          </w:p>
          <w:p w14:paraId="6A2BB77D">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新宋体" w:cs="Times New Roman"/>
                <w:bCs/>
                <w:color w:val="auto"/>
                <w:kern w:val="2"/>
                <w:sz w:val="24"/>
                <w:szCs w:val="22"/>
                <w:highlight w:val="none"/>
                <w:lang w:val="en-US" w:eastAsia="zh-CN" w:bidi="ar-SA"/>
              </w:rPr>
            </w:pPr>
            <w:r>
              <w:rPr>
                <w:rFonts w:hint="eastAsia" w:eastAsia="新宋体" w:cs="Times New Roman"/>
                <w:bCs/>
                <w:color w:val="auto"/>
                <w:kern w:val="2"/>
                <w:sz w:val="24"/>
                <w:szCs w:val="22"/>
                <w:highlight w:val="none"/>
                <w:lang w:val="en-US" w:eastAsia="zh-CN" w:bidi="ar-SA"/>
              </w:rPr>
              <w:t>本项目</w:t>
            </w:r>
            <w:r>
              <w:rPr>
                <w:rFonts w:hint="default" w:ascii="Times New Roman" w:hAnsi="Times New Roman" w:eastAsia="新宋体" w:cs="Times New Roman"/>
                <w:bCs/>
                <w:color w:val="auto"/>
                <w:kern w:val="2"/>
                <w:sz w:val="24"/>
                <w:szCs w:val="22"/>
                <w:highlight w:val="none"/>
                <w:lang w:val="en-US" w:eastAsia="zh-CN" w:bidi="ar-SA"/>
              </w:rPr>
              <w:t>不新增劳动人员，不新增生活污水。</w:t>
            </w:r>
            <w:r>
              <w:rPr>
                <w:rFonts w:hint="eastAsia" w:eastAsia="新宋体" w:cs="Times New Roman"/>
                <w:bCs/>
                <w:color w:val="auto"/>
                <w:kern w:val="2"/>
                <w:sz w:val="24"/>
                <w:szCs w:val="22"/>
                <w:highlight w:val="none"/>
                <w:lang w:val="en-US" w:eastAsia="zh-CN" w:bidi="ar-SA"/>
              </w:rPr>
              <w:t>本项目</w:t>
            </w:r>
            <w:r>
              <w:rPr>
                <w:rFonts w:hint="default" w:ascii="Times New Roman" w:hAnsi="Times New Roman" w:eastAsia="新宋体" w:cs="Times New Roman"/>
                <w:bCs/>
                <w:color w:val="auto"/>
                <w:kern w:val="2"/>
                <w:sz w:val="24"/>
                <w:szCs w:val="22"/>
                <w:highlight w:val="none"/>
                <w:lang w:val="en-US" w:eastAsia="zh-CN" w:bidi="ar-SA"/>
              </w:rPr>
              <w:t>废水经改建精炼车间新建隔油池处理后依托厂区现有污水处理站进行处理，达</w:t>
            </w:r>
            <w:r>
              <w:rPr>
                <w:rFonts w:hint="default" w:ascii="Times New Roman" w:hAnsi="Times New Roman" w:eastAsia="宋体" w:cs="Times New Roman"/>
                <w:bCs/>
                <w:snapToGrid w:val="0"/>
                <w:color w:val="auto"/>
                <w:kern w:val="0"/>
                <w:sz w:val="24"/>
                <w:szCs w:val="24"/>
                <w:highlight w:val="none"/>
                <w:lang w:val="en-US" w:eastAsia="zh-CN"/>
              </w:rPr>
              <w:t>《</w:t>
            </w:r>
            <w:r>
              <w:rPr>
                <w:rFonts w:hint="eastAsia" w:cs="Times New Roman"/>
                <w:bCs/>
                <w:snapToGrid w:val="0"/>
                <w:color w:val="auto"/>
                <w:kern w:val="0"/>
                <w:sz w:val="24"/>
                <w:szCs w:val="24"/>
                <w:highlight w:val="none"/>
                <w:lang w:val="en-US" w:eastAsia="zh-CN"/>
              </w:rPr>
              <w:t>食品加工制造业水污染物排放标准</w:t>
            </w:r>
            <w:r>
              <w:rPr>
                <w:rFonts w:hint="default" w:ascii="Times New Roman" w:hAnsi="Times New Roman" w:eastAsia="宋体" w:cs="Times New Roman"/>
                <w:bCs/>
                <w:snapToGrid w:val="0"/>
                <w:color w:val="auto"/>
                <w:kern w:val="0"/>
                <w:sz w:val="24"/>
                <w:szCs w:val="24"/>
                <w:highlight w:val="none"/>
                <w:lang w:val="en-US" w:eastAsia="zh-CN"/>
              </w:rPr>
              <w:t>》（GB</w:t>
            </w:r>
            <w:r>
              <w:rPr>
                <w:rFonts w:hint="eastAsia" w:cs="Times New Roman"/>
                <w:bCs/>
                <w:snapToGrid w:val="0"/>
                <w:color w:val="auto"/>
                <w:kern w:val="0"/>
                <w:sz w:val="24"/>
                <w:szCs w:val="24"/>
                <w:highlight w:val="none"/>
                <w:lang w:val="en-US" w:eastAsia="zh-CN"/>
              </w:rPr>
              <w:t>46817</w:t>
            </w:r>
            <w:r>
              <w:rPr>
                <w:rFonts w:hint="default" w:ascii="Times New Roman" w:hAnsi="Times New Roman" w:eastAsia="宋体" w:cs="Times New Roman"/>
                <w:bCs/>
                <w:snapToGrid w:val="0"/>
                <w:color w:val="auto"/>
                <w:kern w:val="0"/>
                <w:sz w:val="24"/>
                <w:szCs w:val="24"/>
                <w:highlight w:val="none"/>
                <w:lang w:val="en-US" w:eastAsia="zh-CN"/>
              </w:rPr>
              <w:t>-</w:t>
            </w:r>
            <w:r>
              <w:rPr>
                <w:rFonts w:hint="eastAsia" w:cs="Times New Roman"/>
                <w:bCs/>
                <w:snapToGrid w:val="0"/>
                <w:color w:val="auto"/>
                <w:kern w:val="0"/>
                <w:sz w:val="24"/>
                <w:szCs w:val="24"/>
                <w:highlight w:val="none"/>
                <w:lang w:val="en-US" w:eastAsia="zh-CN"/>
              </w:rPr>
              <w:t>2025</w:t>
            </w:r>
            <w:r>
              <w:rPr>
                <w:rFonts w:hint="default" w:ascii="Times New Roman" w:hAnsi="Times New Roman" w:eastAsia="宋体" w:cs="Times New Roman"/>
                <w:bCs/>
                <w:snapToGrid w:val="0"/>
                <w:color w:val="auto"/>
                <w:kern w:val="0"/>
                <w:sz w:val="24"/>
                <w:szCs w:val="24"/>
                <w:highlight w:val="none"/>
                <w:lang w:val="en-US" w:eastAsia="zh-CN"/>
              </w:rPr>
              <w:t>）</w:t>
            </w:r>
            <w:r>
              <w:rPr>
                <w:rFonts w:hint="eastAsia" w:cs="Times New Roman"/>
                <w:bCs/>
                <w:snapToGrid w:val="0"/>
                <w:color w:val="auto"/>
                <w:kern w:val="0"/>
                <w:sz w:val="24"/>
                <w:szCs w:val="24"/>
                <w:highlight w:val="none"/>
                <w:lang w:val="en-US" w:eastAsia="zh-CN"/>
              </w:rPr>
              <w:t>表1间接排放标准</w:t>
            </w:r>
            <w:r>
              <w:rPr>
                <w:rFonts w:hint="default" w:ascii="Times New Roman" w:hAnsi="Times New Roman" w:eastAsia="新宋体" w:cs="Times New Roman"/>
                <w:bCs/>
                <w:color w:val="auto"/>
                <w:kern w:val="2"/>
                <w:sz w:val="24"/>
                <w:szCs w:val="22"/>
                <w:highlight w:val="none"/>
                <w:lang w:val="en-US" w:eastAsia="zh-CN" w:bidi="ar-SA"/>
              </w:rPr>
              <w:t>后经市政污水管网排至铜罐驿污水处理厂进一步处理，处理达《地表水环境质量标准》（GB3838-2002）IV类标准（其中TN、SS满足《城镇污水处理厂污染物排放标准》（GB18918-2002）一级A标准），尾水排入金竹沟，最终汇入长江。项目废水排放标准见表3.3-4。</w:t>
            </w:r>
          </w:p>
          <w:p w14:paraId="29BBD347">
            <w:pPr>
              <w:pStyle w:val="16"/>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2"/>
                <w:szCs w:val="22"/>
                <w:highlight w:val="none"/>
              </w:rPr>
            </w:pPr>
            <w:r>
              <w:rPr>
                <w:rFonts w:hint="default" w:ascii="Times New Roman" w:hAnsi="Times New Roman" w:eastAsia="宋体" w:cs="Times New Roman"/>
                <w:b/>
                <w:bCs w:val="0"/>
                <w:color w:val="auto"/>
                <w:kern w:val="2"/>
                <w:sz w:val="22"/>
                <w:szCs w:val="22"/>
                <w:highlight w:val="none"/>
                <w:lang w:val="en-US" w:eastAsia="zh-CN" w:bidi="ar"/>
              </w:rPr>
              <w:t>表3.3-4污水排放标准单位：mg/L（pH值：无量纲</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23"/>
              <w:gridCol w:w="540"/>
              <w:gridCol w:w="531"/>
              <w:gridCol w:w="660"/>
              <w:gridCol w:w="728"/>
              <w:gridCol w:w="809"/>
              <w:gridCol w:w="561"/>
              <w:gridCol w:w="581"/>
              <w:gridCol w:w="581"/>
              <w:gridCol w:w="643"/>
              <w:gridCol w:w="833"/>
            </w:tblGrid>
            <w:tr w14:paraId="06CE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8" w:hRule="atLeast"/>
                <w:jc w:val="center"/>
              </w:trPr>
              <w:tc>
                <w:tcPr>
                  <w:tcW w:w="953" w:type="pct"/>
                  <w:tcBorders>
                    <w:top w:val="single" w:color="auto" w:sz="4" w:space="0"/>
                    <w:left w:val="single" w:color="auto" w:sz="4" w:space="0"/>
                    <w:bottom w:val="single" w:color="auto" w:sz="4" w:space="0"/>
                    <w:right w:val="single" w:color="auto" w:sz="4" w:space="0"/>
                  </w:tcBorders>
                  <w:shd w:val="clear" w:color="auto" w:fill="auto"/>
                  <w:vAlign w:val="center"/>
                </w:tcPr>
                <w:p w14:paraId="738D1F0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排放标准</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7D67E0D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pH</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2CB4F9B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色度</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6F8F24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COD</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1035EAD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BOD</w:t>
                  </w:r>
                  <w:r>
                    <w:rPr>
                      <w:rFonts w:hint="default" w:ascii="Times New Roman" w:hAnsi="Times New Roman" w:eastAsia="宋体" w:cs="Times New Roman"/>
                      <w:color w:val="auto"/>
                      <w:kern w:val="2"/>
                      <w:sz w:val="21"/>
                      <w:szCs w:val="21"/>
                      <w:highlight w:val="none"/>
                      <w:vertAlign w:val="subscript"/>
                      <w:lang w:val="en-US" w:eastAsia="zh-CN" w:bidi="ar"/>
                    </w:rPr>
                    <w:t>5</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5D3988B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NH</w:t>
                  </w:r>
                  <w:r>
                    <w:rPr>
                      <w:rFonts w:hint="default" w:ascii="Times New Roman" w:hAnsi="Times New Roman" w:eastAsia="宋体" w:cs="Times New Roman"/>
                      <w:color w:val="auto"/>
                      <w:kern w:val="2"/>
                      <w:sz w:val="21"/>
                      <w:szCs w:val="21"/>
                      <w:highlight w:val="none"/>
                      <w:vertAlign w:val="sub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-N</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1A68989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SS</w:t>
                  </w: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3C6AFD8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动植物油</w:t>
                  </w: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0323A0F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TN</w:t>
                  </w:r>
                </w:p>
              </w:tc>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090855D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TP</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2CD431B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基准排水量</w:t>
                  </w:r>
                </w:p>
              </w:tc>
            </w:tr>
            <w:tr w14:paraId="02D4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953" w:type="pct"/>
                  <w:tcBorders>
                    <w:top w:val="single" w:color="auto" w:sz="4" w:space="0"/>
                    <w:left w:val="single" w:color="auto" w:sz="4" w:space="0"/>
                    <w:bottom w:val="single" w:color="auto" w:sz="4" w:space="0"/>
                    <w:right w:val="single" w:color="auto" w:sz="4" w:space="0"/>
                  </w:tcBorders>
                  <w:shd w:val="clear" w:color="auto" w:fill="auto"/>
                  <w:vAlign w:val="center"/>
                </w:tcPr>
                <w:p w14:paraId="73DF96E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rPr>
                  </w:pPr>
                  <w:r>
                    <w:rPr>
                      <w:rFonts w:hint="default" w:ascii="Times New Roman" w:hAnsi="Times New Roman" w:eastAsia="宋体" w:cs="Times New Roman"/>
                      <w:bCs/>
                      <w:snapToGrid w:val="0"/>
                      <w:color w:val="auto"/>
                      <w:kern w:val="0"/>
                      <w:sz w:val="21"/>
                      <w:szCs w:val="21"/>
                      <w:highlight w:val="none"/>
                      <w:lang w:val="en-US" w:eastAsia="zh-CN"/>
                    </w:rPr>
                    <w:t>GB</w:t>
                  </w:r>
                  <w:r>
                    <w:rPr>
                      <w:rFonts w:hint="default" w:ascii="Times New Roman" w:hAnsi="Times New Roman" w:cs="Times New Roman"/>
                      <w:bCs/>
                      <w:snapToGrid w:val="0"/>
                      <w:color w:val="auto"/>
                      <w:kern w:val="0"/>
                      <w:sz w:val="21"/>
                      <w:szCs w:val="21"/>
                      <w:highlight w:val="none"/>
                      <w:lang w:val="en-US" w:eastAsia="zh-CN"/>
                    </w:rPr>
                    <w:t>46817</w:t>
                  </w:r>
                  <w:r>
                    <w:rPr>
                      <w:rFonts w:hint="default" w:ascii="Times New Roman" w:hAnsi="Times New Roman" w:eastAsia="宋体"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2025</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23B9F37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6~9</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4F30C1A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100</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3C75436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500</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1997F41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bidi="ar"/>
                    </w:rPr>
                    <w:t>350</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1C9236A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45</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05D1DD4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400</w:t>
                  </w: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6A9235D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100</w:t>
                  </w: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7C44D48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70</w:t>
                  </w:r>
                </w:p>
              </w:tc>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26FC55C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8</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604B06F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
                    </w:rPr>
                  </w:pPr>
                  <w:r>
                    <w:rPr>
                      <w:rFonts w:hint="eastAsia" w:ascii="Times New Roman" w:hAnsi="Times New Roman" w:cs="Times New Roman"/>
                      <w:color w:val="auto"/>
                      <w:kern w:val="2"/>
                      <w:sz w:val="21"/>
                      <w:szCs w:val="21"/>
                      <w:highlight w:val="none"/>
                      <w:lang w:val="en-US" w:eastAsia="zh-CN" w:bidi="ar"/>
                    </w:rPr>
                    <w:t>0.8m</w:t>
                  </w:r>
                  <w:r>
                    <w:rPr>
                      <w:rFonts w:hint="eastAsia" w:ascii="Times New Roman" w:hAnsi="Times New Roman" w:cs="Times New Roman"/>
                      <w:color w:val="auto"/>
                      <w:kern w:val="2"/>
                      <w:sz w:val="21"/>
                      <w:szCs w:val="21"/>
                      <w:highlight w:val="none"/>
                      <w:vertAlign w:val="superscript"/>
                      <w:lang w:val="en-US" w:eastAsia="zh-CN" w:bidi="ar"/>
                    </w:rPr>
                    <w:t>3</w:t>
                  </w:r>
                  <w:r>
                    <w:rPr>
                      <w:rFonts w:hint="eastAsia" w:ascii="Times New Roman" w:hAnsi="Times New Roman" w:cs="Times New Roman"/>
                      <w:color w:val="auto"/>
                      <w:kern w:val="2"/>
                      <w:sz w:val="21"/>
                      <w:szCs w:val="21"/>
                      <w:highlight w:val="none"/>
                      <w:vertAlign w:val="baseline"/>
                      <w:lang w:val="en-US" w:eastAsia="zh-CN" w:bidi="ar"/>
                    </w:rPr>
                    <w:t>/t产品</w:t>
                  </w:r>
                </w:p>
              </w:tc>
            </w:tr>
            <w:tr w14:paraId="1497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953" w:type="pct"/>
                  <w:tcBorders>
                    <w:top w:val="single" w:color="auto" w:sz="4" w:space="0"/>
                    <w:left w:val="single" w:color="auto" w:sz="4" w:space="0"/>
                    <w:bottom w:val="single" w:color="auto" w:sz="4" w:space="0"/>
                    <w:right w:val="single" w:color="auto" w:sz="4" w:space="0"/>
                  </w:tcBorders>
                  <w:shd w:val="clear" w:color="auto" w:fill="auto"/>
                  <w:vAlign w:val="center"/>
                </w:tcPr>
                <w:p w14:paraId="6D1D88D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GB3838-2002</w:t>
                  </w:r>
                </w:p>
                <w:p w14:paraId="27CDD338">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IV类标准</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11F99B6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6~9</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314FC2F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57E4896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30</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71F0E83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6</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C8C486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1.5</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4BB0580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w:t>
                  </w: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5FA1EDE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7BCC69C5">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w:t>
                  </w:r>
                </w:p>
              </w:tc>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21AAD461">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0.3</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7402BB26">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w:t>
                  </w:r>
                </w:p>
              </w:tc>
            </w:tr>
            <w:tr w14:paraId="20BB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3" w:type="pct"/>
                  <w:tcBorders>
                    <w:top w:val="single" w:color="auto" w:sz="4" w:space="0"/>
                    <w:left w:val="single" w:color="auto" w:sz="4" w:space="0"/>
                    <w:bottom w:val="single" w:color="auto" w:sz="4" w:space="0"/>
                    <w:right w:val="single" w:color="auto" w:sz="4" w:space="0"/>
                  </w:tcBorders>
                  <w:shd w:val="clear" w:color="auto" w:fill="auto"/>
                  <w:vAlign w:val="center"/>
                </w:tcPr>
                <w:p w14:paraId="3C4F3CFB">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GB18918-2002</w:t>
                  </w:r>
                  <w:r>
                    <w:rPr>
                      <w:rFonts w:hint="default" w:ascii="Times New Roman" w:hAnsi="Times New Roman" w:eastAsia="宋体" w:cs="Times New Roman"/>
                      <w:color w:val="auto"/>
                      <w:kern w:val="2"/>
                      <w:sz w:val="21"/>
                      <w:szCs w:val="21"/>
                      <w:highlight w:val="none"/>
                      <w:lang w:val="en-US" w:eastAsia="zh-CN" w:bidi="ar"/>
                    </w:rPr>
                    <w:t>一级</w:t>
                  </w:r>
                  <w:r>
                    <w:rPr>
                      <w:rFonts w:hint="default" w:ascii="Times New Roman" w:hAnsi="Times New Roman" w:cs="Times New Roman"/>
                      <w:color w:val="auto"/>
                      <w:kern w:val="2"/>
                      <w:sz w:val="21"/>
                      <w:szCs w:val="21"/>
                      <w:highlight w:val="none"/>
                      <w:lang w:val="en-US" w:eastAsia="zh-CN" w:bidi="ar"/>
                    </w:rPr>
                    <w:t>A</w:t>
                  </w:r>
                  <w:r>
                    <w:rPr>
                      <w:rFonts w:hint="default" w:ascii="Times New Roman" w:hAnsi="Times New Roman" w:eastAsia="宋体" w:cs="Times New Roman"/>
                      <w:color w:val="auto"/>
                      <w:kern w:val="2"/>
                      <w:sz w:val="21"/>
                      <w:szCs w:val="21"/>
                      <w:highlight w:val="none"/>
                      <w:lang w:val="en-US" w:eastAsia="zh-CN" w:bidi="ar"/>
                    </w:rPr>
                    <w:t>标准</w:t>
                  </w:r>
                </w:p>
              </w:tc>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14:paraId="353BFD5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17589BF4">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B8238D7">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6D1E9A6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39A4D85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7896B1C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rPr>
                  </w:pPr>
                  <w:r>
                    <w:rPr>
                      <w:rFonts w:hint="default" w:ascii="Times New Roman" w:hAnsi="Times New Roman" w:cs="Times New Roman"/>
                      <w:color w:val="auto"/>
                      <w:kern w:val="2"/>
                      <w:sz w:val="21"/>
                      <w:szCs w:val="21"/>
                      <w:highlight w:val="none"/>
                      <w:lang w:val="en-US" w:eastAsia="zh-CN" w:bidi="ar"/>
                    </w:rPr>
                    <w:t>10</w:t>
                  </w: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7607ACDA">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p>
              </w:tc>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14:paraId="211B0F6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15</w:t>
                  </w:r>
                </w:p>
              </w:tc>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14:paraId="3C5E414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14:paraId="2FD27263">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
                    </w:rPr>
                    <w:t>-</w:t>
                  </w:r>
                </w:p>
              </w:tc>
            </w:tr>
            <w:tr w14:paraId="596E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5000" w:type="pct"/>
                  <w:gridSpan w:val="11"/>
                  <w:tcBorders>
                    <w:top w:val="single" w:color="auto" w:sz="4" w:space="0"/>
                    <w:left w:val="single" w:color="auto" w:sz="4" w:space="0"/>
                    <w:bottom w:val="single" w:color="auto" w:sz="4" w:space="0"/>
                    <w:right w:val="single" w:color="auto" w:sz="4" w:space="0"/>
                  </w:tcBorders>
                  <w:shd w:val="clear" w:color="auto" w:fill="auto"/>
                  <w:vAlign w:val="center"/>
                </w:tcPr>
                <w:p w14:paraId="4D17CF02">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注：</w:t>
                  </w:r>
                  <w:r>
                    <w:rPr>
                      <w:rFonts w:hint="eastAsia" w:ascii="Times New Roman" w:hAnsi="Times New Roman" w:cs="Times New Roman"/>
                      <w:color w:val="auto"/>
                      <w:kern w:val="2"/>
                      <w:sz w:val="21"/>
                      <w:szCs w:val="21"/>
                      <w:highlight w:val="none"/>
                      <w:lang w:val="en-US" w:eastAsia="zh-CN" w:bidi="ar"/>
                    </w:rPr>
                    <w:t>色度指标为稀释倍数；</w:t>
                  </w:r>
                </w:p>
              </w:tc>
            </w:tr>
          </w:tbl>
          <w:p w14:paraId="564DA366">
            <w:pPr>
              <w:pStyle w:val="16"/>
              <w:keepNext w:val="0"/>
              <w:keepLines w:val="0"/>
              <w:widowControl w:val="0"/>
              <w:suppressLineNumbers w:val="0"/>
              <w:snapToGrid w:val="0"/>
              <w:spacing w:before="0" w:beforeAutospacing="0" w:after="0" w:afterAutospacing="0" w:line="460" w:lineRule="exact"/>
              <w:ind w:left="0" w:right="0" w:firstLine="522" w:firstLineChars="200"/>
              <w:jc w:val="both"/>
              <w:rPr>
                <w:rFonts w:hint="default" w:ascii="Times New Roman" w:hAnsi="Times New Roman" w:eastAsia="宋体" w:cs="Times New Roman"/>
                <w:b/>
                <w:bCs w:val="0"/>
                <w:color w:val="auto"/>
                <w:kern w:val="2"/>
                <w:sz w:val="26"/>
                <w:szCs w:val="26"/>
                <w:highlight w:val="none"/>
                <w:lang w:val="en-US" w:eastAsia="zh-CN" w:bidi="ar"/>
              </w:rPr>
            </w:pPr>
            <w:r>
              <w:rPr>
                <w:rFonts w:hint="default" w:ascii="Times New Roman" w:hAnsi="Times New Roman" w:eastAsia="宋体" w:cs="Times New Roman"/>
                <w:b/>
                <w:bCs w:val="0"/>
                <w:color w:val="auto"/>
                <w:kern w:val="2"/>
                <w:sz w:val="26"/>
                <w:szCs w:val="26"/>
                <w:highlight w:val="none"/>
                <w:lang w:val="en-US" w:eastAsia="zh-CN" w:bidi="ar"/>
              </w:rPr>
              <w:t>3.3.3噪声</w:t>
            </w:r>
          </w:p>
          <w:p w14:paraId="4A5F20DD">
            <w:pPr>
              <w:pStyle w:val="16"/>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Cs/>
                <w:color w:val="auto"/>
                <w:kern w:val="2"/>
                <w:sz w:val="24"/>
                <w:szCs w:val="24"/>
                <w:highlight w:val="none"/>
                <w:lang w:val="en-US" w:eastAsia="zh-CN" w:bidi="ar"/>
              </w:rPr>
            </w:pPr>
            <w:r>
              <w:rPr>
                <w:rFonts w:hint="default" w:ascii="Times New Roman" w:hAnsi="Times New Roman" w:eastAsia="宋体" w:cs="Times New Roman"/>
                <w:bCs/>
                <w:color w:val="auto"/>
                <w:kern w:val="2"/>
                <w:sz w:val="24"/>
                <w:szCs w:val="24"/>
                <w:highlight w:val="none"/>
                <w:lang w:val="en-US" w:eastAsia="zh-CN" w:bidi="ar"/>
              </w:rPr>
              <w:t>根据《重庆市中心城区声环境功能区划分方案（2023年）》，项目属于铜罐驿镇工业用地片区，属于3类声环境功能区，运营期</w:t>
            </w:r>
            <w:r>
              <w:rPr>
                <w:rFonts w:hint="eastAsia" w:ascii="Times New Roman" w:hAnsi="Times New Roman" w:cs="Times New Roman"/>
                <w:bCs/>
                <w:color w:val="auto"/>
                <w:kern w:val="2"/>
                <w:sz w:val="24"/>
                <w:szCs w:val="24"/>
                <w:highlight w:val="none"/>
                <w:lang w:val="en-US" w:eastAsia="zh-CN" w:bidi="ar"/>
              </w:rPr>
              <w:t>西侧、南侧、北侧</w:t>
            </w:r>
            <w:r>
              <w:rPr>
                <w:rFonts w:hint="default" w:ascii="Times New Roman" w:hAnsi="Times New Roman" w:eastAsia="宋体" w:cs="Times New Roman"/>
                <w:bCs/>
                <w:color w:val="auto"/>
                <w:kern w:val="2"/>
                <w:sz w:val="24"/>
                <w:szCs w:val="24"/>
                <w:highlight w:val="none"/>
                <w:lang w:val="en-US" w:eastAsia="zh-CN" w:bidi="ar"/>
              </w:rPr>
              <w:t>噪声执行《工业企业厂界环境噪声排放标准》（GB12348-2008）中3类标准，</w:t>
            </w:r>
            <w:r>
              <w:rPr>
                <w:rFonts w:hint="eastAsia" w:ascii="Times New Roman" w:hAnsi="Times New Roman" w:cs="Times New Roman"/>
                <w:bCs/>
                <w:color w:val="auto"/>
                <w:kern w:val="2"/>
                <w:sz w:val="24"/>
                <w:szCs w:val="24"/>
                <w:highlight w:val="none"/>
                <w:lang w:val="en-US" w:eastAsia="zh-CN" w:bidi="ar"/>
              </w:rPr>
              <w:t>全厂厂界东侧临成渝铁路侧噪声执行4类标准，</w:t>
            </w:r>
            <w:r>
              <w:rPr>
                <w:rFonts w:hint="default" w:ascii="Times New Roman" w:hAnsi="Times New Roman" w:eastAsia="宋体" w:cs="Times New Roman"/>
                <w:bCs/>
                <w:color w:val="auto"/>
                <w:kern w:val="2"/>
                <w:sz w:val="24"/>
                <w:szCs w:val="24"/>
                <w:highlight w:val="none"/>
                <w:lang w:val="en-US" w:eastAsia="zh-CN" w:bidi="ar"/>
              </w:rPr>
              <w:t>具体排放限值下表。</w:t>
            </w:r>
          </w:p>
          <w:p w14:paraId="4A1F13FF">
            <w:pPr>
              <w:pStyle w:val="16"/>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2"/>
                <w:szCs w:val="22"/>
                <w:highlight w:val="none"/>
              </w:rPr>
            </w:pPr>
            <w:r>
              <w:rPr>
                <w:rFonts w:hint="default" w:ascii="Times New Roman" w:hAnsi="Times New Roman" w:eastAsia="宋体" w:cs="Times New Roman"/>
                <w:b/>
                <w:bCs w:val="0"/>
                <w:color w:val="auto"/>
                <w:kern w:val="2"/>
                <w:sz w:val="22"/>
                <w:szCs w:val="22"/>
                <w:highlight w:val="none"/>
                <w:lang w:val="en-US" w:eastAsia="zh-CN" w:bidi="ar"/>
              </w:rPr>
              <w:t>表3.3-5《工业企业厂界环境噪声排放标准》（GB12348—2008）单位：dB（A）</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7"/>
              <w:gridCol w:w="1323"/>
              <w:gridCol w:w="1061"/>
              <w:gridCol w:w="2252"/>
            </w:tblGrid>
            <w:tr w14:paraId="1EC0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3357" w:type="dxa"/>
                  <w:tcBorders>
                    <w:tl2br w:val="single" w:color="auto" w:sz="4" w:space="0"/>
                  </w:tcBorders>
                  <w:noWrap w:val="0"/>
                  <w:vAlign w:val="center"/>
                </w:tcPr>
                <w:p w14:paraId="51BE3712">
                  <w:pPr>
                    <w:pStyle w:val="44"/>
                    <w:spacing w:line="360" w:lineRule="auto"/>
                    <w:jc w:val="right"/>
                    <w:rPr>
                      <w:rFonts w:hint="default" w:ascii="Times New Roman" w:hAnsi="Times New Roman" w:cs="Times New Roman"/>
                      <w:color w:val="auto"/>
                      <w:highlight w:val="none"/>
                    </w:rPr>
                  </w:pPr>
                  <w:r>
                    <w:rPr>
                      <w:rFonts w:hint="default" w:ascii="Times New Roman" w:hAnsi="Times New Roman" w:cs="Times New Roman"/>
                      <w:color w:val="auto"/>
                      <w:highlight w:val="none"/>
                    </w:rPr>
                    <w:t>时段</w:t>
                  </w:r>
                </w:p>
                <w:p w14:paraId="3599F4EE">
                  <w:pPr>
                    <w:pStyle w:val="44"/>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厂界外声环境功能区类别</w:t>
                  </w:r>
                </w:p>
              </w:tc>
              <w:tc>
                <w:tcPr>
                  <w:tcW w:w="1323" w:type="dxa"/>
                  <w:noWrap w:val="0"/>
                  <w:vAlign w:val="center"/>
                </w:tcPr>
                <w:p w14:paraId="2DE0D4BE">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1061" w:type="dxa"/>
                  <w:noWrap w:val="0"/>
                  <w:vAlign w:val="center"/>
                </w:tcPr>
                <w:p w14:paraId="4EAB1DD1">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c>
                <w:tcPr>
                  <w:tcW w:w="2252" w:type="dxa"/>
                  <w:noWrap w:val="0"/>
                  <w:vAlign w:val="center"/>
                </w:tcPr>
                <w:p w14:paraId="49BE5C7A">
                  <w:pPr>
                    <w:pStyle w:val="44"/>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备注</w:t>
                  </w:r>
                </w:p>
              </w:tc>
            </w:tr>
            <w:tr w14:paraId="36AC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7" w:type="dxa"/>
                  <w:noWrap w:val="0"/>
                  <w:vAlign w:val="center"/>
                </w:tcPr>
                <w:p w14:paraId="1B65D899">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3类</w:t>
                  </w:r>
                </w:p>
              </w:tc>
              <w:tc>
                <w:tcPr>
                  <w:tcW w:w="1323" w:type="dxa"/>
                  <w:noWrap w:val="0"/>
                  <w:vAlign w:val="center"/>
                </w:tcPr>
                <w:p w14:paraId="3CA1B787">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65</w:t>
                  </w:r>
                </w:p>
              </w:tc>
              <w:tc>
                <w:tcPr>
                  <w:tcW w:w="1061" w:type="dxa"/>
                  <w:noWrap w:val="0"/>
                  <w:vAlign w:val="center"/>
                </w:tcPr>
                <w:p w14:paraId="0595EABF">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c>
                <w:tcPr>
                  <w:tcW w:w="2252" w:type="dxa"/>
                  <w:noWrap w:val="0"/>
                  <w:vAlign w:val="center"/>
                </w:tcPr>
                <w:p w14:paraId="1454FC5F">
                  <w:pPr>
                    <w:pStyle w:val="44"/>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北侧、南侧、西侧厂界</w:t>
                  </w:r>
                </w:p>
              </w:tc>
            </w:tr>
            <w:tr w14:paraId="3025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7" w:type="dxa"/>
                  <w:noWrap w:val="0"/>
                  <w:vAlign w:val="center"/>
                </w:tcPr>
                <w:p w14:paraId="0F00427C">
                  <w:pPr>
                    <w:pStyle w:val="44"/>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4类</w:t>
                  </w:r>
                </w:p>
              </w:tc>
              <w:tc>
                <w:tcPr>
                  <w:tcW w:w="1323" w:type="dxa"/>
                  <w:noWrap w:val="0"/>
                  <w:vAlign w:val="center"/>
                </w:tcPr>
                <w:p w14:paraId="172DE164">
                  <w:pPr>
                    <w:pStyle w:val="44"/>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70</w:t>
                  </w:r>
                </w:p>
              </w:tc>
              <w:tc>
                <w:tcPr>
                  <w:tcW w:w="1061" w:type="dxa"/>
                  <w:noWrap w:val="0"/>
                  <w:vAlign w:val="center"/>
                </w:tcPr>
                <w:p w14:paraId="0987D1F2">
                  <w:pPr>
                    <w:pStyle w:val="44"/>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55</w:t>
                  </w:r>
                </w:p>
              </w:tc>
              <w:tc>
                <w:tcPr>
                  <w:tcW w:w="2252" w:type="dxa"/>
                  <w:noWrap w:val="0"/>
                  <w:vAlign w:val="center"/>
                </w:tcPr>
                <w:p w14:paraId="28F2B818">
                  <w:pPr>
                    <w:pStyle w:val="44"/>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东侧</w:t>
                  </w:r>
                </w:p>
              </w:tc>
            </w:tr>
          </w:tbl>
          <w:p w14:paraId="5D61E7FD">
            <w:pPr>
              <w:pStyle w:val="16"/>
              <w:keepNext w:val="0"/>
              <w:keepLines w:val="0"/>
              <w:widowControl w:val="0"/>
              <w:suppressLineNumbers w:val="0"/>
              <w:snapToGrid w:val="0"/>
              <w:spacing w:before="0" w:beforeAutospacing="0" w:after="0" w:afterAutospacing="0" w:line="460" w:lineRule="exact"/>
              <w:ind w:left="0" w:right="0" w:firstLine="522" w:firstLineChars="200"/>
              <w:jc w:val="both"/>
              <w:rPr>
                <w:rFonts w:hint="default" w:ascii="Times New Roman" w:hAnsi="Times New Roman" w:eastAsia="宋体" w:cs="Times New Roman"/>
                <w:b/>
                <w:bCs w:val="0"/>
                <w:color w:val="auto"/>
                <w:kern w:val="2"/>
                <w:sz w:val="26"/>
                <w:szCs w:val="26"/>
                <w:highlight w:val="none"/>
                <w:lang w:val="en-US" w:eastAsia="zh-CN" w:bidi="ar"/>
              </w:rPr>
            </w:pPr>
            <w:r>
              <w:rPr>
                <w:rFonts w:hint="default" w:ascii="Times New Roman" w:hAnsi="Times New Roman" w:eastAsia="宋体" w:cs="Times New Roman"/>
                <w:b/>
                <w:bCs w:val="0"/>
                <w:color w:val="auto"/>
                <w:kern w:val="2"/>
                <w:sz w:val="26"/>
                <w:szCs w:val="26"/>
                <w:highlight w:val="none"/>
                <w:lang w:val="en-US" w:eastAsia="zh-CN" w:bidi="ar"/>
              </w:rPr>
              <w:t>3.3.4固体废物</w:t>
            </w:r>
          </w:p>
          <w:p w14:paraId="2873AEBE">
            <w:pPr>
              <w:pStyle w:val="16"/>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Cs/>
                <w:color w:val="auto"/>
                <w:kern w:val="2"/>
                <w:sz w:val="24"/>
                <w:szCs w:val="24"/>
                <w:highlight w:val="none"/>
                <w:lang w:val="en-US" w:eastAsia="zh-CN" w:bidi="ar"/>
              </w:rPr>
            </w:pPr>
            <w:r>
              <w:rPr>
                <w:rFonts w:hint="default" w:ascii="Times New Roman" w:hAnsi="Times New Roman" w:eastAsia="宋体" w:cs="Times New Roman"/>
                <w:bCs/>
                <w:color w:val="auto"/>
                <w:kern w:val="2"/>
                <w:sz w:val="24"/>
                <w:szCs w:val="24"/>
                <w:highlight w:val="none"/>
                <w:lang w:val="en-US" w:eastAsia="zh-CN" w:bidi="ar"/>
              </w:rPr>
              <w:t>一般工业固废不执行《一般工业固体废物贮存和填埋污染控制标准》（GB18599-2020），但一般工业固废贮存应满足相应防渗漏、防雨淋、防扬尘等环境保护要求，委托他人运输、利用、处置工业固体废物时，应当对受托方的主体资格和技术能力进行核实。贮存应设置环境保护图形的警示、提示标志(环境保护图形标准(GB15562.2-1995)及其修改单；堆场不得混入生活垃圾或危险废物。</w:t>
            </w:r>
          </w:p>
          <w:p w14:paraId="40775D96">
            <w:pPr>
              <w:pStyle w:val="16"/>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Cs/>
                <w:color w:val="auto"/>
                <w:kern w:val="2"/>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SA"/>
              </w:rPr>
              <w:t>危险废物贮存执行《危险废物贮存污染控制标准》（GB18597-2023）要求，并按《危险废物识别标志设置技术规范》（HJ1276-2022）执行标识标志管理要求</w:t>
            </w:r>
            <w:r>
              <w:rPr>
                <w:rFonts w:hint="eastAsia" w:ascii="Times New Roman" w:hAnsi="Times New Roman" w:eastAsia="宋体" w:cs="Times New Roman"/>
                <w:color w:val="auto"/>
                <w:kern w:val="0"/>
                <w:sz w:val="24"/>
                <w:szCs w:val="24"/>
                <w:highlight w:val="none"/>
                <w:lang w:val="en-US" w:eastAsia="zh-CN" w:bidi="ar-SA"/>
              </w:rPr>
              <w:t>。</w:t>
            </w:r>
          </w:p>
        </w:tc>
      </w:tr>
      <w:tr w14:paraId="1CEB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9" w:type="dxa"/>
          </w:tcPr>
          <w:p w14:paraId="23A0B575">
            <w:pP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其他</w:t>
            </w:r>
          </w:p>
        </w:tc>
        <w:tc>
          <w:tcPr>
            <w:tcW w:w="8222" w:type="dxa"/>
            <w:vAlign w:val="top"/>
          </w:tcPr>
          <w:p w14:paraId="5018241C">
            <w:pPr>
              <w:pStyle w:val="50"/>
              <w:numPr>
                <w:ilvl w:val="1"/>
                <w:numId w:val="0"/>
              </w:numPr>
              <w:tabs>
                <w:tab w:val="clear" w:pos="425"/>
              </w:tabs>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3.4</w:t>
            </w:r>
            <w:r>
              <w:rPr>
                <w:rFonts w:hint="default" w:ascii="Times New Roman" w:hAnsi="Times New Roman" w:cs="Times New Roman"/>
                <w:color w:val="auto"/>
                <w:highlight w:val="none"/>
              </w:rPr>
              <w:t>总量控制指标</w:t>
            </w:r>
          </w:p>
          <w:p w14:paraId="7702A783">
            <w:pPr>
              <w:pStyle w:val="43"/>
              <w:tabs>
                <w:tab w:val="left" w:pos="425"/>
                <w:tab w:val="left" w:pos="567"/>
              </w:tabs>
              <w:rPr>
                <w:rFonts w:hint="eastAsia" w:ascii="Times New Roman" w:hAnsi="Times New Roman" w:eastAsia="新宋体" w:cs="Times New Roman"/>
                <w:color w:val="auto"/>
                <w:sz w:val="24"/>
                <w:szCs w:val="24"/>
                <w:highlight w:val="none"/>
                <w:lang w:val="en-US" w:eastAsia="zh-CN"/>
              </w:rPr>
            </w:pPr>
            <w:r>
              <w:rPr>
                <w:rFonts w:hint="eastAsia" w:cs="Times New Roman"/>
                <w:color w:val="auto"/>
                <w:sz w:val="24"/>
                <w:szCs w:val="24"/>
                <w:highlight w:val="none"/>
                <w:lang w:val="en-US" w:eastAsia="zh-CN"/>
              </w:rPr>
              <w:t>改建项目</w:t>
            </w:r>
            <w:r>
              <w:rPr>
                <w:rFonts w:hint="default" w:ascii="Times New Roman" w:hAnsi="Times New Roman" w:cs="Times New Roman"/>
                <w:color w:val="auto"/>
                <w:sz w:val="24"/>
                <w:szCs w:val="24"/>
                <w:highlight w:val="none"/>
              </w:rPr>
              <w:t>废水排入外环境：COD</w:t>
            </w:r>
            <w:r>
              <w:rPr>
                <w:rFonts w:hint="eastAsia" w:cs="Times New Roman"/>
                <w:color w:val="auto"/>
                <w:sz w:val="24"/>
                <w:szCs w:val="24"/>
                <w:highlight w:val="none"/>
                <w:lang w:val="en-US" w:eastAsia="zh-CN"/>
              </w:rPr>
              <w:t>0.55</w:t>
            </w:r>
            <w:r>
              <w:rPr>
                <w:rFonts w:hint="default" w:ascii="Times New Roman" w:hAnsi="Times New Roman" w:cs="Times New Roman"/>
                <w:color w:val="auto"/>
                <w:sz w:val="24"/>
                <w:szCs w:val="24"/>
                <w:highlight w:val="none"/>
              </w:rPr>
              <w:t>t/a；氨氮0.0</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t/a。</w:t>
            </w:r>
            <w:r>
              <w:rPr>
                <w:rFonts w:hint="eastAsia" w:cs="Times New Roman"/>
                <w:color w:val="auto"/>
                <w:sz w:val="24"/>
                <w:szCs w:val="24"/>
                <w:highlight w:val="none"/>
                <w:lang w:val="en-US" w:eastAsia="zh-CN"/>
              </w:rPr>
              <w:t>全厂废水排入环境：</w:t>
            </w:r>
            <w:r>
              <w:rPr>
                <w:rFonts w:hint="default" w:ascii="Times New Roman" w:hAnsi="Times New Roman" w:cs="Times New Roman"/>
                <w:color w:val="auto"/>
                <w:sz w:val="24"/>
                <w:szCs w:val="24"/>
                <w:highlight w:val="none"/>
              </w:rPr>
              <w:t>COD</w:t>
            </w:r>
            <w:r>
              <w:rPr>
                <w:rFonts w:hint="eastAsia" w:cs="Times New Roman"/>
                <w:color w:val="auto"/>
                <w:sz w:val="24"/>
                <w:szCs w:val="24"/>
                <w:highlight w:val="none"/>
                <w:lang w:val="en-US" w:eastAsia="zh-CN"/>
              </w:rPr>
              <w:t>0.81</w:t>
            </w:r>
            <w:r>
              <w:rPr>
                <w:rFonts w:hint="default" w:ascii="Times New Roman" w:hAnsi="Times New Roman" w:cs="Times New Roman"/>
                <w:color w:val="auto"/>
                <w:sz w:val="24"/>
                <w:szCs w:val="24"/>
                <w:highlight w:val="none"/>
              </w:rPr>
              <w:t>t/a；氨氮0.0</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w:t>
            </w:r>
          </w:p>
          <w:p w14:paraId="3F20BB6D">
            <w:pPr>
              <w:pStyle w:val="43"/>
              <w:tabs>
                <w:tab w:val="left" w:pos="425"/>
                <w:tab w:val="left" w:pos="567"/>
              </w:tabs>
              <w:rPr>
                <w:rFonts w:hint="default" w:ascii="Times New Roman" w:hAnsi="Times New Roman" w:cs="Times New Roman"/>
                <w:color w:val="auto"/>
                <w:highlight w:val="none"/>
                <w:lang w:eastAsia="zh-CN"/>
              </w:rPr>
            </w:pPr>
            <w:r>
              <w:rPr>
                <w:rFonts w:hint="default" w:ascii="Times New Roman" w:hAnsi="Times New Roman" w:cs="Times New Roman"/>
                <w:color w:val="auto"/>
                <w:sz w:val="24"/>
                <w:szCs w:val="24"/>
                <w:highlight w:val="none"/>
              </w:rPr>
              <w:t>废气排入外环境：非甲烷总烃0.</w:t>
            </w:r>
            <w:r>
              <w:rPr>
                <w:rFonts w:hint="eastAsia" w:cs="Times New Roman"/>
                <w:color w:val="auto"/>
                <w:sz w:val="24"/>
                <w:szCs w:val="24"/>
                <w:highlight w:val="none"/>
                <w:lang w:val="en-US" w:eastAsia="zh-CN"/>
              </w:rPr>
              <w:t>535</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SO</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0.691t/a，NO</w:t>
            </w:r>
            <w:r>
              <w:rPr>
                <w:rFonts w:hint="eastAsia" w:cs="Times New Roman"/>
                <w:color w:val="auto"/>
                <w:sz w:val="24"/>
                <w:szCs w:val="24"/>
                <w:highlight w:val="none"/>
                <w:vertAlign w:val="subscript"/>
                <w:lang w:val="en-US" w:eastAsia="zh-CN"/>
              </w:rPr>
              <w:t>X</w:t>
            </w:r>
            <w:r>
              <w:rPr>
                <w:rFonts w:hint="eastAsia" w:cs="Times New Roman"/>
                <w:color w:val="auto"/>
                <w:sz w:val="24"/>
                <w:szCs w:val="24"/>
                <w:highlight w:val="none"/>
                <w:lang w:val="en-US" w:eastAsia="zh-CN"/>
              </w:rPr>
              <w:t>0.241t/a，</w:t>
            </w:r>
            <w:r>
              <w:rPr>
                <w:rFonts w:hint="default" w:ascii="Times New Roman" w:hAnsi="Times New Roman"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rPr>
              <w:t>0.</w:t>
            </w:r>
            <w:r>
              <w:rPr>
                <w:rFonts w:hint="eastAsia" w:cs="Times New Roman"/>
                <w:color w:val="auto"/>
                <w:sz w:val="24"/>
                <w:szCs w:val="24"/>
                <w:highlight w:val="none"/>
                <w:lang w:val="en-US" w:eastAsia="zh-CN"/>
              </w:rPr>
              <w:t>0617</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highlight w:val="none"/>
                <w:lang w:eastAsia="zh-CN"/>
              </w:rPr>
              <w:t>。</w:t>
            </w:r>
          </w:p>
          <w:p w14:paraId="1C8FFA97">
            <w:pPr>
              <w:pStyle w:val="43"/>
              <w:tabs>
                <w:tab w:val="left" w:pos="425"/>
                <w:tab w:val="left" w:pos="567"/>
              </w:tabs>
              <w:rPr>
                <w:rFonts w:hint="default" w:ascii="Times New Roman" w:hAnsi="Times New Roman" w:cs="Times New Roman"/>
                <w:color w:val="auto"/>
                <w:highlight w:val="none"/>
                <w:lang w:eastAsia="zh-CN"/>
              </w:rPr>
            </w:pPr>
          </w:p>
          <w:p w14:paraId="3C1DF3D2">
            <w:pPr>
              <w:pStyle w:val="43"/>
              <w:tabs>
                <w:tab w:val="left" w:pos="425"/>
                <w:tab w:val="left" w:pos="567"/>
              </w:tabs>
              <w:rPr>
                <w:rFonts w:hint="default" w:ascii="Times New Roman" w:hAnsi="Times New Roman" w:cs="Times New Roman"/>
                <w:color w:val="auto"/>
                <w:highlight w:val="none"/>
                <w:lang w:eastAsia="zh-CN"/>
              </w:rPr>
            </w:pPr>
          </w:p>
          <w:p w14:paraId="38CE4299">
            <w:pPr>
              <w:pStyle w:val="43"/>
              <w:tabs>
                <w:tab w:val="left" w:pos="425"/>
                <w:tab w:val="left" w:pos="567"/>
              </w:tabs>
              <w:rPr>
                <w:rFonts w:hint="default" w:ascii="Times New Roman" w:hAnsi="Times New Roman" w:cs="Times New Roman"/>
                <w:color w:val="auto"/>
                <w:highlight w:val="none"/>
                <w:lang w:eastAsia="zh-CN"/>
              </w:rPr>
            </w:pPr>
          </w:p>
          <w:p w14:paraId="089F5A74">
            <w:pPr>
              <w:pStyle w:val="43"/>
              <w:tabs>
                <w:tab w:val="left" w:pos="425"/>
                <w:tab w:val="left" w:pos="567"/>
              </w:tabs>
              <w:rPr>
                <w:rFonts w:hint="default" w:ascii="Times New Roman" w:hAnsi="Times New Roman" w:cs="Times New Roman"/>
                <w:color w:val="auto"/>
                <w:highlight w:val="none"/>
                <w:lang w:val="en-US" w:eastAsia="zh-CN"/>
              </w:rPr>
            </w:pPr>
          </w:p>
        </w:tc>
      </w:tr>
    </w:tbl>
    <w:p w14:paraId="05F947FD">
      <w:pPr>
        <w:rPr>
          <w:color w:val="auto"/>
          <w:highlight w:val="none"/>
        </w:rPr>
      </w:pPr>
    </w:p>
    <w:bookmarkEnd w:id="4"/>
    <w:p w14:paraId="211843A9">
      <w:pPr>
        <w:rPr>
          <w:rFonts w:hint="default" w:ascii="Times New Roman" w:hAnsi="Times New Roman" w:cs="Times New Roman"/>
          <w:color w:val="auto"/>
          <w:highlight w:val="none"/>
        </w:rPr>
        <w:sectPr>
          <w:pgSz w:w="11907" w:h="16840"/>
          <w:pgMar w:top="1701" w:right="1531" w:bottom="2127" w:left="1531" w:header="851" w:footer="1871" w:gutter="0"/>
          <w:pgBorders>
            <w:top w:val="none" w:sz="0" w:space="0"/>
            <w:left w:val="none" w:sz="0" w:space="0"/>
            <w:bottom w:val="none" w:sz="0" w:space="0"/>
            <w:right w:val="none" w:sz="0" w:space="0"/>
          </w:pgBorders>
          <w:pgNumType w:fmt="decimal"/>
          <w:cols w:space="720" w:num="1"/>
          <w:docGrid w:linePitch="312" w:charSpace="0"/>
        </w:sectPr>
      </w:pPr>
    </w:p>
    <w:p w14:paraId="4222FE04">
      <w:pPr>
        <w:pStyle w:val="16"/>
        <w:pageBreakBefore w:val="0"/>
        <w:kinsoku/>
        <w:wordWrap/>
        <w:overflowPunct w:val="0"/>
        <w:topLinePunct/>
        <w:bidi w:val="0"/>
        <w:spacing w:before="0" w:beforeAutospacing="0" w:after="0" w:afterAutospacing="0"/>
        <w:jc w:val="center"/>
        <w:outlineLvl w:val="0"/>
        <w:rPr>
          <w:rFonts w:hint="default" w:ascii="Times New Roman" w:hAnsi="Times New Roman" w:eastAsia="宋体" w:cs="Times New Roman"/>
          <w:snapToGrid w:val="0"/>
          <w:color w:val="auto"/>
          <w:sz w:val="30"/>
          <w:szCs w:val="30"/>
          <w:highlight w:val="none"/>
        </w:rPr>
      </w:pPr>
      <w:bookmarkStart w:id="5" w:name="_Toc26352"/>
      <w:r>
        <w:rPr>
          <w:rFonts w:hint="default" w:ascii="Times New Roman" w:hAnsi="Times New Roman" w:eastAsia="宋体" w:cs="Times New Roman"/>
          <w:b/>
          <w:bCs/>
          <w:snapToGrid w:val="0"/>
          <w:color w:val="auto"/>
          <w:sz w:val="30"/>
          <w:szCs w:val="30"/>
          <w:highlight w:val="none"/>
        </w:rPr>
        <w:t>四、主要环境影响和保护措施</w:t>
      </w:r>
      <w:bookmarkEnd w:id="5"/>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72"/>
        <w:gridCol w:w="8429"/>
      </w:tblGrid>
      <w:tr w14:paraId="27613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65" w:type="pct"/>
            <w:noWrap w:val="0"/>
            <w:tcMar>
              <w:left w:w="28" w:type="dxa"/>
              <w:right w:w="28" w:type="dxa"/>
            </w:tcMar>
            <w:vAlign w:val="center"/>
          </w:tcPr>
          <w:p w14:paraId="4C783D06">
            <w:pPr>
              <w:pStyle w:val="16"/>
              <w:pageBreakBefore w:val="0"/>
              <w:kinsoku/>
              <w:wordWrap/>
              <w:overflowPunct w:val="0"/>
              <w:topLinePunct/>
              <w:bidi w:val="0"/>
              <w:adjustRightInd w:val="0"/>
              <w:snapToGrid w:val="0"/>
              <w:spacing w:before="0" w:beforeAutospacing="0" w:after="0" w:afterAutospacing="0"/>
              <w:jc w:val="center"/>
              <w:rPr>
                <w:rFonts w:hint="default" w:ascii="Times New Roman" w:hAnsi="Times New Roman" w:eastAsia="宋体" w:cs="Times New Roman"/>
                <w:b/>
                <w:bCs/>
                <w:color w:val="auto"/>
                <w:kern w:val="2"/>
                <w:sz w:val="28"/>
                <w:szCs w:val="28"/>
                <w:highlight w:val="none"/>
              </w:rPr>
            </w:pPr>
            <w:r>
              <w:rPr>
                <w:rFonts w:hint="default" w:ascii="Times New Roman" w:hAnsi="Times New Roman" w:eastAsia="宋体" w:cs="Times New Roman"/>
                <w:b/>
                <w:bCs/>
                <w:color w:val="auto"/>
                <w:kern w:val="2"/>
                <w:sz w:val="28"/>
                <w:szCs w:val="28"/>
                <w:highlight w:val="none"/>
              </w:rPr>
              <w:t>施工期环境保</w:t>
            </w:r>
          </w:p>
          <w:p w14:paraId="3736B449">
            <w:pPr>
              <w:pStyle w:val="16"/>
              <w:pageBreakBefore w:val="0"/>
              <w:kinsoku/>
              <w:wordWrap/>
              <w:overflowPunct w:val="0"/>
              <w:topLinePunct/>
              <w:bidi w:val="0"/>
              <w:adjustRightInd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bCs/>
                <w:color w:val="auto"/>
                <w:kern w:val="2"/>
                <w:sz w:val="28"/>
                <w:szCs w:val="28"/>
                <w:highlight w:val="none"/>
              </w:rPr>
              <w:t>护措施</w:t>
            </w:r>
          </w:p>
        </w:tc>
        <w:tc>
          <w:tcPr>
            <w:tcW w:w="4734" w:type="pct"/>
            <w:noWrap w:val="0"/>
            <w:vAlign w:val="center"/>
          </w:tcPr>
          <w:p w14:paraId="6D1DE471">
            <w:pPr>
              <w:keepNext w:val="0"/>
              <w:keepLines w:val="0"/>
              <w:pageBreakBefore w:val="0"/>
              <w:widowControl w:val="0"/>
              <w:kinsoku/>
              <w:wordWrap/>
              <w:overflowPunct w:val="0"/>
              <w:topLinePunct/>
              <w:autoSpaceDE/>
              <w:autoSpaceDN/>
              <w:bidi w:val="0"/>
              <w:adjustRightInd w:val="0"/>
              <w:snapToGrid w:val="0"/>
              <w:spacing w:line="460" w:lineRule="exact"/>
              <w:jc w:val="both"/>
              <w:textAlignment w:val="auto"/>
              <w:rPr>
                <w:rFonts w:hint="default" w:ascii="Times New Roman" w:hAnsi="Times New Roman" w:eastAsia="宋体" w:cs="Times New Roman"/>
                <w:b/>
                <w:bCs/>
                <w:color w:val="auto"/>
                <w:sz w:val="26"/>
                <w:szCs w:val="26"/>
                <w:highlight w:val="none"/>
                <w:lang w:val="en-US" w:eastAsia="zh-CN"/>
              </w:rPr>
            </w:pPr>
            <w:r>
              <w:rPr>
                <w:rFonts w:hint="default" w:ascii="Times New Roman" w:hAnsi="Times New Roman" w:eastAsia="宋体" w:cs="Times New Roman"/>
                <w:b/>
                <w:bCs/>
                <w:color w:val="auto"/>
                <w:sz w:val="26"/>
                <w:szCs w:val="26"/>
                <w:highlight w:val="none"/>
                <w:lang w:val="en-US" w:eastAsia="zh-CN"/>
              </w:rPr>
              <w:t>4.1施工期环境影响和保护措施</w:t>
            </w:r>
          </w:p>
          <w:p w14:paraId="1319FE57">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施工期主要是</w:t>
            </w:r>
            <w:r>
              <w:rPr>
                <w:rFonts w:hint="default" w:ascii="Times New Roman" w:hAnsi="Times New Roman" w:cs="Times New Roman"/>
                <w:color w:val="auto"/>
                <w:sz w:val="24"/>
                <w:szCs w:val="24"/>
                <w:highlight w:val="none"/>
                <w:lang w:val="en-US" w:eastAsia="zh-CN"/>
              </w:rPr>
              <w:t>拆除现有2#包装车间、改建精炼车间</w:t>
            </w:r>
            <w:r>
              <w:rPr>
                <w:rFonts w:hint="default" w:ascii="Times New Roman" w:hAnsi="Times New Roman" w:eastAsia="宋体" w:cs="Times New Roman"/>
                <w:color w:val="auto"/>
                <w:sz w:val="24"/>
                <w:szCs w:val="24"/>
                <w:highlight w:val="none"/>
                <w:lang w:val="en-US" w:eastAsia="zh-CN"/>
              </w:rPr>
              <w:t>以及设备的安装，</w:t>
            </w:r>
            <w:r>
              <w:rPr>
                <w:rFonts w:hint="eastAsia" w:cs="Times New Roman"/>
                <w:color w:val="auto"/>
                <w:sz w:val="24"/>
                <w:szCs w:val="24"/>
                <w:highlight w:val="none"/>
                <w:lang w:val="en-US" w:eastAsia="zh-CN"/>
              </w:rPr>
              <w:t>本次改建项目施工期间要求采取围挡封闭以及洒水抑尘措施，在车间拆除和土地平整等工程量较大的施工阶段停止生产，减少废气污染物对现有项目影响。</w:t>
            </w:r>
            <w:r>
              <w:rPr>
                <w:rFonts w:hint="default" w:ascii="Times New Roman" w:hAnsi="Times New Roman" w:eastAsia="宋体" w:cs="Times New Roman"/>
                <w:color w:val="auto"/>
                <w:sz w:val="24"/>
                <w:szCs w:val="24"/>
                <w:highlight w:val="none"/>
                <w:lang w:val="en-US" w:eastAsia="zh-CN"/>
              </w:rPr>
              <w:t>施工过程中会产生的施工扬尘、废水、噪声、固废等</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对周围环境造成一定程度的影响。具体分析如下：</w:t>
            </w:r>
          </w:p>
          <w:p w14:paraId="62144787">
            <w:pPr>
              <w:keepNext w:val="0"/>
              <w:keepLines w:val="0"/>
              <w:pageBreakBefore w:val="0"/>
              <w:widowControl w:val="0"/>
              <w:kinsoku/>
              <w:wordWrap/>
              <w:overflowPunct w:val="0"/>
              <w:topLinePunct/>
              <w:autoSpaceDE/>
              <w:autoSpaceDN/>
              <w:bidi w:val="0"/>
              <w:adjustRightInd w:val="0"/>
              <w:snapToGrid w:val="0"/>
              <w:spacing w:line="460" w:lineRule="exact"/>
              <w:ind w:firstLine="442" w:firstLineChars="200"/>
              <w:jc w:val="both"/>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4.1.1废气</w:t>
            </w:r>
          </w:p>
          <w:p w14:paraId="648593BB">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为减少施工过程中地表开挖、物料运输以及施工机具产生的粉尘、废气对环境空气的不利影响，根据《重庆市大气污染防治条例》（</w:t>
            </w:r>
            <w:r>
              <w:rPr>
                <w:rFonts w:hint="eastAsia" w:cs="Times New Roman"/>
                <w:color w:val="auto"/>
                <w:sz w:val="24"/>
                <w:szCs w:val="24"/>
                <w:highlight w:val="none"/>
                <w:lang w:val="en-US" w:eastAsia="zh-CN"/>
              </w:rPr>
              <w:t>2021年修正</w:t>
            </w:r>
            <w:r>
              <w:rPr>
                <w:rFonts w:hint="default" w:ascii="Times New Roman" w:hAnsi="Times New Roman" w:eastAsia="宋体" w:cs="Times New Roman"/>
                <w:color w:val="auto"/>
                <w:sz w:val="24"/>
                <w:szCs w:val="24"/>
                <w:highlight w:val="none"/>
                <w:lang w:val="en-US" w:eastAsia="zh-CN"/>
              </w:rPr>
              <w:t>）等文件的相关要求，施工过程中需要采取如下具体的污染防治措施：</w:t>
            </w:r>
          </w:p>
          <w:p w14:paraId="6DD6266A">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①强化施工扬尘管理。采取湿式作业，施工场地配套洒水防尘设备，加强洒水防尘；施工场地合理布置运输车辆进出口，出施工场地的车辆在出口处冲洗轮胎泥土，冲洗废水设临时沉淀池处理。</w:t>
            </w:r>
          </w:p>
          <w:p w14:paraId="33B02D99">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2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cs="Times New Roman"/>
                <w:color w:val="auto"/>
                <w:highlight w:val="none"/>
              </w:rPr>
              <w:t>②</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严防运渣车辆冒装撒漏。密闭运输建筑垃圾或其他物料。对驶出场地的车辆进行冲洗。</w:t>
            </w:r>
          </w:p>
          <w:p w14:paraId="59AF47F4">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3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cs="Times New Roman"/>
                <w:color w:val="auto"/>
                <w:highlight w:val="none"/>
              </w:rPr>
              <w:t>③</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定期对施工机械设备进行维护，使其处于良好运行状态，减少施工机具尾气的产生和污染物排放。</w:t>
            </w:r>
          </w:p>
          <w:p w14:paraId="2DD7B163">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cs="Times New Roman"/>
                <w:color w:val="auto"/>
                <w:sz w:val="24"/>
                <w:szCs w:val="24"/>
                <w:highlight w:val="none"/>
                <w:lang w:val="en-US" w:eastAsia="zh-CN"/>
              </w:rPr>
              <w:t>2#包装车间</w:t>
            </w:r>
            <w:r>
              <w:rPr>
                <w:rFonts w:hint="eastAsia" w:cs="Times New Roman"/>
                <w:color w:val="auto"/>
                <w:sz w:val="24"/>
                <w:szCs w:val="24"/>
                <w:highlight w:val="none"/>
                <w:lang w:val="en-US" w:eastAsia="zh-CN"/>
              </w:rPr>
              <w:t>拆除过程中采取围挡施工方式，对拆除工程范围进行洒水抑尘等措施。</w:t>
            </w:r>
          </w:p>
          <w:p w14:paraId="06D487B5">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在采取以上大气污染物防治措施后，可以有效抑制施工过程中产生的扬尘对环境的不良影响。</w:t>
            </w:r>
          </w:p>
          <w:p w14:paraId="382AA05F">
            <w:pPr>
              <w:keepNext w:val="0"/>
              <w:keepLines w:val="0"/>
              <w:pageBreakBefore w:val="0"/>
              <w:widowControl/>
              <w:suppressLineNumbers w:val="0"/>
              <w:kinsoku/>
              <w:wordWrap/>
              <w:overflowPunct w:val="0"/>
              <w:topLinePunct/>
              <w:autoSpaceDE/>
              <w:autoSpaceDN/>
              <w:bidi w:val="0"/>
              <w:spacing w:line="460" w:lineRule="exact"/>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4.1.2废水</w:t>
            </w:r>
          </w:p>
          <w:p w14:paraId="65744551">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施工期</w:t>
            </w:r>
            <w:r>
              <w:rPr>
                <w:rFonts w:hint="default" w:ascii="Times New Roman" w:hAnsi="Times New Roman" w:eastAsia="宋体" w:cs="Times New Roman"/>
                <w:color w:val="auto"/>
                <w:sz w:val="24"/>
                <w:szCs w:val="24"/>
                <w:highlight w:val="none"/>
                <w:lang w:val="en-US" w:eastAsia="zh-CN"/>
              </w:rPr>
              <w:t>间</w:t>
            </w:r>
            <w:r>
              <w:rPr>
                <w:rFonts w:hint="default" w:ascii="Times New Roman" w:hAnsi="Times New Roman" w:eastAsia="宋体" w:cs="Times New Roman"/>
                <w:color w:val="auto"/>
                <w:sz w:val="24"/>
                <w:szCs w:val="24"/>
                <w:highlight w:val="none"/>
                <w:lang w:eastAsia="zh-CN"/>
              </w:rPr>
              <w:t>产生的废水包括施工人员的生活污水和施工本身产生的废水。施工废水主要包括土石方阶段降井水排水，结构阶段混凝土养护排水及各种车辆冲洗水。施工废水进入工地临时设置的沉淀池，经沉淀后回用。生活污水量较小，废水经厂区现有生化池收集，再经管道排入</w:t>
            </w:r>
            <w:r>
              <w:rPr>
                <w:rFonts w:hint="default" w:ascii="Times New Roman" w:hAnsi="Times New Roman" w:cs="Times New Roman"/>
                <w:color w:val="auto"/>
                <w:sz w:val="24"/>
                <w:szCs w:val="24"/>
                <w:highlight w:val="none"/>
                <w:lang w:val="en-US" w:eastAsia="zh-CN"/>
              </w:rPr>
              <w:t>铜罐驿</w:t>
            </w:r>
            <w:r>
              <w:rPr>
                <w:rFonts w:hint="default" w:ascii="Times New Roman" w:hAnsi="Times New Roman" w:eastAsia="宋体" w:cs="Times New Roman"/>
                <w:color w:val="auto"/>
                <w:sz w:val="24"/>
                <w:szCs w:val="24"/>
                <w:highlight w:val="none"/>
                <w:lang w:val="en-US" w:eastAsia="zh-CN"/>
              </w:rPr>
              <w:t>污水处理厂处理</w:t>
            </w:r>
            <w:r>
              <w:rPr>
                <w:rFonts w:hint="default" w:ascii="Times New Roman" w:hAnsi="Times New Roman" w:eastAsia="宋体" w:cs="Times New Roman"/>
                <w:color w:val="auto"/>
                <w:sz w:val="24"/>
                <w:szCs w:val="24"/>
                <w:highlight w:val="none"/>
                <w:lang w:eastAsia="zh-CN"/>
              </w:rPr>
              <w:t>，对周围水环境影响较小。</w:t>
            </w:r>
          </w:p>
          <w:p w14:paraId="721A1CB4">
            <w:pPr>
              <w:keepNext w:val="0"/>
              <w:keepLines w:val="0"/>
              <w:pageBreakBefore w:val="0"/>
              <w:widowControl/>
              <w:suppressLineNumbers w:val="0"/>
              <w:kinsoku/>
              <w:wordWrap/>
              <w:overflowPunct w:val="0"/>
              <w:topLinePunct/>
              <w:autoSpaceDE/>
              <w:autoSpaceDN/>
              <w:bidi w:val="0"/>
              <w:spacing w:line="46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4.1.3噪声</w:t>
            </w:r>
          </w:p>
          <w:p w14:paraId="71CB0D7C">
            <w:pPr>
              <w:keepNext w:val="0"/>
              <w:keepLines w:val="0"/>
              <w:pageBreakBefore w:val="0"/>
              <w:widowControl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aps/>
                <w:color w:val="auto"/>
                <w:sz w:val="24"/>
                <w:szCs w:val="24"/>
                <w:highlight w:val="none"/>
              </w:rPr>
            </w:pPr>
            <w:r>
              <w:rPr>
                <w:rFonts w:hint="eastAsia"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施工期的噪声主要</w:t>
            </w:r>
            <w:r>
              <w:rPr>
                <w:rFonts w:hint="default" w:ascii="Times New Roman" w:hAnsi="Times New Roman" w:eastAsia="宋体" w:cs="Times New Roman"/>
                <w:color w:val="auto"/>
                <w:sz w:val="24"/>
                <w:szCs w:val="24"/>
                <w:highlight w:val="none"/>
                <w:lang w:eastAsia="zh-CN"/>
              </w:rPr>
              <w:t>来自</w:t>
            </w:r>
            <w:r>
              <w:rPr>
                <w:rFonts w:hint="default" w:ascii="Times New Roman" w:hAnsi="Times New Roman" w:eastAsia="宋体" w:cs="Times New Roman"/>
                <w:color w:val="auto"/>
                <w:sz w:val="24"/>
                <w:szCs w:val="24"/>
                <w:highlight w:val="none"/>
              </w:rPr>
              <w:t>各种施工机械噪声，</w:t>
            </w:r>
            <w:r>
              <w:rPr>
                <w:rFonts w:hint="default" w:ascii="Times New Roman" w:hAnsi="Times New Roman" w:eastAsia="宋体" w:cs="Times New Roman"/>
                <w:caps/>
                <w:color w:val="auto"/>
                <w:sz w:val="24"/>
                <w:szCs w:val="24"/>
                <w:highlight w:val="none"/>
              </w:rPr>
              <w:t>在施工期间噪声主要由铲车、电锯、起重机、装载机、挖掘机等施工设备产生的</w:t>
            </w:r>
            <w:r>
              <w:rPr>
                <w:rFonts w:hint="default" w:ascii="Times New Roman" w:hAnsi="Times New Roman" w:eastAsia="宋体" w:cs="Times New Roman"/>
                <w:caps/>
                <w:color w:val="auto"/>
                <w:sz w:val="24"/>
                <w:szCs w:val="24"/>
                <w:highlight w:val="none"/>
                <w:lang w:eastAsia="zh-CN"/>
              </w:rPr>
              <w:t>噪声</w:t>
            </w:r>
            <w:r>
              <w:rPr>
                <w:rFonts w:hint="default" w:ascii="Times New Roman" w:hAnsi="Times New Roman" w:eastAsia="宋体" w:cs="Times New Roman"/>
                <w:caps/>
                <w:color w:val="auto"/>
                <w:sz w:val="24"/>
                <w:szCs w:val="24"/>
                <w:highlight w:val="none"/>
              </w:rPr>
              <w:t>，各种施工机械设备产生噪声情况见下表。</w:t>
            </w:r>
          </w:p>
          <w:p w14:paraId="17BC040D">
            <w:pPr>
              <w:keepNext w:val="0"/>
              <w:keepLines w:val="0"/>
              <w:pageBreakBefore w:val="0"/>
              <w:widowControl w:val="0"/>
              <w:kinsoku/>
              <w:wordWrap/>
              <w:overflowPunct w:val="0"/>
              <w:topLinePunct/>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4.1-1</w:t>
            </w:r>
            <w:r>
              <w:rPr>
                <w:rFonts w:hint="default" w:ascii="Times New Roman" w:hAnsi="Times New Roman" w:eastAsia="宋体" w:cs="Times New Roman"/>
                <w:b/>
                <w:color w:val="auto"/>
                <w:sz w:val="24"/>
                <w:szCs w:val="24"/>
                <w:highlight w:val="none"/>
              </w:rPr>
              <w:t>施工机械设备产生噪声声源情况</w:t>
            </w:r>
          </w:p>
          <w:tbl>
            <w:tblPr>
              <w:tblStyle w:val="1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25"/>
              <w:gridCol w:w="3178"/>
              <w:gridCol w:w="3565"/>
            </w:tblGrid>
            <w:tr w14:paraId="25FABB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25" w:type="dxa"/>
                  <w:tcBorders>
                    <w:tl2br w:val="nil"/>
                    <w:tr2bl w:val="nil"/>
                  </w:tcBorders>
                  <w:noWrap w:val="0"/>
                  <w:vAlign w:val="center"/>
                </w:tcPr>
                <w:p w14:paraId="2F94419E">
                  <w:pPr>
                    <w:pageBreakBefore w:val="0"/>
                    <w:kinsoku/>
                    <w:wordWrap/>
                    <w:overflowPunct w:val="0"/>
                    <w:topLinePunct/>
                    <w:bidi w:val="0"/>
                    <w:snapToGrid w:val="0"/>
                    <w:jc w:val="center"/>
                    <w:rPr>
                      <w:rFonts w:hint="default" w:ascii="Times New Roman" w:hAnsi="Times New Roman" w:eastAsia="宋体" w:cs="Times New Roman"/>
                      <w:b/>
                      <w:color w:val="auto"/>
                      <w:kern w:val="0"/>
                      <w:sz w:val="22"/>
                      <w:szCs w:val="22"/>
                      <w:highlight w:val="none"/>
                    </w:rPr>
                  </w:pPr>
                  <w:r>
                    <w:rPr>
                      <w:rFonts w:hint="default" w:ascii="Times New Roman" w:hAnsi="Times New Roman" w:eastAsia="宋体" w:cs="Times New Roman"/>
                      <w:b/>
                      <w:color w:val="auto"/>
                      <w:kern w:val="0"/>
                      <w:sz w:val="22"/>
                      <w:szCs w:val="22"/>
                      <w:highlight w:val="none"/>
                    </w:rPr>
                    <w:t>序号</w:t>
                  </w:r>
                </w:p>
              </w:tc>
              <w:tc>
                <w:tcPr>
                  <w:tcW w:w="3178" w:type="dxa"/>
                  <w:tcBorders>
                    <w:tl2br w:val="nil"/>
                    <w:tr2bl w:val="nil"/>
                  </w:tcBorders>
                  <w:noWrap w:val="0"/>
                  <w:vAlign w:val="center"/>
                </w:tcPr>
                <w:p w14:paraId="505B6F0F">
                  <w:pPr>
                    <w:pageBreakBefore w:val="0"/>
                    <w:kinsoku/>
                    <w:wordWrap/>
                    <w:overflowPunct w:val="0"/>
                    <w:topLinePunct/>
                    <w:bidi w:val="0"/>
                    <w:snapToGrid w:val="0"/>
                    <w:jc w:val="center"/>
                    <w:rPr>
                      <w:rFonts w:hint="default" w:ascii="Times New Roman" w:hAnsi="Times New Roman" w:eastAsia="宋体" w:cs="Times New Roman"/>
                      <w:b/>
                      <w:color w:val="auto"/>
                      <w:kern w:val="0"/>
                      <w:sz w:val="22"/>
                      <w:szCs w:val="22"/>
                      <w:highlight w:val="none"/>
                    </w:rPr>
                  </w:pPr>
                  <w:r>
                    <w:rPr>
                      <w:rFonts w:hint="default" w:ascii="Times New Roman" w:hAnsi="Times New Roman" w:eastAsia="宋体" w:cs="Times New Roman"/>
                      <w:b/>
                      <w:color w:val="auto"/>
                      <w:kern w:val="0"/>
                      <w:sz w:val="22"/>
                      <w:szCs w:val="22"/>
                      <w:highlight w:val="none"/>
                    </w:rPr>
                    <w:t>设备名称</w:t>
                  </w:r>
                </w:p>
              </w:tc>
              <w:tc>
                <w:tcPr>
                  <w:tcW w:w="3565" w:type="dxa"/>
                  <w:tcBorders>
                    <w:tl2br w:val="nil"/>
                    <w:tr2bl w:val="nil"/>
                  </w:tcBorders>
                  <w:noWrap w:val="0"/>
                  <w:vAlign w:val="center"/>
                </w:tcPr>
                <w:p w14:paraId="56EA553C">
                  <w:pPr>
                    <w:pageBreakBefore w:val="0"/>
                    <w:kinsoku/>
                    <w:wordWrap/>
                    <w:overflowPunct w:val="0"/>
                    <w:topLinePunct/>
                    <w:bidi w:val="0"/>
                    <w:snapToGrid w:val="0"/>
                    <w:jc w:val="center"/>
                    <w:rPr>
                      <w:rFonts w:hint="default" w:ascii="Times New Roman" w:hAnsi="Times New Roman" w:eastAsia="宋体" w:cs="Times New Roman"/>
                      <w:b/>
                      <w:color w:val="auto"/>
                      <w:kern w:val="0"/>
                      <w:sz w:val="22"/>
                      <w:szCs w:val="22"/>
                      <w:highlight w:val="none"/>
                      <w:lang w:eastAsia="zh-CN"/>
                    </w:rPr>
                  </w:pPr>
                  <w:r>
                    <w:rPr>
                      <w:rFonts w:hint="default" w:ascii="Times New Roman" w:hAnsi="Times New Roman" w:eastAsia="宋体" w:cs="Times New Roman"/>
                      <w:b/>
                      <w:color w:val="auto"/>
                      <w:kern w:val="0"/>
                      <w:sz w:val="22"/>
                      <w:szCs w:val="22"/>
                      <w:highlight w:val="none"/>
                    </w:rPr>
                    <w:t>噪声级</w:t>
                  </w:r>
                  <w:r>
                    <w:rPr>
                      <w:rFonts w:hint="eastAsia" w:cs="Times New Roman"/>
                      <w:b/>
                      <w:color w:val="auto"/>
                      <w:kern w:val="0"/>
                      <w:sz w:val="22"/>
                      <w:szCs w:val="22"/>
                      <w:highlight w:val="none"/>
                      <w:lang w:eastAsia="zh-CN"/>
                    </w:rPr>
                    <w:t>（</w:t>
                  </w:r>
                  <w:r>
                    <w:rPr>
                      <w:rFonts w:hint="eastAsia" w:cs="Times New Roman"/>
                      <w:b/>
                      <w:color w:val="auto"/>
                      <w:kern w:val="0"/>
                      <w:sz w:val="22"/>
                      <w:szCs w:val="22"/>
                      <w:highlight w:val="none"/>
                      <w:lang w:val="en-US" w:eastAsia="zh-CN"/>
                    </w:rPr>
                    <w:t>5m</w:t>
                  </w:r>
                  <w:r>
                    <w:rPr>
                      <w:rFonts w:hint="eastAsia" w:cs="Times New Roman"/>
                      <w:b/>
                      <w:color w:val="auto"/>
                      <w:kern w:val="0"/>
                      <w:sz w:val="22"/>
                      <w:szCs w:val="22"/>
                      <w:highlight w:val="none"/>
                      <w:lang w:eastAsia="zh-CN"/>
                    </w:rPr>
                    <w:t>）</w:t>
                  </w:r>
                  <w:r>
                    <w:rPr>
                      <w:rFonts w:hint="default" w:ascii="Times New Roman" w:hAnsi="Times New Roman" w:eastAsia="宋体" w:cs="Times New Roman"/>
                      <w:b/>
                      <w:color w:val="auto"/>
                      <w:kern w:val="0"/>
                      <w:sz w:val="22"/>
                      <w:szCs w:val="22"/>
                      <w:highlight w:val="none"/>
                      <w:lang w:val="en-US" w:eastAsia="zh-CN"/>
                    </w:rPr>
                    <w:t>d</w:t>
                  </w:r>
                  <w:r>
                    <w:rPr>
                      <w:rFonts w:hint="default" w:ascii="Times New Roman" w:hAnsi="Times New Roman" w:eastAsia="宋体" w:cs="Times New Roman"/>
                      <w:b/>
                      <w:color w:val="auto"/>
                      <w:kern w:val="0"/>
                      <w:sz w:val="22"/>
                      <w:szCs w:val="22"/>
                      <w:highlight w:val="none"/>
                      <w:lang w:eastAsia="zh-CN"/>
                    </w:rPr>
                    <w:t>B</w:t>
                  </w:r>
                  <w:r>
                    <w:rPr>
                      <w:rFonts w:hint="default" w:ascii="Times New Roman" w:hAnsi="Times New Roman" w:cs="Times New Roman"/>
                      <w:b/>
                      <w:color w:val="auto"/>
                      <w:kern w:val="0"/>
                      <w:sz w:val="22"/>
                      <w:szCs w:val="22"/>
                      <w:highlight w:val="none"/>
                      <w:lang w:eastAsia="zh-CN"/>
                    </w:rPr>
                    <w:t>（</w:t>
                  </w:r>
                  <w:r>
                    <w:rPr>
                      <w:rFonts w:hint="default" w:ascii="Times New Roman" w:hAnsi="Times New Roman" w:eastAsia="宋体" w:cs="Times New Roman"/>
                      <w:b/>
                      <w:color w:val="auto"/>
                      <w:kern w:val="0"/>
                      <w:sz w:val="22"/>
                      <w:szCs w:val="22"/>
                      <w:highlight w:val="none"/>
                    </w:rPr>
                    <w:t>A</w:t>
                  </w:r>
                  <w:r>
                    <w:rPr>
                      <w:rFonts w:hint="default" w:ascii="Times New Roman" w:hAnsi="Times New Roman" w:cs="Times New Roman"/>
                      <w:b/>
                      <w:color w:val="auto"/>
                      <w:kern w:val="0"/>
                      <w:sz w:val="22"/>
                      <w:szCs w:val="22"/>
                      <w:highlight w:val="none"/>
                      <w:lang w:eastAsia="zh-CN"/>
                    </w:rPr>
                    <w:t>）</w:t>
                  </w:r>
                </w:p>
              </w:tc>
            </w:tr>
            <w:tr w14:paraId="6DCC2C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25" w:type="dxa"/>
                  <w:tcBorders>
                    <w:tl2br w:val="nil"/>
                    <w:tr2bl w:val="nil"/>
                  </w:tcBorders>
                  <w:noWrap w:val="0"/>
                  <w:vAlign w:val="center"/>
                </w:tcPr>
                <w:p w14:paraId="6F883122">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1</w:t>
                  </w:r>
                </w:p>
              </w:tc>
              <w:tc>
                <w:tcPr>
                  <w:tcW w:w="3178" w:type="dxa"/>
                  <w:tcBorders>
                    <w:tl2br w:val="nil"/>
                    <w:tr2bl w:val="nil"/>
                  </w:tcBorders>
                  <w:noWrap w:val="0"/>
                  <w:vAlign w:val="center"/>
                </w:tcPr>
                <w:p w14:paraId="461B8820">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铲车</w:t>
                  </w:r>
                </w:p>
              </w:tc>
              <w:tc>
                <w:tcPr>
                  <w:tcW w:w="3565" w:type="dxa"/>
                  <w:tcBorders>
                    <w:tl2br w:val="nil"/>
                    <w:tr2bl w:val="nil"/>
                  </w:tcBorders>
                  <w:noWrap w:val="0"/>
                  <w:vAlign w:val="center"/>
                </w:tcPr>
                <w:p w14:paraId="00028079">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1"/>
                      <w:szCs w:val="21"/>
                      <w:highlight w:val="none"/>
                    </w:rPr>
                    <w:t>67</w:t>
                  </w:r>
                </w:p>
              </w:tc>
            </w:tr>
            <w:tr w14:paraId="27F7BC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25" w:type="dxa"/>
                  <w:tcBorders>
                    <w:tl2br w:val="nil"/>
                    <w:tr2bl w:val="nil"/>
                  </w:tcBorders>
                  <w:noWrap w:val="0"/>
                  <w:vAlign w:val="center"/>
                </w:tcPr>
                <w:p w14:paraId="2DD403E6">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2</w:t>
                  </w:r>
                </w:p>
              </w:tc>
              <w:tc>
                <w:tcPr>
                  <w:tcW w:w="3178" w:type="dxa"/>
                  <w:tcBorders>
                    <w:tl2br w:val="nil"/>
                    <w:tr2bl w:val="nil"/>
                  </w:tcBorders>
                  <w:noWrap w:val="0"/>
                  <w:vAlign w:val="center"/>
                </w:tcPr>
                <w:p w14:paraId="29801159">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电锯</w:t>
                  </w:r>
                </w:p>
              </w:tc>
              <w:tc>
                <w:tcPr>
                  <w:tcW w:w="3565" w:type="dxa"/>
                  <w:tcBorders>
                    <w:tl2br w:val="nil"/>
                    <w:tr2bl w:val="nil"/>
                  </w:tcBorders>
                  <w:noWrap w:val="0"/>
                  <w:vAlign w:val="center"/>
                </w:tcPr>
                <w:p w14:paraId="52272D4B">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1"/>
                      <w:szCs w:val="21"/>
                      <w:highlight w:val="none"/>
                    </w:rPr>
                    <w:t>77</w:t>
                  </w:r>
                </w:p>
              </w:tc>
            </w:tr>
            <w:tr w14:paraId="620338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25" w:type="dxa"/>
                  <w:tcBorders>
                    <w:tl2br w:val="nil"/>
                    <w:tr2bl w:val="nil"/>
                  </w:tcBorders>
                  <w:noWrap w:val="0"/>
                  <w:vAlign w:val="center"/>
                </w:tcPr>
                <w:p w14:paraId="2C92AA08">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3</w:t>
                  </w:r>
                </w:p>
              </w:tc>
              <w:tc>
                <w:tcPr>
                  <w:tcW w:w="3178" w:type="dxa"/>
                  <w:tcBorders>
                    <w:tl2br w:val="nil"/>
                    <w:tr2bl w:val="nil"/>
                  </w:tcBorders>
                  <w:noWrap w:val="0"/>
                  <w:vAlign w:val="center"/>
                </w:tcPr>
                <w:p w14:paraId="6716D600">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起重机</w:t>
                  </w:r>
                </w:p>
              </w:tc>
              <w:tc>
                <w:tcPr>
                  <w:tcW w:w="3565" w:type="dxa"/>
                  <w:tcBorders>
                    <w:tl2br w:val="nil"/>
                    <w:tr2bl w:val="nil"/>
                  </w:tcBorders>
                  <w:noWrap w:val="0"/>
                  <w:vAlign w:val="center"/>
                </w:tcPr>
                <w:p w14:paraId="32B6B330">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1"/>
                      <w:szCs w:val="21"/>
                      <w:highlight w:val="none"/>
                    </w:rPr>
                    <w:t>62</w:t>
                  </w:r>
                </w:p>
              </w:tc>
            </w:tr>
            <w:tr w14:paraId="56515D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25" w:type="dxa"/>
                  <w:tcBorders>
                    <w:tl2br w:val="nil"/>
                    <w:tr2bl w:val="nil"/>
                  </w:tcBorders>
                  <w:noWrap w:val="0"/>
                  <w:vAlign w:val="center"/>
                </w:tcPr>
                <w:p w14:paraId="105C81B6">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4</w:t>
                  </w:r>
                </w:p>
              </w:tc>
              <w:tc>
                <w:tcPr>
                  <w:tcW w:w="3178" w:type="dxa"/>
                  <w:tcBorders>
                    <w:tl2br w:val="nil"/>
                    <w:tr2bl w:val="nil"/>
                  </w:tcBorders>
                  <w:noWrap w:val="0"/>
                  <w:vAlign w:val="center"/>
                </w:tcPr>
                <w:p w14:paraId="127CBD5B">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装载机</w:t>
                  </w:r>
                </w:p>
              </w:tc>
              <w:tc>
                <w:tcPr>
                  <w:tcW w:w="3565" w:type="dxa"/>
                  <w:tcBorders>
                    <w:tl2br w:val="nil"/>
                    <w:tr2bl w:val="nil"/>
                  </w:tcBorders>
                  <w:noWrap w:val="0"/>
                  <w:vAlign w:val="center"/>
                </w:tcPr>
                <w:p w14:paraId="7E9C10D9">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1"/>
                      <w:szCs w:val="21"/>
                      <w:highlight w:val="none"/>
                    </w:rPr>
                    <w:t>72</w:t>
                  </w:r>
                </w:p>
              </w:tc>
            </w:tr>
            <w:tr w14:paraId="3415BA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625" w:type="dxa"/>
                  <w:tcBorders>
                    <w:tl2br w:val="nil"/>
                    <w:tr2bl w:val="nil"/>
                  </w:tcBorders>
                  <w:noWrap w:val="0"/>
                  <w:vAlign w:val="center"/>
                </w:tcPr>
                <w:p w14:paraId="0AB5C502">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5</w:t>
                  </w:r>
                </w:p>
              </w:tc>
              <w:tc>
                <w:tcPr>
                  <w:tcW w:w="3178" w:type="dxa"/>
                  <w:tcBorders>
                    <w:tl2br w:val="nil"/>
                    <w:tr2bl w:val="nil"/>
                  </w:tcBorders>
                  <w:noWrap w:val="0"/>
                  <w:vAlign w:val="center"/>
                </w:tcPr>
                <w:p w14:paraId="41089D01">
                  <w:pPr>
                    <w:pageBreakBefore w:val="0"/>
                    <w:kinsoku/>
                    <w:wordWrap/>
                    <w:overflowPunct w:val="0"/>
                    <w:topLinePunct/>
                    <w:bidi w:val="0"/>
                    <w:snapToGrid w:val="0"/>
                    <w:jc w:val="center"/>
                    <w:rPr>
                      <w:rFonts w:hint="default" w:ascii="Times New Roman" w:hAnsi="Times New Roman" w:eastAsia="宋体" w:cs="Times New Roman"/>
                      <w:color w:val="auto"/>
                      <w:kern w:val="0"/>
                      <w:sz w:val="22"/>
                      <w:szCs w:val="22"/>
                      <w:highlight w:val="none"/>
                    </w:rPr>
                  </w:pPr>
                  <w:r>
                    <w:rPr>
                      <w:rFonts w:hint="default" w:ascii="Times New Roman" w:hAnsi="Times New Roman" w:eastAsia="宋体" w:cs="Times New Roman"/>
                      <w:color w:val="auto"/>
                      <w:kern w:val="0"/>
                      <w:sz w:val="22"/>
                      <w:szCs w:val="22"/>
                      <w:highlight w:val="none"/>
                    </w:rPr>
                    <w:t>挖掘机</w:t>
                  </w:r>
                </w:p>
              </w:tc>
              <w:tc>
                <w:tcPr>
                  <w:tcW w:w="3565" w:type="dxa"/>
                  <w:tcBorders>
                    <w:tl2br w:val="nil"/>
                    <w:tr2bl w:val="nil"/>
                  </w:tcBorders>
                  <w:noWrap w:val="0"/>
                  <w:vAlign w:val="center"/>
                </w:tcPr>
                <w:p w14:paraId="7C97E67C">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1"/>
                      <w:szCs w:val="21"/>
                      <w:highlight w:val="none"/>
                    </w:rPr>
                    <w:t>72</w:t>
                  </w:r>
                </w:p>
              </w:tc>
            </w:tr>
          </w:tbl>
          <w:p w14:paraId="0C045CA0">
            <w:pPr>
              <w:pageBreakBefore w:val="0"/>
              <w:kinsoku/>
              <w:wordWrap/>
              <w:overflowPunct w:val="0"/>
              <w:topLinePunct/>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施工噪声可近似视为点声源处理，其衰减模式如下：</w:t>
            </w:r>
          </w:p>
          <w:p w14:paraId="3BC29E96">
            <w:pPr>
              <w:pageBreakBefore w:val="0"/>
              <w:kinsoku/>
              <w:wordWrap/>
              <w:overflowPunct w:val="0"/>
              <w:topLinePunct/>
              <w:bidi w:val="0"/>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po</w:t>
            </w:r>
            <w:r>
              <w:rPr>
                <w:rFonts w:hint="default" w:ascii="Times New Roman" w:hAnsi="Times New Roman" w:eastAsia="宋体" w:cs="Times New Roman"/>
                <w:color w:val="auto"/>
                <w:sz w:val="24"/>
                <w:szCs w:val="24"/>
                <w:highlight w:val="none"/>
              </w:rPr>
              <w:t>-20lg</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r/r</w:t>
            </w:r>
            <w:r>
              <w:rPr>
                <w:rFonts w:hint="default" w:ascii="Times New Roman" w:hAnsi="Times New Roman" w:eastAsia="宋体" w:cs="Times New Roman"/>
                <w:color w:val="auto"/>
                <w:sz w:val="24"/>
                <w:szCs w:val="24"/>
                <w:highlight w:val="none"/>
                <w:vertAlign w:val="subscript"/>
              </w:rPr>
              <w:t>o</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△L</w:t>
            </w:r>
          </w:p>
          <w:p w14:paraId="37C4DA73">
            <w:pPr>
              <w:pageBreakBefore w:val="0"/>
              <w:kinsoku/>
              <w:wordWrap/>
              <w:overflowPunct w:val="0"/>
              <w:topLinePunct/>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rPr>
              <w:t>——距声源r米处的施工噪声预测值，</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28D6E85F">
            <w:pPr>
              <w:pageBreakBefore w:val="0"/>
              <w:kinsoku/>
              <w:wordWrap/>
              <w:overflowPunct w:val="0"/>
              <w:topLinePunct/>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po</w:t>
            </w:r>
            <w:r>
              <w:rPr>
                <w:rFonts w:hint="default" w:ascii="Times New Roman" w:hAnsi="Times New Roman" w:eastAsia="宋体" w:cs="Times New Roman"/>
                <w:color w:val="auto"/>
                <w:sz w:val="24"/>
                <w:szCs w:val="24"/>
                <w:highlight w:val="none"/>
              </w:rPr>
              <w:t>——距声源r</w:t>
            </w:r>
            <w:r>
              <w:rPr>
                <w:rFonts w:hint="default" w:ascii="Times New Roman" w:hAnsi="Times New Roman" w:eastAsia="宋体" w:cs="Times New Roman"/>
                <w:color w:val="auto"/>
                <w:sz w:val="24"/>
                <w:szCs w:val="24"/>
                <w:highlight w:val="none"/>
                <w:vertAlign w:val="subscript"/>
              </w:rPr>
              <w:t>o</w:t>
            </w:r>
            <w:r>
              <w:rPr>
                <w:rFonts w:hint="default" w:ascii="Times New Roman" w:hAnsi="Times New Roman" w:eastAsia="宋体" w:cs="Times New Roman"/>
                <w:color w:val="auto"/>
                <w:sz w:val="24"/>
                <w:szCs w:val="24"/>
                <w:highlight w:val="none"/>
              </w:rPr>
              <w:t>米处的参考声级，</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0B25FDF4">
            <w:pPr>
              <w:pageBreakBefore w:val="0"/>
              <w:kinsoku/>
              <w:wordWrap/>
              <w:overflowPunct w:val="0"/>
              <w:topLinePunct/>
              <w:bidi w:val="0"/>
              <w:spacing w:line="360" w:lineRule="auto"/>
              <w:ind w:firstLine="1320" w:firstLineChars="55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o</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po</w:t>
            </w:r>
            <w:r>
              <w:rPr>
                <w:rFonts w:hint="default" w:ascii="Times New Roman" w:hAnsi="Times New Roman" w:eastAsia="宋体" w:cs="Times New Roman"/>
                <w:color w:val="auto"/>
                <w:sz w:val="24"/>
                <w:szCs w:val="24"/>
                <w:highlight w:val="none"/>
              </w:rPr>
              <w:t>噪声的测点距离（5米或1米），m。</w:t>
            </w:r>
          </w:p>
          <w:p w14:paraId="2309CF1C">
            <w:pPr>
              <w:pageBreakBefore w:val="0"/>
              <w:kinsoku/>
              <w:wordWrap/>
              <w:overflowPunct w:val="0"/>
              <w:topLinePunct/>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△L——采取各种措施后的噪声衰减量，</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B</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34381BF8">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运用上式对施工过程中施工机械噪声的影响进行预测计算，其结果如下表所示。</w:t>
            </w:r>
          </w:p>
          <w:p w14:paraId="66F9B415">
            <w:pPr>
              <w:keepNext w:val="0"/>
              <w:keepLines w:val="0"/>
              <w:pageBreakBefore w:val="0"/>
              <w:widowControl w:val="0"/>
              <w:kinsoku/>
              <w:wordWrap/>
              <w:overflowPunct w:val="0"/>
              <w:topLinePunct/>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表4.1-2主要施工机械在不同距离的噪声值</w:t>
            </w:r>
          </w:p>
          <w:tbl>
            <w:tblPr>
              <w:tblStyle w:val="18"/>
              <w:tblW w:w="499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22"/>
              <w:gridCol w:w="581"/>
              <w:gridCol w:w="653"/>
              <w:gridCol w:w="815"/>
              <w:gridCol w:w="759"/>
              <w:gridCol w:w="831"/>
              <w:gridCol w:w="831"/>
              <w:gridCol w:w="835"/>
              <w:gridCol w:w="826"/>
            </w:tblGrid>
            <w:tr w14:paraId="4AA496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5" w:hRule="atLeast"/>
                <w:jc w:val="center"/>
              </w:trPr>
              <w:tc>
                <w:tcPr>
                  <w:tcW w:w="2259" w:type="dxa"/>
                  <w:tcBorders>
                    <w:tl2br w:val="nil"/>
                    <w:tr2bl w:val="nil"/>
                  </w:tcBorders>
                  <w:noWrap w:val="0"/>
                  <w:vAlign w:val="center"/>
                  <mc:AlternateContent>
                    <mc:Choice Requires="wpsCustomData">
                      <wpsCustomData:diagonals>
                        <wpsCustomData:diagonal from="10000" to="30000">
                          <wpsCustomData:border w:val="single" w:color="auto" w:sz="2" w:space="0"/>
                        </wpsCustomData:diagonal>
                      </wpsCustomData:diagonals>
                    </mc:Choice>
                  </mc:AlternateContent>
                </w:tcPr>
                <w:p w14:paraId="57277D63">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p>
                <w:p w14:paraId="03FE9A0F">
                  <w:pPr>
                    <w:keepNext w:val="0"/>
                    <w:keepLines w:val="0"/>
                    <w:pageBreakBefore w:val="0"/>
                    <w:widowControl w:val="0"/>
                    <w:kinsoku/>
                    <w:wordWrap/>
                    <w:overflowPunct w:val="0"/>
                    <w:topLinePunct/>
                    <w:autoSpaceDE/>
                    <w:autoSpaceDN/>
                    <w:bidi w:val="0"/>
                    <w:adjustRightInd/>
                    <w:snapToGrid w:val="0"/>
                    <w:spacing w:line="240" w:lineRule="auto"/>
                    <w:textAlignment w:val="auto"/>
                    <w:rPr>
                      <w:rFonts w:hint="default" w:ascii="Times New Roman" w:hAnsi="Times New Roman" w:eastAsia="宋体" w:cs="Times New Roman"/>
                      <w:color w:val="auto"/>
                      <w:sz w:val="21"/>
                      <w:szCs w:val="21"/>
                      <w:highlight w:val="none"/>
                    </w:rPr>
                  </w:pPr>
                </w:p>
                <w:p w14:paraId="4897980E">
                  <w:pPr>
                    <w:keepNext w:val="0"/>
                    <w:keepLines w:val="0"/>
                    <w:pageBreakBefore w:val="0"/>
                    <w:widowControl w:val="0"/>
                    <w:kinsoku/>
                    <w:wordWrap/>
                    <w:overflowPunct w:val="0"/>
                    <w:topLinePunct/>
                    <w:autoSpaceDE/>
                    <w:autoSpaceDN/>
                    <w:bidi w:val="0"/>
                    <w:adjustRightInd/>
                    <w:snapToGrid w:val="0"/>
                    <w:spacing w:line="240" w:lineRule="auto"/>
                    <w:textAlignment w:val="auto"/>
                    <mc:AlternateContent>
                      <mc:Choice Requires="wpsCustomData">
                        <wpsCustomData:diagonalParaType/>
                      </mc:Choice>
                    </mc:AlternateConten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机械名称</w:t>
                  </w:r>
                </w:p>
                <w:p w14:paraId="34F4E354">
                  <w:pPr>
                    <w:keepNext w:val="0"/>
                    <w:keepLines w:val="0"/>
                    <w:pageBreakBefore w:val="0"/>
                    <w:widowControl w:val="0"/>
                    <w:kinsoku/>
                    <w:wordWrap/>
                    <w:overflowPunct w:val="0"/>
                    <w:topLinePunct/>
                    <w:autoSpaceDE/>
                    <w:autoSpaceDN/>
                    <w:bidi w:val="0"/>
                    <w:adjustRightInd/>
                    <w:spacing w:line="240" w:lineRule="auto"/>
                    <w:ind w:firstLine="210" w:firstLineChars="100"/>
                    <w:jc w:val="righ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距离（m）</w:t>
                  </w:r>
                </w:p>
              </w:tc>
              <w:tc>
                <w:tcPr>
                  <w:tcW w:w="585" w:type="dxa"/>
                  <w:tcBorders>
                    <w:tl2br w:val="nil"/>
                    <w:tr2bl w:val="nil"/>
                  </w:tcBorders>
                  <w:noWrap w:val="0"/>
                  <w:vAlign w:val="center"/>
                </w:tcPr>
                <w:p w14:paraId="66C9B378">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659" w:type="dxa"/>
                  <w:tcBorders>
                    <w:tl2br w:val="nil"/>
                    <w:tr2bl w:val="nil"/>
                  </w:tcBorders>
                  <w:noWrap w:val="0"/>
                  <w:vAlign w:val="center"/>
                </w:tcPr>
                <w:p w14:paraId="20E8FA2D">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824" w:type="dxa"/>
                  <w:tcBorders>
                    <w:tl2br w:val="nil"/>
                    <w:tr2bl w:val="nil"/>
                  </w:tcBorders>
                  <w:noWrap w:val="0"/>
                  <w:vAlign w:val="center"/>
                </w:tcPr>
                <w:p w14:paraId="18A5C8C8">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767" w:type="dxa"/>
                  <w:tcBorders>
                    <w:tl2br w:val="nil"/>
                    <w:tr2bl w:val="nil"/>
                  </w:tcBorders>
                  <w:noWrap w:val="0"/>
                  <w:vAlign w:val="center"/>
                </w:tcPr>
                <w:p w14:paraId="5D7162CF">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841" w:type="dxa"/>
                  <w:tcBorders>
                    <w:tl2br w:val="nil"/>
                    <w:tr2bl w:val="nil"/>
                  </w:tcBorders>
                  <w:noWrap w:val="0"/>
                  <w:vAlign w:val="center"/>
                </w:tcPr>
                <w:p w14:paraId="47A45B56">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41" w:type="dxa"/>
                  <w:tcBorders>
                    <w:tl2br w:val="nil"/>
                    <w:tr2bl w:val="nil"/>
                  </w:tcBorders>
                  <w:noWrap w:val="0"/>
                  <w:vAlign w:val="center"/>
                </w:tcPr>
                <w:p w14:paraId="3BCE3D97">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842" w:type="dxa"/>
                  <w:tcBorders>
                    <w:tl2br w:val="nil"/>
                    <w:tr2bl w:val="nil"/>
                  </w:tcBorders>
                  <w:noWrap w:val="0"/>
                  <w:vAlign w:val="center"/>
                </w:tcPr>
                <w:p w14:paraId="46D39A25">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833" w:type="dxa"/>
                  <w:tcBorders>
                    <w:tl2br w:val="nil"/>
                    <w:tr2bl w:val="nil"/>
                  </w:tcBorders>
                  <w:noWrap w:val="0"/>
                  <w:vAlign w:val="center"/>
                </w:tcPr>
                <w:p w14:paraId="1F5695DC">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r>
            <w:tr w14:paraId="04A2FE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59" w:type="dxa"/>
                  <w:tcBorders>
                    <w:tl2br w:val="nil"/>
                    <w:tr2bl w:val="nil"/>
                  </w:tcBorders>
                  <w:noWrap w:val="0"/>
                  <w:vAlign w:val="center"/>
                </w:tcPr>
                <w:p w14:paraId="23CBAB10">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铲车</w:t>
                  </w:r>
                </w:p>
              </w:tc>
              <w:tc>
                <w:tcPr>
                  <w:tcW w:w="585" w:type="dxa"/>
                  <w:tcBorders>
                    <w:tl2br w:val="nil"/>
                    <w:tr2bl w:val="nil"/>
                  </w:tcBorders>
                  <w:noWrap w:val="0"/>
                  <w:vAlign w:val="center"/>
                </w:tcPr>
                <w:p w14:paraId="1A7CB012">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659" w:type="dxa"/>
                  <w:tcBorders>
                    <w:tl2br w:val="nil"/>
                    <w:tr2bl w:val="nil"/>
                  </w:tcBorders>
                  <w:noWrap w:val="0"/>
                  <w:vAlign w:val="center"/>
                </w:tcPr>
                <w:p w14:paraId="36F4EB30">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824" w:type="dxa"/>
                  <w:tcBorders>
                    <w:tl2br w:val="nil"/>
                    <w:tr2bl w:val="nil"/>
                  </w:tcBorders>
                  <w:noWrap w:val="0"/>
                  <w:vAlign w:val="center"/>
                </w:tcPr>
                <w:p w14:paraId="2BA4064D">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767" w:type="dxa"/>
                  <w:tcBorders>
                    <w:tl2br w:val="nil"/>
                    <w:tr2bl w:val="nil"/>
                  </w:tcBorders>
                  <w:noWrap w:val="0"/>
                  <w:vAlign w:val="center"/>
                </w:tcPr>
                <w:p w14:paraId="0CDD4ADF">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841" w:type="dxa"/>
                  <w:tcBorders>
                    <w:tl2br w:val="nil"/>
                    <w:tr2bl w:val="nil"/>
                  </w:tcBorders>
                  <w:noWrap w:val="0"/>
                  <w:vAlign w:val="center"/>
                </w:tcPr>
                <w:p w14:paraId="2BE44DDD">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841" w:type="dxa"/>
                  <w:tcBorders>
                    <w:tl2br w:val="nil"/>
                    <w:tr2bl w:val="nil"/>
                  </w:tcBorders>
                  <w:noWrap w:val="0"/>
                  <w:vAlign w:val="center"/>
                </w:tcPr>
                <w:p w14:paraId="01A2AABE">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42" w:type="dxa"/>
                  <w:tcBorders>
                    <w:tl2br w:val="nil"/>
                    <w:tr2bl w:val="nil"/>
                  </w:tcBorders>
                  <w:noWrap w:val="0"/>
                  <w:vAlign w:val="center"/>
                </w:tcPr>
                <w:p w14:paraId="46F800B1">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w:t>
                  </w:r>
                </w:p>
              </w:tc>
              <w:tc>
                <w:tcPr>
                  <w:tcW w:w="833" w:type="dxa"/>
                  <w:tcBorders>
                    <w:tl2br w:val="nil"/>
                    <w:tr2bl w:val="nil"/>
                  </w:tcBorders>
                  <w:noWrap w:val="0"/>
                  <w:vAlign w:val="center"/>
                </w:tcPr>
                <w:p w14:paraId="396ECF8F">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r>
            <w:tr w14:paraId="04D57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59" w:type="dxa"/>
                  <w:tcBorders>
                    <w:tl2br w:val="nil"/>
                    <w:tr2bl w:val="nil"/>
                  </w:tcBorders>
                  <w:noWrap w:val="0"/>
                  <w:vAlign w:val="center"/>
                </w:tcPr>
                <w:p w14:paraId="3560ABE0">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电锯</w:t>
                  </w:r>
                </w:p>
              </w:tc>
              <w:tc>
                <w:tcPr>
                  <w:tcW w:w="585" w:type="dxa"/>
                  <w:tcBorders>
                    <w:tl2br w:val="nil"/>
                    <w:tr2bl w:val="nil"/>
                  </w:tcBorders>
                  <w:noWrap w:val="0"/>
                  <w:vAlign w:val="center"/>
                </w:tcPr>
                <w:p w14:paraId="727B368C">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w:t>
                  </w:r>
                </w:p>
              </w:tc>
              <w:tc>
                <w:tcPr>
                  <w:tcW w:w="659" w:type="dxa"/>
                  <w:tcBorders>
                    <w:tl2br w:val="nil"/>
                    <w:tr2bl w:val="nil"/>
                  </w:tcBorders>
                  <w:noWrap w:val="0"/>
                  <w:vAlign w:val="center"/>
                </w:tcPr>
                <w:p w14:paraId="46CE1864">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824" w:type="dxa"/>
                  <w:tcBorders>
                    <w:tl2br w:val="nil"/>
                    <w:tr2bl w:val="nil"/>
                  </w:tcBorders>
                  <w:noWrap w:val="0"/>
                  <w:vAlign w:val="center"/>
                </w:tcPr>
                <w:p w14:paraId="57D782B4">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767" w:type="dxa"/>
                  <w:tcBorders>
                    <w:tl2br w:val="nil"/>
                    <w:tr2bl w:val="nil"/>
                  </w:tcBorders>
                  <w:noWrap w:val="0"/>
                  <w:vAlign w:val="center"/>
                </w:tcPr>
                <w:p w14:paraId="170B91B1">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841" w:type="dxa"/>
                  <w:tcBorders>
                    <w:tl2br w:val="nil"/>
                    <w:tr2bl w:val="nil"/>
                  </w:tcBorders>
                  <w:noWrap w:val="0"/>
                  <w:vAlign w:val="center"/>
                </w:tcPr>
                <w:p w14:paraId="67A3B8BD">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841" w:type="dxa"/>
                  <w:tcBorders>
                    <w:tl2br w:val="nil"/>
                    <w:tr2bl w:val="nil"/>
                  </w:tcBorders>
                  <w:noWrap w:val="0"/>
                  <w:vAlign w:val="center"/>
                </w:tcPr>
                <w:p w14:paraId="3D50E8F7">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842" w:type="dxa"/>
                  <w:tcBorders>
                    <w:tl2br w:val="nil"/>
                    <w:tr2bl w:val="nil"/>
                  </w:tcBorders>
                  <w:noWrap w:val="0"/>
                  <w:vAlign w:val="center"/>
                </w:tcPr>
                <w:p w14:paraId="3C79C454">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833" w:type="dxa"/>
                  <w:tcBorders>
                    <w:tl2br w:val="nil"/>
                    <w:tr2bl w:val="nil"/>
                  </w:tcBorders>
                  <w:noWrap w:val="0"/>
                  <w:vAlign w:val="center"/>
                </w:tcPr>
                <w:p w14:paraId="4318E2EA">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14:paraId="4B06EC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59" w:type="dxa"/>
                  <w:tcBorders>
                    <w:tl2br w:val="nil"/>
                    <w:tr2bl w:val="nil"/>
                  </w:tcBorders>
                  <w:noWrap w:val="0"/>
                  <w:vAlign w:val="center"/>
                </w:tcPr>
                <w:p w14:paraId="03541B2B">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起重机</w:t>
                  </w:r>
                </w:p>
              </w:tc>
              <w:tc>
                <w:tcPr>
                  <w:tcW w:w="585" w:type="dxa"/>
                  <w:tcBorders>
                    <w:tl2br w:val="nil"/>
                    <w:tr2bl w:val="nil"/>
                  </w:tcBorders>
                  <w:noWrap w:val="0"/>
                  <w:vAlign w:val="center"/>
                </w:tcPr>
                <w:p w14:paraId="6973ECAF">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659" w:type="dxa"/>
                  <w:tcBorders>
                    <w:tl2br w:val="nil"/>
                    <w:tr2bl w:val="nil"/>
                  </w:tcBorders>
                  <w:noWrap w:val="0"/>
                  <w:vAlign w:val="center"/>
                </w:tcPr>
                <w:p w14:paraId="33F3EBD4">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824" w:type="dxa"/>
                  <w:tcBorders>
                    <w:tl2br w:val="nil"/>
                    <w:tr2bl w:val="nil"/>
                  </w:tcBorders>
                  <w:noWrap w:val="0"/>
                  <w:vAlign w:val="center"/>
                </w:tcPr>
                <w:p w14:paraId="3C1E25AE">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767" w:type="dxa"/>
                  <w:tcBorders>
                    <w:tl2br w:val="nil"/>
                    <w:tr2bl w:val="nil"/>
                  </w:tcBorders>
                  <w:noWrap w:val="0"/>
                  <w:vAlign w:val="center"/>
                </w:tcPr>
                <w:p w14:paraId="3689A1DC">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41" w:type="dxa"/>
                  <w:tcBorders>
                    <w:tl2br w:val="nil"/>
                    <w:tr2bl w:val="nil"/>
                  </w:tcBorders>
                  <w:noWrap w:val="0"/>
                  <w:vAlign w:val="center"/>
                </w:tcPr>
                <w:p w14:paraId="2DEC9CED">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841" w:type="dxa"/>
                  <w:tcBorders>
                    <w:tl2br w:val="nil"/>
                    <w:tr2bl w:val="nil"/>
                  </w:tcBorders>
                  <w:noWrap w:val="0"/>
                  <w:vAlign w:val="center"/>
                </w:tcPr>
                <w:p w14:paraId="6ED30913">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842" w:type="dxa"/>
                  <w:tcBorders>
                    <w:tl2br w:val="nil"/>
                    <w:tr2bl w:val="nil"/>
                  </w:tcBorders>
                  <w:noWrap w:val="0"/>
                  <w:vAlign w:val="center"/>
                </w:tcPr>
                <w:p w14:paraId="1CABEFE8">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833" w:type="dxa"/>
                  <w:tcBorders>
                    <w:tl2br w:val="nil"/>
                    <w:tr2bl w:val="nil"/>
                  </w:tcBorders>
                  <w:noWrap w:val="0"/>
                  <w:vAlign w:val="center"/>
                </w:tcPr>
                <w:p w14:paraId="685BB4B0">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r>
            <w:tr w14:paraId="03BED1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59" w:type="dxa"/>
                  <w:tcBorders>
                    <w:tl2br w:val="nil"/>
                    <w:tr2bl w:val="nil"/>
                  </w:tcBorders>
                  <w:noWrap w:val="0"/>
                  <w:vAlign w:val="center"/>
                </w:tcPr>
                <w:p w14:paraId="775C7333">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w:t>
                  </w:r>
                </w:p>
              </w:tc>
              <w:tc>
                <w:tcPr>
                  <w:tcW w:w="585" w:type="dxa"/>
                  <w:tcBorders>
                    <w:tl2br w:val="nil"/>
                    <w:tr2bl w:val="nil"/>
                  </w:tcBorders>
                  <w:noWrap w:val="0"/>
                  <w:vAlign w:val="center"/>
                </w:tcPr>
                <w:p w14:paraId="4A229164">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659" w:type="dxa"/>
                  <w:tcBorders>
                    <w:tl2br w:val="nil"/>
                    <w:tr2bl w:val="nil"/>
                  </w:tcBorders>
                  <w:noWrap w:val="0"/>
                  <w:vAlign w:val="center"/>
                </w:tcPr>
                <w:p w14:paraId="4EB6AD43">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824" w:type="dxa"/>
                  <w:tcBorders>
                    <w:tl2br w:val="nil"/>
                    <w:tr2bl w:val="nil"/>
                  </w:tcBorders>
                  <w:noWrap w:val="0"/>
                  <w:vAlign w:val="center"/>
                </w:tcPr>
                <w:p w14:paraId="4DFEFE02">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767" w:type="dxa"/>
                  <w:tcBorders>
                    <w:tl2br w:val="nil"/>
                    <w:tr2bl w:val="nil"/>
                  </w:tcBorders>
                  <w:noWrap w:val="0"/>
                  <w:vAlign w:val="center"/>
                </w:tcPr>
                <w:p w14:paraId="675A3FD5">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841" w:type="dxa"/>
                  <w:tcBorders>
                    <w:tl2br w:val="nil"/>
                    <w:tr2bl w:val="nil"/>
                  </w:tcBorders>
                  <w:noWrap w:val="0"/>
                  <w:vAlign w:val="center"/>
                </w:tcPr>
                <w:p w14:paraId="506CDCDC">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841" w:type="dxa"/>
                  <w:tcBorders>
                    <w:tl2br w:val="nil"/>
                    <w:tr2bl w:val="nil"/>
                  </w:tcBorders>
                  <w:noWrap w:val="0"/>
                  <w:vAlign w:val="center"/>
                </w:tcPr>
                <w:p w14:paraId="270E3C4E">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842" w:type="dxa"/>
                  <w:tcBorders>
                    <w:tl2br w:val="nil"/>
                    <w:tr2bl w:val="nil"/>
                  </w:tcBorders>
                  <w:noWrap w:val="0"/>
                  <w:vAlign w:val="center"/>
                </w:tcPr>
                <w:p w14:paraId="74BA9A2E">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833" w:type="dxa"/>
                  <w:tcBorders>
                    <w:tl2br w:val="nil"/>
                    <w:tr2bl w:val="nil"/>
                  </w:tcBorders>
                  <w:noWrap w:val="0"/>
                  <w:vAlign w:val="center"/>
                </w:tcPr>
                <w:p w14:paraId="2C2C7F4F">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r>
            <w:tr w14:paraId="619434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59" w:type="dxa"/>
                  <w:tcBorders>
                    <w:tl2br w:val="nil"/>
                    <w:tr2bl w:val="nil"/>
                  </w:tcBorders>
                  <w:noWrap w:val="0"/>
                  <w:vAlign w:val="center"/>
                </w:tcPr>
                <w:p w14:paraId="1B0338A1">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挖掘机</w:t>
                  </w:r>
                </w:p>
              </w:tc>
              <w:tc>
                <w:tcPr>
                  <w:tcW w:w="585" w:type="dxa"/>
                  <w:tcBorders>
                    <w:tl2br w:val="nil"/>
                    <w:tr2bl w:val="nil"/>
                  </w:tcBorders>
                  <w:noWrap w:val="0"/>
                  <w:vAlign w:val="center"/>
                </w:tcPr>
                <w:p w14:paraId="42950088">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659" w:type="dxa"/>
                  <w:tcBorders>
                    <w:tl2br w:val="nil"/>
                    <w:tr2bl w:val="nil"/>
                  </w:tcBorders>
                  <w:noWrap w:val="0"/>
                  <w:vAlign w:val="center"/>
                </w:tcPr>
                <w:p w14:paraId="5AF11223">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824" w:type="dxa"/>
                  <w:tcBorders>
                    <w:tl2br w:val="nil"/>
                    <w:tr2bl w:val="nil"/>
                  </w:tcBorders>
                  <w:noWrap w:val="0"/>
                  <w:vAlign w:val="center"/>
                </w:tcPr>
                <w:p w14:paraId="0AE70A11">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767" w:type="dxa"/>
                  <w:tcBorders>
                    <w:tl2br w:val="nil"/>
                    <w:tr2bl w:val="nil"/>
                  </w:tcBorders>
                  <w:noWrap w:val="0"/>
                  <w:vAlign w:val="center"/>
                </w:tcPr>
                <w:p w14:paraId="1ABF3497">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841" w:type="dxa"/>
                  <w:tcBorders>
                    <w:tl2br w:val="nil"/>
                    <w:tr2bl w:val="nil"/>
                  </w:tcBorders>
                  <w:noWrap w:val="0"/>
                  <w:vAlign w:val="center"/>
                </w:tcPr>
                <w:p w14:paraId="58931745">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841" w:type="dxa"/>
                  <w:tcBorders>
                    <w:tl2br w:val="nil"/>
                    <w:tr2bl w:val="nil"/>
                  </w:tcBorders>
                  <w:noWrap w:val="0"/>
                  <w:vAlign w:val="center"/>
                </w:tcPr>
                <w:p w14:paraId="7A418701">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842" w:type="dxa"/>
                  <w:tcBorders>
                    <w:tl2br w:val="nil"/>
                    <w:tr2bl w:val="nil"/>
                  </w:tcBorders>
                  <w:noWrap w:val="0"/>
                  <w:vAlign w:val="center"/>
                </w:tcPr>
                <w:p w14:paraId="25861992">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833" w:type="dxa"/>
                  <w:tcBorders>
                    <w:tl2br w:val="nil"/>
                    <w:tr2bl w:val="nil"/>
                  </w:tcBorders>
                  <w:noWrap w:val="0"/>
                  <w:vAlign w:val="center"/>
                </w:tcPr>
                <w:p w14:paraId="398964AE">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r>
            <w:tr w14:paraId="2D0FF8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59" w:type="dxa"/>
                  <w:tcBorders>
                    <w:tl2br w:val="nil"/>
                    <w:tr2bl w:val="nil"/>
                  </w:tcBorders>
                  <w:noWrap w:val="0"/>
                  <w:vAlign w:val="center"/>
                </w:tcPr>
                <w:p w14:paraId="3CA2DA25">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噪声叠加值</w:t>
                  </w:r>
                </w:p>
              </w:tc>
              <w:tc>
                <w:tcPr>
                  <w:tcW w:w="585" w:type="dxa"/>
                  <w:tcBorders>
                    <w:tl2br w:val="nil"/>
                    <w:tr2bl w:val="nil"/>
                  </w:tcBorders>
                  <w:noWrap w:val="0"/>
                  <w:vAlign w:val="center"/>
                </w:tcPr>
                <w:p w14:paraId="7D25D035">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659" w:type="dxa"/>
                  <w:tcBorders>
                    <w:tl2br w:val="nil"/>
                    <w:tr2bl w:val="nil"/>
                  </w:tcBorders>
                  <w:noWrap w:val="0"/>
                  <w:vAlign w:val="center"/>
                </w:tcPr>
                <w:p w14:paraId="08280963">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824" w:type="dxa"/>
                  <w:tcBorders>
                    <w:tl2br w:val="nil"/>
                    <w:tr2bl w:val="nil"/>
                  </w:tcBorders>
                  <w:noWrap w:val="0"/>
                  <w:vAlign w:val="center"/>
                </w:tcPr>
                <w:p w14:paraId="7DA90A2B">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767" w:type="dxa"/>
                  <w:tcBorders>
                    <w:tl2br w:val="nil"/>
                    <w:tr2bl w:val="nil"/>
                  </w:tcBorders>
                  <w:noWrap w:val="0"/>
                  <w:vAlign w:val="center"/>
                </w:tcPr>
                <w:p w14:paraId="3A6AC9F7">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841" w:type="dxa"/>
                  <w:tcBorders>
                    <w:tl2br w:val="nil"/>
                    <w:tr2bl w:val="nil"/>
                  </w:tcBorders>
                  <w:noWrap w:val="0"/>
                  <w:vAlign w:val="center"/>
                </w:tcPr>
                <w:p w14:paraId="1D2AD7E2">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841" w:type="dxa"/>
                  <w:tcBorders>
                    <w:tl2br w:val="nil"/>
                    <w:tr2bl w:val="nil"/>
                  </w:tcBorders>
                  <w:noWrap w:val="0"/>
                  <w:vAlign w:val="center"/>
                </w:tcPr>
                <w:p w14:paraId="06B4DAFC">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842" w:type="dxa"/>
                  <w:tcBorders>
                    <w:tl2br w:val="nil"/>
                    <w:tr2bl w:val="nil"/>
                  </w:tcBorders>
                  <w:noWrap w:val="0"/>
                  <w:vAlign w:val="center"/>
                </w:tcPr>
                <w:p w14:paraId="1D136D91">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833" w:type="dxa"/>
                  <w:tcBorders>
                    <w:tl2br w:val="nil"/>
                    <w:tr2bl w:val="nil"/>
                  </w:tcBorders>
                  <w:noWrap w:val="0"/>
                  <w:vAlign w:val="center"/>
                </w:tcPr>
                <w:p w14:paraId="07B57BE2">
                  <w:pPr>
                    <w:keepNext w:val="0"/>
                    <w:keepLines w:val="0"/>
                    <w:pageBreakBefore w:val="0"/>
                    <w:widowControl w:val="0"/>
                    <w:kinsoku/>
                    <w:wordWrap/>
                    <w:overflowPunct w:val="0"/>
                    <w:topLinePunct/>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r>
          </w:tbl>
          <w:p w14:paraId="35D9BE7A">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根据《建筑施工场界环境噪声排放标准》（GB12523－20</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）要求，建筑施工场界环境噪声排放限值为：昼间70dB（A），夜间55dB（A）。</w:t>
            </w:r>
          </w:p>
          <w:p w14:paraId="64BF025A">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由表4.1-2可以看出，施工期间，昼间距声源15m范围、夜间距声源40m范围内声级能够满足《建筑施工场界环境噪声排放标准》（GB12523－20</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）标准要求。项目</w:t>
            </w:r>
            <w:r>
              <w:rPr>
                <w:rFonts w:hint="default" w:ascii="Times New Roman" w:hAnsi="Times New Roman" w:cs="Times New Roman"/>
                <w:color w:val="auto"/>
                <w:sz w:val="24"/>
                <w:szCs w:val="24"/>
                <w:highlight w:val="none"/>
                <w:lang w:val="en-US" w:eastAsia="zh-CN"/>
              </w:rPr>
              <w:t>施工区域</w:t>
            </w:r>
            <w:r>
              <w:rPr>
                <w:rFonts w:hint="default" w:ascii="Times New Roman" w:hAnsi="Times New Roman" w:eastAsia="宋体" w:cs="Times New Roman"/>
                <w:color w:val="auto"/>
                <w:sz w:val="24"/>
                <w:szCs w:val="24"/>
                <w:highlight w:val="none"/>
                <w:lang w:val="en-US" w:eastAsia="zh-CN"/>
              </w:rPr>
              <w:t>外50m范围内无声环境保护目标，因此施工噪声对周围敏感目标影响较小。</w:t>
            </w:r>
          </w:p>
          <w:p w14:paraId="1FFE9AF0">
            <w:pPr>
              <w:keepNext w:val="0"/>
              <w:keepLines w:val="0"/>
              <w:pageBreakBefore w:val="0"/>
              <w:widowControl/>
              <w:suppressLineNumbers w:val="0"/>
              <w:kinsoku/>
              <w:wordWrap/>
              <w:overflowPunct w:val="0"/>
              <w:topLinePunct/>
              <w:autoSpaceDE/>
              <w:autoSpaceDN/>
              <w:bidi w:val="0"/>
              <w:spacing w:line="460" w:lineRule="exact"/>
              <w:ind w:firstLine="482"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4.1.4固体废物</w:t>
            </w:r>
          </w:p>
          <w:p w14:paraId="267084FC">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施工期固体废物主要有施工产生的弃渣和生活垃圾两类。为防止各类固废运输过程中因撒漏而造成不良环境影响，评价要求建设单位或施工单位应加强对施工固废的运输管理：</w:t>
            </w:r>
          </w:p>
          <w:p w14:paraId="01BCCE11">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①施工过程的挖方及</w:t>
            </w:r>
            <w:r>
              <w:rPr>
                <w:rFonts w:hint="default" w:ascii="Times New Roman" w:hAnsi="Times New Roman" w:cs="Times New Roman"/>
                <w:color w:val="auto"/>
                <w:sz w:val="24"/>
                <w:szCs w:val="24"/>
                <w:highlight w:val="none"/>
                <w:lang w:val="en-US" w:eastAsia="zh-CN"/>
              </w:rPr>
              <w:t>2#包装车间拆除过程中产生的建筑</w:t>
            </w:r>
            <w:r>
              <w:rPr>
                <w:rFonts w:hint="default" w:ascii="Times New Roman" w:hAnsi="Times New Roman" w:eastAsia="宋体" w:cs="Times New Roman"/>
                <w:color w:val="auto"/>
                <w:sz w:val="24"/>
                <w:szCs w:val="24"/>
                <w:highlight w:val="none"/>
                <w:lang w:val="en-US" w:eastAsia="zh-CN"/>
              </w:rPr>
              <w:t>垃圾尽量回用，严禁任意倾倒</w:t>
            </w:r>
            <w:r>
              <w:rPr>
                <w:rFonts w:hint="default" w:ascii="Times New Roman" w:hAnsi="Times New Roman" w:cs="Times New Roman"/>
                <w:color w:val="auto"/>
                <w:sz w:val="24"/>
                <w:szCs w:val="24"/>
                <w:highlight w:val="none"/>
                <w:lang w:val="en-US" w:eastAsia="zh-CN"/>
              </w:rPr>
              <w:t>，不能回用部分外售或运至指定建筑垃圾处理场</w:t>
            </w:r>
            <w:r>
              <w:rPr>
                <w:rFonts w:hint="default" w:ascii="Times New Roman" w:hAnsi="Times New Roman" w:eastAsia="宋体" w:cs="Times New Roman"/>
                <w:color w:val="auto"/>
                <w:sz w:val="24"/>
                <w:szCs w:val="24"/>
                <w:highlight w:val="none"/>
                <w:lang w:val="en-US" w:eastAsia="zh-CN"/>
              </w:rPr>
              <w:t>。</w:t>
            </w:r>
          </w:p>
          <w:p w14:paraId="105C0A3E">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cs="Times New Roman"/>
                <w:color w:val="auto"/>
                <w:sz w:val="24"/>
                <w:szCs w:val="24"/>
                <w:highlight w:val="none"/>
                <w:lang w:val="en-US" w:eastAsia="zh-CN"/>
              </w:rPr>
              <w:t>本项目现有精炼车间精炼设备、</w:t>
            </w:r>
            <w:r>
              <w:rPr>
                <w:rFonts w:hint="default" w:ascii="Times New Roman" w:hAnsi="Times New Roman" w:cs="Times New Roman"/>
                <w:color w:val="auto"/>
                <w:sz w:val="24"/>
                <w:szCs w:val="24"/>
                <w:highlight w:val="none"/>
                <w:lang w:val="en-US" w:eastAsia="zh-CN"/>
              </w:rPr>
              <w:t>2#包装车间拆除过程</w:t>
            </w:r>
            <w:r>
              <w:rPr>
                <w:rFonts w:hint="eastAsia" w:ascii="Times New Roman" w:hAnsi="Times New Roman" w:cs="Times New Roman"/>
                <w:color w:val="auto"/>
                <w:sz w:val="24"/>
                <w:szCs w:val="24"/>
                <w:highlight w:val="none"/>
                <w:lang w:val="en-US" w:eastAsia="zh-CN"/>
              </w:rPr>
              <w:t>需提前制定拆除方案，在拆除过程中应设置围挡，既有锅炉等设备按《特种设备安全监察条例》等规定进行核销，拆除固废进行分类收集，可回收部分交回收单位回收，不可回收部分综合处置。</w:t>
            </w:r>
          </w:p>
          <w:p w14:paraId="1C646754">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③建筑垃圾道路运输过程中，必须使用密闭汽车装载，装载方式规范，保持车容整洁，不得沿途飞扬、撒漏和带泥上路。</w:t>
            </w:r>
          </w:p>
          <w:p w14:paraId="614F3265">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④施工人员生活垃圾应集中管理，严禁随意倾倒，施工单位应加强监督管理作用。</w:t>
            </w:r>
          </w:p>
          <w:p w14:paraId="3E97DC72">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项目施工期的影响是暂时的，在施工结束后，影响区域的各环境要素基本可以得到恢复。只要项目施工期认真制定和落实应该采取的环保对策措施，工程施工的环境影响问题可以得到消除或有效</w:t>
            </w:r>
            <w:r>
              <w:rPr>
                <w:rFonts w:hint="eastAsia" w:cs="Times New Roman"/>
                <w:color w:val="auto"/>
                <w:sz w:val="24"/>
                <w:szCs w:val="24"/>
                <w:highlight w:val="none"/>
                <w:lang w:val="en-US" w:eastAsia="zh-CN"/>
              </w:rPr>
              <w:t>地</w:t>
            </w:r>
            <w:r>
              <w:rPr>
                <w:rFonts w:hint="default" w:ascii="Times New Roman" w:hAnsi="Times New Roman" w:eastAsia="宋体" w:cs="Times New Roman"/>
                <w:color w:val="auto"/>
                <w:sz w:val="24"/>
                <w:szCs w:val="24"/>
                <w:highlight w:val="none"/>
                <w:lang w:val="en-US" w:eastAsia="zh-CN"/>
              </w:rPr>
              <w:t>控制，可以使其对环境的影响降</w:t>
            </w:r>
            <w:r>
              <w:rPr>
                <w:rFonts w:hint="eastAsia" w:cs="Times New Roman"/>
                <w:color w:val="auto"/>
                <w:sz w:val="24"/>
                <w:szCs w:val="24"/>
                <w:highlight w:val="none"/>
                <w:lang w:val="en-US" w:eastAsia="zh-CN"/>
              </w:rPr>
              <w:t>至最</w:t>
            </w:r>
            <w:r>
              <w:rPr>
                <w:rFonts w:hint="default" w:ascii="Times New Roman" w:hAnsi="Times New Roman" w:eastAsia="宋体" w:cs="Times New Roman"/>
                <w:color w:val="auto"/>
                <w:sz w:val="24"/>
                <w:szCs w:val="24"/>
                <w:highlight w:val="none"/>
                <w:lang w:val="en-US" w:eastAsia="zh-CN"/>
              </w:rPr>
              <w:t>小程度。</w:t>
            </w:r>
          </w:p>
          <w:p w14:paraId="38C2071D">
            <w:pPr>
              <w:keepNext w:val="0"/>
              <w:keepLines w:val="0"/>
              <w:pageBreakBefore w:val="0"/>
              <w:widowControl w:val="0"/>
              <w:kinsoku/>
              <w:wordWrap/>
              <w:overflowPunct w:val="0"/>
              <w:topLinePunct/>
              <w:autoSpaceDE/>
              <w:autoSpaceDN/>
              <w:bidi w:val="0"/>
              <w:adjustRightInd w:val="0"/>
              <w:snapToGrid w:val="0"/>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综上所述，施工期污染物的排放随施工的结束而消失。</w:t>
            </w:r>
          </w:p>
        </w:tc>
      </w:tr>
      <w:tr w14:paraId="1B8F5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265" w:type="pct"/>
            <w:noWrap w:val="0"/>
            <w:tcMar>
              <w:left w:w="28" w:type="dxa"/>
              <w:right w:w="28" w:type="dxa"/>
            </w:tcMar>
            <w:vAlign w:val="center"/>
          </w:tcPr>
          <w:p w14:paraId="3B111229">
            <w:pPr>
              <w:pageBreakBefore w:val="0"/>
              <w:kinsoku/>
              <w:wordWrap/>
              <w:overflowPunct w:val="0"/>
              <w:topLinePunct/>
              <w:bidi w:val="0"/>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
                <w:bCs w:val="0"/>
                <w:color w:val="auto"/>
                <w:sz w:val="24"/>
                <w:szCs w:val="24"/>
                <w:highlight w:val="none"/>
              </w:rPr>
              <w:t>运营期环境影响和保护措施</w:t>
            </w:r>
          </w:p>
        </w:tc>
        <w:tc>
          <w:tcPr>
            <w:tcW w:w="4734" w:type="pct"/>
            <w:noWrap w:val="0"/>
            <w:vAlign w:val="center"/>
          </w:tcPr>
          <w:p w14:paraId="787D8561">
            <w:pPr>
              <w:pStyle w:val="24"/>
              <w:keepNext w:val="0"/>
              <w:keepLines w:val="0"/>
              <w:pageBreakBefore w:val="0"/>
              <w:widowControl w:val="0"/>
              <w:kinsoku/>
              <w:wordWrap/>
              <w:overflowPunct w:val="0"/>
              <w:topLinePunct/>
              <w:autoSpaceDE/>
              <w:autoSpaceDN/>
              <w:bidi w:val="0"/>
              <w:adjustRightInd/>
              <w:snapToGrid/>
              <w:spacing w:line="460" w:lineRule="exact"/>
              <w:textAlignment w:val="auto"/>
              <w:rPr>
                <w:rFonts w:hint="default" w:ascii="Times New Roman" w:hAnsi="Times New Roman" w:eastAsia="宋体" w:cs="Times New Roman"/>
                <w:b/>
                <w:bCs/>
                <w:color w:val="auto"/>
                <w:spacing w:val="-1"/>
                <w:sz w:val="24"/>
                <w:szCs w:val="24"/>
                <w:highlight w:val="none"/>
                <w:lang w:val="en-US" w:eastAsia="zh-CN"/>
              </w:rPr>
            </w:pPr>
            <w:r>
              <w:rPr>
                <w:rFonts w:hint="default" w:ascii="Times New Roman" w:hAnsi="Times New Roman" w:eastAsia="宋体" w:cs="Times New Roman"/>
                <w:b/>
                <w:bCs/>
                <w:color w:val="auto"/>
                <w:spacing w:val="-1"/>
                <w:sz w:val="24"/>
                <w:szCs w:val="24"/>
                <w:highlight w:val="none"/>
                <w:lang w:val="en-US" w:eastAsia="zh-CN"/>
              </w:rPr>
              <w:t>4.2运营期环境影响和保护措施</w:t>
            </w:r>
          </w:p>
          <w:p w14:paraId="4FCAA748">
            <w:pPr>
              <w:pStyle w:val="24"/>
              <w:keepNext w:val="0"/>
              <w:keepLines w:val="0"/>
              <w:pageBreakBefore w:val="0"/>
              <w:widowControl w:val="0"/>
              <w:kinsoku/>
              <w:wordWrap/>
              <w:overflowPunct w:val="0"/>
              <w:topLinePunct/>
              <w:autoSpaceDE/>
              <w:autoSpaceDN/>
              <w:bidi w:val="0"/>
              <w:adjustRightInd/>
              <w:snapToGrid/>
              <w:spacing w:line="460" w:lineRule="exact"/>
              <w:ind w:firstLine="478" w:firstLineChars="200"/>
              <w:textAlignment w:val="auto"/>
              <w:rPr>
                <w:rFonts w:hint="default" w:ascii="Times New Roman" w:hAnsi="Times New Roman" w:eastAsia="宋体" w:cs="Times New Roman"/>
                <w:b/>
                <w:bCs/>
                <w:color w:val="auto"/>
                <w:spacing w:val="-1"/>
                <w:sz w:val="24"/>
                <w:szCs w:val="24"/>
                <w:highlight w:val="none"/>
                <w:lang w:val="en-US" w:eastAsia="zh-CN"/>
              </w:rPr>
            </w:pPr>
            <w:r>
              <w:rPr>
                <w:rFonts w:hint="default" w:ascii="Times New Roman" w:hAnsi="Times New Roman" w:eastAsia="宋体" w:cs="Times New Roman"/>
                <w:b/>
                <w:bCs/>
                <w:color w:val="auto"/>
                <w:spacing w:val="-1"/>
                <w:sz w:val="24"/>
                <w:szCs w:val="24"/>
                <w:highlight w:val="none"/>
                <w:lang w:val="en-US" w:eastAsia="zh-CN"/>
              </w:rPr>
              <w:t>4.2.1废气</w:t>
            </w:r>
          </w:p>
          <w:p w14:paraId="5BA29017">
            <w:pPr>
              <w:keepNext w:val="0"/>
              <w:keepLines w:val="0"/>
              <w:pageBreakBefore w:val="0"/>
              <w:widowControl/>
              <w:suppressLineNumbers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由于项目毛油来源不固定，因时期、地点、环境等特征不同导致各类毛油中脂肪酸含量不同，本评价按照最不利原则，选取建设单位提供的使用量最大的菜籽油进行产排污核算。</w:t>
            </w:r>
          </w:p>
          <w:p w14:paraId="2DF2AA80">
            <w:pPr>
              <w:keepNext w:val="0"/>
              <w:keepLines w:val="0"/>
              <w:pageBreakBefore w:val="0"/>
              <w:widowControl/>
              <w:suppressLineNumbers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（1）废气污染物源强核算</w:t>
            </w:r>
          </w:p>
          <w:p w14:paraId="0BB246E8">
            <w:pPr>
              <w:keepNext w:val="0"/>
              <w:keepLines w:val="0"/>
              <w:pageBreakBefore w:val="0"/>
              <w:widowControl/>
              <w:suppressLineNumbers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1）正常工况下</w:t>
            </w:r>
          </w:p>
          <w:p w14:paraId="5591F5A2">
            <w:pPr>
              <w:keepNext w:val="0"/>
              <w:keepLines w:val="0"/>
              <w:pageBreakBefore w:val="0"/>
              <w:widowControl/>
              <w:suppressLineNumbers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根据工程分析，</w:t>
            </w:r>
            <w:r>
              <w:rPr>
                <w:rFonts w:hint="eastAsia" w:cs="Times New Roman"/>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营运期的废气主要是</w:t>
            </w:r>
            <w:r>
              <w:rPr>
                <w:rFonts w:hint="default" w:ascii="Times New Roman" w:hAnsi="Times New Roman" w:cs="Times New Roman"/>
                <w:color w:val="auto"/>
                <w:kern w:val="2"/>
                <w:sz w:val="24"/>
                <w:szCs w:val="24"/>
                <w:highlight w:val="none"/>
                <w:lang w:val="en-US" w:eastAsia="zh-CN" w:bidi="ar-SA"/>
              </w:rPr>
              <w:t>精炼废气、</w:t>
            </w:r>
            <w:r>
              <w:rPr>
                <w:rFonts w:hint="eastAsia" w:cs="Times New Roman"/>
                <w:color w:val="auto"/>
                <w:kern w:val="2"/>
                <w:sz w:val="24"/>
                <w:szCs w:val="24"/>
                <w:highlight w:val="none"/>
                <w:lang w:val="en-US" w:eastAsia="zh-CN" w:bidi="ar-SA"/>
              </w:rPr>
              <w:t>白土投料粉尘、</w:t>
            </w:r>
            <w:r>
              <w:rPr>
                <w:rFonts w:hint="default" w:ascii="Times New Roman" w:hAnsi="Times New Roman" w:cs="Times New Roman"/>
                <w:color w:val="auto"/>
                <w:kern w:val="2"/>
                <w:sz w:val="24"/>
                <w:szCs w:val="24"/>
                <w:highlight w:val="none"/>
                <w:lang w:val="en-US" w:eastAsia="zh-CN" w:bidi="ar-SA"/>
              </w:rPr>
              <w:t>锅炉废气</w:t>
            </w:r>
            <w:r>
              <w:rPr>
                <w:rFonts w:hint="default" w:ascii="Times New Roman" w:hAnsi="Times New Roman" w:eastAsia="宋体" w:cs="Times New Roman"/>
                <w:color w:val="auto"/>
                <w:kern w:val="2"/>
                <w:sz w:val="24"/>
                <w:szCs w:val="24"/>
                <w:highlight w:val="none"/>
                <w:lang w:val="en-US" w:eastAsia="zh-CN" w:bidi="ar-SA"/>
              </w:rPr>
              <w:t>。</w:t>
            </w:r>
          </w:p>
          <w:p w14:paraId="0D2C1E3E">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①精炼废气</w:t>
            </w:r>
          </w:p>
          <w:p w14:paraId="0006DD6F">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排污许可证申请与核发技术规范农副食品加工工业一饲料加工、植物油加工工业</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，植物油加工项目精炼工序主要产污环节为脱臭</w:t>
            </w:r>
            <w:r>
              <w:rPr>
                <w:rFonts w:hint="eastAsia" w:cs="Times New Roman"/>
                <w:color w:val="auto"/>
                <w:kern w:val="0"/>
                <w:sz w:val="24"/>
                <w:szCs w:val="24"/>
                <w:highlight w:val="none"/>
                <w:lang w:val="en-US" w:eastAsia="zh-CN" w:bidi="ar"/>
              </w:rPr>
              <w:t>、脱色</w:t>
            </w:r>
            <w:r>
              <w:rPr>
                <w:rFonts w:hint="default" w:ascii="Times New Roman" w:hAnsi="Times New Roman" w:eastAsia="宋体" w:cs="Times New Roman"/>
                <w:color w:val="auto"/>
                <w:kern w:val="0"/>
                <w:sz w:val="24"/>
                <w:szCs w:val="24"/>
                <w:highlight w:val="none"/>
                <w:lang w:val="en-US" w:eastAsia="zh-CN" w:bidi="ar"/>
              </w:rPr>
              <w:t>工序，产生污染物为臭气浓度和非甲烷总烃。</w:t>
            </w:r>
          </w:p>
          <w:p w14:paraId="013C28D5">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项目油脂脱色采用白土进行脱色，脱色工序在脱色塔内完成，项目油脂脱臭采用蒸馏法，在脱臭塔内完成。在脱臭中</w:t>
            </w:r>
            <w:r>
              <w:rPr>
                <w:rFonts w:hint="eastAsia" w:cs="Times New Roman"/>
                <w:color w:val="auto"/>
                <w:kern w:val="0"/>
                <w:sz w:val="24"/>
                <w:szCs w:val="24"/>
                <w:highlight w:val="none"/>
                <w:lang w:val="en-US" w:eastAsia="zh-CN" w:bidi="ar"/>
              </w:rPr>
              <w:t>由于温度较高毛油中</w:t>
            </w:r>
            <w:r>
              <w:rPr>
                <w:rFonts w:hint="default" w:ascii="Times New Roman" w:hAnsi="Times New Roman" w:eastAsia="宋体" w:cs="Times New Roman"/>
                <w:color w:val="auto"/>
                <w:kern w:val="0"/>
                <w:sz w:val="24"/>
                <w:szCs w:val="24"/>
                <w:highlight w:val="none"/>
                <w:lang w:val="en-US" w:eastAsia="zh-CN" w:bidi="ar"/>
              </w:rPr>
              <w:t>挥发少量的异味，主要成分是异味物质和游离脂肪酸</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以非甲烷总烃计</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14:paraId="0E471AB6">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w:t>
            </w:r>
            <w:r>
              <w:rPr>
                <w:rFonts w:hint="default" w:ascii="Times New Roman" w:hAnsi="Times New Roman" w:eastAsia="宋体" w:cs="Times New Roman"/>
                <w:color w:val="auto"/>
                <w:kern w:val="0"/>
                <w:sz w:val="24"/>
                <w:szCs w:val="24"/>
                <w:highlight w:val="none"/>
                <w:lang w:val="en-US" w:eastAsia="zh-CN" w:bidi="ar"/>
              </w:rPr>
              <w:t>采用全封闭生产设备，各工艺设备之间均通过密闭管道连接，且车间配套自动控制的集气装置提供负压，正常情况下几乎无废气外溢，故集气效率以100%计。</w:t>
            </w:r>
          </w:p>
          <w:p w14:paraId="0A0B32E1">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eastAsia="宋体" w:cs="Times New Roman"/>
                <w:bCs/>
                <w:color w:val="auto"/>
                <w:sz w:val="24"/>
                <w:szCs w:val="24"/>
                <w:highlight w:val="none"/>
                <w:vertAlign w:val="baseline"/>
                <w:lang w:val="en-US" w:eastAsia="zh-CN"/>
              </w:rPr>
            </w:pPr>
            <w:r>
              <w:rPr>
                <w:rFonts w:hint="default" w:ascii="Times New Roman" w:hAnsi="Times New Roman" w:eastAsia="宋体" w:cs="Times New Roman"/>
                <w:color w:val="auto"/>
                <w:kern w:val="0"/>
                <w:sz w:val="24"/>
                <w:szCs w:val="24"/>
                <w:highlight w:val="none"/>
                <w:lang w:val="en-US" w:eastAsia="zh-CN" w:bidi="ar"/>
              </w:rPr>
              <w:t>脱臭在高温、高真空条件下进行，异味物质和游离脂肪酸绝大部分均被捕集塔捕集，进入脂肪酸储罐中而被去除，仅有极少量的废气外排。</w:t>
            </w:r>
            <w:r>
              <w:rPr>
                <w:rFonts w:hint="eastAsia" w:cs="Times New Roman"/>
                <w:color w:val="auto"/>
                <w:kern w:val="0"/>
                <w:sz w:val="24"/>
                <w:szCs w:val="24"/>
                <w:highlight w:val="none"/>
                <w:lang w:val="en-US" w:eastAsia="zh-CN" w:bidi="ar"/>
              </w:rPr>
              <w:t>根据</w:t>
            </w:r>
            <w:r>
              <w:rPr>
                <w:rFonts w:hint="default" w:ascii="Times New Roman" w:hAnsi="Times New Roman" w:cs="Times New Roman"/>
                <w:bCs/>
                <w:color w:val="auto"/>
                <w:sz w:val="24"/>
                <w:szCs w:val="24"/>
                <w:highlight w:val="none"/>
                <w:lang w:val="en-US" w:eastAsia="zh-CN"/>
              </w:rPr>
              <w:t>红蜻蜓（重庆）植物油脂有限公司2025年2月例行监测报告（报告编号：永渝(检)字[2025]第WT00036号，生产负荷99.5%），</w:t>
            </w:r>
            <w:r>
              <w:rPr>
                <w:rFonts w:hint="default" w:ascii="Times New Roman" w:hAnsi="Times New Roman" w:eastAsia="宋体" w:cs="Times New Roman"/>
                <w:color w:val="auto"/>
                <w:kern w:val="0"/>
                <w:sz w:val="24"/>
                <w:szCs w:val="24"/>
                <w:highlight w:val="none"/>
                <w:lang w:val="en-US" w:eastAsia="zh-CN" w:bidi="ar"/>
              </w:rPr>
              <w:t>脱臭</w:t>
            </w:r>
            <w:r>
              <w:rPr>
                <w:rFonts w:hint="default" w:ascii="Times New Roman" w:hAnsi="Times New Roman" w:cs="Times New Roman"/>
                <w:bCs/>
                <w:color w:val="auto"/>
                <w:sz w:val="24"/>
                <w:szCs w:val="24"/>
                <w:highlight w:val="none"/>
                <w:lang w:val="en-US" w:eastAsia="zh-CN"/>
              </w:rPr>
              <w:t>过程中</w:t>
            </w:r>
            <w:r>
              <w:rPr>
                <w:rFonts w:hint="default" w:ascii="Times New Roman" w:hAnsi="Times New Roman" w:eastAsia="宋体" w:cs="Times New Roman"/>
                <w:bCs/>
                <w:color w:val="auto"/>
                <w:sz w:val="24"/>
                <w:szCs w:val="24"/>
                <w:highlight w:val="none"/>
                <w:lang w:val="en-US" w:eastAsia="zh-CN"/>
              </w:rPr>
              <w:t>非甲烷总烃经</w:t>
            </w:r>
            <w:r>
              <w:rPr>
                <w:rFonts w:hint="eastAsia" w:cs="Times New Roman"/>
                <w:bCs w:val="0"/>
                <w:color w:val="auto"/>
                <w:kern w:val="0"/>
                <w:sz w:val="24"/>
                <w:szCs w:val="24"/>
                <w:highlight w:val="none"/>
                <w:u w:val="none"/>
                <w:lang w:val="en-US" w:eastAsia="zh-CN" w:bidi="ar"/>
              </w:rPr>
              <w:t>二级碱喷淋+次氯酸钠喷淋</w:t>
            </w:r>
            <w:r>
              <w:rPr>
                <w:rFonts w:hint="default" w:ascii="Times New Roman" w:hAnsi="Times New Roman" w:eastAsia="宋体" w:cs="Times New Roman"/>
                <w:bCs/>
                <w:color w:val="auto"/>
                <w:sz w:val="24"/>
                <w:szCs w:val="24"/>
                <w:highlight w:val="none"/>
                <w:lang w:val="en-US" w:eastAsia="zh-CN"/>
              </w:rPr>
              <w:t>工艺处理后</w:t>
            </w:r>
            <w:r>
              <w:rPr>
                <w:rFonts w:hint="default" w:ascii="Times New Roman" w:hAnsi="Times New Roman" w:cs="Times New Roman"/>
                <w:bCs/>
                <w:color w:val="auto"/>
                <w:sz w:val="24"/>
                <w:szCs w:val="24"/>
                <w:highlight w:val="none"/>
                <w:lang w:val="en-US" w:eastAsia="zh-CN"/>
              </w:rPr>
              <w:t>最大</w:t>
            </w:r>
            <w:r>
              <w:rPr>
                <w:rFonts w:hint="eastAsia" w:cs="Times New Roman"/>
                <w:bCs/>
                <w:color w:val="auto"/>
                <w:sz w:val="24"/>
                <w:szCs w:val="24"/>
                <w:highlight w:val="none"/>
                <w:lang w:val="en-US" w:eastAsia="zh-CN"/>
              </w:rPr>
              <w:t>排放速率为0.099kg/h</w:t>
            </w:r>
            <w:r>
              <w:rPr>
                <w:rFonts w:hint="default" w:ascii="Times New Roman" w:hAnsi="Times New Roman" w:eastAsia="宋体" w:cs="Times New Roman"/>
                <w:bCs/>
                <w:color w:val="auto"/>
                <w:sz w:val="24"/>
                <w:szCs w:val="24"/>
                <w:highlight w:val="none"/>
                <w:vertAlign w:val="baseline"/>
                <w:lang w:val="en-US" w:eastAsia="zh-CN"/>
              </w:rPr>
              <w:t>，</w:t>
            </w:r>
            <w:r>
              <w:rPr>
                <w:rFonts w:hint="default" w:ascii="Times New Roman" w:hAnsi="Times New Roman" w:eastAsia="宋体" w:cs="Times New Roman"/>
                <w:color w:val="auto"/>
                <w:kern w:val="0"/>
                <w:sz w:val="24"/>
                <w:szCs w:val="24"/>
                <w:highlight w:val="none"/>
                <w:lang w:val="en-US" w:eastAsia="zh-CN" w:bidi="ar"/>
              </w:rPr>
              <w:t>非甲烷总烃主要成分为脂肪酸</w:t>
            </w:r>
            <w:r>
              <w:rPr>
                <w:rFonts w:hint="eastAsia" w:cs="Times New Roman"/>
                <w:color w:val="auto"/>
                <w:kern w:val="0"/>
                <w:sz w:val="24"/>
                <w:szCs w:val="24"/>
                <w:highlight w:val="none"/>
                <w:lang w:val="en-US" w:eastAsia="zh-CN" w:bidi="ar"/>
              </w:rPr>
              <w:t>；根据建设单位提供设计说明，</w:t>
            </w:r>
            <w:r>
              <w:rPr>
                <w:rFonts w:hint="default" w:ascii="Times New Roman" w:hAnsi="Times New Roman" w:eastAsia="宋体" w:cs="Times New Roman"/>
                <w:bCs/>
                <w:color w:val="auto"/>
                <w:sz w:val="24"/>
                <w:szCs w:val="24"/>
                <w:highlight w:val="none"/>
                <w:lang w:val="en-US" w:eastAsia="zh-CN"/>
              </w:rPr>
              <w:t>碱洗+次氯酸钠吸附工艺对非甲烷总烃处理效率综合约70%，则</w:t>
            </w:r>
            <w:r>
              <w:rPr>
                <w:rFonts w:hint="eastAsia" w:cs="Times New Roman"/>
                <w:bCs/>
                <w:color w:val="auto"/>
                <w:sz w:val="24"/>
                <w:szCs w:val="24"/>
                <w:highlight w:val="none"/>
                <w:lang w:val="en-US" w:eastAsia="zh-CN"/>
              </w:rPr>
              <w:t>核算出</w:t>
            </w:r>
            <w:r>
              <w:rPr>
                <w:rFonts w:hint="default" w:ascii="Times New Roman" w:hAnsi="Times New Roman" w:eastAsia="宋体" w:cs="Times New Roman"/>
                <w:color w:val="auto"/>
                <w:kern w:val="0"/>
                <w:sz w:val="24"/>
                <w:szCs w:val="24"/>
                <w:highlight w:val="none"/>
                <w:lang w:val="en-US" w:eastAsia="zh-CN" w:bidi="ar"/>
              </w:rPr>
              <w:t>脱臭</w:t>
            </w:r>
            <w:r>
              <w:rPr>
                <w:rFonts w:hint="default" w:ascii="Times New Roman" w:hAnsi="Times New Roman" w:cs="Times New Roman"/>
                <w:bCs/>
                <w:color w:val="auto"/>
                <w:sz w:val="24"/>
                <w:szCs w:val="24"/>
                <w:highlight w:val="none"/>
                <w:lang w:val="en-US" w:eastAsia="zh-CN"/>
              </w:rPr>
              <w:t>过程中</w:t>
            </w:r>
            <w:r>
              <w:rPr>
                <w:rFonts w:hint="default" w:ascii="Times New Roman" w:hAnsi="Times New Roman" w:eastAsia="宋体" w:cs="Times New Roman"/>
                <w:bCs/>
                <w:color w:val="auto"/>
                <w:sz w:val="24"/>
                <w:szCs w:val="24"/>
                <w:highlight w:val="none"/>
                <w:lang w:val="en-US" w:eastAsia="zh-CN"/>
              </w:rPr>
              <w:t>非甲烷总烃</w:t>
            </w:r>
            <w:r>
              <w:rPr>
                <w:rFonts w:hint="eastAsia" w:cs="Times New Roman"/>
                <w:bCs/>
                <w:color w:val="auto"/>
                <w:sz w:val="24"/>
                <w:szCs w:val="24"/>
                <w:highlight w:val="none"/>
                <w:lang w:val="en-US" w:eastAsia="zh-CN"/>
              </w:rPr>
              <w:t>产生速率</w:t>
            </w:r>
            <w:r>
              <w:rPr>
                <w:rFonts w:hint="default" w:ascii="Times New Roman" w:hAnsi="Times New Roman" w:eastAsia="宋体" w:cs="Times New Roman"/>
                <w:bCs/>
                <w:color w:val="auto"/>
                <w:sz w:val="24"/>
                <w:szCs w:val="24"/>
                <w:highlight w:val="none"/>
                <w:lang w:val="en-US" w:eastAsia="zh-CN"/>
              </w:rPr>
              <w:t>约</w:t>
            </w:r>
            <w:r>
              <w:rPr>
                <w:rFonts w:hint="eastAsia" w:cs="Times New Roman"/>
                <w:bCs/>
                <w:color w:val="auto"/>
                <w:sz w:val="24"/>
                <w:szCs w:val="24"/>
                <w:highlight w:val="none"/>
                <w:lang w:val="en-US" w:eastAsia="zh-CN"/>
              </w:rPr>
              <w:t>0.33kg/h，</w:t>
            </w:r>
            <w:r>
              <w:rPr>
                <w:rFonts w:hint="default" w:ascii="Times New Roman" w:hAnsi="Times New Roman" w:cs="Times New Roman"/>
                <w:bCs/>
                <w:color w:val="auto"/>
                <w:sz w:val="24"/>
                <w:szCs w:val="24"/>
                <w:highlight w:val="none"/>
                <w:vertAlign w:val="baseline"/>
                <w:lang w:val="en-US" w:eastAsia="zh-CN"/>
              </w:rPr>
              <w:t>则非甲烷总烃</w:t>
            </w:r>
            <w:r>
              <w:rPr>
                <w:rFonts w:hint="eastAsia" w:cs="Times New Roman"/>
                <w:bCs/>
                <w:color w:val="auto"/>
                <w:sz w:val="24"/>
                <w:szCs w:val="24"/>
                <w:highlight w:val="none"/>
                <w:vertAlign w:val="baseline"/>
                <w:lang w:val="en-US" w:eastAsia="zh-CN"/>
              </w:rPr>
              <w:t>产污系数为0.0198kg/t-油</w:t>
            </w:r>
            <w:r>
              <w:rPr>
                <w:rFonts w:hint="default" w:ascii="Times New Roman" w:hAnsi="Times New Roman" w:eastAsia="宋体" w:cs="Times New Roman"/>
                <w:bCs/>
                <w:color w:val="auto"/>
                <w:sz w:val="24"/>
                <w:szCs w:val="24"/>
                <w:highlight w:val="none"/>
                <w:vertAlign w:val="baseline"/>
                <w:lang w:val="en-US" w:eastAsia="zh-CN"/>
              </w:rPr>
              <w:t>。</w:t>
            </w:r>
            <w:r>
              <w:rPr>
                <w:rFonts w:hint="eastAsia" w:cs="Times New Roman"/>
                <w:bCs/>
                <w:color w:val="auto"/>
                <w:sz w:val="24"/>
                <w:szCs w:val="24"/>
                <w:highlight w:val="none"/>
                <w:vertAlign w:val="baseline"/>
                <w:lang w:val="en-US" w:eastAsia="zh-CN"/>
              </w:rPr>
              <w:t>改建项目精炼规模为</w:t>
            </w:r>
            <w:r>
              <w:rPr>
                <w:rFonts w:hint="default" w:ascii="Times New Roman" w:hAnsi="Times New Roman" w:cs="Times New Roman"/>
                <w:bCs/>
                <w:color w:val="auto"/>
                <w:sz w:val="24"/>
                <w:szCs w:val="24"/>
                <w:highlight w:val="none"/>
                <w:vertAlign w:val="baseline"/>
                <w:lang w:val="en-US" w:eastAsia="zh-CN"/>
              </w:rPr>
              <w:t>600t/d，</w:t>
            </w:r>
            <w:r>
              <w:rPr>
                <w:rFonts w:hint="eastAsia" w:ascii="Times New Roman" w:hAnsi="Times New Roman" w:cs="Times New Roman"/>
                <w:bCs/>
                <w:color w:val="auto"/>
                <w:sz w:val="24"/>
                <w:szCs w:val="24"/>
                <w:highlight w:val="none"/>
                <w:vertAlign w:val="baseline"/>
                <w:lang w:val="en-US" w:eastAsia="zh-CN"/>
              </w:rPr>
              <w:t>则</w:t>
            </w:r>
            <w:r>
              <w:rPr>
                <w:rFonts w:hint="eastAsia" w:cs="Times New Roman"/>
                <w:bCs/>
                <w:color w:val="auto"/>
                <w:sz w:val="24"/>
                <w:szCs w:val="24"/>
                <w:highlight w:val="none"/>
                <w:vertAlign w:val="baseline"/>
                <w:lang w:val="en-US" w:eastAsia="zh-CN"/>
              </w:rPr>
              <w:t>本项目</w:t>
            </w:r>
            <w:r>
              <w:rPr>
                <w:rFonts w:hint="eastAsia" w:ascii="Times New Roman" w:hAnsi="Times New Roman" w:cs="Times New Roman"/>
                <w:bCs/>
                <w:color w:val="auto"/>
                <w:sz w:val="24"/>
                <w:szCs w:val="24"/>
                <w:highlight w:val="none"/>
                <w:vertAlign w:val="baseline"/>
                <w:lang w:val="en-US" w:eastAsia="zh-CN"/>
              </w:rPr>
              <w:t>精炼废气非甲烷总烃产生</w:t>
            </w:r>
            <w:r>
              <w:rPr>
                <w:rFonts w:hint="eastAsia" w:cs="Times New Roman"/>
                <w:bCs/>
                <w:color w:val="auto"/>
                <w:sz w:val="24"/>
                <w:szCs w:val="24"/>
                <w:highlight w:val="none"/>
                <w:vertAlign w:val="baseline"/>
                <w:lang w:val="en-US" w:eastAsia="zh-CN"/>
              </w:rPr>
              <w:t>速率</w:t>
            </w:r>
            <w:r>
              <w:rPr>
                <w:rFonts w:hint="default" w:ascii="Times New Roman" w:hAnsi="Times New Roman" w:cs="Times New Roman"/>
                <w:bCs/>
                <w:color w:val="auto"/>
                <w:sz w:val="24"/>
                <w:szCs w:val="24"/>
                <w:highlight w:val="none"/>
                <w:vertAlign w:val="baseline"/>
                <w:lang w:val="en-US" w:eastAsia="zh-CN"/>
              </w:rPr>
              <w:t>为</w:t>
            </w:r>
            <w:r>
              <w:rPr>
                <w:rFonts w:hint="eastAsia" w:cs="Times New Roman"/>
                <w:bCs/>
                <w:color w:val="auto"/>
                <w:sz w:val="24"/>
                <w:szCs w:val="24"/>
                <w:highlight w:val="none"/>
                <w:lang w:val="en-US" w:eastAsia="zh-CN"/>
              </w:rPr>
              <w:t>0.495kg/h</w:t>
            </w:r>
            <w:r>
              <w:rPr>
                <w:rFonts w:hint="default" w:ascii="Times New Roman" w:hAnsi="Times New Roman" w:cs="Times New Roman"/>
                <w:bCs/>
                <w:color w:val="auto"/>
                <w:sz w:val="24"/>
                <w:szCs w:val="24"/>
                <w:highlight w:val="none"/>
                <w:vertAlign w:val="baseline"/>
                <w:lang w:val="en-US" w:eastAsia="zh-CN"/>
              </w:rPr>
              <w:t>，</w:t>
            </w:r>
            <w:r>
              <w:rPr>
                <w:rFonts w:hint="eastAsia" w:cs="Times New Roman"/>
                <w:bCs w:val="0"/>
                <w:color w:val="auto"/>
                <w:kern w:val="0"/>
                <w:sz w:val="24"/>
                <w:szCs w:val="24"/>
                <w:highlight w:val="none"/>
                <w:u w:val="none"/>
                <w:lang w:val="en-US" w:eastAsia="zh-CN" w:bidi="ar"/>
              </w:rPr>
              <w:t>本项目</w:t>
            </w:r>
            <w:r>
              <w:rPr>
                <w:rFonts w:hint="eastAsia" w:ascii="Times New Roman" w:hAnsi="Times New Roman" w:cs="Times New Roman"/>
                <w:bCs w:val="0"/>
                <w:color w:val="auto"/>
                <w:kern w:val="0"/>
                <w:sz w:val="24"/>
                <w:szCs w:val="24"/>
                <w:highlight w:val="none"/>
                <w:u w:val="none"/>
                <w:lang w:val="en-US" w:eastAsia="zh-CN" w:bidi="ar"/>
              </w:rPr>
              <w:t>精炼废气</w:t>
            </w:r>
            <w:r>
              <w:rPr>
                <w:rFonts w:hint="default" w:ascii="Times New Roman" w:hAnsi="Times New Roman" w:cs="Times New Roman"/>
                <w:bCs w:val="0"/>
                <w:color w:val="auto"/>
                <w:kern w:val="0"/>
                <w:sz w:val="24"/>
                <w:szCs w:val="24"/>
                <w:highlight w:val="none"/>
                <w:u w:val="none"/>
                <w:lang w:val="en-US" w:eastAsia="zh-CN" w:bidi="ar"/>
              </w:rPr>
              <w:t>由现有“</w:t>
            </w:r>
            <w:r>
              <w:rPr>
                <w:rFonts w:hint="eastAsia" w:cs="Times New Roman"/>
                <w:bCs w:val="0"/>
                <w:color w:val="auto"/>
                <w:kern w:val="0"/>
                <w:sz w:val="24"/>
                <w:szCs w:val="24"/>
                <w:highlight w:val="none"/>
                <w:u w:val="none"/>
                <w:lang w:val="en-US" w:eastAsia="zh-CN" w:bidi="ar"/>
              </w:rPr>
              <w:t>二级碱喷淋+次氯酸钠喷淋</w:t>
            </w:r>
            <w:r>
              <w:rPr>
                <w:rFonts w:hint="default" w:ascii="Times New Roman" w:hAnsi="Times New Roman" w:cs="Times New Roman"/>
                <w:bCs w:val="0"/>
                <w:color w:val="auto"/>
                <w:kern w:val="0"/>
                <w:sz w:val="24"/>
                <w:szCs w:val="24"/>
                <w:highlight w:val="none"/>
                <w:u w:val="none"/>
                <w:lang w:val="en-US" w:eastAsia="zh-CN" w:bidi="ar"/>
              </w:rPr>
              <w:t>”处理工艺</w:t>
            </w:r>
            <w:r>
              <w:rPr>
                <w:rFonts w:hint="eastAsia" w:cs="Times New Roman"/>
                <w:bCs w:val="0"/>
                <w:color w:val="auto"/>
                <w:kern w:val="0"/>
                <w:sz w:val="24"/>
                <w:szCs w:val="24"/>
                <w:highlight w:val="none"/>
                <w:u w:val="none"/>
                <w:lang w:val="en-US" w:eastAsia="zh-CN" w:bidi="ar"/>
              </w:rPr>
              <w:t>升级</w:t>
            </w:r>
            <w:r>
              <w:rPr>
                <w:rFonts w:hint="default" w:ascii="Times New Roman" w:hAnsi="Times New Roman" w:cs="Times New Roman"/>
                <w:bCs w:val="0"/>
                <w:color w:val="auto"/>
                <w:kern w:val="0"/>
                <w:sz w:val="24"/>
                <w:szCs w:val="24"/>
                <w:highlight w:val="none"/>
                <w:u w:val="none"/>
                <w:lang w:val="en-US" w:eastAsia="zh-CN" w:bidi="ar"/>
              </w:rPr>
              <w:t>为“</w:t>
            </w:r>
            <w:r>
              <w:rPr>
                <w:rFonts w:hint="eastAsia" w:cs="Times New Roman"/>
                <w:bCs w:val="0"/>
                <w:color w:val="auto"/>
                <w:kern w:val="0"/>
                <w:sz w:val="24"/>
                <w:szCs w:val="24"/>
                <w:highlight w:val="none"/>
                <w:u w:val="none"/>
                <w:lang w:val="en-US" w:eastAsia="zh-CN" w:bidi="ar"/>
              </w:rPr>
              <w:t>冰冻冷凝+二级碱喷淋+次氯酸钠喷淋+活性炭吸附</w:t>
            </w:r>
            <w:r>
              <w:rPr>
                <w:rFonts w:hint="default" w:ascii="Times New Roman" w:hAnsi="Times New Roman" w:cs="Times New Roman"/>
                <w:bCs w:val="0"/>
                <w:color w:val="auto"/>
                <w:kern w:val="0"/>
                <w:sz w:val="24"/>
                <w:szCs w:val="24"/>
                <w:highlight w:val="none"/>
                <w:u w:val="none"/>
                <w:lang w:val="en-US" w:eastAsia="zh-CN" w:bidi="ar"/>
              </w:rPr>
              <w:t>”处理工艺</w:t>
            </w:r>
            <w:r>
              <w:rPr>
                <w:rFonts w:hint="eastAsia" w:ascii="Times New Roman" w:hAnsi="Times New Roman" w:cs="Times New Roman"/>
                <w:bCs w:val="0"/>
                <w:color w:val="auto"/>
                <w:kern w:val="0"/>
                <w:sz w:val="24"/>
                <w:szCs w:val="24"/>
                <w:highlight w:val="none"/>
                <w:u w:val="none"/>
                <w:lang w:val="en-US" w:eastAsia="zh-CN" w:bidi="ar"/>
              </w:rPr>
              <w:t>，</w:t>
            </w:r>
            <w:r>
              <w:rPr>
                <w:rFonts w:hint="eastAsia" w:cs="Times New Roman"/>
                <w:color w:val="auto"/>
                <w:kern w:val="0"/>
                <w:sz w:val="24"/>
                <w:szCs w:val="24"/>
                <w:highlight w:val="none"/>
                <w:lang w:val="en-US" w:eastAsia="zh-CN" w:bidi="ar"/>
              </w:rPr>
              <w:t>本项目</w:t>
            </w:r>
            <w:r>
              <w:rPr>
                <w:rFonts w:hint="eastAsia" w:ascii="Times New Roman" w:hAnsi="Times New Roman" w:cs="Times New Roman"/>
                <w:bCs/>
                <w:color w:val="auto"/>
                <w:sz w:val="24"/>
                <w:szCs w:val="24"/>
                <w:highlight w:val="none"/>
                <w:vertAlign w:val="baseline"/>
                <w:lang w:val="en-US" w:eastAsia="zh-CN"/>
              </w:rPr>
              <w:t>精炼废气</w:t>
            </w:r>
            <w:r>
              <w:rPr>
                <w:rFonts w:hint="default" w:ascii="Times New Roman" w:hAnsi="Times New Roman" w:eastAsia="宋体" w:cs="Times New Roman"/>
                <w:color w:val="auto"/>
                <w:kern w:val="0"/>
                <w:sz w:val="24"/>
                <w:szCs w:val="24"/>
                <w:highlight w:val="none"/>
                <w:lang w:val="en-US" w:eastAsia="zh-CN" w:bidi="ar"/>
              </w:rPr>
              <w:t>经管道收集后经</w:t>
            </w:r>
            <w:r>
              <w:rPr>
                <w:rFonts w:hint="default" w:ascii="Times New Roman" w:hAnsi="Times New Roman"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冰冻冷凝+</w:t>
            </w:r>
            <w:r>
              <w:rPr>
                <w:rFonts w:hint="default" w:ascii="Times New Roman" w:hAnsi="Times New Roman"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碱液喷淋+</w:t>
            </w:r>
            <w:r>
              <w:rPr>
                <w:rFonts w:hint="default" w:ascii="Times New Roman" w:hAnsi="Times New Roman" w:cs="Times New Roman"/>
                <w:color w:val="auto"/>
                <w:kern w:val="0"/>
                <w:sz w:val="24"/>
                <w:szCs w:val="24"/>
                <w:highlight w:val="none"/>
                <w:lang w:val="en-US" w:eastAsia="zh-CN" w:bidi="ar"/>
              </w:rPr>
              <w:t>次氯酸钠+</w:t>
            </w:r>
            <w:r>
              <w:rPr>
                <w:rFonts w:hint="eastAsia" w:cs="Times New Roman"/>
                <w:color w:val="auto"/>
                <w:kern w:val="0"/>
                <w:sz w:val="24"/>
                <w:szCs w:val="24"/>
                <w:highlight w:val="none"/>
                <w:lang w:val="en-US" w:eastAsia="zh-CN" w:bidi="ar"/>
              </w:rPr>
              <w:t>活性炭吸附</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，处理设计效率为</w:t>
            </w:r>
            <w:r>
              <w:rPr>
                <w:rFonts w:hint="eastAsia" w:cs="Times New Roman"/>
                <w:color w:val="auto"/>
                <w:kern w:val="0"/>
                <w:sz w:val="24"/>
                <w:szCs w:val="24"/>
                <w:highlight w:val="none"/>
                <w:lang w:val="en-US" w:eastAsia="zh-CN" w:bidi="ar"/>
              </w:rPr>
              <w:t>85</w:t>
            </w:r>
            <w:r>
              <w:rPr>
                <w:rFonts w:hint="default" w:ascii="Times New Roman" w:hAnsi="Times New Roman" w:eastAsia="宋体" w:cs="Times New Roman"/>
                <w:color w:val="auto"/>
                <w:kern w:val="0"/>
                <w:sz w:val="24"/>
                <w:szCs w:val="24"/>
                <w:highlight w:val="none"/>
                <w:lang w:val="en-US" w:eastAsia="zh-CN" w:bidi="ar"/>
              </w:rPr>
              <w:t>%以上，</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非甲烷总烃主要成分为脂肪酸，</w:t>
            </w:r>
            <w:r>
              <w:rPr>
                <w:rFonts w:hint="eastAsia" w:eastAsia="宋体" w:cs="Times New Roman"/>
                <w:color w:val="auto"/>
                <w:kern w:val="0"/>
                <w:sz w:val="24"/>
                <w:szCs w:val="24"/>
                <w:highlight w:val="none"/>
                <w:lang w:val="en-US" w:eastAsia="zh-CN" w:bidi="ar"/>
              </w:rPr>
              <w:t>冰冻冷凝对其处理效率为50%，</w:t>
            </w:r>
            <w:r>
              <w:rPr>
                <w:rFonts w:hint="default" w:ascii="Times New Roman" w:hAnsi="Times New Roman" w:eastAsia="宋体" w:cs="Times New Roman"/>
                <w:color w:val="auto"/>
                <w:kern w:val="0"/>
                <w:sz w:val="24"/>
                <w:szCs w:val="24"/>
                <w:highlight w:val="none"/>
                <w:lang w:val="en-US" w:eastAsia="zh-CN" w:bidi="ar"/>
              </w:rPr>
              <w:t>碱液喷淋对其处理效率可达50%以上，</w:t>
            </w:r>
            <w:r>
              <w:rPr>
                <w:rFonts w:hint="eastAsia" w:cs="Times New Roman"/>
                <w:color w:val="auto"/>
                <w:kern w:val="0"/>
                <w:sz w:val="24"/>
                <w:szCs w:val="24"/>
                <w:highlight w:val="none"/>
                <w:lang w:val="en-US" w:eastAsia="zh-CN" w:bidi="ar"/>
              </w:rPr>
              <w:t>活性炭吸附</w:t>
            </w:r>
            <w:r>
              <w:rPr>
                <w:rFonts w:hint="default" w:ascii="Times New Roman" w:hAnsi="Times New Roman" w:eastAsia="宋体" w:cs="Times New Roman"/>
                <w:color w:val="auto"/>
                <w:kern w:val="0"/>
                <w:sz w:val="24"/>
                <w:szCs w:val="24"/>
                <w:highlight w:val="none"/>
                <w:lang w:val="en-US" w:eastAsia="zh-CN" w:bidi="ar"/>
              </w:rPr>
              <w:t>处理效果按</w:t>
            </w:r>
            <w:r>
              <w:rPr>
                <w:rFonts w:hint="default" w:ascii="Times New Roman" w:hAnsi="Times New Roman"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0%计</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合计为</w:t>
            </w:r>
            <w:r>
              <w:rPr>
                <w:rFonts w:hint="eastAsia" w:cs="Times New Roman"/>
                <w:color w:val="auto"/>
                <w:kern w:val="0"/>
                <w:sz w:val="24"/>
                <w:szCs w:val="24"/>
                <w:highlight w:val="none"/>
                <w:lang w:val="en-US" w:eastAsia="zh-CN" w:bidi="ar"/>
              </w:rPr>
              <w:t>85</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，通过1根</w:t>
            </w:r>
            <w:r>
              <w:rPr>
                <w:rFonts w:hint="default" w:ascii="Times New Roman" w:hAnsi="Times New Roman" w:cs="Times New Roman"/>
                <w:color w:val="auto"/>
                <w:kern w:val="0"/>
                <w:sz w:val="24"/>
                <w:szCs w:val="24"/>
                <w:highlight w:val="none"/>
                <w:lang w:val="en-US" w:eastAsia="zh-CN" w:bidi="ar"/>
              </w:rPr>
              <w:t>25</w:t>
            </w:r>
            <w:r>
              <w:rPr>
                <w:rFonts w:hint="default" w:ascii="Times New Roman" w:hAnsi="Times New Roman" w:eastAsia="宋体" w:cs="Times New Roman"/>
                <w:color w:val="auto"/>
                <w:kern w:val="0"/>
                <w:sz w:val="24"/>
                <w:szCs w:val="24"/>
                <w:highlight w:val="none"/>
                <w:lang w:val="en-US" w:eastAsia="zh-CN" w:bidi="ar"/>
              </w:rPr>
              <w:t>m高排气筒排放，该部分臭气浓度约5000</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无量纲</w:t>
            </w:r>
            <w:r>
              <w:rPr>
                <w:rFonts w:hint="eastAsia" w:cs="Times New Roman"/>
                <w:color w:val="auto"/>
                <w:kern w:val="0"/>
                <w:sz w:val="24"/>
                <w:szCs w:val="24"/>
                <w:highlight w:val="none"/>
                <w:lang w:val="en-US" w:eastAsia="zh-CN" w:bidi="ar"/>
              </w:rPr>
              <w:t>）（碱喷淋对臭气浓度去除效率为60%，活性炭吸附对其去除效率为75%），合计为90%</w:t>
            </w:r>
            <w:r>
              <w:rPr>
                <w:rFonts w:hint="default" w:ascii="Times New Roman" w:hAnsi="Times New Roman"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根据建设单位提供风机设备型号，</w:t>
            </w:r>
            <w:r>
              <w:rPr>
                <w:rFonts w:hint="default" w:ascii="Times New Roman" w:hAnsi="Times New Roman" w:cs="Times New Roman"/>
                <w:color w:val="auto"/>
                <w:kern w:val="0"/>
                <w:sz w:val="24"/>
                <w:szCs w:val="24"/>
                <w:highlight w:val="none"/>
                <w:lang w:val="en-US" w:eastAsia="zh-CN" w:bidi="ar"/>
              </w:rPr>
              <w:t>风机风量为</w:t>
            </w:r>
            <w:r>
              <w:rPr>
                <w:rFonts w:hint="eastAsia" w:cs="Times New Roman"/>
                <w:color w:val="auto"/>
                <w:kern w:val="0"/>
                <w:sz w:val="24"/>
                <w:szCs w:val="24"/>
                <w:highlight w:val="none"/>
                <w:lang w:val="en-US" w:eastAsia="zh-CN" w:bidi="ar"/>
              </w:rPr>
              <w:t>5</w:t>
            </w:r>
            <w:r>
              <w:rPr>
                <w:rFonts w:hint="default" w:ascii="Times New Roman" w:hAnsi="Times New Roman" w:cs="Times New Roman"/>
                <w:color w:val="auto"/>
                <w:kern w:val="0"/>
                <w:sz w:val="24"/>
                <w:szCs w:val="24"/>
                <w:highlight w:val="none"/>
                <w:lang w:val="en-US" w:eastAsia="zh-CN" w:bidi="ar"/>
              </w:rPr>
              <w:t>000m</w:t>
            </w:r>
            <w:r>
              <w:rPr>
                <w:rFonts w:hint="default"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cs="Times New Roman"/>
                <w:color w:val="auto"/>
                <w:kern w:val="0"/>
                <w:sz w:val="24"/>
                <w:szCs w:val="24"/>
                <w:highlight w:val="none"/>
                <w:lang w:val="en-US" w:eastAsia="zh-CN" w:bidi="ar"/>
              </w:rPr>
              <w:t>/h，年工作时间为7200h，项目精炼废气排放情况统计见下表</w:t>
            </w:r>
            <w:r>
              <w:rPr>
                <w:rFonts w:hint="eastAsia" w:cs="Times New Roman"/>
                <w:color w:val="auto"/>
                <w:kern w:val="0"/>
                <w:sz w:val="24"/>
                <w:szCs w:val="24"/>
                <w:highlight w:val="none"/>
                <w:lang w:val="en-US" w:eastAsia="zh-CN" w:bidi="ar"/>
              </w:rPr>
              <w:t>。</w:t>
            </w:r>
          </w:p>
          <w:p w14:paraId="26760BB1">
            <w:pPr>
              <w:keepNext w:val="0"/>
              <w:keepLines w:val="0"/>
              <w:pageBreakBefore w:val="0"/>
              <w:widowControl/>
              <w:numPr>
                <w:ilvl w:val="0"/>
                <w:numId w:val="0"/>
              </w:numPr>
              <w:suppressLineNumbers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w:t>
            </w:r>
            <w:r>
              <w:rPr>
                <w:rFonts w:hint="default" w:ascii="Times New Roman" w:hAnsi="Times New Roman" w:cs="Times New Roman"/>
                <w:color w:val="auto"/>
                <w:kern w:val="0"/>
                <w:sz w:val="24"/>
                <w:szCs w:val="24"/>
                <w:highlight w:val="none"/>
                <w:lang w:val="en-US" w:eastAsia="zh-CN" w:bidi="ar"/>
              </w:rPr>
              <w:t>锅炉废气</w:t>
            </w:r>
          </w:p>
          <w:p w14:paraId="1E56BBE8">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460" w:lineRule="exact"/>
              <w:ind w:right="0" w:righ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锅炉房内配有</w:t>
            </w:r>
            <w:r>
              <w:rPr>
                <w:rFonts w:hint="default" w:ascii="Times New Roman" w:hAnsi="Times New Roman" w:cs="Times New Roman"/>
                <w:color w:val="auto"/>
                <w:kern w:val="2"/>
                <w:sz w:val="24"/>
                <w:szCs w:val="24"/>
                <w:highlight w:val="none"/>
                <w:lang w:val="en-US" w:eastAsia="zh-CN" w:bidi="ar-SA"/>
              </w:rPr>
              <w:t>3t/h</w:t>
            </w:r>
            <w:r>
              <w:rPr>
                <w:rFonts w:hint="default" w:ascii="Times New Roman" w:hAnsi="Times New Roman" w:eastAsia="宋体" w:cs="Times New Roman"/>
                <w:color w:val="auto"/>
                <w:kern w:val="2"/>
                <w:sz w:val="24"/>
                <w:szCs w:val="24"/>
                <w:highlight w:val="none"/>
                <w:lang w:val="en-US" w:eastAsia="zh-CN" w:bidi="ar-SA"/>
              </w:rPr>
              <w:t>高压锅炉1台，1t/h蒸汽发生器1台，2t/h低氮燃气</w:t>
            </w:r>
            <w:r>
              <w:rPr>
                <w:rFonts w:hint="default" w:ascii="Times New Roman" w:hAnsi="Times New Roman" w:cs="Times New Roman"/>
                <w:color w:val="auto"/>
                <w:kern w:val="2"/>
                <w:sz w:val="24"/>
                <w:szCs w:val="24"/>
                <w:highlight w:val="none"/>
                <w:lang w:val="en-US" w:eastAsia="zh-CN" w:bidi="ar-SA"/>
              </w:rPr>
              <w:t>卧式蒸汽锅炉</w:t>
            </w:r>
            <w:r>
              <w:rPr>
                <w:rFonts w:hint="default" w:ascii="Times New Roman" w:hAnsi="Times New Roman" w:eastAsia="宋体" w:cs="Times New Roman"/>
                <w:color w:val="auto"/>
                <w:kern w:val="2"/>
                <w:sz w:val="24"/>
                <w:szCs w:val="24"/>
                <w:highlight w:val="none"/>
                <w:lang w:val="en-US" w:eastAsia="zh-CN" w:bidi="ar-SA"/>
              </w:rPr>
              <w:t>1台</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均</w:t>
            </w:r>
            <w:r>
              <w:rPr>
                <w:rFonts w:hint="default" w:ascii="Times New Roman" w:hAnsi="Times New Roman" w:eastAsia="宋体" w:cs="Times New Roman"/>
                <w:b w:val="0"/>
                <w:bCs w:val="0"/>
                <w:color w:val="auto"/>
                <w:sz w:val="24"/>
                <w:szCs w:val="24"/>
                <w:highlight w:val="none"/>
                <w:lang w:val="en-US" w:eastAsia="zh-CN"/>
              </w:rPr>
              <w:t>采用天然气为燃料，为精炼车间提供蒸汽。</w:t>
            </w:r>
            <w:r>
              <w:rPr>
                <w:rFonts w:hint="default" w:ascii="Times New Roman" w:hAnsi="Times New Roman" w:cs="Times New Roman"/>
                <w:b w:val="0"/>
                <w:bCs w:val="0"/>
                <w:color w:val="auto"/>
                <w:sz w:val="24"/>
                <w:szCs w:val="24"/>
                <w:highlight w:val="none"/>
                <w:lang w:val="en-US" w:eastAsia="zh-CN"/>
              </w:rPr>
              <w:t>根据建设单位提供资料，</w:t>
            </w:r>
            <w:r>
              <w:rPr>
                <w:rFonts w:hint="eastAsia" w:cs="Times New Roman"/>
                <w:b w:val="0"/>
                <w:bCs w:val="0"/>
                <w:color w:val="auto"/>
                <w:sz w:val="24"/>
                <w:szCs w:val="24"/>
                <w:highlight w:val="none"/>
                <w:lang w:val="en-US" w:eastAsia="zh-CN"/>
              </w:rPr>
              <w:t>本项目所用</w:t>
            </w:r>
            <w:r>
              <w:rPr>
                <w:rFonts w:hint="default" w:ascii="Times New Roman" w:hAnsi="Times New Roman" w:eastAsia="宋体" w:cs="Times New Roman"/>
                <w:b w:val="0"/>
                <w:bCs w:val="0"/>
                <w:color w:val="auto"/>
                <w:sz w:val="24"/>
                <w:szCs w:val="24"/>
                <w:highlight w:val="none"/>
                <w:lang w:val="en-US" w:eastAsia="zh-CN"/>
              </w:rPr>
              <w:t>锅炉</w:t>
            </w:r>
            <w:r>
              <w:rPr>
                <w:rFonts w:hint="eastAsia" w:cs="Times New Roman"/>
                <w:b w:val="0"/>
                <w:bCs w:val="0"/>
                <w:color w:val="auto"/>
                <w:sz w:val="24"/>
                <w:szCs w:val="24"/>
                <w:highlight w:val="none"/>
                <w:lang w:val="en-US" w:eastAsia="zh-CN"/>
              </w:rPr>
              <w:t>较现有工程所用锅炉更高效，</w:t>
            </w:r>
            <w:r>
              <w:rPr>
                <w:rFonts w:hint="eastAsia" w:ascii="Times New Roman" w:hAnsi="Times New Roman" w:cs="Times New Roman"/>
                <w:b w:val="0"/>
                <w:bCs w:val="0"/>
                <w:color w:val="auto"/>
                <w:spacing w:val="-1"/>
                <w:sz w:val="24"/>
                <w:szCs w:val="24"/>
                <w:highlight w:val="none"/>
                <w:lang w:val="en-US" w:eastAsia="zh-CN"/>
              </w:rPr>
              <w:t>使耗气量从33.6</w:t>
            </w:r>
            <w:r>
              <w:rPr>
                <w:rFonts w:hint="eastAsia" w:ascii="Times New Roman" w:hAnsi="Times New Roman" w:eastAsia="宋体" w:cs="Times New Roman"/>
                <w:b w:val="0"/>
                <w:bCs w:val="0"/>
                <w:color w:val="auto"/>
                <w:spacing w:val="-1"/>
                <w:sz w:val="24"/>
                <w:szCs w:val="24"/>
                <w:highlight w:val="none"/>
                <w:lang w:val="en-US" w:eastAsia="zh-CN"/>
              </w:rPr>
              <w:t>m</w:t>
            </w:r>
            <w:r>
              <w:rPr>
                <w:rFonts w:hint="eastAsia" w:ascii="Times New Roman" w:hAnsi="Times New Roman" w:eastAsia="宋体" w:cs="Times New Roman"/>
                <w:b w:val="0"/>
                <w:bCs w:val="0"/>
                <w:color w:val="auto"/>
                <w:spacing w:val="-1"/>
                <w:sz w:val="24"/>
                <w:szCs w:val="24"/>
                <w:highlight w:val="none"/>
                <w:vertAlign w:val="superscript"/>
                <w:lang w:val="en-US" w:eastAsia="zh-CN"/>
              </w:rPr>
              <w:t>3</w:t>
            </w:r>
            <w:r>
              <w:rPr>
                <w:rFonts w:hint="eastAsia" w:ascii="Times New Roman" w:hAnsi="Times New Roman" w:eastAsia="宋体" w:cs="Times New Roman"/>
                <w:b w:val="0"/>
                <w:bCs w:val="0"/>
                <w:color w:val="auto"/>
                <w:spacing w:val="-1"/>
                <w:sz w:val="24"/>
                <w:szCs w:val="24"/>
                <w:highlight w:val="none"/>
                <w:lang w:val="en-US" w:eastAsia="zh-CN"/>
              </w:rPr>
              <w:t>/t-油降低到19.2m</w:t>
            </w:r>
            <w:r>
              <w:rPr>
                <w:rFonts w:hint="eastAsia" w:ascii="Times New Roman" w:hAnsi="Times New Roman" w:eastAsia="宋体" w:cs="Times New Roman"/>
                <w:b w:val="0"/>
                <w:bCs w:val="0"/>
                <w:color w:val="auto"/>
                <w:spacing w:val="-1"/>
                <w:sz w:val="24"/>
                <w:szCs w:val="24"/>
                <w:highlight w:val="none"/>
                <w:vertAlign w:val="superscript"/>
                <w:lang w:val="en-US" w:eastAsia="zh-CN"/>
              </w:rPr>
              <w:t>3</w:t>
            </w:r>
            <w:r>
              <w:rPr>
                <w:rFonts w:hint="eastAsia" w:ascii="Times New Roman" w:hAnsi="Times New Roman" w:eastAsia="宋体" w:cs="Times New Roman"/>
                <w:b w:val="0"/>
                <w:bCs w:val="0"/>
                <w:color w:val="auto"/>
                <w:spacing w:val="-1"/>
                <w:sz w:val="24"/>
                <w:szCs w:val="24"/>
                <w:highlight w:val="none"/>
                <w:lang w:val="en-US" w:eastAsia="zh-CN"/>
              </w:rPr>
              <w:t>/t，则改造后耗气量为</w:t>
            </w:r>
            <w:r>
              <w:rPr>
                <w:rFonts w:hint="eastAsia" w:cs="Times New Roman"/>
                <w:b w:val="0"/>
                <w:bCs w:val="0"/>
                <w:color w:val="auto"/>
                <w:sz w:val="24"/>
                <w:szCs w:val="24"/>
                <w:highlight w:val="none"/>
                <w:lang w:val="en-US" w:eastAsia="zh-CN"/>
              </w:rPr>
              <w:t>480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w:t>
            </w:r>
            <w:r>
              <w:rPr>
                <w:rFonts w:hint="default" w:ascii="Times New Roman" w:hAnsi="Times New Roman" w:cs="Times New Roman"/>
                <w:b w:val="0"/>
                <w:bCs w:val="0"/>
                <w:color w:val="auto"/>
                <w:sz w:val="24"/>
                <w:szCs w:val="24"/>
                <w:highlight w:val="none"/>
                <w:lang w:val="en-US" w:eastAsia="zh-CN"/>
              </w:rPr>
              <w:t>（其中</w:t>
            </w:r>
            <w:r>
              <w:rPr>
                <w:rFonts w:hint="default" w:ascii="Times New Roman" w:hAnsi="Times New Roman" w:cs="Times New Roman"/>
                <w:color w:val="auto"/>
                <w:kern w:val="2"/>
                <w:sz w:val="24"/>
                <w:szCs w:val="24"/>
                <w:highlight w:val="none"/>
                <w:lang w:val="en-US" w:eastAsia="zh-CN" w:bidi="ar-SA"/>
              </w:rPr>
              <w:t>3t/h</w:t>
            </w:r>
            <w:r>
              <w:rPr>
                <w:rFonts w:hint="default" w:ascii="Times New Roman" w:hAnsi="Times New Roman" w:eastAsia="宋体" w:cs="Times New Roman"/>
                <w:color w:val="auto"/>
                <w:kern w:val="2"/>
                <w:sz w:val="24"/>
                <w:szCs w:val="24"/>
                <w:highlight w:val="none"/>
                <w:lang w:val="en-US" w:eastAsia="zh-CN" w:bidi="ar-SA"/>
              </w:rPr>
              <w:t>高压锅炉</w:t>
            </w:r>
            <w:r>
              <w:rPr>
                <w:rFonts w:hint="default" w:ascii="Times New Roman" w:hAnsi="Times New Roman" w:eastAsia="宋体" w:cs="Times New Roman"/>
                <w:b w:val="0"/>
                <w:bCs w:val="0"/>
                <w:color w:val="auto"/>
                <w:sz w:val="24"/>
                <w:szCs w:val="24"/>
                <w:highlight w:val="none"/>
                <w:lang w:val="en-US" w:eastAsia="zh-CN"/>
              </w:rPr>
              <w:t>天然气燃料最大耗量</w:t>
            </w:r>
            <w:r>
              <w:rPr>
                <w:rFonts w:hint="default" w:ascii="Times New Roman" w:hAnsi="Times New Roman" w:cs="Times New Roman"/>
                <w:b w:val="0"/>
                <w:bCs w:val="0"/>
                <w:color w:val="auto"/>
                <w:sz w:val="24"/>
                <w:szCs w:val="24"/>
                <w:highlight w:val="none"/>
                <w:lang w:val="en-US" w:eastAsia="zh-CN"/>
              </w:rPr>
              <w:t>合计</w:t>
            </w:r>
            <w:r>
              <w:rPr>
                <w:rFonts w:hint="default" w:ascii="Times New Roman" w:hAnsi="Times New Roman" w:eastAsia="宋体" w:cs="Times New Roman"/>
                <w:b w:val="0"/>
                <w:bCs w:val="0"/>
                <w:color w:val="auto"/>
                <w:sz w:val="24"/>
                <w:szCs w:val="24"/>
                <w:highlight w:val="none"/>
                <w:lang w:val="en-US" w:eastAsia="zh-CN"/>
              </w:rPr>
              <w:t>为</w:t>
            </w:r>
            <w:r>
              <w:rPr>
                <w:rFonts w:hint="eastAsia" w:cs="Times New Roman"/>
                <w:b w:val="0"/>
                <w:bCs w:val="0"/>
                <w:color w:val="auto"/>
                <w:sz w:val="24"/>
                <w:szCs w:val="24"/>
                <w:highlight w:val="none"/>
                <w:lang w:val="en-US" w:eastAsia="zh-CN"/>
              </w:rPr>
              <w:t>240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w:t>
            </w:r>
            <w:r>
              <w:rPr>
                <w:rFonts w:hint="default" w:ascii="Times New Roman" w:hAnsi="Times New Roman" w:eastAsia="宋体" w:cs="Times New Roman"/>
                <w:color w:val="auto"/>
                <w:kern w:val="2"/>
                <w:sz w:val="24"/>
                <w:szCs w:val="24"/>
                <w:highlight w:val="none"/>
                <w:lang w:val="en-US" w:eastAsia="zh-CN" w:bidi="ar-SA"/>
              </w:rPr>
              <w:t>1t/h蒸汽发生器、2t/h低氮燃气卧式蒸汽锅炉</w:t>
            </w:r>
            <w:r>
              <w:rPr>
                <w:rFonts w:hint="default" w:ascii="Times New Roman" w:hAnsi="Times New Roman" w:eastAsia="宋体" w:cs="Times New Roman"/>
                <w:b w:val="0"/>
                <w:bCs w:val="0"/>
                <w:color w:val="auto"/>
                <w:sz w:val="24"/>
                <w:szCs w:val="24"/>
                <w:highlight w:val="none"/>
                <w:lang w:val="en-US" w:eastAsia="zh-CN"/>
              </w:rPr>
              <w:t>天然气燃料最大耗量</w:t>
            </w:r>
            <w:r>
              <w:rPr>
                <w:rFonts w:hint="default" w:ascii="Times New Roman" w:hAnsi="Times New Roman" w:cs="Times New Roman"/>
                <w:b w:val="0"/>
                <w:bCs w:val="0"/>
                <w:color w:val="auto"/>
                <w:sz w:val="24"/>
                <w:szCs w:val="24"/>
                <w:highlight w:val="none"/>
                <w:lang w:val="en-US" w:eastAsia="zh-CN"/>
              </w:rPr>
              <w:t>合计</w:t>
            </w:r>
            <w:r>
              <w:rPr>
                <w:rFonts w:hint="default" w:ascii="Times New Roman" w:hAnsi="Times New Roman" w:eastAsia="宋体" w:cs="Times New Roman"/>
                <w:b w:val="0"/>
                <w:bCs w:val="0"/>
                <w:color w:val="auto"/>
                <w:sz w:val="24"/>
                <w:szCs w:val="24"/>
                <w:highlight w:val="none"/>
                <w:lang w:val="en-US" w:eastAsia="zh-CN"/>
              </w:rPr>
              <w:t>为</w:t>
            </w:r>
            <w:r>
              <w:rPr>
                <w:rFonts w:hint="eastAsia" w:cs="Times New Roman"/>
                <w:b w:val="0"/>
                <w:bCs w:val="0"/>
                <w:color w:val="auto"/>
                <w:sz w:val="24"/>
                <w:szCs w:val="24"/>
                <w:highlight w:val="none"/>
                <w:lang w:val="en-US" w:eastAsia="zh-CN"/>
              </w:rPr>
              <w:t>240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/h）</w:t>
            </w:r>
            <w:r>
              <w:rPr>
                <w:rFonts w:hint="eastAsia" w:cs="Times New Roman"/>
                <w:b w:val="0"/>
                <w:bCs w:val="0"/>
                <w:color w:val="auto"/>
                <w:sz w:val="24"/>
                <w:szCs w:val="24"/>
                <w:highlight w:val="none"/>
                <w:lang w:val="en-US" w:eastAsia="zh-CN"/>
              </w:rPr>
              <w:t>。</w:t>
            </w:r>
          </w:p>
          <w:p w14:paraId="77BABF24">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460" w:lineRule="exact"/>
              <w:ind w:right="0" w:righ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运行时间为</w:t>
            </w:r>
            <w:r>
              <w:rPr>
                <w:rFonts w:hint="default" w:ascii="Times New Roman" w:hAnsi="Times New Roman" w:cs="Times New Roman"/>
                <w:b w:val="0"/>
                <w:bCs w:val="0"/>
                <w:color w:val="auto"/>
                <w:sz w:val="24"/>
                <w:szCs w:val="24"/>
                <w:highlight w:val="none"/>
                <w:lang w:val="en-US" w:eastAsia="zh-CN"/>
              </w:rPr>
              <w:t>72</w:t>
            </w:r>
            <w:r>
              <w:rPr>
                <w:rFonts w:hint="default" w:ascii="Times New Roman" w:hAnsi="Times New Roman" w:eastAsia="宋体" w:cs="Times New Roman"/>
                <w:b w:val="0"/>
                <w:bCs w:val="0"/>
                <w:color w:val="auto"/>
                <w:sz w:val="24"/>
                <w:szCs w:val="24"/>
                <w:highlight w:val="none"/>
                <w:lang w:val="en-US" w:eastAsia="zh-CN"/>
              </w:rPr>
              <w:t>00h/a（24h/d，</w:t>
            </w:r>
            <w:r>
              <w:rPr>
                <w:rFonts w:hint="default" w:ascii="Times New Roman" w:hAnsi="Times New Roman" w:cs="Times New Roman"/>
                <w:b w:val="0"/>
                <w:bCs w:val="0"/>
                <w:color w:val="auto"/>
                <w:sz w:val="24"/>
                <w:szCs w:val="24"/>
                <w:highlight w:val="none"/>
                <w:lang w:val="en-US" w:eastAsia="zh-CN"/>
              </w:rPr>
              <w:t>30</w:t>
            </w:r>
            <w:r>
              <w:rPr>
                <w:rFonts w:hint="default" w:ascii="Times New Roman" w:hAnsi="Times New Roman" w:eastAsia="宋体" w:cs="Times New Roman"/>
                <w:b w:val="0"/>
                <w:bCs w:val="0"/>
                <w:color w:val="auto"/>
                <w:sz w:val="24"/>
                <w:szCs w:val="24"/>
                <w:highlight w:val="none"/>
                <w:lang w:val="en-US" w:eastAsia="zh-CN"/>
              </w:rPr>
              <w:t>0d/a），锅炉天然气年耗总量为</w:t>
            </w:r>
            <w:r>
              <w:rPr>
                <w:rFonts w:hint="eastAsia" w:cs="Times New Roman"/>
                <w:b w:val="0"/>
                <w:bCs w:val="0"/>
                <w:color w:val="auto"/>
                <w:sz w:val="24"/>
                <w:szCs w:val="24"/>
                <w:highlight w:val="none"/>
                <w:lang w:val="en-US" w:eastAsia="zh-CN"/>
              </w:rPr>
              <w:t>345.6</w:t>
            </w:r>
            <w:r>
              <w:rPr>
                <w:rFonts w:hint="default" w:ascii="Times New Roman" w:hAnsi="Times New Roman" w:eastAsia="宋体" w:cs="Times New Roman"/>
                <w:b w:val="0"/>
                <w:bCs w:val="0"/>
                <w:color w:val="auto"/>
                <w:sz w:val="24"/>
                <w:szCs w:val="24"/>
                <w:highlight w:val="none"/>
                <w:lang w:val="en-US" w:eastAsia="zh-CN"/>
              </w:rPr>
              <w:t>万m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cs="Times New Roman"/>
                <w:b w:val="0"/>
                <w:bCs w:val="0"/>
                <w:color w:val="auto"/>
                <w:sz w:val="24"/>
                <w:szCs w:val="24"/>
                <w:highlight w:val="none"/>
                <w:lang w:val="en-US" w:eastAsia="zh-CN"/>
              </w:rPr>
              <w:t>（其中</w:t>
            </w:r>
            <w:r>
              <w:rPr>
                <w:rFonts w:hint="default" w:ascii="Times New Roman" w:hAnsi="Times New Roman" w:cs="Times New Roman"/>
                <w:color w:val="auto"/>
                <w:kern w:val="2"/>
                <w:sz w:val="24"/>
                <w:szCs w:val="24"/>
                <w:highlight w:val="none"/>
                <w:lang w:val="en-US" w:eastAsia="zh-CN" w:bidi="ar-SA"/>
              </w:rPr>
              <w:t>3t/h</w:t>
            </w:r>
            <w:r>
              <w:rPr>
                <w:rFonts w:hint="default" w:ascii="Times New Roman" w:hAnsi="Times New Roman" w:eastAsia="宋体" w:cs="Times New Roman"/>
                <w:color w:val="auto"/>
                <w:kern w:val="2"/>
                <w:sz w:val="24"/>
                <w:szCs w:val="24"/>
                <w:highlight w:val="none"/>
                <w:lang w:val="en-US" w:eastAsia="zh-CN" w:bidi="ar-SA"/>
              </w:rPr>
              <w:t>高压锅炉</w:t>
            </w:r>
            <w:r>
              <w:rPr>
                <w:rFonts w:hint="eastAsia" w:cs="Times New Roman"/>
                <w:b w:val="0"/>
                <w:bCs w:val="0"/>
                <w:color w:val="auto"/>
                <w:sz w:val="24"/>
                <w:szCs w:val="24"/>
                <w:highlight w:val="none"/>
                <w:lang w:val="en-US" w:eastAsia="zh-CN"/>
              </w:rPr>
              <w:t>172.8</w:t>
            </w:r>
            <w:r>
              <w:rPr>
                <w:rFonts w:hint="default" w:ascii="Times New Roman" w:hAnsi="Times New Roman" w:eastAsia="宋体" w:cs="Times New Roman"/>
                <w:b w:val="0"/>
                <w:bCs w:val="0"/>
                <w:color w:val="auto"/>
                <w:sz w:val="24"/>
                <w:szCs w:val="24"/>
                <w:highlight w:val="none"/>
                <w:lang w:val="en-US" w:eastAsia="zh-CN"/>
              </w:rPr>
              <w:t>万m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color w:val="auto"/>
                <w:kern w:val="2"/>
                <w:sz w:val="24"/>
                <w:szCs w:val="24"/>
                <w:highlight w:val="none"/>
                <w:lang w:val="en-US" w:eastAsia="zh-CN" w:bidi="ar-SA"/>
              </w:rPr>
              <w:t>1t/h蒸汽发生器、2t/h低氮燃气卧式蒸汽锅炉</w:t>
            </w:r>
            <w:r>
              <w:rPr>
                <w:rFonts w:hint="eastAsia" w:cs="Times New Roman"/>
                <w:b w:val="0"/>
                <w:bCs w:val="0"/>
                <w:color w:val="auto"/>
                <w:sz w:val="24"/>
                <w:szCs w:val="24"/>
                <w:highlight w:val="none"/>
                <w:lang w:val="en-US" w:eastAsia="zh-CN"/>
              </w:rPr>
              <w:t>172.8</w:t>
            </w:r>
            <w:r>
              <w:rPr>
                <w:rFonts w:hint="default" w:ascii="Times New Roman" w:hAnsi="Times New Roman" w:eastAsia="宋体" w:cs="Times New Roman"/>
                <w:b w:val="0"/>
                <w:bCs w:val="0"/>
                <w:color w:val="auto"/>
                <w:sz w:val="24"/>
                <w:szCs w:val="24"/>
                <w:highlight w:val="none"/>
                <w:lang w:val="en-US" w:eastAsia="zh-CN"/>
              </w:rPr>
              <w:t>万m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/a），锅炉废气经2根排气筒排放</w:t>
            </w:r>
            <w:r>
              <w:rPr>
                <w:rFonts w:hint="default" w:ascii="Times New Roman" w:hAnsi="Times New Roman" w:cs="Times New Roman"/>
                <w:b w:val="0"/>
                <w:bCs w:val="0"/>
                <w:color w:val="auto"/>
                <w:sz w:val="24"/>
                <w:szCs w:val="24"/>
                <w:highlight w:val="none"/>
                <w:lang w:val="en-US" w:eastAsia="zh-CN"/>
              </w:rPr>
              <w:t>，其中蒸汽锅炉、蒸汽发生器合并成1根排放，高压锅炉单独1根排放</w:t>
            </w:r>
            <w:r>
              <w:rPr>
                <w:rFonts w:hint="default" w:ascii="Times New Roman" w:hAnsi="Times New Roman" w:eastAsia="宋体" w:cs="Times New Roman"/>
                <w:b w:val="0"/>
                <w:bCs w:val="0"/>
                <w:color w:val="auto"/>
                <w:sz w:val="24"/>
                <w:szCs w:val="24"/>
                <w:highlight w:val="none"/>
                <w:lang w:val="en-US" w:eastAsia="zh-CN"/>
              </w:rPr>
              <w:t>。</w:t>
            </w:r>
          </w:p>
          <w:p w14:paraId="2E9A3313">
            <w:pPr>
              <w:keepNext w:val="0"/>
              <w:keepLines w:val="0"/>
              <w:pageBreakBefore w:val="0"/>
              <w:kinsoku/>
              <w:wordWrap/>
              <w:overflowPunct/>
              <w:topLinePunct w:val="0"/>
              <w:autoSpaceDE/>
              <w:autoSpaceDN/>
              <w:bidi w:val="0"/>
              <w:adjustRightInd/>
              <w:spacing w:line="460" w:lineRule="exact"/>
              <w:ind w:right="0"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根据《第二次全国污染源普查工业污染源排污系数手册》（试用版）“4430</w:t>
            </w:r>
            <w:r>
              <w:rPr>
                <w:rFonts w:hint="default" w:ascii="Times New Roman" w:hAnsi="Times New Roman" w:cs="Times New Roman"/>
                <w:bCs/>
                <w:color w:val="auto"/>
                <w:sz w:val="24"/>
                <w:szCs w:val="24"/>
                <w:highlight w:val="none"/>
                <w:lang w:val="en-US" w:eastAsia="zh-CN"/>
              </w:rPr>
              <w:t>工业锅炉（热力生产和供应行业）产污系数</w:t>
            </w:r>
            <w:r>
              <w:rPr>
                <w:rFonts w:hint="default" w:ascii="Times New Roman" w:hAnsi="Times New Roman" w:eastAsia="宋体" w:cs="Times New Roman"/>
                <w:b w:val="0"/>
                <w:bCs w:val="0"/>
                <w:color w:val="auto"/>
                <w:sz w:val="24"/>
                <w:szCs w:val="24"/>
                <w:highlight w:val="none"/>
                <w:lang w:val="en-US" w:eastAsia="zh-CN"/>
              </w:rPr>
              <w:t>手册“，</w:t>
            </w:r>
            <w:r>
              <w:rPr>
                <w:rFonts w:hint="default" w:ascii="Times New Roman" w:hAnsi="Times New Roman" w:eastAsia="宋体" w:cs="Times New Roman"/>
                <w:color w:val="auto"/>
                <w:sz w:val="24"/>
                <w:szCs w:val="24"/>
                <w:highlight w:val="none"/>
                <w:lang w:val="en-US" w:eastAsia="zh-CN"/>
              </w:rPr>
              <w:t>锅炉废气产排污系数取值如</w:t>
            </w:r>
            <w:r>
              <w:rPr>
                <w:rFonts w:hint="default" w:ascii="Times New Roman" w:hAnsi="Times New Roman" w:eastAsia="宋体" w:cs="Times New Roman"/>
                <w:color w:val="auto"/>
                <w:sz w:val="24"/>
                <w:szCs w:val="24"/>
                <w:highlight w:val="none"/>
                <w:lang w:eastAsia="zh-CN"/>
              </w:rPr>
              <w:t>下表</w:t>
            </w:r>
            <w:r>
              <w:rPr>
                <w:rFonts w:hint="default" w:ascii="Times New Roman" w:hAnsi="Times New Roman" w:cs="Times New Roman"/>
                <w:bCs/>
                <w:color w:val="auto"/>
                <w:sz w:val="24"/>
                <w:szCs w:val="24"/>
                <w:highlight w:val="none"/>
                <w:lang w:val="en-US" w:eastAsia="zh-CN"/>
              </w:rPr>
              <w:t>4.2-1</w:t>
            </w:r>
            <w:r>
              <w:rPr>
                <w:rFonts w:hint="default" w:ascii="Times New Roman" w:hAnsi="Times New Roman" w:eastAsia="宋体" w:cs="Times New Roman"/>
                <w:color w:val="auto"/>
                <w:sz w:val="24"/>
                <w:szCs w:val="24"/>
                <w:highlight w:val="none"/>
                <w:lang w:val="en-US" w:eastAsia="zh-CN"/>
              </w:rPr>
              <w:t>所示。</w:t>
            </w:r>
          </w:p>
          <w:p w14:paraId="2059005D">
            <w:pPr>
              <w:keepNext w:val="0"/>
              <w:keepLines w:val="0"/>
              <w:pageBreakBefore w:val="0"/>
              <w:kinsoku/>
              <w:wordWrap/>
              <w:overflowPunct/>
              <w:topLinePunct w:val="0"/>
              <w:autoSpaceDE/>
              <w:autoSpaceDN/>
              <w:bidi w:val="0"/>
              <w:adjustRightInd/>
              <w:spacing w:line="460" w:lineRule="exact"/>
              <w:ind w:right="0"/>
              <w:jc w:val="center"/>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表4.2-1工业锅炉（热力生产和供应行业）产污系数表-燃气工业锅炉</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189"/>
              <w:gridCol w:w="905"/>
              <w:gridCol w:w="813"/>
              <w:gridCol w:w="1562"/>
              <w:gridCol w:w="1679"/>
              <w:gridCol w:w="945"/>
              <w:gridCol w:w="1267"/>
            </w:tblGrid>
            <w:tr w14:paraId="017E81D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712" w:type="pct"/>
                  <w:noWrap w:val="0"/>
                  <w:vAlign w:val="center"/>
                </w:tcPr>
                <w:p w14:paraId="0AC34870">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产品名称</w:t>
                  </w:r>
                </w:p>
              </w:tc>
              <w:tc>
                <w:tcPr>
                  <w:tcW w:w="541" w:type="pct"/>
                  <w:noWrap w:val="0"/>
                  <w:vAlign w:val="center"/>
                </w:tcPr>
                <w:p w14:paraId="258D97F2">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原料名称</w:t>
                  </w:r>
                </w:p>
              </w:tc>
              <w:tc>
                <w:tcPr>
                  <w:tcW w:w="486" w:type="pct"/>
                  <w:noWrap w:val="0"/>
                  <w:vAlign w:val="center"/>
                </w:tcPr>
                <w:p w14:paraId="2ABDAC3F">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规模等级</w:t>
                  </w:r>
                </w:p>
              </w:tc>
              <w:tc>
                <w:tcPr>
                  <w:tcW w:w="934" w:type="pct"/>
                  <w:noWrap w:val="0"/>
                  <w:vAlign w:val="center"/>
                </w:tcPr>
                <w:p w14:paraId="2BF8704F">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污染物指标</w:t>
                  </w:r>
                </w:p>
              </w:tc>
              <w:tc>
                <w:tcPr>
                  <w:tcW w:w="1004" w:type="pct"/>
                  <w:noWrap w:val="0"/>
                  <w:vAlign w:val="center"/>
                </w:tcPr>
                <w:p w14:paraId="6C030556">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单位</w:t>
                  </w:r>
                </w:p>
              </w:tc>
              <w:tc>
                <w:tcPr>
                  <w:tcW w:w="565" w:type="pct"/>
                  <w:noWrap w:val="0"/>
                  <w:vAlign w:val="center"/>
                </w:tcPr>
                <w:p w14:paraId="0587D951">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产污系数</w:t>
                  </w:r>
                </w:p>
              </w:tc>
              <w:tc>
                <w:tcPr>
                  <w:tcW w:w="755" w:type="pct"/>
                  <w:noWrap w:val="0"/>
                  <w:vAlign w:val="center"/>
                </w:tcPr>
                <w:p w14:paraId="0EBF4434">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末端治理技术名称</w:t>
                  </w:r>
                </w:p>
              </w:tc>
            </w:tr>
            <w:tr w14:paraId="4AB55C8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02" w:hRule="atLeast"/>
                <w:jc w:val="center"/>
              </w:trPr>
              <w:tc>
                <w:tcPr>
                  <w:tcW w:w="712" w:type="pct"/>
                  <w:noWrap w:val="0"/>
                  <w:vAlign w:val="center"/>
                </w:tcPr>
                <w:p w14:paraId="3E97D229">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蒸汽/热水/其他</w:t>
                  </w:r>
                </w:p>
              </w:tc>
              <w:tc>
                <w:tcPr>
                  <w:tcW w:w="541" w:type="pct"/>
                  <w:noWrap w:val="0"/>
                  <w:vAlign w:val="center"/>
                </w:tcPr>
                <w:p w14:paraId="56C13EB9">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天然气</w:t>
                  </w:r>
                </w:p>
              </w:tc>
              <w:tc>
                <w:tcPr>
                  <w:tcW w:w="486" w:type="pct"/>
                  <w:noWrap w:val="0"/>
                  <w:vAlign w:val="center"/>
                </w:tcPr>
                <w:p w14:paraId="729E6478">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所有规模</w:t>
                  </w:r>
                </w:p>
              </w:tc>
              <w:tc>
                <w:tcPr>
                  <w:tcW w:w="934" w:type="pct"/>
                  <w:shd w:val="clear" w:color="auto" w:fill="auto"/>
                  <w:noWrap w:val="0"/>
                  <w:vAlign w:val="center"/>
                </w:tcPr>
                <w:p w14:paraId="7EF381EA">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1004" w:type="pct"/>
                  <w:shd w:val="clear" w:color="auto" w:fill="auto"/>
                  <w:noWrap w:val="0"/>
                  <w:vAlign w:val="center"/>
                </w:tcPr>
                <w:p w14:paraId="5BCB5E46">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kg/万m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-燃料</w:t>
                  </w:r>
                </w:p>
              </w:tc>
              <w:tc>
                <w:tcPr>
                  <w:tcW w:w="565" w:type="pct"/>
                  <w:shd w:val="clear" w:color="auto" w:fill="auto"/>
                  <w:noWrap w:val="0"/>
                  <w:vAlign w:val="center"/>
                </w:tcPr>
                <w:p w14:paraId="46640327">
                  <w:pPr>
                    <w:pStyle w:val="29"/>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0.02S</w:t>
                  </w:r>
                </w:p>
              </w:tc>
              <w:tc>
                <w:tcPr>
                  <w:tcW w:w="755" w:type="pct"/>
                  <w:shd w:val="clear" w:color="auto" w:fill="auto"/>
                  <w:noWrap w:val="0"/>
                  <w:vAlign w:val="center"/>
                </w:tcPr>
                <w:p w14:paraId="40615D2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6E67B4F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85" w:hRule="atLeast"/>
                <w:jc w:val="center"/>
              </w:trPr>
              <w:tc>
                <w:tcPr>
                  <w:tcW w:w="5000" w:type="pct"/>
                  <w:gridSpan w:val="7"/>
                  <w:noWrap w:val="0"/>
                  <w:vAlign w:val="center"/>
                </w:tcPr>
                <w:p w14:paraId="644FFF9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18"/>
                      <w:szCs w:val="18"/>
                      <w:highlight w:val="none"/>
                      <w:lang w:val="en-US" w:eastAsia="zh-CN"/>
                    </w:rPr>
                    <w:t>注：①产排污系数表中二氧化硫的产排污系数是以含硫量（S）的形式表示的，其中含硫量（S）是指燃气硫分含量，单位为毫克/立方米。例如燃料中含硫量（S）为200毫克/立方米，则S=200。</w:t>
                  </w:r>
                </w:p>
              </w:tc>
            </w:tr>
          </w:tbl>
          <w:p w14:paraId="49FB0136">
            <w:pPr>
              <w:pStyle w:val="2"/>
              <w:keepNext w:val="0"/>
              <w:keepLines w:val="0"/>
              <w:pageBreakBefore w:val="0"/>
              <w:widowControl/>
              <w:kinsoku/>
              <w:wordWrap/>
              <w:overflowPunct/>
              <w:topLinePunct w:val="0"/>
              <w:autoSpaceDE/>
              <w:autoSpaceDN/>
              <w:bidi w:val="0"/>
              <w:adjustRightInd/>
              <w:snapToGrid w:val="0"/>
              <w:spacing w:before="0" w:after="0" w:line="460" w:lineRule="atLeast"/>
              <w:ind w:left="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根据《强制性国家标准〈天然气〉》（GB17820-2018）中二类天然气标准，总含硫量≤100mg/m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，取100mg/m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，则SO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Cs/>
                <w:color w:val="auto"/>
                <w:sz w:val="24"/>
                <w:szCs w:val="24"/>
                <w:highlight w:val="none"/>
                <w:lang w:val="en-US" w:eastAsia="zh-CN"/>
              </w:rPr>
              <w:t>的产污系数为2kg/万m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-原料。</w:t>
            </w:r>
          </w:p>
          <w:p w14:paraId="6783A350">
            <w:pPr>
              <w:pStyle w:val="2"/>
              <w:keepNext w:val="0"/>
              <w:keepLines w:val="0"/>
              <w:pageBreakBefore w:val="0"/>
              <w:widowControl/>
              <w:kinsoku/>
              <w:wordWrap/>
              <w:overflowPunct/>
              <w:topLinePunct w:val="0"/>
              <w:autoSpaceDE/>
              <w:autoSpaceDN/>
              <w:bidi w:val="0"/>
              <w:adjustRightInd/>
              <w:snapToGrid w:val="0"/>
              <w:spacing w:before="0" w:after="0" w:line="460" w:lineRule="atLeast"/>
              <w:ind w:left="0" w:right="0" w:firstLine="480" w:firstLineChars="200"/>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根据红蜻蜓（重庆）植物油脂有限公司2025年2月例行监测报告（报告编号：永渝(检)字[2025]第WT00036号，生产负荷99.5%），天然气燃烧过程中</w:t>
            </w:r>
            <w:r>
              <w:rPr>
                <w:rFonts w:hint="default" w:ascii="Times New Roman" w:hAnsi="Times New Roman" w:eastAsia="宋体" w:cs="Times New Roman"/>
                <w:bCs/>
                <w:color w:val="auto"/>
                <w:sz w:val="24"/>
                <w:szCs w:val="24"/>
                <w:highlight w:val="none"/>
                <w:lang w:val="en-US" w:eastAsia="zh-CN"/>
              </w:rPr>
              <w:t>颗粒物</w:t>
            </w:r>
            <w:r>
              <w:rPr>
                <w:rFonts w:hint="default" w:ascii="Times New Roman" w:hAnsi="Times New Roman" w:cs="Times New Roman"/>
                <w:bCs/>
                <w:color w:val="auto"/>
                <w:sz w:val="24"/>
                <w:szCs w:val="24"/>
                <w:highlight w:val="none"/>
                <w:lang w:val="en-US" w:eastAsia="zh-CN"/>
              </w:rPr>
              <w:t>最大</w:t>
            </w:r>
            <w:r>
              <w:rPr>
                <w:rFonts w:hint="eastAsia" w:cs="Times New Roman"/>
                <w:bCs/>
                <w:color w:val="auto"/>
                <w:sz w:val="24"/>
                <w:szCs w:val="24"/>
                <w:highlight w:val="none"/>
                <w:lang w:val="en-US" w:eastAsia="zh-CN"/>
              </w:rPr>
              <w:t>速率</w:t>
            </w:r>
            <w:r>
              <w:rPr>
                <w:rFonts w:hint="default" w:ascii="Times New Roman" w:hAnsi="Times New Roman" w:cs="Times New Roman"/>
                <w:bCs/>
                <w:color w:val="auto"/>
                <w:sz w:val="24"/>
                <w:szCs w:val="24"/>
                <w:highlight w:val="none"/>
                <w:lang w:val="en-US" w:eastAsia="zh-CN"/>
              </w:rPr>
              <w:t>为</w:t>
            </w:r>
            <w:r>
              <w:rPr>
                <w:rFonts w:hint="eastAsia" w:cs="Times New Roman"/>
                <w:bCs/>
                <w:color w:val="auto"/>
                <w:sz w:val="24"/>
                <w:szCs w:val="24"/>
                <w:highlight w:val="none"/>
                <w:lang w:val="en-US" w:eastAsia="zh-CN"/>
              </w:rPr>
              <w:t>0.00919kg/h</w:t>
            </w:r>
            <w:r>
              <w:rPr>
                <w:rFonts w:hint="default" w:ascii="Times New Roman" w:hAnsi="Times New Roman" w:cs="Times New Roman"/>
                <w:bCs/>
                <w:color w:val="auto"/>
                <w:sz w:val="24"/>
                <w:szCs w:val="24"/>
                <w:highlight w:val="none"/>
                <w:lang w:val="en-US" w:eastAsia="zh-CN"/>
              </w:rPr>
              <w:t>、NOx最大排放</w:t>
            </w:r>
            <w:r>
              <w:rPr>
                <w:rFonts w:hint="eastAsia" w:cs="Times New Roman"/>
                <w:bCs/>
                <w:color w:val="auto"/>
                <w:sz w:val="24"/>
                <w:szCs w:val="24"/>
                <w:highlight w:val="none"/>
                <w:lang w:val="en-US" w:eastAsia="zh-CN"/>
              </w:rPr>
              <w:t>速率</w:t>
            </w:r>
            <w:r>
              <w:rPr>
                <w:rFonts w:hint="default" w:ascii="Times New Roman" w:hAnsi="Times New Roman" w:cs="Times New Roman"/>
                <w:bCs/>
                <w:color w:val="auto"/>
                <w:sz w:val="24"/>
                <w:szCs w:val="24"/>
                <w:highlight w:val="none"/>
                <w:lang w:val="en-US" w:eastAsia="zh-CN"/>
              </w:rPr>
              <w:t>为</w:t>
            </w:r>
            <w:r>
              <w:rPr>
                <w:rFonts w:hint="eastAsia" w:cs="Times New Roman"/>
                <w:bCs/>
                <w:color w:val="auto"/>
                <w:sz w:val="24"/>
                <w:szCs w:val="24"/>
                <w:highlight w:val="none"/>
                <w:lang w:val="en-US" w:eastAsia="zh-CN"/>
              </w:rPr>
              <w:t>0.04kg/h，项目现有工程耗气量为560</w:t>
            </w:r>
            <w:r>
              <w:rPr>
                <w:rFonts w:hint="eastAsia" w:ascii="Times New Roman" w:hAnsi="Times New Roman" w:cs="Times New Roman"/>
                <w:bCs/>
                <w:color w:val="auto"/>
                <w:sz w:val="24"/>
                <w:szCs w:val="24"/>
                <w:highlight w:val="none"/>
                <w:lang w:val="en-US" w:eastAsia="zh-CN"/>
              </w:rPr>
              <w:t>m</w:t>
            </w:r>
            <w:r>
              <w:rPr>
                <w:rFonts w:hint="eastAsia" w:ascii="Times New Roman" w:hAnsi="Times New Roman" w:cs="Times New Roman"/>
                <w:bCs/>
                <w:color w:val="auto"/>
                <w:sz w:val="24"/>
                <w:szCs w:val="24"/>
                <w:highlight w:val="none"/>
                <w:vertAlign w:val="superscript"/>
                <w:lang w:val="en-US" w:eastAsia="zh-CN"/>
              </w:rPr>
              <w:t>3</w:t>
            </w:r>
            <w:r>
              <w:rPr>
                <w:rFonts w:hint="eastAsia" w:ascii="Times New Roman" w:hAnsi="Times New Roman" w:cs="Times New Roman"/>
                <w:bCs/>
                <w:color w:val="auto"/>
                <w:sz w:val="24"/>
                <w:szCs w:val="24"/>
                <w:highlight w:val="none"/>
                <w:lang w:val="en-US" w:eastAsia="zh-CN"/>
              </w:rPr>
              <w:t>/h</w:t>
            </w:r>
            <w:r>
              <w:rPr>
                <w:rFonts w:hint="eastAsia" w:cs="Times New Roman"/>
                <w:bCs/>
                <w:color w:val="auto"/>
                <w:sz w:val="24"/>
                <w:szCs w:val="24"/>
                <w:highlight w:val="none"/>
                <w:lang w:val="en-US" w:eastAsia="zh-CN"/>
              </w:rPr>
              <w:t>，则单位天然气颗粒物产生速率为0.16kg/万m</w:t>
            </w:r>
            <w:r>
              <w:rPr>
                <w:rFonts w:hint="eastAsia"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-原料</w:t>
            </w:r>
            <w:r>
              <w:rPr>
                <w:rFonts w:hint="eastAsia" w:cs="Times New Roman"/>
                <w:bCs/>
                <w:color w:val="auto"/>
                <w:sz w:val="24"/>
                <w:szCs w:val="24"/>
                <w:highlight w:val="none"/>
                <w:lang w:val="en-US" w:eastAsia="zh-CN"/>
              </w:rPr>
              <w:t>，NOx产生速率为0.7kg/万m</w:t>
            </w:r>
            <w:r>
              <w:rPr>
                <w:rFonts w:hint="eastAsia"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-原料</w:t>
            </w:r>
            <w:r>
              <w:rPr>
                <w:rFonts w:hint="default" w:ascii="Times New Roman" w:hAnsi="Times New Roman" w:cs="Times New Roman"/>
                <w:bCs/>
                <w:color w:val="auto"/>
                <w:sz w:val="24"/>
                <w:szCs w:val="24"/>
                <w:highlight w:val="none"/>
                <w:lang w:val="en-US" w:eastAsia="zh-CN"/>
              </w:rPr>
              <w:t>。</w:t>
            </w:r>
          </w:p>
          <w:p w14:paraId="25895C9E">
            <w:pPr>
              <w:pStyle w:val="2"/>
              <w:keepNext w:val="0"/>
              <w:keepLines w:val="0"/>
              <w:pageBreakBefore w:val="0"/>
              <w:widowControl/>
              <w:kinsoku/>
              <w:wordWrap/>
              <w:overflowPunct/>
              <w:topLinePunct w:val="0"/>
              <w:autoSpaceDE/>
              <w:autoSpaceDN/>
              <w:bidi w:val="0"/>
              <w:adjustRightInd/>
              <w:snapToGrid w:val="0"/>
              <w:spacing w:before="0" w:after="0" w:line="460" w:lineRule="atLeast"/>
              <w:ind w:left="0" w:right="0" w:firstLine="480" w:firstLineChars="200"/>
              <w:textAlignment w:val="auto"/>
              <w:rPr>
                <w:rFonts w:hint="default" w:ascii="Times New Roman" w:hAnsi="Times New Roman" w:eastAsia="宋体" w:cs="Times New Roman"/>
                <w:bCs/>
                <w:color w:val="auto"/>
                <w:sz w:val="24"/>
                <w:szCs w:val="24"/>
                <w:highlight w:val="none"/>
                <w:vertAlign w:val="baseline"/>
                <w:lang w:val="en-US" w:eastAsia="zh-CN"/>
              </w:rPr>
            </w:pPr>
            <w:r>
              <w:rPr>
                <w:rFonts w:hint="eastAsia"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lang w:val="en-US" w:eastAsia="zh-CN"/>
              </w:rPr>
              <w:t>燃气锅炉的废气产排污情况见下表</w:t>
            </w:r>
            <w:r>
              <w:rPr>
                <w:rFonts w:hint="default" w:ascii="Times New Roman" w:hAnsi="Times New Roman" w:cs="Times New Roman"/>
                <w:bCs/>
                <w:color w:val="auto"/>
                <w:sz w:val="24"/>
                <w:szCs w:val="24"/>
                <w:highlight w:val="none"/>
                <w:lang w:val="en-US" w:eastAsia="zh-CN"/>
              </w:rPr>
              <w:t>4</w:t>
            </w:r>
            <w:r>
              <w:rPr>
                <w:rFonts w:hint="eastAsia" w:cs="Times New Roman"/>
                <w:bCs/>
                <w:color w:val="auto"/>
                <w:sz w:val="24"/>
                <w:szCs w:val="24"/>
                <w:highlight w:val="none"/>
                <w:lang w:val="en-US" w:eastAsia="zh-CN"/>
              </w:rPr>
              <w:t>.2-2</w:t>
            </w:r>
            <w:r>
              <w:rPr>
                <w:rFonts w:hint="default" w:ascii="Times New Roman" w:hAnsi="Times New Roman" w:eastAsia="宋体" w:cs="Times New Roman"/>
                <w:bCs/>
                <w:color w:val="auto"/>
                <w:sz w:val="24"/>
                <w:szCs w:val="24"/>
                <w:highlight w:val="none"/>
                <w:lang w:val="en-US" w:eastAsia="zh-CN"/>
              </w:rPr>
              <w:t>。</w:t>
            </w:r>
          </w:p>
          <w:p w14:paraId="3C51FDDE">
            <w:pPr>
              <w:adjustRightInd w:val="0"/>
              <w:snapToGrid w:val="0"/>
              <w:ind w:firstLine="510"/>
              <w:jc w:val="center"/>
              <w:rPr>
                <w:rFonts w:hint="default" w:ascii="Times New Roman" w:hAnsi="Times New Roman" w:cs="Times New Roman"/>
                <w:color w:val="auto"/>
                <w:sz w:val="26"/>
                <w:szCs w:val="26"/>
                <w:highlight w:val="none"/>
              </w:rPr>
            </w:pPr>
            <w:r>
              <w:rPr>
                <w:rFonts w:hint="default" w:ascii="Times New Roman" w:hAnsi="Times New Roman" w:cs="Times New Roman"/>
                <w:color w:val="auto"/>
                <w:sz w:val="26"/>
                <w:szCs w:val="26"/>
                <w:highlight w:val="none"/>
              </w:rPr>
              <w:t>表</w:t>
            </w:r>
            <w:r>
              <w:rPr>
                <w:rFonts w:hint="default" w:ascii="Times New Roman" w:hAnsi="Times New Roman" w:cs="Times New Roman"/>
                <w:color w:val="auto"/>
                <w:sz w:val="26"/>
                <w:szCs w:val="26"/>
                <w:highlight w:val="none"/>
                <w:lang w:val="en-US" w:eastAsia="zh-CN"/>
              </w:rPr>
              <w:t>4</w:t>
            </w:r>
            <w:r>
              <w:rPr>
                <w:rFonts w:hint="eastAsia" w:cs="Times New Roman"/>
                <w:color w:val="auto"/>
                <w:sz w:val="26"/>
                <w:szCs w:val="26"/>
                <w:highlight w:val="none"/>
                <w:lang w:val="en-US" w:eastAsia="zh-CN"/>
              </w:rPr>
              <w:t>.2-2</w:t>
            </w:r>
            <w:r>
              <w:rPr>
                <w:rFonts w:hint="default" w:ascii="Times New Roman" w:hAnsi="Times New Roman" w:cs="Times New Roman"/>
                <w:color w:val="auto"/>
                <w:sz w:val="26"/>
                <w:szCs w:val="26"/>
                <w:highlight w:val="none"/>
              </w:rPr>
              <w:t>锅炉</w:t>
            </w:r>
            <w:r>
              <w:rPr>
                <w:rFonts w:hint="default" w:ascii="Times New Roman" w:hAnsi="Times New Roman" w:cs="Times New Roman"/>
                <w:color w:val="auto"/>
                <w:sz w:val="26"/>
                <w:szCs w:val="26"/>
                <w:highlight w:val="none"/>
                <w:lang w:eastAsia="zh-CN"/>
              </w:rPr>
              <w:t>废气</w:t>
            </w:r>
            <w:r>
              <w:rPr>
                <w:rFonts w:hint="default" w:ascii="Times New Roman" w:hAnsi="Times New Roman" w:cs="Times New Roman"/>
                <w:color w:val="auto"/>
                <w:sz w:val="26"/>
                <w:szCs w:val="26"/>
                <w:highlight w:val="none"/>
              </w:rPr>
              <w:t>产排放情况一览表</w:t>
            </w:r>
          </w:p>
          <w:tbl>
            <w:tblPr>
              <w:tblStyle w:val="18"/>
              <w:tblW w:w="49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49"/>
              <w:gridCol w:w="937"/>
              <w:gridCol w:w="1257"/>
              <w:gridCol w:w="1241"/>
              <w:gridCol w:w="1236"/>
              <w:gridCol w:w="1231"/>
              <w:gridCol w:w="1684"/>
            </w:tblGrid>
            <w:tr w14:paraId="07B5A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449" w:type="pct"/>
                  <w:tcBorders>
                    <w:top w:val="single" w:color="auto" w:sz="4" w:space="0"/>
                    <w:left w:val="single" w:color="auto" w:sz="8" w:space="0"/>
                    <w:bottom w:val="single" w:color="auto" w:sz="4" w:space="0"/>
                    <w:right w:val="single" w:color="auto" w:sz="4" w:space="0"/>
                  </w:tcBorders>
                  <w:noWrap w:val="0"/>
                  <w:vAlign w:val="center"/>
                </w:tcPr>
                <w:p w14:paraId="4C555B9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排放方式</w:t>
                  </w:r>
                </w:p>
              </w:tc>
              <w:tc>
                <w:tcPr>
                  <w:tcW w:w="562" w:type="pct"/>
                  <w:tcBorders>
                    <w:top w:val="single" w:color="auto" w:sz="4" w:space="0"/>
                    <w:left w:val="single" w:color="auto" w:sz="4" w:space="0"/>
                    <w:bottom w:val="single" w:color="auto" w:sz="4" w:space="0"/>
                    <w:right w:val="single" w:color="auto" w:sz="4" w:space="0"/>
                  </w:tcBorders>
                  <w:noWrap w:val="0"/>
                  <w:vAlign w:val="center"/>
                </w:tcPr>
                <w:p w14:paraId="17920FB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754" w:type="pct"/>
                  <w:tcBorders>
                    <w:top w:val="single" w:color="auto" w:sz="4" w:space="0"/>
                    <w:left w:val="single" w:color="auto" w:sz="4" w:space="0"/>
                    <w:bottom w:val="single" w:color="auto" w:sz="4" w:space="0"/>
                    <w:right w:val="single" w:color="auto" w:sz="4" w:space="0"/>
                  </w:tcBorders>
                  <w:noWrap w:val="0"/>
                  <w:vAlign w:val="center"/>
                </w:tcPr>
                <w:p w14:paraId="2E3BECF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w:t>
                  </w:r>
                </w:p>
                <w:p w14:paraId="0C0BBE1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744" w:type="pct"/>
                  <w:tcBorders>
                    <w:top w:val="single" w:color="auto" w:sz="4" w:space="0"/>
                    <w:left w:val="single" w:color="auto" w:sz="4" w:space="0"/>
                    <w:bottom w:val="single" w:color="auto" w:sz="4" w:space="0"/>
                    <w:right w:val="single" w:color="auto" w:sz="4" w:space="0"/>
                  </w:tcBorders>
                  <w:noWrap w:val="0"/>
                  <w:vAlign w:val="center"/>
                </w:tcPr>
                <w:p w14:paraId="28A2D09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产生浓度</w:t>
                  </w:r>
                </w:p>
                <w:p w14:paraId="57A5ABC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1A2C26B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p w14:paraId="4707672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5824431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14:paraId="62F478F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55273DC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p w14:paraId="72977BF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（kg/h）</w:t>
                  </w:r>
                </w:p>
              </w:tc>
            </w:tr>
            <w:tr w14:paraId="4F10B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449" w:type="pct"/>
                  <w:vMerge w:val="restart"/>
                  <w:tcBorders>
                    <w:left w:val="single" w:color="auto" w:sz="8" w:space="0"/>
                    <w:right w:val="single" w:color="auto" w:sz="4" w:space="0"/>
                  </w:tcBorders>
                  <w:noWrap w:val="0"/>
                  <w:vAlign w:val="center"/>
                </w:tcPr>
                <w:p w14:paraId="6D02D35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有组织排放</w:t>
                  </w:r>
                  <w:r>
                    <w:rPr>
                      <w:rFonts w:hint="default" w:ascii="Times New Roman" w:hAnsi="Times New Roman" w:cs="Times New Roman"/>
                      <w:color w:val="auto"/>
                      <w:sz w:val="21"/>
                      <w:szCs w:val="21"/>
                      <w:highlight w:val="none"/>
                      <w:lang w:val="en-US" w:eastAsia="zh-CN"/>
                    </w:rPr>
                    <w:t>DA00</w:t>
                  </w:r>
                  <w:r>
                    <w:rPr>
                      <w:rFonts w:hint="eastAsia" w:cs="Times New Roman"/>
                      <w:color w:val="auto"/>
                      <w:sz w:val="21"/>
                      <w:szCs w:val="21"/>
                      <w:highlight w:val="none"/>
                      <w:lang w:val="en-US" w:eastAsia="zh-CN"/>
                    </w:rPr>
                    <w:t>2</w:t>
                  </w:r>
                </w:p>
              </w:tc>
              <w:tc>
                <w:tcPr>
                  <w:tcW w:w="562" w:type="pct"/>
                  <w:tcBorders>
                    <w:top w:val="single" w:color="auto" w:sz="4" w:space="0"/>
                    <w:left w:val="single" w:color="auto" w:sz="4" w:space="0"/>
                    <w:bottom w:val="single" w:color="auto" w:sz="4" w:space="0"/>
                    <w:right w:val="single" w:color="auto" w:sz="4" w:space="0"/>
                  </w:tcBorders>
                  <w:noWrap w:val="0"/>
                  <w:vAlign w:val="center"/>
                </w:tcPr>
                <w:p w14:paraId="5CB5F90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754" w:type="pct"/>
                  <w:tcBorders>
                    <w:top w:val="single" w:color="auto" w:sz="4" w:space="0"/>
                    <w:left w:val="single" w:color="auto" w:sz="4" w:space="0"/>
                    <w:bottom w:val="single" w:color="auto" w:sz="4" w:space="0"/>
                    <w:right w:val="single" w:color="auto" w:sz="4" w:space="0"/>
                  </w:tcBorders>
                  <w:noWrap w:val="0"/>
                  <w:vAlign w:val="center"/>
                </w:tcPr>
                <w:p w14:paraId="1E9287B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744" w:type="pct"/>
                  <w:tcBorders>
                    <w:top w:val="single" w:color="auto" w:sz="4" w:space="0"/>
                    <w:left w:val="single" w:color="auto" w:sz="4" w:space="0"/>
                    <w:bottom w:val="single" w:color="auto" w:sz="4" w:space="0"/>
                    <w:right w:val="single" w:color="auto" w:sz="4" w:space="0"/>
                  </w:tcBorders>
                  <w:noWrap w:val="0"/>
                  <w:vAlign w:val="center"/>
                </w:tcPr>
                <w:p w14:paraId="482B4FA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E84DEC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229AD8D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143DC85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4884A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449" w:type="pct"/>
                  <w:vMerge w:val="continue"/>
                  <w:tcBorders>
                    <w:left w:val="single" w:color="auto" w:sz="8" w:space="0"/>
                    <w:right w:val="single" w:color="auto" w:sz="4" w:space="0"/>
                  </w:tcBorders>
                  <w:noWrap w:val="0"/>
                  <w:vAlign w:val="center"/>
                </w:tcPr>
                <w:p w14:paraId="2196777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62" w:type="pct"/>
                  <w:tcBorders>
                    <w:top w:val="single" w:color="auto" w:sz="4" w:space="0"/>
                    <w:left w:val="single" w:color="auto" w:sz="4" w:space="0"/>
                    <w:bottom w:val="single" w:color="auto" w:sz="4" w:space="0"/>
                    <w:right w:val="single" w:color="auto" w:sz="4" w:space="0"/>
                  </w:tcBorders>
                  <w:noWrap w:val="0"/>
                  <w:vAlign w:val="center"/>
                </w:tcPr>
                <w:p w14:paraId="49CDAA5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754" w:type="pct"/>
                  <w:tcBorders>
                    <w:top w:val="single" w:color="auto" w:sz="4" w:space="0"/>
                    <w:left w:val="single" w:color="auto" w:sz="4" w:space="0"/>
                    <w:bottom w:val="single" w:color="auto" w:sz="4" w:space="0"/>
                    <w:right w:val="single" w:color="auto" w:sz="4" w:space="0"/>
                  </w:tcBorders>
                  <w:noWrap w:val="0"/>
                  <w:vAlign w:val="center"/>
                </w:tcPr>
                <w:p w14:paraId="70CD53D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744" w:type="pct"/>
                  <w:tcBorders>
                    <w:top w:val="single" w:color="auto" w:sz="4" w:space="0"/>
                    <w:left w:val="single" w:color="auto" w:sz="4" w:space="0"/>
                    <w:bottom w:val="single" w:color="auto" w:sz="4" w:space="0"/>
                    <w:right w:val="single" w:color="auto" w:sz="4" w:space="0"/>
                  </w:tcBorders>
                  <w:noWrap w:val="0"/>
                  <w:vAlign w:val="center"/>
                </w:tcPr>
                <w:p w14:paraId="2CC9510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0872FB1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107162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264191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41665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449" w:type="pct"/>
                  <w:vMerge w:val="continue"/>
                  <w:tcBorders>
                    <w:left w:val="single" w:color="auto" w:sz="8" w:space="0"/>
                    <w:right w:val="single" w:color="auto" w:sz="4" w:space="0"/>
                  </w:tcBorders>
                  <w:noWrap w:val="0"/>
                  <w:vAlign w:val="center"/>
                </w:tcPr>
                <w:p w14:paraId="333B2622">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62" w:type="pct"/>
                  <w:tcBorders>
                    <w:top w:val="single" w:color="auto" w:sz="4" w:space="0"/>
                    <w:left w:val="single" w:color="auto" w:sz="4" w:space="0"/>
                    <w:bottom w:val="single" w:color="auto" w:sz="4" w:space="0"/>
                    <w:right w:val="single" w:color="auto" w:sz="4" w:space="0"/>
                  </w:tcBorders>
                  <w:noWrap w:val="0"/>
                  <w:vAlign w:val="center"/>
                </w:tcPr>
                <w:p w14:paraId="4FAE37A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754" w:type="pct"/>
                  <w:tcBorders>
                    <w:top w:val="single" w:color="auto" w:sz="4" w:space="0"/>
                    <w:left w:val="single" w:color="auto" w:sz="4" w:space="0"/>
                    <w:bottom w:val="single" w:color="auto" w:sz="4" w:space="0"/>
                    <w:right w:val="single" w:color="auto" w:sz="4" w:space="0"/>
                  </w:tcBorders>
                  <w:noWrap w:val="0"/>
                  <w:vAlign w:val="center"/>
                </w:tcPr>
                <w:p w14:paraId="5077BD4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744" w:type="pct"/>
                  <w:tcBorders>
                    <w:top w:val="single" w:color="auto" w:sz="4" w:space="0"/>
                    <w:left w:val="single" w:color="auto" w:sz="4" w:space="0"/>
                    <w:bottom w:val="single" w:color="auto" w:sz="4" w:space="0"/>
                    <w:right w:val="single" w:color="auto" w:sz="4" w:space="0"/>
                  </w:tcBorders>
                  <w:noWrap w:val="0"/>
                  <w:vAlign w:val="center"/>
                </w:tcPr>
                <w:p w14:paraId="5A3FCF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5.91</w:t>
                  </w:r>
                </w:p>
              </w:tc>
              <w:tc>
                <w:tcPr>
                  <w:tcW w:w="741" w:type="pct"/>
                  <w:tcBorders>
                    <w:top w:val="single" w:color="auto" w:sz="4" w:space="0"/>
                    <w:left w:val="single" w:color="auto" w:sz="4" w:space="0"/>
                    <w:bottom w:val="single" w:color="auto" w:sz="4" w:space="0"/>
                    <w:right w:val="single" w:color="auto" w:sz="4" w:space="0"/>
                  </w:tcBorders>
                  <w:noWrap w:val="0"/>
                  <w:vAlign w:val="center"/>
                </w:tcPr>
                <w:p w14:paraId="496E184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0074ABA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5.91</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0B7DAD5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r>
            <w:tr w14:paraId="723BC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449" w:type="pct"/>
                  <w:vMerge w:val="restart"/>
                  <w:tcBorders>
                    <w:left w:val="single" w:color="auto" w:sz="8" w:space="0"/>
                    <w:right w:val="single" w:color="auto" w:sz="4" w:space="0"/>
                  </w:tcBorders>
                  <w:noWrap w:val="0"/>
                  <w:vAlign w:val="center"/>
                </w:tcPr>
                <w:p w14:paraId="2B23A32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有组织排放</w:t>
                  </w:r>
                  <w:r>
                    <w:rPr>
                      <w:rFonts w:hint="default" w:ascii="Times New Roman" w:hAnsi="Times New Roman" w:cs="Times New Roman"/>
                      <w:color w:val="auto"/>
                      <w:sz w:val="21"/>
                      <w:szCs w:val="21"/>
                      <w:highlight w:val="none"/>
                      <w:lang w:val="en-US" w:eastAsia="zh-CN"/>
                    </w:rPr>
                    <w:t>DA003</w:t>
                  </w:r>
                </w:p>
              </w:tc>
              <w:tc>
                <w:tcPr>
                  <w:tcW w:w="5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58579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B564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8334A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D56F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12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5BF2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16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C49E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1B7BC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449" w:type="pct"/>
                  <w:vMerge w:val="continue"/>
                  <w:tcBorders>
                    <w:left w:val="single" w:color="auto" w:sz="8" w:space="0"/>
                    <w:right w:val="single" w:color="auto" w:sz="4" w:space="0"/>
                  </w:tcBorders>
                  <w:noWrap w:val="0"/>
                  <w:vAlign w:val="center"/>
                </w:tcPr>
                <w:p w14:paraId="4217FDF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CE587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12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1B361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17127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E799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12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F083D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c>
                <w:tcPr>
                  <w:tcW w:w="16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61B96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190D1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69" w:hRule="atLeast"/>
                <w:jc w:val="center"/>
              </w:trPr>
              <w:tc>
                <w:tcPr>
                  <w:tcW w:w="449" w:type="pct"/>
                  <w:vMerge w:val="continue"/>
                  <w:tcBorders>
                    <w:left w:val="single" w:color="auto" w:sz="8" w:space="0"/>
                    <w:right w:val="single" w:color="auto" w:sz="4" w:space="0"/>
                  </w:tcBorders>
                  <w:noWrap w:val="0"/>
                  <w:vAlign w:val="center"/>
                </w:tcPr>
                <w:p w14:paraId="132BAF0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p>
              </w:tc>
              <w:tc>
                <w:tcPr>
                  <w:tcW w:w="56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E13D1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p>
              </w:tc>
              <w:tc>
                <w:tcPr>
                  <w:tcW w:w="12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43BBF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2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FAE12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5.91</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DF8F2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2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2872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5.91</w:t>
                  </w:r>
                </w:p>
              </w:tc>
              <w:tc>
                <w:tcPr>
                  <w:tcW w:w="16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07F1F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r>
          </w:tbl>
          <w:p w14:paraId="07E34BF9">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③</w:t>
            </w:r>
            <w:r>
              <w:rPr>
                <w:rFonts w:hint="eastAsia" w:ascii="Times New Roman" w:hAnsi="Times New Roman" w:cs="Times New Roman"/>
                <w:color w:val="auto"/>
                <w:spacing w:val="0"/>
                <w:position w:val="0"/>
                <w:sz w:val="24"/>
                <w:szCs w:val="24"/>
                <w:highlight w:val="none"/>
                <w:lang w:val="en-US" w:eastAsia="zh-CN"/>
              </w:rPr>
              <w:t>白土投料粉尘</w:t>
            </w:r>
          </w:p>
          <w:p w14:paraId="7BDE809C">
            <w:pPr>
              <w:widowControl/>
              <w:spacing w:line="360" w:lineRule="auto"/>
              <w:ind w:firstLine="480" w:firstLineChars="200"/>
              <w:jc w:val="left"/>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eastAsia="宋体" w:cs="Times New Roman"/>
                <w:color w:val="auto"/>
                <w:spacing w:val="0"/>
                <w:position w:val="0"/>
                <w:sz w:val="24"/>
                <w:szCs w:val="24"/>
                <w:highlight w:val="none"/>
                <w:lang w:val="en-US" w:eastAsia="zh-CN"/>
              </w:rPr>
              <w:t>散装白土通过输送管道负压</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lang w:val="en-US" w:eastAsia="zh-CN"/>
              </w:rPr>
              <w:t>运行罗茨风机不断地把管道内的空气抽出排到大气形成负压</w:t>
            </w: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eastAsia="宋体" w:cs="Times New Roman"/>
                <w:color w:val="auto"/>
                <w:spacing w:val="0"/>
                <w:position w:val="0"/>
                <w:sz w:val="24"/>
                <w:szCs w:val="24"/>
                <w:highlight w:val="none"/>
                <w:lang w:val="en-US" w:eastAsia="zh-CN"/>
              </w:rPr>
              <w:t>被吸入到白土暂存罐上部的脉式除尘器中，粘附在脉式除尘器布袋上的白土再通过脉式压缩空气打压震荡从而落入下部的白土暂存罐中，需添加白土时白土暂存罐下部连接阀门打开，白土通过自然重力和振动器震荡</w:t>
            </w:r>
            <w:r>
              <w:rPr>
                <w:rFonts w:hint="eastAsia" w:cs="Times New Roman"/>
                <w:color w:val="auto"/>
                <w:spacing w:val="0"/>
                <w:position w:val="0"/>
                <w:sz w:val="24"/>
                <w:szCs w:val="24"/>
                <w:highlight w:val="none"/>
                <w:lang w:val="en-US" w:eastAsia="zh-CN"/>
              </w:rPr>
              <w:t>加入</w:t>
            </w:r>
            <w:r>
              <w:rPr>
                <w:rFonts w:hint="eastAsia" w:ascii="Times New Roman" w:hAnsi="Times New Roman" w:eastAsia="宋体" w:cs="Times New Roman"/>
                <w:color w:val="auto"/>
                <w:spacing w:val="0"/>
                <w:position w:val="0"/>
                <w:sz w:val="24"/>
                <w:szCs w:val="24"/>
                <w:highlight w:val="none"/>
                <w:lang w:val="en-US" w:eastAsia="zh-CN"/>
              </w:rPr>
              <w:t>预混罐中与油反应。</w:t>
            </w:r>
            <w:r>
              <w:rPr>
                <w:rFonts w:hint="default" w:ascii="Times New Roman" w:hAnsi="Times New Roman" w:eastAsia="宋体" w:cs="Times New Roman"/>
                <w:color w:val="auto"/>
                <w:spacing w:val="0"/>
                <w:position w:val="0"/>
                <w:sz w:val="24"/>
                <w:szCs w:val="24"/>
                <w:highlight w:val="none"/>
                <w:lang w:val="en-US" w:eastAsia="zh-CN"/>
              </w:rPr>
              <w:t>参考《逸散性工业粉尘控制技术》（中国环境科学出版社）中输送、转运时排放因子，粉尘产生量为0.03kg/t-原料，</w:t>
            </w:r>
            <w:r>
              <w:rPr>
                <w:rFonts w:hint="eastAsia" w:ascii="Times New Roman" w:hAnsi="Times New Roman" w:eastAsia="宋体" w:cs="Times New Roman"/>
                <w:color w:val="auto"/>
                <w:spacing w:val="0"/>
                <w:position w:val="0"/>
                <w:sz w:val="24"/>
                <w:szCs w:val="24"/>
                <w:highlight w:val="none"/>
                <w:lang w:val="en-US" w:eastAsia="zh-CN"/>
              </w:rPr>
              <w:t>投料时间为8h/d，300d/a，项目活性白土投料量为570t/a，则粉尘产生量为17.1kg/a（0.007kg/h），除尘器去除效率为90%，则粉尘排放速率为0.0007kg/h，排放量为0.0017t/a。产生量较少，以无组织形式在精炼车间排放。</w:t>
            </w:r>
          </w:p>
          <w:p w14:paraId="5D5EF594">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p>
          <w:p w14:paraId="1CBE6C46">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p>
          <w:p w14:paraId="187793B3">
            <w:pPr>
              <w:pStyle w:val="24"/>
              <w:keepNext w:val="0"/>
              <w:keepLines w:val="0"/>
              <w:pageBreakBefore w:val="0"/>
              <w:kinsoku/>
              <w:wordWrap/>
              <w:overflowPunct w:val="0"/>
              <w:topLinePunct/>
              <w:bidi w:val="0"/>
              <w:spacing w:line="460" w:lineRule="exact"/>
              <w:ind w:right="0"/>
              <w:jc w:val="both"/>
              <w:rPr>
                <w:rFonts w:hint="default" w:ascii="Times New Roman" w:hAnsi="Times New Roman" w:eastAsia="宋体" w:cs="Times New Roman"/>
                <w:color w:val="auto"/>
                <w:spacing w:val="0"/>
                <w:position w:val="0"/>
                <w:sz w:val="24"/>
                <w:szCs w:val="24"/>
                <w:highlight w:val="none"/>
                <w:lang w:val="en-US" w:eastAsia="zh-CN"/>
              </w:rPr>
            </w:pPr>
          </w:p>
        </w:tc>
      </w:tr>
    </w:tbl>
    <w:p w14:paraId="0C029F03">
      <w:pPr>
        <w:pageBreakBefore w:val="0"/>
        <w:kinsoku/>
        <w:wordWrap/>
        <w:overflowPunct w:val="0"/>
        <w:topLinePunct/>
        <w:bidi w:val="0"/>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187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
        <w:gridCol w:w="12916"/>
      </w:tblGrid>
      <w:tr w14:paraId="5FE7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dxa"/>
            <w:noWrap w:val="0"/>
            <w:vAlign w:val="top"/>
          </w:tcPr>
          <w:p w14:paraId="545F1EA7">
            <w:pPr>
              <w:pageBreakBefore w:val="0"/>
              <w:kinsoku/>
              <w:wordWrap/>
              <w:overflowPunct w:val="0"/>
              <w:topLinePunct/>
              <w:bidi w:val="0"/>
              <w:adjustRightInd w:val="0"/>
              <w:snapToGrid w:val="0"/>
              <w:spacing w:line="360" w:lineRule="auto"/>
              <w:rPr>
                <w:rFonts w:hint="default" w:ascii="Times New Roman" w:hAnsi="Times New Roman" w:eastAsia="宋体" w:cs="Times New Roman"/>
                <w:b/>
                <w:color w:val="auto"/>
                <w:kern w:val="0"/>
                <w:sz w:val="28"/>
                <w:szCs w:val="28"/>
                <w:highlight w:val="none"/>
                <w:vertAlign w:val="baseline"/>
              </w:rPr>
            </w:pPr>
          </w:p>
        </w:tc>
        <w:tc>
          <w:tcPr>
            <w:tcW w:w="12916" w:type="dxa"/>
            <w:noWrap w:val="0"/>
            <w:vAlign w:val="top"/>
          </w:tcPr>
          <w:p w14:paraId="2B4B5915">
            <w:pPr>
              <w:pageBreakBefore w:val="0"/>
              <w:kinsoku/>
              <w:wordWrap/>
              <w:overflowPunct w:val="0"/>
              <w:topLinePunct/>
              <w:bidi w:val="0"/>
              <w:adjustRightInd w:val="0"/>
              <w:snapToGrid w:val="0"/>
              <w:spacing w:line="360" w:lineRule="auto"/>
              <w:ind w:firstLine="480" w:firstLineChars="200"/>
              <w:rPr>
                <w:rFonts w:hint="default" w:ascii="Times New Roman" w:hAnsi="Times New Roman" w:eastAsia="宋体" w:cs="Times New Roman"/>
                <w:color w:val="auto"/>
                <w:spacing w:val="0"/>
                <w:kern w:val="2"/>
                <w:position w:val="0"/>
                <w:sz w:val="24"/>
                <w:szCs w:val="24"/>
                <w:highlight w:val="none"/>
                <w:lang w:val="en-US" w:eastAsia="zh-CN" w:bidi="ar-SA"/>
              </w:rPr>
            </w:pPr>
            <w:r>
              <w:rPr>
                <w:rFonts w:hint="default" w:ascii="Times New Roman" w:hAnsi="Times New Roman" w:eastAsia="宋体" w:cs="Times New Roman"/>
                <w:color w:val="auto"/>
                <w:spacing w:val="0"/>
                <w:kern w:val="2"/>
                <w:position w:val="0"/>
                <w:sz w:val="24"/>
                <w:szCs w:val="24"/>
                <w:highlight w:val="none"/>
                <w:lang w:val="en-US" w:eastAsia="zh-CN" w:bidi="ar-SA"/>
              </w:rPr>
              <w:t>正常工况下</w:t>
            </w:r>
            <w:r>
              <w:rPr>
                <w:rFonts w:hint="eastAsia" w:cs="Times New Roman"/>
                <w:color w:val="auto"/>
                <w:spacing w:val="0"/>
                <w:kern w:val="2"/>
                <w:position w:val="0"/>
                <w:sz w:val="24"/>
                <w:szCs w:val="24"/>
                <w:highlight w:val="none"/>
                <w:lang w:val="en-US" w:eastAsia="zh-CN" w:bidi="ar-SA"/>
              </w:rPr>
              <w:t>本项目</w:t>
            </w:r>
            <w:r>
              <w:rPr>
                <w:rFonts w:hint="default" w:ascii="Times New Roman" w:hAnsi="Times New Roman" w:eastAsia="宋体" w:cs="Times New Roman"/>
                <w:color w:val="auto"/>
                <w:spacing w:val="0"/>
                <w:kern w:val="2"/>
                <w:position w:val="0"/>
                <w:sz w:val="24"/>
                <w:szCs w:val="24"/>
                <w:highlight w:val="none"/>
                <w:lang w:val="en-US" w:eastAsia="zh-CN" w:bidi="ar-SA"/>
              </w:rPr>
              <w:t>废气产排情况统计如下表：</w:t>
            </w:r>
          </w:p>
          <w:p w14:paraId="75066C6F">
            <w:pPr>
              <w:pageBreakBefore w:val="0"/>
              <w:kinsoku/>
              <w:wordWrap/>
              <w:overflowPunct w:val="0"/>
              <w:topLinePunct/>
              <w:bidi w:val="0"/>
              <w:ind w:firstLine="422"/>
              <w:jc w:val="center"/>
              <w:rPr>
                <w:rFonts w:hint="default" w:ascii="Times New Roman" w:hAnsi="Times New Roman" w:cs="Times New Roman"/>
                <w:b/>
                <w:bCs/>
                <w:color w:val="auto"/>
                <w:sz w:val="21"/>
                <w:szCs w:val="16"/>
                <w:highlight w:val="none"/>
              </w:rPr>
            </w:pPr>
            <w:r>
              <w:rPr>
                <w:rFonts w:hint="default" w:ascii="Times New Roman" w:hAnsi="Times New Roman" w:cs="Times New Roman"/>
                <w:b/>
                <w:bCs/>
                <w:color w:val="auto"/>
                <w:sz w:val="21"/>
                <w:szCs w:val="16"/>
                <w:highlight w:val="none"/>
              </w:rPr>
              <w:t>表</w:t>
            </w:r>
            <w:r>
              <w:rPr>
                <w:rFonts w:hint="default" w:ascii="Times New Roman" w:hAnsi="Times New Roman" w:cs="Times New Roman"/>
                <w:b/>
                <w:bCs/>
                <w:color w:val="auto"/>
                <w:sz w:val="21"/>
                <w:szCs w:val="16"/>
                <w:highlight w:val="none"/>
                <w:lang w:val="en-US" w:eastAsia="zh-CN"/>
              </w:rPr>
              <w:t>4.2-</w:t>
            </w:r>
            <w:r>
              <w:rPr>
                <w:rFonts w:hint="eastAsia" w:cs="Times New Roman"/>
                <w:b/>
                <w:bCs/>
                <w:color w:val="auto"/>
                <w:sz w:val="21"/>
                <w:szCs w:val="16"/>
                <w:highlight w:val="none"/>
                <w:lang w:val="en-US" w:eastAsia="zh-CN"/>
              </w:rPr>
              <w:t>3</w:t>
            </w:r>
            <w:r>
              <w:rPr>
                <w:rFonts w:hint="eastAsia" w:cs="Times New Roman"/>
                <w:b/>
                <w:bCs/>
                <w:color w:val="auto"/>
                <w:sz w:val="21"/>
                <w:szCs w:val="16"/>
                <w:highlight w:val="none"/>
                <w:lang w:eastAsia="zh-CN"/>
              </w:rPr>
              <w:t>本项目</w:t>
            </w:r>
            <w:r>
              <w:rPr>
                <w:rFonts w:hint="default" w:ascii="Times New Roman" w:hAnsi="Times New Roman" w:cs="Times New Roman"/>
                <w:b/>
                <w:bCs/>
                <w:color w:val="auto"/>
                <w:sz w:val="21"/>
                <w:szCs w:val="16"/>
                <w:highlight w:val="none"/>
              </w:rPr>
              <w:t>运营期废气污染物产排情况一览表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554"/>
              <w:gridCol w:w="805"/>
              <w:gridCol w:w="940"/>
              <w:gridCol w:w="788"/>
              <w:gridCol w:w="788"/>
              <w:gridCol w:w="736"/>
              <w:gridCol w:w="592"/>
              <w:gridCol w:w="720"/>
              <w:gridCol w:w="788"/>
              <w:gridCol w:w="808"/>
              <w:gridCol w:w="939"/>
              <w:gridCol w:w="674"/>
              <w:gridCol w:w="729"/>
              <w:gridCol w:w="612"/>
              <w:gridCol w:w="432"/>
              <w:gridCol w:w="445"/>
              <w:gridCol w:w="564"/>
              <w:gridCol w:w="390"/>
            </w:tblGrid>
            <w:tr w14:paraId="50C2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restart"/>
                  <w:tcBorders>
                    <w:top w:val="single" w:color="auto" w:sz="4" w:space="0"/>
                    <w:left w:val="single" w:color="auto" w:sz="4" w:space="0"/>
                    <w:bottom w:val="single" w:color="auto" w:sz="4" w:space="0"/>
                    <w:right w:val="single" w:color="auto" w:sz="4" w:space="0"/>
                  </w:tcBorders>
                  <w:noWrap w:val="0"/>
                  <w:vAlign w:val="center"/>
                </w:tcPr>
                <w:p w14:paraId="2FD0145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污染源</w:t>
                  </w:r>
                </w:p>
              </w:tc>
              <w:tc>
                <w:tcPr>
                  <w:tcW w:w="218" w:type="pct"/>
                  <w:vMerge w:val="restart"/>
                  <w:tcBorders>
                    <w:top w:val="single" w:color="auto" w:sz="4" w:space="0"/>
                    <w:left w:val="single" w:color="auto" w:sz="4" w:space="0"/>
                    <w:bottom w:val="single" w:color="auto" w:sz="4" w:space="0"/>
                    <w:right w:val="single" w:color="auto" w:sz="4" w:space="0"/>
                  </w:tcBorders>
                  <w:noWrap w:val="0"/>
                  <w:vAlign w:val="center"/>
                </w:tcPr>
                <w:p w14:paraId="66FC1752">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污染物</w:t>
                  </w:r>
                </w:p>
              </w:tc>
              <w:tc>
                <w:tcPr>
                  <w:tcW w:w="317" w:type="pct"/>
                  <w:vMerge w:val="restart"/>
                  <w:tcBorders>
                    <w:top w:val="single" w:color="auto" w:sz="4" w:space="0"/>
                    <w:left w:val="single" w:color="auto" w:sz="4" w:space="0"/>
                    <w:bottom w:val="single" w:color="auto" w:sz="4" w:space="0"/>
                    <w:right w:val="single" w:color="auto" w:sz="4" w:space="0"/>
                  </w:tcBorders>
                  <w:noWrap w:val="0"/>
                  <w:vAlign w:val="center"/>
                </w:tcPr>
                <w:p w14:paraId="55AB485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废气量</w:t>
                  </w:r>
                </w:p>
                <w:p w14:paraId="0D501F0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（m</w:t>
                  </w:r>
                  <w:r>
                    <w:rPr>
                      <w:rFonts w:hint="default" w:ascii="Times New Roman" w:hAnsi="Times New Roman" w:eastAsia="宋体" w:cs="Times New Roman"/>
                      <w:color w:val="auto"/>
                      <w:kern w:val="2"/>
                      <w:sz w:val="20"/>
                      <w:szCs w:val="20"/>
                      <w:highlight w:val="none"/>
                      <w:vertAlign w:val="superscript"/>
                      <w:lang w:val="en-US" w:eastAsia="zh-CN" w:bidi="ar"/>
                    </w:rPr>
                    <w:t>3</w:t>
                  </w:r>
                  <w:r>
                    <w:rPr>
                      <w:rFonts w:hint="default" w:ascii="Times New Roman" w:hAnsi="Times New Roman" w:eastAsia="宋体" w:cs="Times New Roman"/>
                      <w:color w:val="auto"/>
                      <w:kern w:val="2"/>
                      <w:sz w:val="20"/>
                      <w:szCs w:val="20"/>
                      <w:highlight w:val="none"/>
                      <w:lang w:val="en-US" w:eastAsia="zh-CN" w:bidi="ar"/>
                    </w:rPr>
                    <w:t>/h）</w:t>
                  </w:r>
                </w:p>
              </w:tc>
              <w:tc>
                <w:tcPr>
                  <w:tcW w:w="991" w:type="pct"/>
                  <w:gridSpan w:val="3"/>
                  <w:tcBorders>
                    <w:top w:val="single" w:color="auto" w:sz="4" w:space="0"/>
                    <w:left w:val="single" w:color="auto" w:sz="4" w:space="0"/>
                    <w:bottom w:val="single" w:color="auto" w:sz="4" w:space="0"/>
                    <w:right w:val="single" w:color="auto" w:sz="4" w:space="0"/>
                  </w:tcBorders>
                  <w:noWrap w:val="0"/>
                  <w:vAlign w:val="center"/>
                </w:tcPr>
                <w:p w14:paraId="7E2D84F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产生状况</w:t>
                  </w:r>
                </w:p>
              </w:tc>
              <w:tc>
                <w:tcPr>
                  <w:tcW w:w="289" w:type="pct"/>
                  <w:vMerge w:val="restart"/>
                  <w:tcBorders>
                    <w:top w:val="single" w:color="auto" w:sz="4" w:space="0"/>
                    <w:left w:val="single" w:color="auto" w:sz="4" w:space="0"/>
                    <w:bottom w:val="single" w:color="auto" w:sz="4" w:space="0"/>
                    <w:right w:val="single" w:color="auto" w:sz="4" w:space="0"/>
                  </w:tcBorders>
                  <w:noWrap w:val="0"/>
                  <w:vAlign w:val="center"/>
                </w:tcPr>
                <w:p w14:paraId="6B4E094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治理</w:t>
                  </w:r>
                </w:p>
                <w:p w14:paraId="0C4C7680">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措施</w:t>
                  </w:r>
                </w:p>
              </w:tc>
              <w:tc>
                <w:tcPr>
                  <w:tcW w:w="233" w:type="pct"/>
                  <w:vMerge w:val="restart"/>
                  <w:tcBorders>
                    <w:top w:val="single" w:color="auto" w:sz="4" w:space="0"/>
                    <w:left w:val="single" w:color="auto" w:sz="4" w:space="0"/>
                    <w:bottom w:val="single" w:color="auto" w:sz="4" w:space="0"/>
                    <w:right w:val="single" w:color="auto" w:sz="4" w:space="0"/>
                  </w:tcBorders>
                  <w:noWrap w:val="0"/>
                  <w:vAlign w:val="center"/>
                </w:tcPr>
                <w:p w14:paraId="739FEEB0">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处理效率</w:t>
                  </w:r>
                </w:p>
              </w:tc>
              <w:tc>
                <w:tcPr>
                  <w:tcW w:w="912" w:type="pct"/>
                  <w:gridSpan w:val="3"/>
                  <w:tcBorders>
                    <w:top w:val="single" w:color="auto" w:sz="4" w:space="0"/>
                    <w:left w:val="single" w:color="auto" w:sz="4" w:space="0"/>
                    <w:bottom w:val="nil"/>
                    <w:right w:val="single" w:color="auto" w:sz="4" w:space="0"/>
                  </w:tcBorders>
                  <w:noWrap w:val="0"/>
                  <w:vAlign w:val="center"/>
                </w:tcPr>
                <w:p w14:paraId="407C486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排放状况</w:t>
                  </w:r>
                </w:p>
              </w:tc>
              <w:tc>
                <w:tcPr>
                  <w:tcW w:w="635" w:type="pct"/>
                  <w:gridSpan w:val="2"/>
                  <w:tcBorders>
                    <w:top w:val="single" w:color="auto" w:sz="4" w:space="0"/>
                    <w:left w:val="single" w:color="auto" w:sz="4" w:space="0"/>
                    <w:bottom w:val="nil"/>
                    <w:right w:val="single" w:color="auto" w:sz="4" w:space="0"/>
                  </w:tcBorders>
                  <w:noWrap w:val="0"/>
                  <w:vAlign w:val="center"/>
                </w:tcPr>
                <w:p w14:paraId="64B08960">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排放标准</w:t>
                  </w:r>
                </w:p>
              </w:tc>
              <w:tc>
                <w:tcPr>
                  <w:tcW w:w="873" w:type="pct"/>
                  <w:gridSpan w:val="4"/>
                  <w:tcBorders>
                    <w:top w:val="single" w:color="auto" w:sz="4" w:space="0"/>
                    <w:left w:val="single" w:color="auto" w:sz="4" w:space="0"/>
                    <w:bottom w:val="single" w:color="auto" w:sz="4" w:space="0"/>
                    <w:right w:val="single" w:color="auto" w:sz="4" w:space="0"/>
                  </w:tcBorders>
                  <w:noWrap w:val="0"/>
                  <w:vAlign w:val="center"/>
                </w:tcPr>
                <w:p w14:paraId="22656AF5">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排放参数</w:t>
                  </w:r>
                </w:p>
              </w:tc>
              <w:tc>
                <w:tcPr>
                  <w:tcW w:w="222" w:type="pct"/>
                  <w:vMerge w:val="restart"/>
                  <w:tcBorders>
                    <w:top w:val="single" w:color="auto" w:sz="4" w:space="0"/>
                    <w:left w:val="single" w:color="auto" w:sz="4" w:space="0"/>
                    <w:right w:val="single" w:color="auto" w:sz="4" w:space="0"/>
                  </w:tcBorders>
                  <w:noWrap w:val="0"/>
                  <w:vAlign w:val="center"/>
                </w:tcPr>
                <w:p w14:paraId="6AA550D1">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工作时间（h）</w:t>
                  </w:r>
                </w:p>
              </w:tc>
              <w:tc>
                <w:tcPr>
                  <w:tcW w:w="153" w:type="pct"/>
                  <w:vMerge w:val="restart"/>
                  <w:tcBorders>
                    <w:top w:val="single" w:color="auto" w:sz="4" w:space="0"/>
                    <w:left w:val="single" w:color="auto" w:sz="4" w:space="0"/>
                    <w:right w:val="single" w:color="auto" w:sz="4" w:space="0"/>
                  </w:tcBorders>
                  <w:noWrap w:val="0"/>
                  <w:vAlign w:val="center"/>
                </w:tcPr>
                <w:p w14:paraId="61069376">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排放形式</w:t>
                  </w:r>
                </w:p>
              </w:tc>
            </w:tr>
            <w:tr w14:paraId="1189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top w:val="single" w:color="auto" w:sz="4" w:space="0"/>
                    <w:left w:val="single" w:color="auto" w:sz="4" w:space="0"/>
                    <w:bottom w:val="single" w:color="auto" w:sz="4" w:space="0"/>
                    <w:right w:val="single" w:color="auto" w:sz="4" w:space="0"/>
                  </w:tcBorders>
                  <w:noWrap w:val="0"/>
                  <w:vAlign w:val="center"/>
                </w:tcPr>
                <w:p w14:paraId="5FE0D877">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18" w:type="pct"/>
                  <w:vMerge w:val="continue"/>
                  <w:tcBorders>
                    <w:top w:val="single" w:color="auto" w:sz="4" w:space="0"/>
                    <w:left w:val="single" w:color="auto" w:sz="4" w:space="0"/>
                    <w:bottom w:val="single" w:color="auto" w:sz="4" w:space="0"/>
                    <w:right w:val="single" w:color="auto" w:sz="4" w:space="0"/>
                  </w:tcBorders>
                  <w:noWrap w:val="0"/>
                  <w:vAlign w:val="center"/>
                </w:tcPr>
                <w:p w14:paraId="27B1EF40">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317" w:type="pct"/>
                  <w:vMerge w:val="continue"/>
                  <w:tcBorders>
                    <w:top w:val="single" w:color="auto" w:sz="4" w:space="0"/>
                    <w:left w:val="single" w:color="auto" w:sz="4" w:space="0"/>
                    <w:bottom w:val="single" w:color="auto" w:sz="4" w:space="0"/>
                    <w:right w:val="single" w:color="auto" w:sz="4" w:space="0"/>
                  </w:tcBorders>
                  <w:noWrap w:val="0"/>
                  <w:vAlign w:val="center"/>
                </w:tcPr>
                <w:p w14:paraId="68F488B1">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370" w:type="pct"/>
                  <w:tcBorders>
                    <w:top w:val="single" w:color="auto" w:sz="4" w:space="0"/>
                    <w:left w:val="single" w:color="auto" w:sz="4" w:space="0"/>
                    <w:bottom w:val="single" w:color="auto" w:sz="4" w:space="0"/>
                    <w:right w:val="single" w:color="auto" w:sz="4" w:space="0"/>
                  </w:tcBorders>
                  <w:noWrap w:val="0"/>
                  <w:vAlign w:val="center"/>
                </w:tcPr>
                <w:p w14:paraId="1BEB89B8">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浓度</w:t>
                  </w:r>
                </w:p>
                <w:p w14:paraId="405E605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（mg/m</w:t>
                  </w:r>
                  <w:r>
                    <w:rPr>
                      <w:rFonts w:hint="default" w:ascii="Times New Roman" w:hAnsi="Times New Roman" w:eastAsia="宋体" w:cs="Times New Roman"/>
                      <w:color w:val="auto"/>
                      <w:kern w:val="2"/>
                      <w:sz w:val="20"/>
                      <w:szCs w:val="20"/>
                      <w:highlight w:val="none"/>
                      <w:vertAlign w:val="superscript"/>
                      <w:lang w:val="en-US" w:eastAsia="zh-CN" w:bidi="ar"/>
                    </w:rPr>
                    <w:t>3</w:t>
                  </w:r>
                  <w:r>
                    <w:rPr>
                      <w:rFonts w:hint="default" w:ascii="Times New Roman" w:hAnsi="Times New Roman" w:eastAsia="宋体" w:cs="Times New Roman"/>
                      <w:color w:val="auto"/>
                      <w:kern w:val="2"/>
                      <w:sz w:val="20"/>
                      <w:szCs w:val="20"/>
                      <w:highlight w:val="none"/>
                      <w:lang w:val="en-US" w:eastAsia="zh-CN" w:bidi="ar"/>
                    </w:rPr>
                    <w:t>）</w:t>
                  </w:r>
                </w:p>
              </w:tc>
              <w:tc>
                <w:tcPr>
                  <w:tcW w:w="310" w:type="pct"/>
                  <w:tcBorders>
                    <w:top w:val="single" w:color="auto" w:sz="4" w:space="0"/>
                    <w:left w:val="single" w:color="auto" w:sz="4" w:space="0"/>
                    <w:bottom w:val="single" w:color="auto" w:sz="4" w:space="0"/>
                    <w:right w:val="single" w:color="auto" w:sz="4" w:space="0"/>
                  </w:tcBorders>
                  <w:noWrap w:val="0"/>
                  <w:vAlign w:val="center"/>
                </w:tcPr>
                <w:p w14:paraId="5C527A7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速率</w:t>
                  </w:r>
                </w:p>
                <w:p w14:paraId="18150496">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（kg/h）</w:t>
                  </w:r>
                </w:p>
              </w:tc>
              <w:tc>
                <w:tcPr>
                  <w:tcW w:w="310" w:type="pct"/>
                  <w:tcBorders>
                    <w:top w:val="single" w:color="auto" w:sz="4" w:space="0"/>
                    <w:left w:val="single" w:color="auto" w:sz="4" w:space="0"/>
                    <w:bottom w:val="single" w:color="auto" w:sz="4" w:space="0"/>
                    <w:right w:val="single" w:color="auto" w:sz="4" w:space="0"/>
                  </w:tcBorders>
                  <w:noWrap w:val="0"/>
                  <w:vAlign w:val="center"/>
                </w:tcPr>
                <w:p w14:paraId="39C3407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产生量（t/a）</w:t>
                  </w:r>
                </w:p>
              </w:tc>
              <w:tc>
                <w:tcPr>
                  <w:tcW w:w="289" w:type="pct"/>
                  <w:vMerge w:val="continue"/>
                  <w:tcBorders>
                    <w:top w:val="single" w:color="auto" w:sz="4" w:space="0"/>
                    <w:left w:val="single" w:color="auto" w:sz="4" w:space="0"/>
                    <w:bottom w:val="single" w:color="auto" w:sz="4" w:space="0"/>
                    <w:right w:val="single" w:color="auto" w:sz="4" w:space="0"/>
                  </w:tcBorders>
                  <w:noWrap w:val="0"/>
                  <w:vAlign w:val="center"/>
                </w:tcPr>
                <w:p w14:paraId="7DE19471">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33" w:type="pct"/>
                  <w:vMerge w:val="continue"/>
                  <w:tcBorders>
                    <w:top w:val="single" w:color="auto" w:sz="4" w:space="0"/>
                    <w:left w:val="single" w:color="auto" w:sz="4" w:space="0"/>
                    <w:bottom w:val="single" w:color="auto" w:sz="4" w:space="0"/>
                    <w:right w:val="single" w:color="auto" w:sz="4" w:space="0"/>
                  </w:tcBorders>
                  <w:noWrap w:val="0"/>
                  <w:vAlign w:val="center"/>
                </w:tcPr>
                <w:p w14:paraId="7C4972AF">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83" w:type="pct"/>
                  <w:tcBorders>
                    <w:top w:val="single" w:color="auto" w:sz="4" w:space="0"/>
                    <w:left w:val="single" w:color="auto" w:sz="4" w:space="0"/>
                    <w:bottom w:val="single" w:color="auto" w:sz="4" w:space="0"/>
                    <w:right w:val="single" w:color="auto" w:sz="4" w:space="0"/>
                  </w:tcBorders>
                  <w:noWrap w:val="0"/>
                  <w:vAlign w:val="center"/>
                </w:tcPr>
                <w:p w14:paraId="34A6AFD8">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浓度</w:t>
                  </w:r>
                </w:p>
                <w:p w14:paraId="1CC2D3F9">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（mg/m</w:t>
                  </w:r>
                  <w:r>
                    <w:rPr>
                      <w:rFonts w:hint="default" w:ascii="Times New Roman" w:hAnsi="Times New Roman" w:eastAsia="宋体" w:cs="Times New Roman"/>
                      <w:color w:val="auto"/>
                      <w:kern w:val="2"/>
                      <w:sz w:val="20"/>
                      <w:szCs w:val="20"/>
                      <w:highlight w:val="none"/>
                      <w:vertAlign w:val="superscript"/>
                      <w:lang w:val="en-US" w:eastAsia="zh-CN" w:bidi="ar"/>
                    </w:rPr>
                    <w:t>3</w:t>
                  </w:r>
                  <w:r>
                    <w:rPr>
                      <w:rFonts w:hint="default" w:ascii="Times New Roman" w:hAnsi="Times New Roman" w:eastAsia="宋体" w:cs="Times New Roman"/>
                      <w:color w:val="auto"/>
                      <w:kern w:val="2"/>
                      <w:sz w:val="20"/>
                      <w:szCs w:val="20"/>
                      <w:highlight w:val="none"/>
                      <w:lang w:val="en-US" w:eastAsia="zh-CN" w:bidi="ar"/>
                    </w:rPr>
                    <w:t>）</w:t>
                  </w:r>
                </w:p>
              </w:tc>
              <w:tc>
                <w:tcPr>
                  <w:tcW w:w="310" w:type="pct"/>
                  <w:tcBorders>
                    <w:top w:val="single" w:color="auto" w:sz="4" w:space="0"/>
                    <w:left w:val="single" w:color="auto" w:sz="4" w:space="0"/>
                    <w:bottom w:val="single" w:color="auto" w:sz="4" w:space="0"/>
                    <w:right w:val="single" w:color="auto" w:sz="4" w:space="0"/>
                  </w:tcBorders>
                  <w:noWrap w:val="0"/>
                  <w:vAlign w:val="center"/>
                </w:tcPr>
                <w:p w14:paraId="2E5EA8D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速率</w:t>
                  </w:r>
                </w:p>
                <w:p w14:paraId="0C230BC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（kg/h）</w:t>
                  </w:r>
                </w:p>
              </w:tc>
              <w:tc>
                <w:tcPr>
                  <w:tcW w:w="318" w:type="pct"/>
                  <w:tcBorders>
                    <w:top w:val="single" w:color="auto" w:sz="4" w:space="0"/>
                    <w:left w:val="single" w:color="auto" w:sz="4" w:space="0"/>
                    <w:bottom w:val="single" w:color="auto" w:sz="4" w:space="0"/>
                    <w:right w:val="single" w:color="auto" w:sz="4" w:space="0"/>
                  </w:tcBorders>
                  <w:noWrap w:val="0"/>
                  <w:vAlign w:val="center"/>
                </w:tcPr>
                <w:p w14:paraId="6393EE4C">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排放量（t/a）</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6AD140F7">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浓度</w:t>
                  </w:r>
                </w:p>
                <w:p w14:paraId="2109335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（mg/m</w:t>
                  </w:r>
                  <w:r>
                    <w:rPr>
                      <w:rFonts w:hint="default" w:ascii="Times New Roman" w:hAnsi="Times New Roman" w:eastAsia="宋体" w:cs="Times New Roman"/>
                      <w:color w:val="auto"/>
                      <w:kern w:val="2"/>
                      <w:sz w:val="20"/>
                      <w:szCs w:val="20"/>
                      <w:highlight w:val="none"/>
                      <w:vertAlign w:val="superscript"/>
                      <w:lang w:val="en-US" w:eastAsia="zh-CN" w:bidi="ar"/>
                    </w:rPr>
                    <w:t>3</w:t>
                  </w:r>
                  <w:r>
                    <w:rPr>
                      <w:rFonts w:hint="default" w:ascii="Times New Roman" w:hAnsi="Times New Roman" w:eastAsia="宋体" w:cs="Times New Roman"/>
                      <w:color w:val="auto"/>
                      <w:kern w:val="2"/>
                      <w:sz w:val="20"/>
                      <w:szCs w:val="20"/>
                      <w:highlight w:val="none"/>
                      <w:lang w:val="en-US" w:eastAsia="zh-CN" w:bidi="ar"/>
                    </w:rPr>
                    <w:t>）</w:t>
                  </w:r>
                </w:p>
              </w:tc>
              <w:tc>
                <w:tcPr>
                  <w:tcW w:w="265" w:type="pct"/>
                  <w:tcBorders>
                    <w:top w:val="single" w:color="auto" w:sz="4" w:space="0"/>
                    <w:left w:val="single" w:color="auto" w:sz="4" w:space="0"/>
                    <w:bottom w:val="single" w:color="auto" w:sz="4" w:space="0"/>
                    <w:right w:val="single" w:color="auto" w:sz="4" w:space="0"/>
                  </w:tcBorders>
                  <w:noWrap w:val="0"/>
                  <w:vAlign w:val="center"/>
                </w:tcPr>
                <w:p w14:paraId="062ACDBD">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速率</w:t>
                  </w:r>
                </w:p>
                <w:p w14:paraId="229429F8">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（kg/h）</w:t>
                  </w:r>
                </w:p>
              </w:tc>
              <w:tc>
                <w:tcPr>
                  <w:tcW w:w="287" w:type="pct"/>
                  <w:tcBorders>
                    <w:top w:val="single" w:color="auto" w:sz="4" w:space="0"/>
                    <w:left w:val="single" w:color="auto" w:sz="4" w:space="0"/>
                    <w:bottom w:val="single" w:color="auto" w:sz="4" w:space="0"/>
                    <w:right w:val="single" w:color="auto" w:sz="4" w:space="0"/>
                  </w:tcBorders>
                  <w:noWrap w:val="0"/>
                  <w:vAlign w:val="center"/>
                </w:tcPr>
                <w:p w14:paraId="2F3F33B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编号</w:t>
                  </w:r>
                </w:p>
              </w:tc>
              <w:tc>
                <w:tcPr>
                  <w:tcW w:w="241" w:type="pct"/>
                  <w:tcBorders>
                    <w:top w:val="single" w:color="auto" w:sz="4" w:space="0"/>
                    <w:left w:val="single" w:color="auto" w:sz="4" w:space="0"/>
                    <w:bottom w:val="single" w:color="auto" w:sz="4" w:space="0"/>
                    <w:right w:val="single" w:color="auto" w:sz="4" w:space="0"/>
                  </w:tcBorders>
                  <w:noWrap w:val="0"/>
                  <w:vAlign w:val="center"/>
                </w:tcPr>
                <w:p w14:paraId="3702841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高度（m）</w:t>
                  </w:r>
                </w:p>
              </w:tc>
              <w:tc>
                <w:tcPr>
                  <w:tcW w:w="170" w:type="pct"/>
                  <w:tcBorders>
                    <w:top w:val="single" w:color="auto" w:sz="4" w:space="0"/>
                    <w:left w:val="single" w:color="auto" w:sz="4" w:space="0"/>
                    <w:bottom w:val="single" w:color="auto" w:sz="4" w:space="0"/>
                    <w:right w:val="single" w:color="auto" w:sz="4" w:space="0"/>
                  </w:tcBorders>
                  <w:noWrap w:val="0"/>
                  <w:vAlign w:val="center"/>
                </w:tcPr>
                <w:p w14:paraId="0B8AB7B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内径/m</w:t>
                  </w:r>
                </w:p>
              </w:tc>
              <w:tc>
                <w:tcPr>
                  <w:tcW w:w="175" w:type="pct"/>
                  <w:tcBorders>
                    <w:top w:val="single" w:color="auto" w:sz="4" w:space="0"/>
                    <w:left w:val="single" w:color="auto" w:sz="4" w:space="0"/>
                    <w:bottom w:val="single" w:color="auto" w:sz="4" w:space="0"/>
                    <w:right w:val="single" w:color="auto" w:sz="4" w:space="0"/>
                  </w:tcBorders>
                  <w:noWrap w:val="0"/>
                  <w:vAlign w:val="center"/>
                </w:tcPr>
                <w:p w14:paraId="29F201A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温度/℃</w:t>
                  </w:r>
                </w:p>
              </w:tc>
              <w:tc>
                <w:tcPr>
                  <w:tcW w:w="222" w:type="pct"/>
                  <w:vMerge w:val="continue"/>
                  <w:tcBorders>
                    <w:left w:val="single" w:color="auto" w:sz="4" w:space="0"/>
                    <w:bottom w:val="single" w:color="auto" w:sz="4" w:space="0"/>
                    <w:right w:val="single" w:color="auto" w:sz="4" w:space="0"/>
                  </w:tcBorders>
                  <w:noWrap w:val="0"/>
                  <w:vAlign w:val="center"/>
                </w:tcPr>
                <w:p w14:paraId="71B40EF6">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p>
              </w:tc>
              <w:tc>
                <w:tcPr>
                  <w:tcW w:w="153" w:type="pct"/>
                  <w:vMerge w:val="continue"/>
                  <w:tcBorders>
                    <w:left w:val="single" w:color="auto" w:sz="4" w:space="0"/>
                    <w:bottom w:val="single" w:color="auto" w:sz="4" w:space="0"/>
                    <w:right w:val="single" w:color="auto" w:sz="4" w:space="0"/>
                  </w:tcBorders>
                  <w:noWrap w:val="0"/>
                  <w:vAlign w:val="center"/>
                </w:tcPr>
                <w:p w14:paraId="6155AF30">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p>
              </w:tc>
            </w:tr>
            <w:tr w14:paraId="776A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restart"/>
                  <w:tcBorders>
                    <w:top w:val="single" w:color="auto" w:sz="4" w:space="0"/>
                    <w:left w:val="single" w:color="auto" w:sz="4" w:space="0"/>
                    <w:right w:val="single" w:color="auto" w:sz="4" w:space="0"/>
                  </w:tcBorders>
                  <w:shd w:val="clear" w:color="auto" w:fill="auto"/>
                  <w:noWrap w:val="0"/>
                  <w:vAlign w:val="center"/>
                </w:tcPr>
                <w:p w14:paraId="27EB9637">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eastAsia="宋体" w:cs="Times New Roman"/>
                      <w:color w:val="auto"/>
                      <w:kern w:val="2"/>
                      <w:sz w:val="20"/>
                      <w:szCs w:val="20"/>
                      <w:highlight w:val="none"/>
                      <w:lang w:val="en-US" w:eastAsia="zh-CN"/>
                    </w:rPr>
                    <w:t>精炼废气</w:t>
                  </w:r>
                </w:p>
              </w:tc>
              <w:tc>
                <w:tcPr>
                  <w:tcW w:w="2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80FC57">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cs="Times New Roman"/>
                      <w:color w:val="auto"/>
                      <w:kern w:val="2"/>
                      <w:sz w:val="20"/>
                      <w:szCs w:val="20"/>
                      <w:highlight w:val="none"/>
                      <w:lang w:val="en-US" w:eastAsia="zh-CN" w:bidi="ar"/>
                    </w:rPr>
                    <w:t>非甲烷总烃</w:t>
                  </w:r>
                </w:p>
              </w:tc>
              <w:tc>
                <w:tcPr>
                  <w:tcW w:w="317" w:type="pct"/>
                  <w:vMerge w:val="restart"/>
                  <w:tcBorders>
                    <w:top w:val="single" w:color="auto" w:sz="4" w:space="0"/>
                    <w:left w:val="single" w:color="auto" w:sz="4" w:space="0"/>
                    <w:right w:val="single" w:color="auto" w:sz="4" w:space="0"/>
                  </w:tcBorders>
                  <w:shd w:val="clear" w:color="auto" w:fill="auto"/>
                  <w:noWrap w:val="0"/>
                  <w:vAlign w:val="center"/>
                </w:tcPr>
                <w:p w14:paraId="50B4352F">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SA"/>
                    </w:rPr>
                  </w:pPr>
                  <w:r>
                    <w:rPr>
                      <w:rFonts w:hint="eastAsia" w:cs="Times New Roman"/>
                      <w:color w:val="auto"/>
                      <w:kern w:val="2"/>
                      <w:sz w:val="20"/>
                      <w:szCs w:val="20"/>
                      <w:highlight w:val="none"/>
                      <w:lang w:val="en-US" w:eastAsia="zh-CN" w:bidi="ar"/>
                    </w:rPr>
                    <w:t>5</w:t>
                  </w:r>
                  <w:r>
                    <w:rPr>
                      <w:rFonts w:hint="default" w:ascii="Times New Roman" w:hAnsi="Times New Roman" w:eastAsia="宋体" w:cs="Times New Roman"/>
                      <w:color w:val="auto"/>
                      <w:kern w:val="2"/>
                      <w:sz w:val="20"/>
                      <w:szCs w:val="20"/>
                      <w:highlight w:val="none"/>
                      <w:lang w:val="en-US" w:eastAsia="zh-CN" w:bidi="ar"/>
                    </w:rPr>
                    <w:t>000</w:t>
                  </w:r>
                </w:p>
              </w:tc>
              <w:tc>
                <w:tcPr>
                  <w:tcW w:w="9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6784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i w:val="0"/>
                      <w:iCs w:val="0"/>
                      <w:color w:val="auto"/>
                      <w:kern w:val="0"/>
                      <w:sz w:val="21"/>
                      <w:szCs w:val="21"/>
                      <w:highlight w:val="none"/>
                      <w:u w:val="none"/>
                      <w:lang w:val="en-US" w:eastAsia="zh-CN" w:bidi="ar"/>
                    </w:rPr>
                    <w:t>99</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4AC29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0.495</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A5945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3.564</w:t>
                  </w:r>
                </w:p>
              </w:tc>
              <w:tc>
                <w:tcPr>
                  <w:tcW w:w="289" w:type="pct"/>
                  <w:vMerge w:val="restart"/>
                  <w:tcBorders>
                    <w:top w:val="single" w:color="auto" w:sz="4" w:space="0"/>
                    <w:left w:val="single" w:color="auto" w:sz="4" w:space="0"/>
                    <w:right w:val="single" w:color="auto" w:sz="4" w:space="0"/>
                  </w:tcBorders>
                  <w:shd w:val="clear" w:color="auto" w:fill="auto"/>
                  <w:noWrap w:val="0"/>
                  <w:vAlign w:val="center"/>
                </w:tcPr>
                <w:p w14:paraId="455351D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冰冻冷凝+二级碱喷淋+次氯酸钠喷淋+活性炭吸附</w:t>
                  </w:r>
                </w:p>
              </w:tc>
              <w:tc>
                <w:tcPr>
                  <w:tcW w:w="5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7CC416">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
                    </w:rPr>
                    <w:t>85</w:t>
                  </w:r>
                  <w:r>
                    <w:rPr>
                      <w:rFonts w:hint="default" w:ascii="Times New Roman" w:hAnsi="Times New Roman" w:eastAsia="宋体" w:cs="Times New Roman"/>
                      <w:color w:val="auto"/>
                      <w:kern w:val="2"/>
                      <w:sz w:val="21"/>
                      <w:szCs w:val="21"/>
                      <w:highlight w:val="none"/>
                      <w:lang w:val="en-US" w:eastAsia="zh-CN" w:bidi="ar"/>
                    </w:rPr>
                    <w:t>%</w:t>
                  </w: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3570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i w:val="0"/>
                      <w:iCs w:val="0"/>
                      <w:color w:val="auto"/>
                      <w:kern w:val="0"/>
                      <w:sz w:val="21"/>
                      <w:szCs w:val="21"/>
                      <w:highlight w:val="none"/>
                      <w:u w:val="none"/>
                      <w:lang w:val="en-US" w:eastAsia="zh-CN" w:bidi="ar"/>
                    </w:rPr>
                    <w:t>14.85</w:t>
                  </w:r>
                </w:p>
              </w:tc>
              <w:tc>
                <w:tcPr>
                  <w:tcW w:w="78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50D15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8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53D3D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0.53</w:t>
                  </w:r>
                  <w:r>
                    <w:rPr>
                      <w:rFonts w:hint="eastAsia" w:cs="Times New Roman"/>
                      <w:i w:val="0"/>
                      <w:iCs w:val="0"/>
                      <w:color w:val="auto"/>
                      <w:kern w:val="0"/>
                      <w:sz w:val="21"/>
                      <w:szCs w:val="21"/>
                      <w:highlight w:val="none"/>
                      <w:u w:val="none"/>
                      <w:lang w:val="en-US" w:eastAsia="zh-CN" w:bidi="ar"/>
                    </w:rPr>
                    <w:t>5</w:t>
                  </w:r>
                </w:p>
              </w:tc>
              <w:tc>
                <w:tcPr>
                  <w:tcW w:w="36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C4929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120</w:t>
                  </w:r>
                </w:p>
              </w:tc>
              <w:tc>
                <w:tcPr>
                  <w:tcW w:w="2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2D8510">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
                    </w:rPr>
                    <w:t>35</w:t>
                  </w:r>
                </w:p>
              </w:tc>
              <w:tc>
                <w:tcPr>
                  <w:tcW w:w="287" w:type="pct"/>
                  <w:vMerge w:val="restart"/>
                  <w:tcBorders>
                    <w:top w:val="single" w:color="auto" w:sz="4" w:space="0"/>
                    <w:left w:val="single" w:color="auto" w:sz="4" w:space="0"/>
                    <w:right w:val="single" w:color="auto" w:sz="4" w:space="0"/>
                  </w:tcBorders>
                  <w:noWrap w:val="0"/>
                  <w:vAlign w:val="center"/>
                </w:tcPr>
                <w:p w14:paraId="1FDD1558">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r>
                    <w:rPr>
                      <w:rFonts w:hint="default" w:ascii="Times New Roman" w:hAnsi="Times New Roman" w:eastAsia="宋体" w:cs="Times New Roman"/>
                      <w:color w:val="auto"/>
                      <w:kern w:val="2"/>
                      <w:sz w:val="20"/>
                      <w:szCs w:val="20"/>
                      <w:highlight w:val="none"/>
                      <w:lang w:val="en-US" w:eastAsia="zh-CN" w:bidi="ar"/>
                    </w:rPr>
                    <w:t>DA00</w:t>
                  </w:r>
                  <w:r>
                    <w:rPr>
                      <w:rFonts w:hint="default" w:ascii="Times New Roman" w:hAnsi="Times New Roman" w:cs="Times New Roman"/>
                      <w:color w:val="auto"/>
                      <w:kern w:val="2"/>
                      <w:sz w:val="20"/>
                      <w:szCs w:val="20"/>
                      <w:highlight w:val="none"/>
                      <w:lang w:val="en-US" w:eastAsia="zh-CN" w:bidi="ar"/>
                    </w:rPr>
                    <w:t>1</w:t>
                  </w:r>
                </w:p>
              </w:tc>
              <w:tc>
                <w:tcPr>
                  <w:tcW w:w="241" w:type="pct"/>
                  <w:vMerge w:val="restart"/>
                  <w:tcBorders>
                    <w:top w:val="single" w:color="auto" w:sz="4" w:space="0"/>
                    <w:left w:val="single" w:color="auto" w:sz="4" w:space="0"/>
                    <w:right w:val="single" w:color="auto" w:sz="4" w:space="0"/>
                  </w:tcBorders>
                  <w:noWrap w:val="0"/>
                  <w:vAlign w:val="center"/>
                </w:tcPr>
                <w:p w14:paraId="47FCE50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r>
                    <w:rPr>
                      <w:rFonts w:hint="default" w:ascii="Times New Roman" w:hAnsi="Times New Roman" w:cs="Times New Roman"/>
                      <w:color w:val="auto"/>
                      <w:kern w:val="2"/>
                      <w:sz w:val="20"/>
                      <w:szCs w:val="20"/>
                      <w:highlight w:val="none"/>
                      <w:lang w:val="en-US" w:eastAsia="zh-CN" w:bidi="ar"/>
                    </w:rPr>
                    <w:t>25</w:t>
                  </w:r>
                </w:p>
              </w:tc>
              <w:tc>
                <w:tcPr>
                  <w:tcW w:w="170" w:type="pct"/>
                  <w:vMerge w:val="restart"/>
                  <w:tcBorders>
                    <w:top w:val="single" w:color="auto" w:sz="4" w:space="0"/>
                    <w:left w:val="single" w:color="auto" w:sz="4" w:space="0"/>
                    <w:right w:val="single" w:color="auto" w:sz="4" w:space="0"/>
                  </w:tcBorders>
                  <w:noWrap w:val="0"/>
                  <w:vAlign w:val="center"/>
                </w:tcPr>
                <w:p w14:paraId="662ED372">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r>
                    <w:rPr>
                      <w:rFonts w:hint="default" w:ascii="Times New Roman" w:hAnsi="Times New Roman" w:cs="Times New Roman"/>
                      <w:color w:val="auto"/>
                      <w:kern w:val="2"/>
                      <w:sz w:val="20"/>
                      <w:szCs w:val="20"/>
                      <w:highlight w:val="none"/>
                      <w:lang w:val="en-US" w:eastAsia="zh-CN" w:bidi="ar"/>
                    </w:rPr>
                    <w:t>0.</w:t>
                  </w:r>
                  <w:r>
                    <w:rPr>
                      <w:rFonts w:hint="eastAsia" w:cs="Times New Roman"/>
                      <w:color w:val="auto"/>
                      <w:kern w:val="2"/>
                      <w:sz w:val="20"/>
                      <w:szCs w:val="20"/>
                      <w:highlight w:val="none"/>
                      <w:lang w:val="en-US" w:eastAsia="zh-CN" w:bidi="ar"/>
                    </w:rPr>
                    <w:t>3</w:t>
                  </w:r>
                </w:p>
              </w:tc>
              <w:tc>
                <w:tcPr>
                  <w:tcW w:w="175" w:type="pct"/>
                  <w:vMerge w:val="restart"/>
                  <w:tcBorders>
                    <w:top w:val="single" w:color="auto" w:sz="4" w:space="0"/>
                    <w:left w:val="single" w:color="auto" w:sz="4" w:space="0"/>
                    <w:right w:val="single" w:color="auto" w:sz="4" w:space="0"/>
                  </w:tcBorders>
                  <w:noWrap w:val="0"/>
                  <w:vAlign w:val="center"/>
                </w:tcPr>
                <w:p w14:paraId="2DF782F0">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r>
                    <w:rPr>
                      <w:rFonts w:hint="eastAsia" w:cs="Times New Roman"/>
                      <w:color w:val="auto"/>
                      <w:kern w:val="2"/>
                      <w:sz w:val="20"/>
                      <w:szCs w:val="20"/>
                      <w:highlight w:val="none"/>
                      <w:lang w:val="en-US" w:eastAsia="zh-CN" w:bidi="ar"/>
                    </w:rPr>
                    <w:t>30</w:t>
                  </w:r>
                </w:p>
              </w:tc>
              <w:tc>
                <w:tcPr>
                  <w:tcW w:w="222" w:type="pct"/>
                  <w:vMerge w:val="restart"/>
                  <w:tcBorders>
                    <w:left w:val="single" w:color="auto" w:sz="4" w:space="0"/>
                    <w:right w:val="single" w:color="auto" w:sz="4" w:space="0"/>
                  </w:tcBorders>
                  <w:noWrap w:val="0"/>
                  <w:vAlign w:val="center"/>
                </w:tcPr>
                <w:p w14:paraId="238E42E1">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cs="Times New Roman"/>
                      <w:color w:val="auto"/>
                      <w:kern w:val="2"/>
                      <w:sz w:val="20"/>
                      <w:szCs w:val="20"/>
                      <w:highlight w:val="none"/>
                      <w:lang w:val="en-US" w:eastAsia="zh-CN" w:bidi="ar"/>
                    </w:rPr>
                    <w:t>7200</w:t>
                  </w:r>
                </w:p>
              </w:tc>
              <w:tc>
                <w:tcPr>
                  <w:tcW w:w="153" w:type="pct"/>
                  <w:vMerge w:val="restart"/>
                  <w:tcBorders>
                    <w:left w:val="single" w:color="auto" w:sz="4" w:space="0"/>
                    <w:right w:val="single" w:color="auto" w:sz="4" w:space="0"/>
                  </w:tcBorders>
                  <w:noWrap w:val="0"/>
                  <w:vAlign w:val="center"/>
                </w:tcPr>
                <w:p w14:paraId="2FBC9FB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有组织</w:t>
                  </w:r>
                </w:p>
              </w:tc>
            </w:tr>
            <w:tr w14:paraId="09AC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left w:val="single" w:color="auto" w:sz="4" w:space="0"/>
                    <w:bottom w:val="single" w:color="auto" w:sz="4" w:space="0"/>
                    <w:right w:val="single" w:color="auto" w:sz="4" w:space="0"/>
                  </w:tcBorders>
                  <w:noWrap w:val="0"/>
                  <w:vAlign w:val="center"/>
                </w:tcPr>
                <w:p w14:paraId="6CB1BD84">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AFE4FC">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cs="Times New Roman"/>
                      <w:color w:val="auto"/>
                      <w:kern w:val="2"/>
                      <w:sz w:val="20"/>
                      <w:szCs w:val="20"/>
                      <w:highlight w:val="none"/>
                      <w:lang w:val="en-US" w:eastAsia="zh-CN" w:bidi="ar"/>
                    </w:rPr>
                    <w:t>臭气浓度</w:t>
                  </w:r>
                </w:p>
              </w:tc>
              <w:tc>
                <w:tcPr>
                  <w:tcW w:w="317" w:type="pct"/>
                  <w:vMerge w:val="continue"/>
                  <w:tcBorders>
                    <w:left w:val="single" w:color="auto" w:sz="4" w:space="0"/>
                    <w:bottom w:val="single" w:color="auto" w:sz="4" w:space="0"/>
                    <w:right w:val="single" w:color="auto" w:sz="4" w:space="0"/>
                  </w:tcBorders>
                  <w:noWrap w:val="0"/>
                  <w:vAlign w:val="center"/>
                </w:tcPr>
                <w:p w14:paraId="46F57E5D">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37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A990F1">
                  <w:pPr>
                    <w:pStyle w:val="4"/>
                    <w:pageBreakBefore w:val="0"/>
                    <w:kinsoku/>
                    <w:wordWrap/>
                    <w:overflowPunct w:val="0"/>
                    <w:topLinePunct/>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5000</w:t>
                  </w:r>
                </w:p>
              </w:tc>
              <w:tc>
                <w:tcPr>
                  <w:tcW w:w="3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20F294">
                  <w:pPr>
                    <w:pStyle w:val="4"/>
                    <w:pageBreakBefore w:val="0"/>
                    <w:kinsoku/>
                    <w:wordWrap/>
                    <w:overflowPunct w:val="0"/>
                    <w:topLinePunct/>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CCD037">
                  <w:pPr>
                    <w:pStyle w:val="4"/>
                    <w:pageBreakBefore w:val="0"/>
                    <w:kinsoku/>
                    <w:wordWrap/>
                    <w:overflowPunct w:val="0"/>
                    <w:topLinePunct/>
                    <w:bidi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89" w:type="pct"/>
                  <w:vMerge w:val="continue"/>
                  <w:tcBorders>
                    <w:left w:val="single" w:color="auto" w:sz="4" w:space="0"/>
                    <w:bottom w:val="single" w:color="auto" w:sz="4" w:space="0"/>
                    <w:right w:val="single" w:color="auto" w:sz="4" w:space="0"/>
                  </w:tcBorders>
                  <w:noWrap w:val="0"/>
                  <w:vAlign w:val="center"/>
                </w:tcPr>
                <w:p w14:paraId="1EDC7E43">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E3D6F9">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
                    </w:rPr>
                    <w:t>90</w:t>
                  </w:r>
                  <w:r>
                    <w:rPr>
                      <w:rFonts w:hint="default" w:ascii="Times New Roman" w:hAnsi="Times New Roman" w:eastAsia="宋体" w:cs="Times New Roman"/>
                      <w:color w:val="auto"/>
                      <w:kern w:val="2"/>
                      <w:sz w:val="21"/>
                      <w:szCs w:val="21"/>
                      <w:highlight w:val="none"/>
                      <w:lang w:val="en-US" w:eastAsia="zh-CN" w:bidi="ar"/>
                    </w:rPr>
                    <w:t>%</w:t>
                  </w:r>
                </w:p>
              </w:tc>
              <w:tc>
                <w:tcPr>
                  <w:tcW w:w="2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910B3F">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500</w:t>
                  </w:r>
                </w:p>
              </w:tc>
              <w:tc>
                <w:tcPr>
                  <w:tcW w:w="3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3E2427">
                  <w:pPr>
                    <w:pStyle w:val="4"/>
                    <w:pageBreakBefore w:val="0"/>
                    <w:kinsoku/>
                    <w:wordWrap/>
                    <w:overflowPunct w:val="0"/>
                    <w:topLinePunct/>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8BB81B">
                  <w:pPr>
                    <w:pStyle w:val="4"/>
                    <w:pageBreakBefore w:val="0"/>
                    <w:kinsoku/>
                    <w:wordWrap/>
                    <w:overflowPunct w:val="0"/>
                    <w:topLinePunct/>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6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E273D9">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w:t>
                  </w:r>
                </w:p>
              </w:tc>
              <w:tc>
                <w:tcPr>
                  <w:tcW w:w="2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8BFF6C">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
                    </w:rPr>
                    <w:t>6</w:t>
                  </w:r>
                  <w:r>
                    <w:rPr>
                      <w:rFonts w:hint="default" w:ascii="Times New Roman" w:hAnsi="Times New Roman" w:cs="Times New Roman"/>
                      <w:color w:val="auto"/>
                      <w:kern w:val="2"/>
                      <w:sz w:val="21"/>
                      <w:szCs w:val="21"/>
                      <w:highlight w:val="none"/>
                      <w:lang w:val="en-US" w:eastAsia="zh-CN" w:bidi="ar"/>
                    </w:rPr>
                    <w:t>000</w:t>
                  </w:r>
                </w:p>
              </w:tc>
              <w:tc>
                <w:tcPr>
                  <w:tcW w:w="287" w:type="pct"/>
                  <w:vMerge w:val="continue"/>
                  <w:tcBorders>
                    <w:left w:val="single" w:color="auto" w:sz="4" w:space="0"/>
                    <w:bottom w:val="single" w:color="auto" w:sz="4" w:space="0"/>
                    <w:right w:val="single" w:color="auto" w:sz="4" w:space="0"/>
                  </w:tcBorders>
                  <w:noWrap w:val="0"/>
                  <w:vAlign w:val="center"/>
                </w:tcPr>
                <w:p w14:paraId="198562F3">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p>
              </w:tc>
              <w:tc>
                <w:tcPr>
                  <w:tcW w:w="241" w:type="pct"/>
                  <w:vMerge w:val="continue"/>
                  <w:tcBorders>
                    <w:left w:val="single" w:color="auto" w:sz="4" w:space="0"/>
                    <w:bottom w:val="single" w:color="auto" w:sz="4" w:space="0"/>
                    <w:right w:val="single" w:color="auto" w:sz="4" w:space="0"/>
                  </w:tcBorders>
                  <w:noWrap w:val="0"/>
                  <w:vAlign w:val="center"/>
                </w:tcPr>
                <w:p w14:paraId="72CA4A23">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p>
              </w:tc>
              <w:tc>
                <w:tcPr>
                  <w:tcW w:w="170" w:type="pct"/>
                  <w:vMerge w:val="continue"/>
                  <w:tcBorders>
                    <w:left w:val="single" w:color="auto" w:sz="4" w:space="0"/>
                    <w:bottom w:val="single" w:color="auto" w:sz="4" w:space="0"/>
                    <w:right w:val="single" w:color="auto" w:sz="4" w:space="0"/>
                  </w:tcBorders>
                  <w:noWrap w:val="0"/>
                  <w:vAlign w:val="center"/>
                </w:tcPr>
                <w:p w14:paraId="4B1A0626">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p>
              </w:tc>
              <w:tc>
                <w:tcPr>
                  <w:tcW w:w="175" w:type="pct"/>
                  <w:vMerge w:val="continue"/>
                  <w:tcBorders>
                    <w:left w:val="single" w:color="auto" w:sz="4" w:space="0"/>
                    <w:bottom w:val="single" w:color="auto" w:sz="4" w:space="0"/>
                    <w:right w:val="single" w:color="auto" w:sz="4" w:space="0"/>
                  </w:tcBorders>
                  <w:noWrap w:val="0"/>
                  <w:vAlign w:val="center"/>
                </w:tcPr>
                <w:p w14:paraId="320803C2">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p>
              </w:tc>
              <w:tc>
                <w:tcPr>
                  <w:tcW w:w="222" w:type="pct"/>
                  <w:vMerge w:val="continue"/>
                  <w:tcBorders>
                    <w:left w:val="single" w:color="auto" w:sz="4" w:space="0"/>
                    <w:bottom w:val="single" w:color="auto" w:sz="4" w:space="0"/>
                    <w:right w:val="single" w:color="auto" w:sz="4" w:space="0"/>
                  </w:tcBorders>
                  <w:noWrap w:val="0"/>
                  <w:vAlign w:val="center"/>
                </w:tcPr>
                <w:p w14:paraId="71AE129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p>
              </w:tc>
              <w:tc>
                <w:tcPr>
                  <w:tcW w:w="153" w:type="pct"/>
                  <w:vMerge w:val="continue"/>
                  <w:tcBorders>
                    <w:left w:val="single" w:color="auto" w:sz="4" w:space="0"/>
                    <w:bottom w:val="single" w:color="auto" w:sz="4" w:space="0"/>
                    <w:right w:val="single" w:color="auto" w:sz="4" w:space="0"/>
                  </w:tcBorders>
                  <w:noWrap w:val="0"/>
                  <w:vAlign w:val="center"/>
                </w:tcPr>
                <w:p w14:paraId="68551EAF">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p>
              </w:tc>
            </w:tr>
            <w:tr w14:paraId="409D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2" w:type="pct"/>
                  <w:vMerge w:val="restart"/>
                  <w:tcBorders>
                    <w:top w:val="nil"/>
                    <w:left w:val="single" w:color="auto" w:sz="4" w:space="0"/>
                    <w:right w:val="single" w:color="auto" w:sz="4" w:space="0"/>
                  </w:tcBorders>
                  <w:noWrap w:val="0"/>
                  <w:vAlign w:val="center"/>
                </w:tcPr>
                <w:p w14:paraId="224A07C1">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rPr>
                  </w:pPr>
                  <w:r>
                    <w:rPr>
                      <w:rFonts w:hint="default" w:ascii="Times New Roman" w:hAnsi="Times New Roman" w:cs="Times New Roman"/>
                      <w:color w:val="auto"/>
                      <w:kern w:val="2"/>
                      <w:sz w:val="20"/>
                      <w:szCs w:val="20"/>
                      <w:highlight w:val="none"/>
                      <w:lang w:val="en-US" w:eastAsia="zh-CN" w:bidi="ar"/>
                    </w:rPr>
                    <w:t>锅炉废气</w:t>
                  </w:r>
                </w:p>
              </w:tc>
              <w:tc>
                <w:tcPr>
                  <w:tcW w:w="218" w:type="pct"/>
                  <w:tcBorders>
                    <w:top w:val="single" w:color="auto" w:sz="4" w:space="0"/>
                    <w:left w:val="single" w:color="auto" w:sz="4" w:space="0"/>
                    <w:bottom w:val="single" w:color="auto" w:sz="4" w:space="0"/>
                    <w:right w:val="single" w:color="auto" w:sz="4" w:space="0"/>
                  </w:tcBorders>
                  <w:noWrap w:val="0"/>
                  <w:vAlign w:val="center"/>
                </w:tcPr>
                <w:p w14:paraId="2C666C8D">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SO</w:t>
                  </w:r>
                  <w:r>
                    <w:rPr>
                      <w:rFonts w:hint="default" w:ascii="Times New Roman" w:hAnsi="Times New Roman" w:eastAsia="宋体" w:cs="Times New Roman"/>
                      <w:color w:val="auto"/>
                      <w:kern w:val="2"/>
                      <w:sz w:val="20"/>
                      <w:szCs w:val="20"/>
                      <w:highlight w:val="none"/>
                      <w:vertAlign w:val="subscript"/>
                      <w:lang w:val="en-US" w:eastAsia="zh-CN" w:bidi="ar"/>
                    </w:rPr>
                    <w:t>2</w:t>
                  </w:r>
                </w:p>
              </w:tc>
              <w:tc>
                <w:tcPr>
                  <w:tcW w:w="317" w:type="pct"/>
                  <w:vMerge w:val="restart"/>
                  <w:tcBorders>
                    <w:top w:val="nil"/>
                    <w:left w:val="single" w:color="auto" w:sz="4" w:space="0"/>
                    <w:bottom w:val="single" w:color="auto" w:sz="4" w:space="0"/>
                    <w:right w:val="single" w:color="auto" w:sz="4" w:space="0"/>
                  </w:tcBorders>
                  <w:noWrap w:val="0"/>
                  <w:vAlign w:val="center"/>
                </w:tcPr>
                <w:p w14:paraId="0D167B4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rPr>
                  </w:pPr>
                  <w:r>
                    <w:rPr>
                      <w:rFonts w:hint="eastAsia" w:cs="Times New Roman"/>
                      <w:color w:val="auto"/>
                      <w:kern w:val="2"/>
                      <w:sz w:val="20"/>
                      <w:szCs w:val="20"/>
                      <w:highlight w:val="none"/>
                      <w:lang w:val="en-US" w:eastAsia="zh-CN" w:bidi="ar"/>
                    </w:rPr>
                    <w:t>650</w:t>
                  </w:r>
                </w:p>
              </w:tc>
              <w:tc>
                <w:tcPr>
                  <w:tcW w:w="940" w:type="dxa"/>
                  <w:tcBorders>
                    <w:top w:val="single" w:color="auto" w:sz="4" w:space="0"/>
                    <w:left w:val="single" w:color="auto" w:sz="4" w:space="0"/>
                    <w:bottom w:val="single" w:color="auto" w:sz="4" w:space="0"/>
                    <w:right w:val="single" w:color="auto" w:sz="4" w:space="0"/>
                  </w:tcBorders>
                  <w:noWrap w:val="0"/>
                  <w:vAlign w:val="center"/>
                </w:tcPr>
                <w:p w14:paraId="3C3C906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5540C29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E0D3E4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289" w:type="pct"/>
                  <w:vMerge w:val="restart"/>
                  <w:tcBorders>
                    <w:top w:val="single" w:color="auto" w:sz="4" w:space="0"/>
                    <w:left w:val="single" w:color="auto" w:sz="4" w:space="0"/>
                    <w:right w:val="single" w:color="auto" w:sz="4" w:space="0"/>
                  </w:tcBorders>
                  <w:noWrap w:val="0"/>
                  <w:vAlign w:val="center"/>
                </w:tcPr>
                <w:p w14:paraId="30753E35">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低氮燃烧</w:t>
                  </w:r>
                </w:p>
              </w:tc>
              <w:tc>
                <w:tcPr>
                  <w:tcW w:w="233" w:type="pct"/>
                  <w:tcBorders>
                    <w:top w:val="single" w:color="auto" w:sz="4" w:space="0"/>
                    <w:left w:val="single" w:color="auto" w:sz="4" w:space="0"/>
                    <w:bottom w:val="single" w:color="000000" w:sz="4" w:space="0"/>
                    <w:right w:val="single" w:color="auto" w:sz="4" w:space="0"/>
                  </w:tcBorders>
                  <w:noWrap w:val="0"/>
                  <w:vAlign w:val="center"/>
                </w:tcPr>
                <w:p w14:paraId="71C363C5">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1E12CAA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151989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0A8B841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727779B9">
                  <w:pPr>
                    <w:keepNext w:val="0"/>
                    <w:keepLines w:val="0"/>
                    <w:pageBreakBefore w:val="0"/>
                    <w:widowControl w:val="0"/>
                    <w:tabs>
                      <w:tab w:val="left" w:pos="3435"/>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265" w:type="pct"/>
                  <w:tcBorders>
                    <w:top w:val="single" w:color="auto" w:sz="4" w:space="0"/>
                    <w:left w:val="single" w:color="auto" w:sz="4" w:space="0"/>
                    <w:bottom w:val="single" w:color="auto" w:sz="4" w:space="0"/>
                    <w:right w:val="single" w:color="auto" w:sz="4" w:space="0"/>
                  </w:tcBorders>
                  <w:noWrap w:val="0"/>
                  <w:vAlign w:val="center"/>
                </w:tcPr>
                <w:p w14:paraId="1CFBCE8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287" w:type="pct"/>
                  <w:vMerge w:val="restart"/>
                  <w:tcBorders>
                    <w:top w:val="nil"/>
                    <w:left w:val="single" w:color="auto" w:sz="4" w:space="0"/>
                    <w:bottom w:val="single" w:color="auto" w:sz="4" w:space="0"/>
                    <w:right w:val="single" w:color="auto" w:sz="4" w:space="0"/>
                  </w:tcBorders>
                  <w:noWrap w:val="0"/>
                  <w:vAlign w:val="center"/>
                </w:tcPr>
                <w:p w14:paraId="0A0D7DA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DA00</w:t>
                  </w:r>
                  <w:r>
                    <w:rPr>
                      <w:rFonts w:hint="default" w:ascii="Times New Roman" w:hAnsi="Times New Roman" w:cs="Times New Roman"/>
                      <w:color w:val="auto"/>
                      <w:kern w:val="2"/>
                      <w:sz w:val="20"/>
                      <w:szCs w:val="20"/>
                      <w:highlight w:val="none"/>
                      <w:lang w:val="en-US" w:eastAsia="zh-CN" w:bidi="ar"/>
                    </w:rPr>
                    <w:t>2</w:t>
                  </w:r>
                </w:p>
              </w:tc>
              <w:tc>
                <w:tcPr>
                  <w:tcW w:w="241" w:type="pct"/>
                  <w:vMerge w:val="restart"/>
                  <w:tcBorders>
                    <w:top w:val="nil"/>
                    <w:left w:val="single" w:color="auto" w:sz="4" w:space="0"/>
                    <w:bottom w:val="single" w:color="auto" w:sz="4" w:space="0"/>
                    <w:right w:val="single" w:color="auto" w:sz="4" w:space="0"/>
                  </w:tcBorders>
                  <w:noWrap w:val="0"/>
                  <w:vAlign w:val="center"/>
                </w:tcPr>
                <w:p w14:paraId="3F5BC151">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rPr>
                  </w:pPr>
                  <w:r>
                    <w:rPr>
                      <w:rFonts w:hint="default" w:ascii="Times New Roman" w:hAnsi="Times New Roman" w:cs="Times New Roman"/>
                      <w:color w:val="auto"/>
                      <w:kern w:val="2"/>
                      <w:sz w:val="20"/>
                      <w:szCs w:val="20"/>
                      <w:highlight w:val="none"/>
                      <w:lang w:val="en-US" w:eastAsia="zh-CN" w:bidi="ar"/>
                    </w:rPr>
                    <w:t>25</w:t>
                  </w:r>
                </w:p>
              </w:tc>
              <w:tc>
                <w:tcPr>
                  <w:tcW w:w="170" w:type="pct"/>
                  <w:vMerge w:val="restart"/>
                  <w:tcBorders>
                    <w:top w:val="nil"/>
                    <w:left w:val="single" w:color="auto" w:sz="4" w:space="0"/>
                    <w:bottom w:val="single" w:color="auto" w:sz="4" w:space="0"/>
                    <w:right w:val="single" w:color="auto" w:sz="4" w:space="0"/>
                  </w:tcBorders>
                  <w:noWrap w:val="0"/>
                  <w:vAlign w:val="center"/>
                </w:tcPr>
                <w:p w14:paraId="1C27CCC3">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rPr>
                  </w:pPr>
                  <w:r>
                    <w:rPr>
                      <w:rFonts w:hint="default" w:ascii="Times New Roman" w:hAnsi="Times New Roman" w:cs="Times New Roman"/>
                      <w:color w:val="auto"/>
                      <w:kern w:val="2"/>
                      <w:sz w:val="20"/>
                      <w:szCs w:val="20"/>
                      <w:highlight w:val="none"/>
                      <w:lang w:val="en-US" w:eastAsia="zh-CN" w:bidi="ar"/>
                    </w:rPr>
                    <w:t>0.</w:t>
                  </w:r>
                  <w:r>
                    <w:rPr>
                      <w:rFonts w:hint="eastAsia" w:cs="Times New Roman"/>
                      <w:color w:val="auto"/>
                      <w:kern w:val="2"/>
                      <w:sz w:val="20"/>
                      <w:szCs w:val="20"/>
                      <w:highlight w:val="none"/>
                      <w:lang w:val="en-US" w:eastAsia="zh-CN" w:bidi="ar"/>
                    </w:rPr>
                    <w:t>2</w:t>
                  </w:r>
                </w:p>
              </w:tc>
              <w:tc>
                <w:tcPr>
                  <w:tcW w:w="175" w:type="pct"/>
                  <w:vMerge w:val="restart"/>
                  <w:tcBorders>
                    <w:top w:val="nil"/>
                    <w:left w:val="single" w:color="auto" w:sz="4" w:space="0"/>
                    <w:bottom w:val="single" w:color="auto" w:sz="4" w:space="0"/>
                    <w:right w:val="single" w:color="auto" w:sz="4" w:space="0"/>
                  </w:tcBorders>
                  <w:noWrap w:val="0"/>
                  <w:vAlign w:val="center"/>
                </w:tcPr>
                <w:p w14:paraId="576F16E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rPr>
                  </w:pPr>
                  <w:r>
                    <w:rPr>
                      <w:rFonts w:hint="eastAsia" w:cs="Times New Roman"/>
                      <w:color w:val="auto"/>
                      <w:kern w:val="2"/>
                      <w:sz w:val="20"/>
                      <w:szCs w:val="20"/>
                      <w:highlight w:val="none"/>
                      <w:lang w:val="en-US" w:eastAsia="zh-CN" w:bidi="ar"/>
                    </w:rPr>
                    <w:t>150</w:t>
                  </w:r>
                </w:p>
              </w:tc>
              <w:tc>
                <w:tcPr>
                  <w:tcW w:w="222" w:type="pct"/>
                  <w:vMerge w:val="restart"/>
                  <w:tcBorders>
                    <w:top w:val="single" w:color="000000" w:sz="8" w:space="0"/>
                    <w:left w:val="single" w:color="auto" w:sz="4" w:space="0"/>
                    <w:bottom w:val="single" w:color="000000" w:sz="8" w:space="0"/>
                    <w:right w:val="single" w:color="auto" w:sz="4" w:space="0"/>
                  </w:tcBorders>
                  <w:noWrap w:val="0"/>
                  <w:vAlign w:val="center"/>
                </w:tcPr>
                <w:p w14:paraId="31C81CA2">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rPr>
                  </w:pPr>
                  <w:r>
                    <w:rPr>
                      <w:rFonts w:hint="default" w:ascii="Times New Roman" w:hAnsi="Times New Roman" w:cs="Times New Roman"/>
                      <w:color w:val="auto"/>
                      <w:kern w:val="2"/>
                      <w:sz w:val="20"/>
                      <w:szCs w:val="20"/>
                      <w:highlight w:val="none"/>
                      <w:lang w:val="en-US" w:eastAsia="zh-CN" w:bidi="ar"/>
                    </w:rPr>
                    <w:t>7200</w:t>
                  </w:r>
                </w:p>
              </w:tc>
              <w:tc>
                <w:tcPr>
                  <w:tcW w:w="153" w:type="pct"/>
                  <w:vMerge w:val="restart"/>
                  <w:tcBorders>
                    <w:top w:val="single" w:color="000000" w:sz="8" w:space="0"/>
                    <w:left w:val="single" w:color="auto" w:sz="4" w:space="0"/>
                    <w:bottom w:val="single" w:color="auto" w:sz="4" w:space="0"/>
                    <w:right w:val="single" w:color="auto" w:sz="4" w:space="0"/>
                  </w:tcBorders>
                  <w:noWrap w:val="0"/>
                  <w:vAlign w:val="center"/>
                </w:tcPr>
                <w:p w14:paraId="3E09B87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rPr>
                  </w:pPr>
                  <w:r>
                    <w:rPr>
                      <w:rFonts w:hint="default" w:ascii="Times New Roman" w:hAnsi="Times New Roman" w:cs="Times New Roman"/>
                      <w:color w:val="auto"/>
                      <w:kern w:val="2"/>
                      <w:sz w:val="20"/>
                      <w:szCs w:val="20"/>
                      <w:highlight w:val="none"/>
                      <w:lang w:val="en-US" w:eastAsia="zh-CN"/>
                    </w:rPr>
                    <w:t>/</w:t>
                  </w:r>
                </w:p>
              </w:tc>
            </w:tr>
            <w:tr w14:paraId="246A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 w:type="pct"/>
                  <w:vMerge w:val="continue"/>
                  <w:tcBorders>
                    <w:left w:val="single" w:color="auto" w:sz="4" w:space="0"/>
                    <w:right w:val="single" w:color="auto" w:sz="4" w:space="0"/>
                  </w:tcBorders>
                  <w:noWrap w:val="0"/>
                  <w:vAlign w:val="center"/>
                </w:tcPr>
                <w:p w14:paraId="5D6271B1">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18" w:type="pct"/>
                  <w:tcBorders>
                    <w:top w:val="single" w:color="auto" w:sz="4" w:space="0"/>
                    <w:left w:val="single" w:color="auto" w:sz="4" w:space="0"/>
                    <w:bottom w:val="single" w:color="auto" w:sz="4" w:space="0"/>
                    <w:right w:val="single" w:color="auto" w:sz="4" w:space="0"/>
                  </w:tcBorders>
                  <w:noWrap w:val="0"/>
                  <w:vAlign w:val="center"/>
                </w:tcPr>
                <w:p w14:paraId="48DDCB7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NOx</w:t>
                  </w:r>
                </w:p>
              </w:tc>
              <w:tc>
                <w:tcPr>
                  <w:tcW w:w="317" w:type="pct"/>
                  <w:vMerge w:val="continue"/>
                  <w:tcBorders>
                    <w:top w:val="nil"/>
                    <w:left w:val="single" w:color="auto" w:sz="4" w:space="0"/>
                    <w:bottom w:val="single" w:color="auto" w:sz="4" w:space="0"/>
                    <w:right w:val="single" w:color="auto" w:sz="4" w:space="0"/>
                  </w:tcBorders>
                  <w:noWrap w:val="0"/>
                  <w:vAlign w:val="center"/>
                </w:tcPr>
                <w:p w14:paraId="187FFA8D">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46257D2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464E16F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554AC1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289" w:type="pct"/>
                  <w:vMerge w:val="continue"/>
                  <w:tcBorders>
                    <w:left w:val="single" w:color="auto" w:sz="4" w:space="0"/>
                    <w:right w:val="single" w:color="auto" w:sz="4" w:space="0"/>
                  </w:tcBorders>
                  <w:noWrap w:val="0"/>
                  <w:vAlign w:val="center"/>
                </w:tcPr>
                <w:p w14:paraId="2D79D819">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rPr>
                  </w:pPr>
                </w:p>
              </w:tc>
              <w:tc>
                <w:tcPr>
                  <w:tcW w:w="233" w:type="pct"/>
                  <w:tcBorders>
                    <w:top w:val="single" w:color="000000" w:sz="4" w:space="0"/>
                    <w:left w:val="single" w:color="auto" w:sz="4" w:space="0"/>
                    <w:bottom w:val="single" w:color="auto" w:sz="4" w:space="0"/>
                    <w:right w:val="single" w:color="auto" w:sz="4" w:space="0"/>
                  </w:tcBorders>
                  <w:noWrap w:val="0"/>
                  <w:vAlign w:val="center"/>
                </w:tcPr>
                <w:p w14:paraId="7E0012E7">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5A0D809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03CEF0F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467451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33EDF2A1">
                  <w:pPr>
                    <w:keepNext w:val="0"/>
                    <w:keepLines w:val="0"/>
                    <w:pageBreakBefore w:val="0"/>
                    <w:widowControl w:val="0"/>
                    <w:tabs>
                      <w:tab w:val="left" w:pos="3435"/>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265" w:type="pct"/>
                  <w:tcBorders>
                    <w:top w:val="single" w:color="auto" w:sz="4" w:space="0"/>
                    <w:left w:val="single" w:color="auto" w:sz="4" w:space="0"/>
                    <w:bottom w:val="single" w:color="auto" w:sz="4" w:space="0"/>
                    <w:right w:val="single" w:color="auto" w:sz="4" w:space="0"/>
                  </w:tcBorders>
                  <w:noWrap w:val="0"/>
                  <w:vAlign w:val="center"/>
                </w:tcPr>
                <w:p w14:paraId="3387DF72">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287" w:type="pct"/>
                  <w:vMerge w:val="continue"/>
                  <w:tcBorders>
                    <w:top w:val="nil"/>
                    <w:left w:val="single" w:color="auto" w:sz="4" w:space="0"/>
                    <w:bottom w:val="single" w:color="auto" w:sz="4" w:space="0"/>
                    <w:right w:val="single" w:color="auto" w:sz="4" w:space="0"/>
                  </w:tcBorders>
                  <w:noWrap w:val="0"/>
                  <w:vAlign w:val="center"/>
                </w:tcPr>
                <w:p w14:paraId="4676BD5C">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41" w:type="pct"/>
                  <w:vMerge w:val="continue"/>
                  <w:tcBorders>
                    <w:top w:val="nil"/>
                    <w:left w:val="single" w:color="auto" w:sz="4" w:space="0"/>
                    <w:bottom w:val="single" w:color="auto" w:sz="4" w:space="0"/>
                    <w:right w:val="single" w:color="auto" w:sz="4" w:space="0"/>
                  </w:tcBorders>
                  <w:noWrap w:val="0"/>
                  <w:vAlign w:val="center"/>
                </w:tcPr>
                <w:p w14:paraId="2F68A7A5">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70" w:type="pct"/>
                  <w:vMerge w:val="continue"/>
                  <w:tcBorders>
                    <w:top w:val="nil"/>
                    <w:left w:val="single" w:color="auto" w:sz="4" w:space="0"/>
                    <w:bottom w:val="single" w:color="auto" w:sz="4" w:space="0"/>
                    <w:right w:val="single" w:color="auto" w:sz="4" w:space="0"/>
                  </w:tcBorders>
                  <w:noWrap w:val="0"/>
                  <w:vAlign w:val="center"/>
                </w:tcPr>
                <w:p w14:paraId="60A4A875">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75" w:type="pct"/>
                  <w:vMerge w:val="continue"/>
                  <w:tcBorders>
                    <w:top w:val="nil"/>
                    <w:left w:val="single" w:color="auto" w:sz="4" w:space="0"/>
                    <w:bottom w:val="single" w:color="auto" w:sz="4" w:space="0"/>
                    <w:right w:val="single" w:color="auto" w:sz="4" w:space="0"/>
                  </w:tcBorders>
                  <w:noWrap w:val="0"/>
                  <w:vAlign w:val="center"/>
                </w:tcPr>
                <w:p w14:paraId="373FC918">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22" w:type="pct"/>
                  <w:vMerge w:val="continue"/>
                  <w:tcBorders>
                    <w:top w:val="single" w:color="000000" w:sz="8" w:space="0"/>
                    <w:left w:val="single" w:color="auto" w:sz="4" w:space="0"/>
                    <w:bottom w:val="single" w:color="000000" w:sz="8" w:space="0"/>
                    <w:right w:val="single" w:color="auto" w:sz="4" w:space="0"/>
                  </w:tcBorders>
                  <w:noWrap w:val="0"/>
                  <w:vAlign w:val="center"/>
                </w:tcPr>
                <w:p w14:paraId="747684BC">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53" w:type="pct"/>
                  <w:vMerge w:val="continue"/>
                  <w:tcBorders>
                    <w:top w:val="single" w:color="000000" w:sz="8" w:space="0"/>
                    <w:left w:val="single" w:color="auto" w:sz="4" w:space="0"/>
                    <w:bottom w:val="single" w:color="auto" w:sz="4" w:space="0"/>
                    <w:right w:val="single" w:color="auto" w:sz="4" w:space="0"/>
                  </w:tcBorders>
                  <w:noWrap w:val="0"/>
                  <w:vAlign w:val="center"/>
                </w:tcPr>
                <w:p w14:paraId="589D89C4">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r>
            <w:tr w14:paraId="125F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 w:type="pct"/>
                  <w:vMerge w:val="continue"/>
                  <w:tcBorders>
                    <w:left w:val="single" w:color="auto" w:sz="4" w:space="0"/>
                    <w:right w:val="single" w:color="auto" w:sz="4" w:space="0"/>
                  </w:tcBorders>
                  <w:noWrap w:val="0"/>
                  <w:vAlign w:val="center"/>
                </w:tcPr>
                <w:p w14:paraId="6F4FB079">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18" w:type="pct"/>
                  <w:tcBorders>
                    <w:top w:val="single" w:color="auto" w:sz="4" w:space="0"/>
                    <w:left w:val="single" w:color="auto" w:sz="4" w:space="0"/>
                    <w:bottom w:val="single" w:color="auto" w:sz="4" w:space="0"/>
                    <w:right w:val="single" w:color="auto" w:sz="4" w:space="0"/>
                  </w:tcBorders>
                  <w:noWrap w:val="0"/>
                  <w:vAlign w:val="center"/>
                </w:tcPr>
                <w:p w14:paraId="2A4C657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0"/>
                      <w:szCs w:val="20"/>
                      <w:highlight w:val="none"/>
                    </w:rPr>
                  </w:pPr>
                  <w:r>
                    <w:rPr>
                      <w:rFonts w:hint="default" w:ascii="Times New Roman" w:hAnsi="Times New Roman" w:eastAsia="宋体" w:cs="Times New Roman"/>
                      <w:color w:val="auto"/>
                      <w:kern w:val="2"/>
                      <w:sz w:val="20"/>
                      <w:szCs w:val="20"/>
                      <w:highlight w:val="none"/>
                      <w:lang w:val="en-US" w:eastAsia="zh-CN" w:bidi="ar"/>
                    </w:rPr>
                    <w:t>颗粒物</w:t>
                  </w:r>
                </w:p>
              </w:tc>
              <w:tc>
                <w:tcPr>
                  <w:tcW w:w="317" w:type="pct"/>
                  <w:vMerge w:val="continue"/>
                  <w:tcBorders>
                    <w:top w:val="nil"/>
                    <w:left w:val="single" w:color="auto" w:sz="4" w:space="0"/>
                    <w:bottom w:val="single" w:color="auto" w:sz="4" w:space="0"/>
                    <w:right w:val="single" w:color="auto" w:sz="4" w:space="0"/>
                  </w:tcBorders>
                  <w:noWrap w:val="0"/>
                  <w:vAlign w:val="center"/>
                </w:tcPr>
                <w:p w14:paraId="0C2933B8">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7BAE93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5.91</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83FA47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2553F23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289" w:type="pct"/>
                  <w:vMerge w:val="continue"/>
                  <w:tcBorders>
                    <w:left w:val="single" w:color="auto" w:sz="4" w:space="0"/>
                    <w:bottom w:val="single" w:color="auto" w:sz="4" w:space="0"/>
                    <w:right w:val="single" w:color="auto" w:sz="4" w:space="0"/>
                  </w:tcBorders>
                  <w:noWrap w:val="0"/>
                  <w:vAlign w:val="center"/>
                </w:tcPr>
                <w:p w14:paraId="151DCFC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rPr>
                  </w:pPr>
                </w:p>
              </w:tc>
              <w:tc>
                <w:tcPr>
                  <w:tcW w:w="233" w:type="pct"/>
                  <w:tcBorders>
                    <w:top w:val="single" w:color="auto" w:sz="4" w:space="0"/>
                    <w:left w:val="single" w:color="auto" w:sz="4" w:space="0"/>
                    <w:bottom w:val="single" w:color="auto" w:sz="4" w:space="0"/>
                    <w:right w:val="single" w:color="auto" w:sz="4" w:space="0"/>
                  </w:tcBorders>
                  <w:noWrap w:val="0"/>
                  <w:vAlign w:val="center"/>
                </w:tcPr>
                <w:p w14:paraId="3416C706">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bidi="ar"/>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51A5EC6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5.91</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30A1499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4931E99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534F40E8">
                  <w:pPr>
                    <w:keepNext w:val="0"/>
                    <w:keepLines w:val="0"/>
                    <w:pageBreakBefore w:val="0"/>
                    <w:widowControl w:val="0"/>
                    <w:tabs>
                      <w:tab w:val="left" w:pos="3435"/>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265" w:type="pct"/>
                  <w:tcBorders>
                    <w:top w:val="single" w:color="auto" w:sz="4" w:space="0"/>
                    <w:left w:val="single" w:color="auto" w:sz="4" w:space="0"/>
                    <w:bottom w:val="single" w:color="auto" w:sz="4" w:space="0"/>
                    <w:right w:val="single" w:color="auto" w:sz="4" w:space="0"/>
                  </w:tcBorders>
                  <w:noWrap w:val="0"/>
                  <w:vAlign w:val="center"/>
                </w:tcPr>
                <w:p w14:paraId="0F7EB5D9">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w:t>
                  </w:r>
                </w:p>
              </w:tc>
              <w:tc>
                <w:tcPr>
                  <w:tcW w:w="287" w:type="pct"/>
                  <w:vMerge w:val="continue"/>
                  <w:tcBorders>
                    <w:top w:val="nil"/>
                    <w:left w:val="single" w:color="auto" w:sz="4" w:space="0"/>
                    <w:bottom w:val="single" w:color="auto" w:sz="4" w:space="0"/>
                    <w:right w:val="single" w:color="auto" w:sz="4" w:space="0"/>
                  </w:tcBorders>
                  <w:noWrap w:val="0"/>
                  <w:vAlign w:val="center"/>
                </w:tcPr>
                <w:p w14:paraId="672B814E">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41" w:type="pct"/>
                  <w:vMerge w:val="continue"/>
                  <w:tcBorders>
                    <w:top w:val="nil"/>
                    <w:left w:val="single" w:color="auto" w:sz="4" w:space="0"/>
                    <w:bottom w:val="single" w:color="auto" w:sz="4" w:space="0"/>
                    <w:right w:val="single" w:color="auto" w:sz="4" w:space="0"/>
                  </w:tcBorders>
                  <w:noWrap w:val="0"/>
                  <w:vAlign w:val="center"/>
                </w:tcPr>
                <w:p w14:paraId="795904DE">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70" w:type="pct"/>
                  <w:vMerge w:val="continue"/>
                  <w:tcBorders>
                    <w:top w:val="nil"/>
                    <w:left w:val="single" w:color="auto" w:sz="4" w:space="0"/>
                    <w:bottom w:val="single" w:color="auto" w:sz="4" w:space="0"/>
                    <w:right w:val="single" w:color="auto" w:sz="4" w:space="0"/>
                  </w:tcBorders>
                  <w:noWrap w:val="0"/>
                  <w:vAlign w:val="center"/>
                </w:tcPr>
                <w:p w14:paraId="6D1ADB5D">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75" w:type="pct"/>
                  <w:vMerge w:val="continue"/>
                  <w:tcBorders>
                    <w:top w:val="nil"/>
                    <w:left w:val="single" w:color="auto" w:sz="4" w:space="0"/>
                    <w:bottom w:val="single" w:color="auto" w:sz="4" w:space="0"/>
                    <w:right w:val="single" w:color="auto" w:sz="4" w:space="0"/>
                  </w:tcBorders>
                  <w:noWrap w:val="0"/>
                  <w:vAlign w:val="center"/>
                </w:tcPr>
                <w:p w14:paraId="41666CCD">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22" w:type="pct"/>
                  <w:vMerge w:val="continue"/>
                  <w:tcBorders>
                    <w:top w:val="single" w:color="000000" w:sz="8" w:space="0"/>
                    <w:left w:val="single" w:color="auto" w:sz="4" w:space="0"/>
                    <w:bottom w:val="single" w:color="000000" w:sz="8" w:space="0"/>
                    <w:right w:val="single" w:color="auto" w:sz="4" w:space="0"/>
                  </w:tcBorders>
                  <w:noWrap w:val="0"/>
                  <w:vAlign w:val="center"/>
                </w:tcPr>
                <w:p w14:paraId="00E411E8">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53" w:type="pct"/>
                  <w:vMerge w:val="continue"/>
                  <w:tcBorders>
                    <w:top w:val="single" w:color="000000" w:sz="8" w:space="0"/>
                    <w:left w:val="single" w:color="auto" w:sz="4" w:space="0"/>
                    <w:bottom w:val="single" w:color="auto" w:sz="4" w:space="0"/>
                    <w:right w:val="single" w:color="auto" w:sz="4" w:space="0"/>
                  </w:tcBorders>
                  <w:noWrap w:val="0"/>
                  <w:vAlign w:val="center"/>
                </w:tcPr>
                <w:p w14:paraId="5140BFFB">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r>
            <w:tr w14:paraId="5A42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 w:type="pct"/>
                  <w:vMerge w:val="continue"/>
                  <w:tcBorders>
                    <w:left w:val="single" w:color="auto" w:sz="4" w:space="0"/>
                    <w:right w:val="single" w:color="auto" w:sz="4" w:space="0"/>
                  </w:tcBorders>
                  <w:noWrap w:val="0"/>
                  <w:vAlign w:val="center"/>
                </w:tcPr>
                <w:p w14:paraId="4C979329">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eastAsia="宋体" w:cs="Times New Roman"/>
                      <w:color w:val="auto"/>
                      <w:sz w:val="20"/>
                      <w:szCs w:val="20"/>
                      <w:highlight w:val="none"/>
                      <w:lang w:val="en-US" w:eastAsia="zh-CN"/>
                    </w:rPr>
                  </w:pPr>
                </w:p>
              </w:tc>
              <w:tc>
                <w:tcPr>
                  <w:tcW w:w="218" w:type="pct"/>
                  <w:tcBorders>
                    <w:top w:val="single" w:color="auto" w:sz="4" w:space="0"/>
                    <w:left w:val="single" w:color="auto" w:sz="4" w:space="0"/>
                    <w:bottom w:val="single" w:color="auto" w:sz="4" w:space="0"/>
                    <w:right w:val="single" w:color="auto" w:sz="4" w:space="0"/>
                  </w:tcBorders>
                  <w:noWrap w:val="0"/>
                  <w:vAlign w:val="center"/>
                </w:tcPr>
                <w:p w14:paraId="296D8246">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r>
                    <w:rPr>
                      <w:rFonts w:hint="default" w:ascii="Times New Roman" w:hAnsi="Times New Roman" w:eastAsia="宋体" w:cs="Times New Roman"/>
                      <w:color w:val="auto"/>
                      <w:kern w:val="2"/>
                      <w:sz w:val="20"/>
                      <w:szCs w:val="20"/>
                      <w:highlight w:val="none"/>
                      <w:lang w:val="en-US" w:eastAsia="zh-CN" w:bidi="ar"/>
                    </w:rPr>
                    <w:t>SO</w:t>
                  </w:r>
                  <w:r>
                    <w:rPr>
                      <w:rFonts w:hint="default" w:ascii="Times New Roman" w:hAnsi="Times New Roman" w:eastAsia="宋体" w:cs="Times New Roman"/>
                      <w:color w:val="auto"/>
                      <w:kern w:val="2"/>
                      <w:sz w:val="20"/>
                      <w:szCs w:val="20"/>
                      <w:highlight w:val="none"/>
                      <w:vertAlign w:val="subscript"/>
                      <w:lang w:val="en-US" w:eastAsia="zh-CN" w:bidi="ar"/>
                    </w:rPr>
                    <w:t>2</w:t>
                  </w:r>
                </w:p>
              </w:tc>
              <w:tc>
                <w:tcPr>
                  <w:tcW w:w="317" w:type="pct"/>
                  <w:vMerge w:val="restart"/>
                  <w:tcBorders>
                    <w:top w:val="nil"/>
                    <w:left w:val="single" w:color="auto" w:sz="4" w:space="0"/>
                    <w:right w:val="single" w:color="auto" w:sz="4" w:space="0"/>
                  </w:tcBorders>
                  <w:noWrap w:val="0"/>
                  <w:vAlign w:val="center"/>
                </w:tcPr>
                <w:p w14:paraId="5B9EA8CE">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650</w:t>
                  </w:r>
                </w:p>
              </w:tc>
              <w:tc>
                <w:tcPr>
                  <w:tcW w:w="940" w:type="dxa"/>
                  <w:tcBorders>
                    <w:top w:val="single" w:color="auto" w:sz="4" w:space="0"/>
                    <w:left w:val="single" w:color="auto" w:sz="4" w:space="0"/>
                    <w:bottom w:val="single" w:color="auto" w:sz="4" w:space="0"/>
                    <w:right w:val="single" w:color="auto" w:sz="4" w:space="0"/>
                  </w:tcBorders>
                  <w:noWrap w:val="0"/>
                  <w:vAlign w:val="center"/>
                </w:tcPr>
                <w:p w14:paraId="29C41E3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0422633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07C5212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289" w:type="pct"/>
                  <w:vMerge w:val="restart"/>
                  <w:tcBorders>
                    <w:top w:val="single" w:color="auto" w:sz="4" w:space="0"/>
                    <w:left w:val="single" w:color="auto" w:sz="4" w:space="0"/>
                    <w:right w:val="single" w:color="auto" w:sz="4" w:space="0"/>
                  </w:tcBorders>
                  <w:noWrap w:val="0"/>
                  <w:vAlign w:val="center"/>
                </w:tcPr>
                <w:p w14:paraId="68CC4C32">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低氮燃烧</w:t>
                  </w:r>
                </w:p>
              </w:tc>
              <w:tc>
                <w:tcPr>
                  <w:tcW w:w="233" w:type="pct"/>
                  <w:tcBorders>
                    <w:top w:val="single" w:color="auto" w:sz="4" w:space="0"/>
                    <w:left w:val="single" w:color="auto" w:sz="4" w:space="0"/>
                    <w:bottom w:val="single" w:color="auto" w:sz="4" w:space="0"/>
                    <w:right w:val="single" w:color="auto" w:sz="4" w:space="0"/>
                  </w:tcBorders>
                  <w:noWrap w:val="0"/>
                  <w:vAlign w:val="center"/>
                </w:tcPr>
                <w:p w14:paraId="48C0462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0F435222">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7.38</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8FF23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5D7C0B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3A443B7F">
                  <w:pPr>
                    <w:keepNext w:val="0"/>
                    <w:keepLines w:val="0"/>
                    <w:pageBreakBefore w:val="0"/>
                    <w:widowControl w:val="0"/>
                    <w:tabs>
                      <w:tab w:val="left" w:pos="3435"/>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265" w:type="pct"/>
                  <w:tcBorders>
                    <w:top w:val="single" w:color="auto" w:sz="4" w:space="0"/>
                    <w:left w:val="single" w:color="auto" w:sz="4" w:space="0"/>
                    <w:bottom w:val="single" w:color="auto" w:sz="4" w:space="0"/>
                    <w:right w:val="single" w:color="auto" w:sz="4" w:space="0"/>
                  </w:tcBorders>
                  <w:noWrap w:val="0"/>
                  <w:vAlign w:val="center"/>
                </w:tcPr>
                <w:p w14:paraId="213F8846">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287" w:type="pct"/>
                  <w:vMerge w:val="restart"/>
                  <w:tcBorders>
                    <w:top w:val="nil"/>
                    <w:left w:val="single" w:color="auto" w:sz="4" w:space="0"/>
                    <w:right w:val="single" w:color="auto" w:sz="4" w:space="0"/>
                  </w:tcBorders>
                  <w:noWrap w:val="0"/>
                  <w:vAlign w:val="center"/>
                </w:tcPr>
                <w:p w14:paraId="3ADD3365">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color w:val="auto"/>
                      <w:kern w:val="2"/>
                      <w:sz w:val="20"/>
                      <w:szCs w:val="20"/>
                      <w:highlight w:val="none"/>
                      <w:lang w:val="en-US" w:eastAsia="zh-CN" w:bidi="ar"/>
                    </w:rPr>
                    <w:t>DA00</w:t>
                  </w:r>
                  <w:r>
                    <w:rPr>
                      <w:rFonts w:hint="default" w:ascii="Times New Roman" w:hAnsi="Times New Roman" w:cs="Times New Roman"/>
                      <w:color w:val="auto"/>
                      <w:kern w:val="2"/>
                      <w:sz w:val="20"/>
                      <w:szCs w:val="20"/>
                      <w:highlight w:val="none"/>
                      <w:lang w:val="en-US" w:eastAsia="zh-CN" w:bidi="ar"/>
                    </w:rPr>
                    <w:t>3</w:t>
                  </w:r>
                </w:p>
              </w:tc>
              <w:tc>
                <w:tcPr>
                  <w:tcW w:w="241" w:type="pct"/>
                  <w:vMerge w:val="restart"/>
                  <w:tcBorders>
                    <w:top w:val="nil"/>
                    <w:left w:val="single" w:color="auto" w:sz="4" w:space="0"/>
                    <w:right w:val="single" w:color="auto" w:sz="4" w:space="0"/>
                  </w:tcBorders>
                  <w:noWrap w:val="0"/>
                  <w:vAlign w:val="center"/>
                </w:tcPr>
                <w:p w14:paraId="1610847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sz w:val="20"/>
                      <w:szCs w:val="20"/>
                      <w:highlight w:val="none"/>
                      <w:lang w:val="en-US"/>
                    </w:rPr>
                  </w:pPr>
                  <w:r>
                    <w:rPr>
                      <w:rFonts w:hint="default" w:ascii="Times New Roman" w:hAnsi="Times New Roman" w:cs="Times New Roman"/>
                      <w:color w:val="auto"/>
                      <w:kern w:val="2"/>
                      <w:sz w:val="20"/>
                      <w:szCs w:val="20"/>
                      <w:highlight w:val="none"/>
                      <w:lang w:val="en-US" w:eastAsia="zh-CN" w:bidi="ar"/>
                    </w:rPr>
                    <w:t>19</w:t>
                  </w:r>
                </w:p>
              </w:tc>
              <w:tc>
                <w:tcPr>
                  <w:tcW w:w="170" w:type="pct"/>
                  <w:vMerge w:val="restart"/>
                  <w:tcBorders>
                    <w:top w:val="nil"/>
                    <w:left w:val="single" w:color="auto" w:sz="4" w:space="0"/>
                    <w:right w:val="single" w:color="auto" w:sz="4" w:space="0"/>
                  </w:tcBorders>
                  <w:noWrap w:val="0"/>
                  <w:vAlign w:val="center"/>
                </w:tcPr>
                <w:p w14:paraId="2F3E00BF">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sz w:val="20"/>
                      <w:szCs w:val="20"/>
                      <w:highlight w:val="none"/>
                    </w:rPr>
                  </w:pPr>
                  <w:r>
                    <w:rPr>
                      <w:rFonts w:hint="default" w:ascii="Times New Roman" w:hAnsi="Times New Roman" w:cs="Times New Roman"/>
                      <w:color w:val="auto"/>
                      <w:kern w:val="2"/>
                      <w:sz w:val="20"/>
                      <w:szCs w:val="20"/>
                      <w:highlight w:val="none"/>
                      <w:lang w:val="en-US" w:eastAsia="zh-CN" w:bidi="ar"/>
                    </w:rPr>
                    <w:t>0.</w:t>
                  </w:r>
                  <w:r>
                    <w:rPr>
                      <w:rFonts w:hint="eastAsia" w:cs="Times New Roman"/>
                      <w:color w:val="auto"/>
                      <w:kern w:val="2"/>
                      <w:sz w:val="20"/>
                      <w:szCs w:val="20"/>
                      <w:highlight w:val="none"/>
                      <w:lang w:val="en-US" w:eastAsia="zh-CN" w:bidi="ar"/>
                    </w:rPr>
                    <w:t>2</w:t>
                  </w:r>
                </w:p>
              </w:tc>
              <w:tc>
                <w:tcPr>
                  <w:tcW w:w="175" w:type="pct"/>
                  <w:vMerge w:val="restart"/>
                  <w:tcBorders>
                    <w:top w:val="nil"/>
                    <w:left w:val="single" w:color="auto" w:sz="4" w:space="0"/>
                    <w:right w:val="single" w:color="auto" w:sz="4" w:space="0"/>
                  </w:tcBorders>
                  <w:noWrap w:val="0"/>
                  <w:vAlign w:val="center"/>
                </w:tcPr>
                <w:p w14:paraId="64C51351">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sz w:val="20"/>
                      <w:szCs w:val="20"/>
                      <w:highlight w:val="none"/>
                      <w:lang w:val="en-US"/>
                    </w:rPr>
                  </w:pPr>
                  <w:r>
                    <w:rPr>
                      <w:rFonts w:hint="eastAsia" w:cs="Times New Roman"/>
                      <w:color w:val="auto"/>
                      <w:kern w:val="2"/>
                      <w:sz w:val="20"/>
                      <w:szCs w:val="20"/>
                      <w:highlight w:val="none"/>
                      <w:lang w:val="en-US" w:eastAsia="zh-CN" w:bidi="ar"/>
                    </w:rPr>
                    <w:t>70</w:t>
                  </w:r>
                </w:p>
              </w:tc>
              <w:tc>
                <w:tcPr>
                  <w:tcW w:w="222" w:type="pct"/>
                  <w:vMerge w:val="restart"/>
                  <w:tcBorders>
                    <w:top w:val="single" w:color="000000" w:sz="8" w:space="0"/>
                    <w:left w:val="single" w:color="auto" w:sz="4" w:space="0"/>
                    <w:right w:val="single" w:color="auto" w:sz="4" w:space="0"/>
                  </w:tcBorders>
                  <w:noWrap w:val="0"/>
                  <w:vAlign w:val="center"/>
                </w:tcPr>
                <w:p w14:paraId="1A8322C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sz w:val="20"/>
                      <w:szCs w:val="20"/>
                      <w:highlight w:val="none"/>
                    </w:rPr>
                  </w:pPr>
                  <w:r>
                    <w:rPr>
                      <w:rFonts w:hint="default" w:ascii="Times New Roman" w:hAnsi="Times New Roman" w:cs="Times New Roman"/>
                      <w:color w:val="auto"/>
                      <w:kern w:val="2"/>
                      <w:sz w:val="20"/>
                      <w:szCs w:val="20"/>
                      <w:highlight w:val="none"/>
                      <w:lang w:val="en-US" w:eastAsia="zh-CN" w:bidi="ar"/>
                    </w:rPr>
                    <w:t>7200</w:t>
                  </w:r>
                </w:p>
              </w:tc>
              <w:tc>
                <w:tcPr>
                  <w:tcW w:w="153" w:type="pct"/>
                  <w:vMerge w:val="restart"/>
                  <w:tcBorders>
                    <w:top w:val="single" w:color="000000" w:sz="8" w:space="0"/>
                    <w:left w:val="single" w:color="auto" w:sz="4" w:space="0"/>
                    <w:right w:val="single" w:color="auto" w:sz="4" w:space="0"/>
                  </w:tcBorders>
                  <w:noWrap w:val="0"/>
                  <w:vAlign w:val="center"/>
                </w:tcPr>
                <w:p w14:paraId="351AF98D">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sz w:val="20"/>
                      <w:szCs w:val="20"/>
                      <w:highlight w:val="none"/>
                    </w:rPr>
                  </w:pPr>
                  <w:r>
                    <w:rPr>
                      <w:rFonts w:hint="default" w:ascii="Times New Roman" w:hAnsi="Times New Roman" w:cs="Times New Roman"/>
                      <w:color w:val="auto"/>
                      <w:kern w:val="2"/>
                      <w:sz w:val="20"/>
                      <w:szCs w:val="20"/>
                      <w:highlight w:val="none"/>
                      <w:lang w:val="en-US" w:eastAsia="zh-CN"/>
                    </w:rPr>
                    <w:t>/</w:t>
                  </w:r>
                </w:p>
              </w:tc>
            </w:tr>
            <w:tr w14:paraId="49E8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 w:type="pct"/>
                  <w:vMerge w:val="continue"/>
                  <w:tcBorders>
                    <w:left w:val="single" w:color="auto" w:sz="4" w:space="0"/>
                    <w:right w:val="single" w:color="auto" w:sz="4" w:space="0"/>
                  </w:tcBorders>
                  <w:noWrap w:val="0"/>
                  <w:vAlign w:val="center"/>
                </w:tcPr>
                <w:p w14:paraId="4B7AC464">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18" w:type="pct"/>
                  <w:tcBorders>
                    <w:top w:val="single" w:color="auto" w:sz="4" w:space="0"/>
                    <w:left w:val="single" w:color="auto" w:sz="4" w:space="0"/>
                    <w:bottom w:val="single" w:color="auto" w:sz="4" w:space="0"/>
                    <w:right w:val="single" w:color="auto" w:sz="4" w:space="0"/>
                  </w:tcBorders>
                  <w:noWrap w:val="0"/>
                  <w:vAlign w:val="center"/>
                </w:tcPr>
                <w:p w14:paraId="11D1C5B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r>
                    <w:rPr>
                      <w:rFonts w:hint="default" w:ascii="Times New Roman" w:hAnsi="Times New Roman" w:eastAsia="宋体" w:cs="Times New Roman"/>
                      <w:color w:val="auto"/>
                      <w:kern w:val="2"/>
                      <w:sz w:val="20"/>
                      <w:szCs w:val="20"/>
                      <w:highlight w:val="none"/>
                      <w:lang w:val="en-US" w:eastAsia="zh-CN" w:bidi="ar"/>
                    </w:rPr>
                    <w:t>NOx</w:t>
                  </w:r>
                </w:p>
              </w:tc>
              <w:tc>
                <w:tcPr>
                  <w:tcW w:w="317" w:type="pct"/>
                  <w:vMerge w:val="continue"/>
                  <w:tcBorders>
                    <w:left w:val="single" w:color="auto" w:sz="4" w:space="0"/>
                    <w:right w:val="single" w:color="auto" w:sz="4" w:space="0"/>
                  </w:tcBorders>
                  <w:noWrap w:val="0"/>
                  <w:vAlign w:val="center"/>
                </w:tcPr>
                <w:p w14:paraId="19F016D1">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3EF1D8D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0FF3A1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74208AA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289" w:type="pct"/>
                  <w:vMerge w:val="continue"/>
                  <w:tcBorders>
                    <w:left w:val="single" w:color="auto" w:sz="4" w:space="0"/>
                    <w:right w:val="single" w:color="auto" w:sz="4" w:space="0"/>
                  </w:tcBorders>
                  <w:noWrap w:val="0"/>
                  <w:vAlign w:val="center"/>
                </w:tcPr>
                <w:p w14:paraId="58004A29">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2"/>
                      <w:sz w:val="21"/>
                      <w:szCs w:val="21"/>
                      <w:highlight w:val="none"/>
                      <w:lang w:val="en-US" w:eastAsia="zh-CN"/>
                    </w:rPr>
                  </w:pPr>
                </w:p>
              </w:tc>
              <w:tc>
                <w:tcPr>
                  <w:tcW w:w="233" w:type="pct"/>
                  <w:tcBorders>
                    <w:top w:val="single" w:color="auto" w:sz="4" w:space="0"/>
                    <w:left w:val="single" w:color="auto" w:sz="4" w:space="0"/>
                    <w:bottom w:val="single" w:color="auto" w:sz="4" w:space="0"/>
                    <w:right w:val="single" w:color="auto" w:sz="4" w:space="0"/>
                  </w:tcBorders>
                  <w:noWrap w:val="0"/>
                  <w:vAlign w:val="center"/>
                </w:tcPr>
                <w:p w14:paraId="1B298D9D">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0E23BE0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25.85</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1A1EFD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258C445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45C2348E">
                  <w:pPr>
                    <w:keepNext w:val="0"/>
                    <w:keepLines w:val="0"/>
                    <w:pageBreakBefore w:val="0"/>
                    <w:widowControl w:val="0"/>
                    <w:tabs>
                      <w:tab w:val="left" w:pos="3435"/>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265" w:type="pct"/>
                  <w:tcBorders>
                    <w:top w:val="single" w:color="auto" w:sz="4" w:space="0"/>
                    <w:left w:val="single" w:color="auto" w:sz="4" w:space="0"/>
                    <w:bottom w:val="single" w:color="auto" w:sz="4" w:space="0"/>
                    <w:right w:val="single" w:color="auto" w:sz="4" w:space="0"/>
                  </w:tcBorders>
                  <w:noWrap w:val="0"/>
                  <w:vAlign w:val="center"/>
                </w:tcPr>
                <w:p w14:paraId="247F6349">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287" w:type="pct"/>
                  <w:vMerge w:val="continue"/>
                  <w:tcBorders>
                    <w:left w:val="single" w:color="auto" w:sz="4" w:space="0"/>
                    <w:right w:val="single" w:color="auto" w:sz="4" w:space="0"/>
                  </w:tcBorders>
                  <w:noWrap w:val="0"/>
                  <w:vAlign w:val="center"/>
                </w:tcPr>
                <w:p w14:paraId="2CBBE8CE">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41" w:type="pct"/>
                  <w:vMerge w:val="continue"/>
                  <w:tcBorders>
                    <w:left w:val="single" w:color="auto" w:sz="4" w:space="0"/>
                    <w:right w:val="single" w:color="auto" w:sz="4" w:space="0"/>
                  </w:tcBorders>
                  <w:noWrap w:val="0"/>
                  <w:vAlign w:val="center"/>
                </w:tcPr>
                <w:p w14:paraId="2F51045B">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70" w:type="pct"/>
                  <w:vMerge w:val="continue"/>
                  <w:tcBorders>
                    <w:left w:val="single" w:color="auto" w:sz="4" w:space="0"/>
                    <w:right w:val="single" w:color="auto" w:sz="4" w:space="0"/>
                  </w:tcBorders>
                  <w:noWrap w:val="0"/>
                  <w:vAlign w:val="center"/>
                </w:tcPr>
                <w:p w14:paraId="66CDF861">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75" w:type="pct"/>
                  <w:vMerge w:val="continue"/>
                  <w:tcBorders>
                    <w:left w:val="single" w:color="auto" w:sz="4" w:space="0"/>
                    <w:right w:val="single" w:color="auto" w:sz="4" w:space="0"/>
                  </w:tcBorders>
                  <w:noWrap w:val="0"/>
                  <w:vAlign w:val="center"/>
                </w:tcPr>
                <w:p w14:paraId="0065B480">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22" w:type="pct"/>
                  <w:vMerge w:val="continue"/>
                  <w:tcBorders>
                    <w:left w:val="single" w:color="auto" w:sz="4" w:space="0"/>
                    <w:right w:val="single" w:color="auto" w:sz="4" w:space="0"/>
                  </w:tcBorders>
                  <w:noWrap w:val="0"/>
                  <w:vAlign w:val="center"/>
                </w:tcPr>
                <w:p w14:paraId="764A4AE6">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53" w:type="pct"/>
                  <w:vMerge w:val="continue"/>
                  <w:tcBorders>
                    <w:left w:val="single" w:color="auto" w:sz="4" w:space="0"/>
                    <w:right w:val="single" w:color="auto" w:sz="4" w:space="0"/>
                  </w:tcBorders>
                  <w:noWrap w:val="0"/>
                  <w:vAlign w:val="center"/>
                </w:tcPr>
                <w:p w14:paraId="2416D6DE">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r>
            <w:tr w14:paraId="10FE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 w:type="pct"/>
                  <w:vMerge w:val="continue"/>
                  <w:tcBorders>
                    <w:left w:val="single" w:color="auto" w:sz="4" w:space="0"/>
                    <w:right w:val="single" w:color="auto" w:sz="4" w:space="0"/>
                  </w:tcBorders>
                  <w:noWrap w:val="0"/>
                  <w:vAlign w:val="center"/>
                </w:tcPr>
                <w:p w14:paraId="48C9A842">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18" w:type="pct"/>
                  <w:tcBorders>
                    <w:top w:val="single" w:color="auto" w:sz="4" w:space="0"/>
                    <w:left w:val="single" w:color="auto" w:sz="4" w:space="0"/>
                    <w:bottom w:val="single" w:color="auto" w:sz="4" w:space="0"/>
                    <w:right w:val="single" w:color="auto" w:sz="4" w:space="0"/>
                  </w:tcBorders>
                  <w:noWrap w:val="0"/>
                  <w:vAlign w:val="center"/>
                </w:tcPr>
                <w:p w14:paraId="17647FB1">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r>
                    <w:rPr>
                      <w:rFonts w:hint="default" w:ascii="Times New Roman" w:hAnsi="Times New Roman" w:eastAsia="宋体" w:cs="Times New Roman"/>
                      <w:color w:val="auto"/>
                      <w:kern w:val="2"/>
                      <w:sz w:val="20"/>
                      <w:szCs w:val="20"/>
                      <w:highlight w:val="none"/>
                      <w:lang w:val="en-US" w:eastAsia="zh-CN" w:bidi="ar"/>
                    </w:rPr>
                    <w:t>颗粒物</w:t>
                  </w:r>
                </w:p>
              </w:tc>
              <w:tc>
                <w:tcPr>
                  <w:tcW w:w="317" w:type="pct"/>
                  <w:vMerge w:val="continue"/>
                  <w:tcBorders>
                    <w:left w:val="single" w:color="auto" w:sz="4" w:space="0"/>
                    <w:right w:val="single" w:color="auto" w:sz="4" w:space="0"/>
                  </w:tcBorders>
                  <w:noWrap w:val="0"/>
                  <w:vAlign w:val="center"/>
                </w:tcPr>
                <w:p w14:paraId="63B7F91B">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18465C5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5.91</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21F64FF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3288A65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289" w:type="pct"/>
                  <w:vMerge w:val="continue"/>
                  <w:tcBorders>
                    <w:left w:val="single" w:color="auto" w:sz="4" w:space="0"/>
                    <w:right w:val="single" w:color="auto" w:sz="4" w:space="0"/>
                  </w:tcBorders>
                  <w:noWrap w:val="0"/>
                  <w:vAlign w:val="center"/>
                </w:tcPr>
                <w:p w14:paraId="6485590C">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2"/>
                      <w:sz w:val="21"/>
                      <w:szCs w:val="21"/>
                      <w:highlight w:val="none"/>
                      <w:lang w:val="en-US" w:eastAsia="zh-CN"/>
                    </w:rPr>
                  </w:pPr>
                </w:p>
              </w:tc>
              <w:tc>
                <w:tcPr>
                  <w:tcW w:w="233" w:type="pct"/>
                  <w:tcBorders>
                    <w:top w:val="single" w:color="auto" w:sz="4" w:space="0"/>
                    <w:left w:val="single" w:color="auto" w:sz="4" w:space="0"/>
                    <w:bottom w:val="single" w:color="auto" w:sz="4" w:space="0"/>
                    <w:right w:val="single" w:color="auto" w:sz="4" w:space="0"/>
                  </w:tcBorders>
                  <w:noWrap w:val="0"/>
                  <w:vAlign w:val="center"/>
                </w:tcPr>
                <w:p w14:paraId="6CD0FF3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318A344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5.91</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3031E7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4D3E779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6D48A399">
                  <w:pPr>
                    <w:keepNext w:val="0"/>
                    <w:keepLines w:val="0"/>
                    <w:pageBreakBefore w:val="0"/>
                    <w:widowControl w:val="0"/>
                    <w:tabs>
                      <w:tab w:val="left" w:pos="3435"/>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265" w:type="pct"/>
                  <w:tcBorders>
                    <w:top w:val="single" w:color="auto" w:sz="4" w:space="0"/>
                    <w:left w:val="single" w:color="auto" w:sz="4" w:space="0"/>
                    <w:bottom w:val="single" w:color="auto" w:sz="4" w:space="0"/>
                    <w:right w:val="single" w:color="auto" w:sz="4" w:space="0"/>
                  </w:tcBorders>
                  <w:noWrap w:val="0"/>
                  <w:vAlign w:val="center"/>
                </w:tcPr>
                <w:p w14:paraId="0AAA6B53">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287" w:type="pct"/>
                  <w:vMerge w:val="continue"/>
                  <w:tcBorders>
                    <w:left w:val="single" w:color="auto" w:sz="4" w:space="0"/>
                    <w:right w:val="single" w:color="auto" w:sz="4" w:space="0"/>
                  </w:tcBorders>
                  <w:noWrap w:val="0"/>
                  <w:vAlign w:val="center"/>
                </w:tcPr>
                <w:p w14:paraId="4EF95DE7">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41" w:type="pct"/>
                  <w:vMerge w:val="continue"/>
                  <w:tcBorders>
                    <w:left w:val="single" w:color="auto" w:sz="4" w:space="0"/>
                    <w:right w:val="single" w:color="auto" w:sz="4" w:space="0"/>
                  </w:tcBorders>
                  <w:noWrap w:val="0"/>
                  <w:vAlign w:val="center"/>
                </w:tcPr>
                <w:p w14:paraId="53C5AFCB">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70" w:type="pct"/>
                  <w:vMerge w:val="continue"/>
                  <w:tcBorders>
                    <w:left w:val="single" w:color="auto" w:sz="4" w:space="0"/>
                    <w:right w:val="single" w:color="auto" w:sz="4" w:space="0"/>
                  </w:tcBorders>
                  <w:noWrap w:val="0"/>
                  <w:vAlign w:val="center"/>
                </w:tcPr>
                <w:p w14:paraId="4A9C3A34">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75" w:type="pct"/>
                  <w:vMerge w:val="continue"/>
                  <w:tcBorders>
                    <w:left w:val="single" w:color="auto" w:sz="4" w:space="0"/>
                    <w:right w:val="single" w:color="auto" w:sz="4" w:space="0"/>
                  </w:tcBorders>
                  <w:noWrap w:val="0"/>
                  <w:vAlign w:val="center"/>
                </w:tcPr>
                <w:p w14:paraId="5E419284">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222" w:type="pct"/>
                  <w:vMerge w:val="continue"/>
                  <w:tcBorders>
                    <w:left w:val="single" w:color="auto" w:sz="4" w:space="0"/>
                    <w:right w:val="single" w:color="auto" w:sz="4" w:space="0"/>
                  </w:tcBorders>
                  <w:noWrap w:val="0"/>
                  <w:vAlign w:val="center"/>
                </w:tcPr>
                <w:p w14:paraId="1B082D37">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c>
                <w:tcPr>
                  <w:tcW w:w="153" w:type="pct"/>
                  <w:vMerge w:val="continue"/>
                  <w:tcBorders>
                    <w:left w:val="single" w:color="auto" w:sz="4" w:space="0"/>
                    <w:right w:val="single" w:color="auto" w:sz="4" w:space="0"/>
                  </w:tcBorders>
                  <w:noWrap w:val="0"/>
                  <w:vAlign w:val="center"/>
                </w:tcPr>
                <w:p w14:paraId="13965552">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cs="Times New Roman"/>
                      <w:color w:val="auto"/>
                      <w:sz w:val="20"/>
                      <w:szCs w:val="20"/>
                      <w:highlight w:val="none"/>
                    </w:rPr>
                  </w:pPr>
                </w:p>
              </w:tc>
            </w:tr>
            <w:tr w14:paraId="481D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 w:type="pct"/>
                  <w:tcBorders>
                    <w:left w:val="single" w:color="auto" w:sz="4" w:space="0"/>
                    <w:bottom w:val="single" w:color="auto" w:sz="4" w:space="0"/>
                    <w:right w:val="single" w:color="auto" w:sz="4" w:space="0"/>
                  </w:tcBorders>
                  <w:noWrap w:val="0"/>
                  <w:vAlign w:val="center"/>
                </w:tcPr>
                <w:p w14:paraId="0A597287">
                  <w:pPr>
                    <w:keepNext w:val="0"/>
                    <w:keepLines w:val="0"/>
                    <w:pageBreakBefore w:val="0"/>
                    <w:kinsoku/>
                    <w:wordWrap/>
                    <w:overflowPunct w:val="0"/>
                    <w:topLinePunct/>
                    <w:bidi w:val="0"/>
                    <w:adjustRightInd/>
                    <w:spacing w:line="240" w:lineRule="auto"/>
                    <w:ind w:firstLine="0" w:firstLineChars="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投料粉尘</w:t>
                  </w:r>
                </w:p>
              </w:tc>
              <w:tc>
                <w:tcPr>
                  <w:tcW w:w="218" w:type="pct"/>
                  <w:tcBorders>
                    <w:top w:val="single" w:color="auto" w:sz="4" w:space="0"/>
                    <w:left w:val="single" w:color="auto" w:sz="4" w:space="0"/>
                    <w:bottom w:val="single" w:color="auto" w:sz="4" w:space="0"/>
                    <w:right w:val="single" w:color="auto" w:sz="4" w:space="0"/>
                  </w:tcBorders>
                  <w:noWrap w:val="0"/>
                  <w:vAlign w:val="center"/>
                </w:tcPr>
                <w:p w14:paraId="27ACE184">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highlight w:val="none"/>
                      <w:lang w:val="en-US" w:eastAsia="zh-CN" w:bidi="ar"/>
                    </w:rPr>
                  </w:pPr>
                  <w:r>
                    <w:rPr>
                      <w:rFonts w:hint="eastAsia" w:cs="Times New Roman"/>
                      <w:color w:val="auto"/>
                      <w:kern w:val="2"/>
                      <w:sz w:val="20"/>
                      <w:szCs w:val="20"/>
                      <w:highlight w:val="none"/>
                      <w:lang w:val="en-US" w:eastAsia="zh-CN" w:bidi="ar"/>
                    </w:rPr>
                    <w:t>颗粒物</w:t>
                  </w:r>
                </w:p>
              </w:tc>
              <w:tc>
                <w:tcPr>
                  <w:tcW w:w="317" w:type="pct"/>
                  <w:tcBorders>
                    <w:left w:val="single" w:color="auto" w:sz="4" w:space="0"/>
                    <w:bottom w:val="single" w:color="auto" w:sz="4" w:space="0"/>
                    <w:right w:val="single" w:color="auto" w:sz="4" w:space="0"/>
                  </w:tcBorders>
                  <w:noWrap w:val="0"/>
                  <w:vAlign w:val="center"/>
                </w:tcPr>
                <w:p w14:paraId="61B3966F">
                  <w:pPr>
                    <w:keepNext w:val="0"/>
                    <w:keepLines w:val="0"/>
                    <w:pageBreakBefore w:val="0"/>
                    <w:kinsoku/>
                    <w:wordWrap/>
                    <w:overflowPunct w:val="0"/>
                    <w:topLinePunct/>
                    <w:bidi w:val="0"/>
                    <w:adjustRightInd/>
                    <w:spacing w:line="240" w:lineRule="auto"/>
                    <w:ind w:firstLine="0" w:firstLineChars="0"/>
                    <w:jc w:val="center"/>
                    <w:rPr>
                      <w:rFonts w:hint="eastAsia"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w:t>
                  </w:r>
                </w:p>
              </w:tc>
              <w:tc>
                <w:tcPr>
                  <w:tcW w:w="940" w:type="dxa"/>
                  <w:tcBorders>
                    <w:top w:val="single" w:color="auto" w:sz="4" w:space="0"/>
                    <w:left w:val="single" w:color="auto" w:sz="4" w:space="0"/>
                    <w:bottom w:val="single" w:color="auto" w:sz="4" w:space="0"/>
                    <w:right w:val="single" w:color="auto" w:sz="4" w:space="0"/>
                  </w:tcBorders>
                  <w:noWrap w:val="0"/>
                  <w:vAlign w:val="center"/>
                </w:tcPr>
                <w:p w14:paraId="7ED04CF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6E4F84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0.007</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572B9F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0.017</w:t>
                  </w:r>
                </w:p>
              </w:tc>
              <w:tc>
                <w:tcPr>
                  <w:tcW w:w="289" w:type="pct"/>
                  <w:tcBorders>
                    <w:left w:val="single" w:color="auto" w:sz="4" w:space="0"/>
                    <w:bottom w:val="single" w:color="auto" w:sz="4" w:space="0"/>
                    <w:right w:val="single" w:color="auto" w:sz="4" w:space="0"/>
                  </w:tcBorders>
                  <w:noWrap w:val="0"/>
                  <w:vAlign w:val="center"/>
                </w:tcPr>
                <w:p w14:paraId="6300EE1D">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脉冲除尘器</w:t>
                  </w:r>
                </w:p>
              </w:tc>
              <w:tc>
                <w:tcPr>
                  <w:tcW w:w="233" w:type="pct"/>
                  <w:tcBorders>
                    <w:top w:val="single" w:color="auto" w:sz="4" w:space="0"/>
                    <w:left w:val="single" w:color="auto" w:sz="4" w:space="0"/>
                    <w:bottom w:val="single" w:color="auto" w:sz="4" w:space="0"/>
                    <w:right w:val="single" w:color="auto" w:sz="4" w:space="0"/>
                  </w:tcBorders>
                  <w:noWrap w:val="0"/>
                  <w:vAlign w:val="center"/>
                </w:tcPr>
                <w:p w14:paraId="3D80CA41">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90%</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0CDAA19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1C48B2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0.0007</w:t>
                  </w:r>
                </w:p>
              </w:tc>
              <w:tc>
                <w:tcPr>
                  <w:tcW w:w="808" w:type="dxa"/>
                  <w:tcBorders>
                    <w:top w:val="single" w:color="auto" w:sz="4" w:space="0"/>
                    <w:left w:val="single" w:color="auto" w:sz="4" w:space="0"/>
                    <w:bottom w:val="single" w:color="auto" w:sz="4" w:space="0"/>
                    <w:right w:val="single" w:color="auto" w:sz="4" w:space="0"/>
                  </w:tcBorders>
                  <w:noWrap w:val="0"/>
                  <w:vAlign w:val="center"/>
                </w:tcPr>
                <w:p w14:paraId="4F79C8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0.0017</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76FD0606">
                  <w:pPr>
                    <w:keepNext w:val="0"/>
                    <w:keepLines w:val="0"/>
                    <w:pageBreakBefore w:val="0"/>
                    <w:widowControl w:val="0"/>
                    <w:tabs>
                      <w:tab w:val="left" w:pos="3435"/>
                    </w:tabs>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sz w:val="21"/>
                      <w:szCs w:val="21"/>
                      <w:highlight w:val="none"/>
                      <w:lang w:val="en-US" w:eastAsia="zh-CN"/>
                    </w:rPr>
                  </w:pPr>
                </w:p>
              </w:tc>
              <w:tc>
                <w:tcPr>
                  <w:tcW w:w="265" w:type="pct"/>
                  <w:tcBorders>
                    <w:top w:val="single" w:color="auto" w:sz="4" w:space="0"/>
                    <w:left w:val="single" w:color="auto" w:sz="4" w:space="0"/>
                    <w:bottom w:val="single" w:color="auto" w:sz="4" w:space="0"/>
                    <w:right w:val="single" w:color="auto" w:sz="4" w:space="0"/>
                  </w:tcBorders>
                  <w:noWrap w:val="0"/>
                  <w:vAlign w:val="center"/>
                </w:tcPr>
                <w:p w14:paraId="541AC111">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w:t>
                  </w:r>
                </w:p>
              </w:tc>
              <w:tc>
                <w:tcPr>
                  <w:tcW w:w="287" w:type="pct"/>
                  <w:tcBorders>
                    <w:left w:val="single" w:color="auto" w:sz="4" w:space="0"/>
                    <w:bottom w:val="single" w:color="auto" w:sz="4" w:space="0"/>
                    <w:right w:val="single" w:color="auto" w:sz="4" w:space="0"/>
                  </w:tcBorders>
                  <w:noWrap w:val="0"/>
                  <w:vAlign w:val="center"/>
                </w:tcPr>
                <w:p w14:paraId="21A1E499">
                  <w:pPr>
                    <w:keepNext w:val="0"/>
                    <w:keepLines w:val="0"/>
                    <w:pageBreakBefore w:val="0"/>
                    <w:kinsoku/>
                    <w:wordWrap/>
                    <w:overflowPunct w:val="0"/>
                    <w:topLinePunct/>
                    <w:bidi w:val="0"/>
                    <w:adjustRightInd/>
                    <w:spacing w:line="240" w:lineRule="auto"/>
                    <w:ind w:firstLine="0" w:firstLineChars="0"/>
                    <w:jc w:val="center"/>
                    <w:rPr>
                      <w:rFonts w:hint="eastAsia"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w:t>
                  </w:r>
                </w:p>
              </w:tc>
              <w:tc>
                <w:tcPr>
                  <w:tcW w:w="241" w:type="pct"/>
                  <w:tcBorders>
                    <w:left w:val="single" w:color="auto" w:sz="4" w:space="0"/>
                    <w:bottom w:val="single" w:color="auto" w:sz="4" w:space="0"/>
                    <w:right w:val="single" w:color="auto" w:sz="4" w:space="0"/>
                  </w:tcBorders>
                  <w:noWrap w:val="0"/>
                  <w:vAlign w:val="center"/>
                </w:tcPr>
                <w:p w14:paraId="70E277D4">
                  <w:pPr>
                    <w:keepNext w:val="0"/>
                    <w:keepLines w:val="0"/>
                    <w:pageBreakBefore w:val="0"/>
                    <w:kinsoku/>
                    <w:wordWrap/>
                    <w:overflowPunct w:val="0"/>
                    <w:topLinePunct/>
                    <w:bidi w:val="0"/>
                    <w:adjustRightInd/>
                    <w:spacing w:line="240" w:lineRule="auto"/>
                    <w:ind w:firstLine="0" w:firstLineChars="0"/>
                    <w:jc w:val="center"/>
                    <w:rPr>
                      <w:rFonts w:hint="eastAsia"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w:t>
                  </w:r>
                </w:p>
              </w:tc>
              <w:tc>
                <w:tcPr>
                  <w:tcW w:w="170" w:type="pct"/>
                  <w:tcBorders>
                    <w:left w:val="single" w:color="auto" w:sz="4" w:space="0"/>
                    <w:bottom w:val="single" w:color="auto" w:sz="4" w:space="0"/>
                    <w:right w:val="single" w:color="auto" w:sz="4" w:space="0"/>
                  </w:tcBorders>
                  <w:noWrap w:val="0"/>
                  <w:vAlign w:val="center"/>
                </w:tcPr>
                <w:p w14:paraId="653DA1F7">
                  <w:pPr>
                    <w:keepNext w:val="0"/>
                    <w:keepLines w:val="0"/>
                    <w:pageBreakBefore w:val="0"/>
                    <w:kinsoku/>
                    <w:wordWrap/>
                    <w:overflowPunct w:val="0"/>
                    <w:topLinePunct/>
                    <w:bidi w:val="0"/>
                    <w:adjustRightInd/>
                    <w:spacing w:line="240" w:lineRule="auto"/>
                    <w:ind w:firstLine="0" w:firstLineChars="0"/>
                    <w:jc w:val="center"/>
                    <w:rPr>
                      <w:rFonts w:hint="eastAsia"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w:t>
                  </w:r>
                </w:p>
              </w:tc>
              <w:tc>
                <w:tcPr>
                  <w:tcW w:w="175" w:type="pct"/>
                  <w:tcBorders>
                    <w:left w:val="single" w:color="auto" w:sz="4" w:space="0"/>
                    <w:bottom w:val="single" w:color="auto" w:sz="4" w:space="0"/>
                    <w:right w:val="single" w:color="auto" w:sz="4" w:space="0"/>
                  </w:tcBorders>
                  <w:noWrap w:val="0"/>
                  <w:vAlign w:val="center"/>
                </w:tcPr>
                <w:p w14:paraId="2919CA84">
                  <w:pPr>
                    <w:keepNext w:val="0"/>
                    <w:keepLines w:val="0"/>
                    <w:pageBreakBefore w:val="0"/>
                    <w:kinsoku/>
                    <w:wordWrap/>
                    <w:overflowPunct w:val="0"/>
                    <w:topLinePunct/>
                    <w:bidi w:val="0"/>
                    <w:adjustRightInd/>
                    <w:spacing w:line="240" w:lineRule="auto"/>
                    <w:ind w:firstLine="0" w:firstLineChars="0"/>
                    <w:jc w:val="center"/>
                    <w:rPr>
                      <w:rFonts w:hint="eastAsia"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w:t>
                  </w:r>
                </w:p>
              </w:tc>
              <w:tc>
                <w:tcPr>
                  <w:tcW w:w="222" w:type="pct"/>
                  <w:tcBorders>
                    <w:left w:val="single" w:color="auto" w:sz="4" w:space="0"/>
                    <w:bottom w:val="single" w:color="000000" w:sz="8" w:space="0"/>
                    <w:right w:val="single" w:color="auto" w:sz="4" w:space="0"/>
                  </w:tcBorders>
                  <w:noWrap w:val="0"/>
                  <w:vAlign w:val="center"/>
                </w:tcPr>
                <w:p w14:paraId="0E9320F3">
                  <w:pPr>
                    <w:keepNext w:val="0"/>
                    <w:keepLines w:val="0"/>
                    <w:pageBreakBefore w:val="0"/>
                    <w:kinsoku/>
                    <w:wordWrap/>
                    <w:overflowPunct w:val="0"/>
                    <w:topLinePunct/>
                    <w:bidi w:val="0"/>
                    <w:adjustRightInd/>
                    <w:spacing w:line="240" w:lineRule="auto"/>
                    <w:ind w:firstLine="0" w:firstLineChars="0"/>
                    <w:jc w:val="center"/>
                    <w:rPr>
                      <w:rFonts w:hint="eastAsia"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w:t>
                  </w:r>
                </w:p>
              </w:tc>
              <w:tc>
                <w:tcPr>
                  <w:tcW w:w="153" w:type="pct"/>
                  <w:tcBorders>
                    <w:left w:val="single" w:color="auto" w:sz="4" w:space="0"/>
                    <w:bottom w:val="single" w:color="auto" w:sz="4" w:space="0"/>
                    <w:right w:val="single" w:color="auto" w:sz="4" w:space="0"/>
                  </w:tcBorders>
                  <w:noWrap w:val="0"/>
                  <w:vAlign w:val="center"/>
                </w:tcPr>
                <w:p w14:paraId="0D02050C">
                  <w:pPr>
                    <w:keepNext w:val="0"/>
                    <w:keepLines w:val="0"/>
                    <w:pageBreakBefore w:val="0"/>
                    <w:kinsoku/>
                    <w:wordWrap/>
                    <w:overflowPunct w:val="0"/>
                    <w:topLinePunct/>
                    <w:bidi w:val="0"/>
                    <w:adjustRightInd/>
                    <w:spacing w:line="240" w:lineRule="auto"/>
                    <w:ind w:firstLine="0" w:firstLineChars="0"/>
                    <w:jc w:val="center"/>
                    <w:rPr>
                      <w:rFonts w:hint="eastAsia" w:ascii="Times New Roman" w:hAnsi="Times New Roman" w:eastAsia="宋体" w:cs="Times New Roman"/>
                      <w:color w:val="auto"/>
                      <w:sz w:val="20"/>
                      <w:szCs w:val="20"/>
                      <w:highlight w:val="none"/>
                      <w:lang w:val="en-US" w:eastAsia="zh-CN"/>
                    </w:rPr>
                  </w:pPr>
                  <w:r>
                    <w:rPr>
                      <w:rFonts w:hint="eastAsia" w:cs="Times New Roman"/>
                      <w:color w:val="auto"/>
                      <w:sz w:val="20"/>
                      <w:szCs w:val="20"/>
                      <w:highlight w:val="none"/>
                      <w:lang w:val="en-US" w:eastAsia="zh-CN"/>
                    </w:rPr>
                    <w:t>无组织</w:t>
                  </w:r>
                </w:p>
              </w:tc>
            </w:tr>
          </w:tbl>
          <w:p w14:paraId="3B7D7EC7">
            <w:pPr>
              <w:pageBreakBefore w:val="0"/>
              <w:kinsoku/>
              <w:wordWrap/>
              <w:overflowPunct w:val="0"/>
              <w:topLinePunct/>
              <w:bidi w:val="0"/>
              <w:adjustRightInd w:val="0"/>
              <w:snapToGrid w:val="0"/>
              <w:spacing w:line="360" w:lineRule="auto"/>
              <w:ind w:firstLine="480" w:firstLineChars="200"/>
              <w:rPr>
                <w:rFonts w:hint="default" w:ascii="Times New Roman" w:hAnsi="Times New Roman" w:eastAsia="宋体" w:cs="Times New Roman"/>
                <w:color w:val="auto"/>
                <w:spacing w:val="0"/>
                <w:kern w:val="2"/>
                <w:position w:val="0"/>
                <w:sz w:val="24"/>
                <w:szCs w:val="24"/>
                <w:highlight w:val="none"/>
                <w:lang w:val="en-US" w:eastAsia="zh-CN" w:bidi="ar-SA"/>
              </w:rPr>
            </w:pPr>
          </w:p>
        </w:tc>
      </w:tr>
    </w:tbl>
    <w:p w14:paraId="0F3AA18F">
      <w:pPr>
        <w:pageBreakBefore w:val="0"/>
        <w:kinsoku/>
        <w:wordWrap/>
        <w:overflowPunct w:val="0"/>
        <w:topLinePunct/>
        <w:bidi w:val="0"/>
        <w:adjustRightInd w:val="0"/>
        <w:snapToGrid w:val="0"/>
        <w:spacing w:line="360" w:lineRule="auto"/>
        <w:rPr>
          <w:rFonts w:hint="default" w:ascii="Times New Roman" w:hAnsi="Times New Roman" w:eastAsia="宋体" w:cs="Times New Roman"/>
          <w:b/>
          <w:color w:val="auto"/>
          <w:kern w:val="0"/>
          <w:sz w:val="28"/>
          <w:szCs w:val="28"/>
          <w:highlight w:val="none"/>
        </w:rPr>
        <w:sectPr>
          <w:pgSz w:w="16840" w:h="11907" w:orient="landscape"/>
          <w:pgMar w:top="1531" w:right="1701" w:bottom="1531" w:left="2127" w:header="851" w:footer="187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656"/>
      </w:tblGrid>
      <w:tr w14:paraId="77CD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noWrap w:val="0"/>
            <w:vAlign w:val="top"/>
          </w:tcPr>
          <w:p w14:paraId="54530A38">
            <w:pPr>
              <w:pStyle w:val="13"/>
              <w:pageBreakBefore w:val="0"/>
              <w:kinsoku/>
              <w:wordWrap/>
              <w:overflowPunct w:val="0"/>
              <w:topLinePunct/>
              <w:bidi w:val="0"/>
              <w:rPr>
                <w:rFonts w:hint="default" w:ascii="Times New Roman" w:hAnsi="Times New Roman" w:cs="Times New Roman"/>
                <w:color w:val="auto"/>
                <w:highlight w:val="none"/>
                <w:vertAlign w:val="baseline"/>
              </w:rPr>
            </w:pPr>
          </w:p>
        </w:tc>
        <w:tc>
          <w:tcPr>
            <w:tcW w:w="8656" w:type="dxa"/>
            <w:noWrap w:val="0"/>
            <w:vAlign w:val="top"/>
          </w:tcPr>
          <w:p w14:paraId="26C65DAD">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2）非正常工况</w:t>
            </w:r>
          </w:p>
          <w:p w14:paraId="4BEA10C1">
            <w:pPr>
              <w:pStyle w:val="24"/>
              <w:keepNext w:val="0"/>
              <w:keepLines w:val="0"/>
              <w:pageBreakBefore w:val="0"/>
              <w:widowControl w:val="0"/>
              <w:kinsoku/>
              <w:wordWrap/>
              <w:overflowPunct w:val="0"/>
              <w:topLinePunct/>
              <w:autoSpaceDE/>
              <w:autoSpaceDN/>
              <w:bidi w:val="0"/>
              <w:adjustRightInd/>
              <w:snapToGrid/>
              <w:spacing w:line="460" w:lineRule="exact"/>
              <w:ind w:right="0" w:firstLine="480" w:firstLineChars="200"/>
              <w:jc w:val="both"/>
              <w:textAlignment w:val="auto"/>
              <w:rPr>
                <w:rFonts w:hint="default" w:ascii="Times New Roman" w:hAnsi="Times New Roman" w:eastAsia="宋体" w:cs="Times New Roman"/>
                <w:color w:val="auto"/>
                <w:spacing w:val="0"/>
                <w:kern w:val="2"/>
                <w:position w:val="0"/>
                <w:sz w:val="24"/>
                <w:szCs w:val="24"/>
                <w:highlight w:val="none"/>
                <w:lang w:val="en-US" w:eastAsia="zh-CN" w:bidi="ar-SA"/>
              </w:rPr>
            </w:pPr>
            <w:r>
              <w:rPr>
                <w:rFonts w:hint="eastAsia" w:ascii="Times New Roman" w:hAnsi="Times New Roman" w:cs="Times New Roman"/>
                <w:color w:val="auto"/>
                <w:spacing w:val="0"/>
                <w:position w:val="0"/>
                <w:sz w:val="24"/>
                <w:szCs w:val="24"/>
                <w:highlight w:val="none"/>
                <w:lang w:val="en-US" w:eastAsia="zh-CN"/>
              </w:rPr>
              <w:t>改建</w:t>
            </w:r>
            <w:r>
              <w:rPr>
                <w:rFonts w:hint="default" w:ascii="Times New Roman" w:hAnsi="Times New Roman" w:eastAsia="宋体" w:cs="Times New Roman"/>
                <w:color w:val="auto"/>
                <w:spacing w:val="0"/>
                <w:position w:val="0"/>
                <w:sz w:val="24"/>
                <w:szCs w:val="24"/>
                <w:highlight w:val="none"/>
                <w:lang w:val="en-US" w:eastAsia="zh-CN"/>
              </w:rPr>
              <w:t>后项目</w:t>
            </w:r>
            <w:r>
              <w:rPr>
                <w:rFonts w:hint="eastAsia" w:ascii="Times New Roman" w:hAnsi="Times New Roman" w:cs="Times New Roman"/>
                <w:color w:val="auto"/>
                <w:spacing w:val="0"/>
                <w:position w:val="0"/>
                <w:sz w:val="24"/>
                <w:szCs w:val="24"/>
                <w:highlight w:val="none"/>
                <w:lang w:val="en-US" w:eastAsia="zh-CN"/>
              </w:rPr>
              <w:t>改建精炼车间脱臭</w:t>
            </w:r>
            <w:r>
              <w:rPr>
                <w:rFonts w:hint="default" w:ascii="Times New Roman" w:hAnsi="Times New Roman" w:cs="Times New Roman"/>
                <w:color w:val="auto"/>
                <w:spacing w:val="0"/>
                <w:position w:val="0"/>
                <w:sz w:val="24"/>
                <w:szCs w:val="24"/>
                <w:highlight w:val="none"/>
                <w:lang w:val="en-US" w:eastAsia="zh-CN"/>
              </w:rPr>
              <w:t>废气处理设施，采取</w:t>
            </w:r>
            <w:r>
              <w:rPr>
                <w:rFonts w:hint="eastAsia" w:ascii="Times New Roman" w:hAnsi="Times New Roman" w:cs="Times New Roman"/>
                <w:color w:val="auto"/>
                <w:spacing w:val="0"/>
                <w:position w:val="0"/>
                <w:sz w:val="24"/>
                <w:szCs w:val="24"/>
                <w:highlight w:val="none"/>
                <w:lang w:val="en-US" w:eastAsia="zh-CN"/>
              </w:rPr>
              <w:t>冰冻冷凝+二级碱喷淋+次氯酸钠喷淋+活性炭吸附</w:t>
            </w:r>
            <w:r>
              <w:rPr>
                <w:rFonts w:hint="default" w:ascii="Times New Roman" w:hAnsi="Times New Roman" w:cs="Times New Roman"/>
                <w:color w:val="auto"/>
                <w:spacing w:val="0"/>
                <w:position w:val="0"/>
                <w:sz w:val="24"/>
                <w:szCs w:val="24"/>
                <w:highlight w:val="none"/>
                <w:lang w:val="en-US" w:eastAsia="zh-CN"/>
              </w:rPr>
              <w:t>工艺</w:t>
            </w:r>
            <w:r>
              <w:rPr>
                <w:rFonts w:hint="default" w:ascii="Times New Roman" w:hAnsi="Times New Roman" w:eastAsia="宋体" w:cs="Times New Roman"/>
                <w:color w:val="auto"/>
                <w:spacing w:val="0"/>
                <w:position w:val="0"/>
                <w:sz w:val="24"/>
                <w:szCs w:val="24"/>
                <w:highlight w:val="none"/>
                <w:lang w:val="en-US" w:eastAsia="zh-CN"/>
              </w:rPr>
              <w:t>。如果</w:t>
            </w:r>
            <w:r>
              <w:rPr>
                <w:rFonts w:hint="default" w:ascii="Times New Roman" w:hAnsi="Times New Roman" w:cs="Times New Roman"/>
                <w:color w:val="auto"/>
                <w:spacing w:val="0"/>
                <w:position w:val="0"/>
                <w:sz w:val="24"/>
                <w:szCs w:val="24"/>
                <w:highlight w:val="none"/>
                <w:lang w:val="en-US" w:eastAsia="zh-CN"/>
              </w:rPr>
              <w:t>废气处理装置</w:t>
            </w:r>
            <w:r>
              <w:rPr>
                <w:rFonts w:hint="default" w:ascii="Times New Roman" w:hAnsi="Times New Roman" w:eastAsia="宋体" w:cs="Times New Roman"/>
                <w:color w:val="auto"/>
                <w:spacing w:val="0"/>
                <w:position w:val="0"/>
                <w:sz w:val="24"/>
                <w:szCs w:val="24"/>
                <w:highlight w:val="none"/>
                <w:lang w:val="en-US" w:eastAsia="zh-CN"/>
              </w:rPr>
              <w:t>发生故障，</w:t>
            </w:r>
            <w:r>
              <w:rPr>
                <w:rFonts w:hint="default" w:ascii="Times New Roman" w:hAnsi="Times New Roman" w:cs="Times New Roman"/>
                <w:color w:val="auto"/>
                <w:spacing w:val="0"/>
                <w:position w:val="0"/>
                <w:sz w:val="24"/>
                <w:szCs w:val="24"/>
                <w:highlight w:val="none"/>
                <w:lang w:val="en-US" w:eastAsia="zh-CN"/>
              </w:rPr>
              <w:t>非甲烷总烃去除</w:t>
            </w:r>
            <w:r>
              <w:rPr>
                <w:rFonts w:hint="default" w:ascii="Times New Roman" w:hAnsi="Times New Roman" w:eastAsia="宋体" w:cs="Times New Roman"/>
                <w:color w:val="auto"/>
                <w:spacing w:val="0"/>
                <w:position w:val="0"/>
                <w:sz w:val="24"/>
                <w:szCs w:val="24"/>
                <w:highlight w:val="none"/>
                <w:lang w:val="en-US" w:eastAsia="zh-CN"/>
              </w:rPr>
              <w:t>效率将会降低，</w:t>
            </w:r>
            <w:r>
              <w:rPr>
                <w:rFonts w:hint="eastAsia" w:ascii="Times New Roman" w:hAnsi="Times New Roman" w:cs="Times New Roman"/>
                <w:color w:val="auto"/>
                <w:spacing w:val="0"/>
                <w:position w:val="0"/>
                <w:sz w:val="24"/>
                <w:szCs w:val="24"/>
                <w:highlight w:val="none"/>
                <w:lang w:val="en-US" w:eastAsia="zh-CN"/>
              </w:rPr>
              <w:t>本项目</w:t>
            </w:r>
            <w:r>
              <w:rPr>
                <w:rFonts w:hint="default" w:ascii="Times New Roman" w:hAnsi="Times New Roman" w:eastAsia="宋体" w:cs="Times New Roman"/>
                <w:color w:val="auto"/>
                <w:spacing w:val="0"/>
                <w:position w:val="0"/>
                <w:sz w:val="24"/>
                <w:szCs w:val="24"/>
                <w:highlight w:val="none"/>
                <w:lang w:val="en-US" w:eastAsia="zh-CN"/>
              </w:rPr>
              <w:t>按</w:t>
            </w:r>
            <w:r>
              <w:rPr>
                <w:rFonts w:hint="default" w:ascii="Times New Roman" w:hAnsi="Times New Roman" w:cs="Times New Roman"/>
                <w:color w:val="auto"/>
                <w:spacing w:val="0"/>
                <w:position w:val="0"/>
                <w:sz w:val="24"/>
                <w:szCs w:val="24"/>
                <w:highlight w:val="none"/>
                <w:lang w:val="en-US" w:eastAsia="zh-CN"/>
              </w:rPr>
              <w:t>去除</w:t>
            </w:r>
            <w:r>
              <w:rPr>
                <w:rFonts w:hint="default" w:ascii="Times New Roman" w:hAnsi="Times New Roman" w:eastAsia="宋体" w:cs="Times New Roman"/>
                <w:color w:val="auto"/>
                <w:spacing w:val="0"/>
                <w:position w:val="0"/>
                <w:sz w:val="24"/>
                <w:szCs w:val="24"/>
                <w:highlight w:val="none"/>
                <w:lang w:val="en-US" w:eastAsia="zh-CN"/>
              </w:rPr>
              <w:t>效率降为50%考虑，确定该事故状态下主要污染。</w:t>
            </w:r>
          </w:p>
          <w:p w14:paraId="7F239B33">
            <w:pPr>
              <w:keepNext w:val="0"/>
              <w:keepLines w:val="0"/>
              <w:pageBreakBefore w:val="0"/>
              <w:widowControl w:val="0"/>
              <w:kinsoku/>
              <w:wordWrap/>
              <w:overflowPunct w:val="0"/>
              <w:topLinePunct/>
              <w:autoSpaceDE/>
              <w:autoSpaceDN/>
              <w:bidi w:val="0"/>
              <w:adjustRightInd/>
              <w:snapToGrid/>
              <w:spacing w:line="460" w:lineRule="exact"/>
              <w:jc w:val="center"/>
              <w:textAlignment w:val="auto"/>
              <w:rPr>
                <w:rFonts w:hint="default" w:ascii="Times New Roman" w:hAnsi="Times New Roman" w:cs="Times New Roman"/>
                <w:b/>
                <w:bCs/>
                <w:color w:val="auto"/>
                <w:sz w:val="22"/>
                <w:szCs w:val="28"/>
                <w:highlight w:val="none"/>
              </w:rPr>
            </w:pPr>
            <w:r>
              <w:rPr>
                <w:rFonts w:hint="default" w:ascii="Times New Roman" w:hAnsi="Times New Roman" w:cs="Times New Roman"/>
                <w:b/>
                <w:bCs/>
                <w:color w:val="auto"/>
                <w:sz w:val="22"/>
                <w:szCs w:val="28"/>
                <w:highlight w:val="none"/>
              </w:rPr>
              <w:t>表4.2-</w:t>
            </w:r>
            <w:r>
              <w:rPr>
                <w:rFonts w:hint="eastAsia" w:cs="Times New Roman"/>
                <w:b/>
                <w:bCs/>
                <w:color w:val="auto"/>
                <w:sz w:val="22"/>
                <w:szCs w:val="28"/>
                <w:highlight w:val="none"/>
                <w:lang w:val="en-US" w:eastAsia="zh-CN"/>
              </w:rPr>
              <w:t>4</w:t>
            </w:r>
            <w:r>
              <w:rPr>
                <w:rFonts w:hint="default" w:ascii="Times New Roman" w:hAnsi="Times New Roman" w:cs="Times New Roman"/>
                <w:b/>
                <w:bCs/>
                <w:color w:val="auto"/>
                <w:sz w:val="22"/>
                <w:szCs w:val="28"/>
                <w:highlight w:val="none"/>
              </w:rPr>
              <w:t>非正常状态下污染物排放量一览表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026"/>
              <w:gridCol w:w="1026"/>
              <w:gridCol w:w="1029"/>
              <w:gridCol w:w="1227"/>
              <w:gridCol w:w="1038"/>
              <w:gridCol w:w="1030"/>
              <w:gridCol w:w="1030"/>
            </w:tblGrid>
            <w:tr w14:paraId="7C8A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7" w:type="pct"/>
                  <w:noWrap w:val="0"/>
                  <w:vAlign w:val="center"/>
                </w:tcPr>
                <w:p w14:paraId="17B5F930">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排气筒编号</w:t>
                  </w:r>
                </w:p>
              </w:tc>
              <w:tc>
                <w:tcPr>
                  <w:tcW w:w="608" w:type="pct"/>
                  <w:noWrap w:val="0"/>
                  <w:vAlign w:val="center"/>
                </w:tcPr>
                <w:p w14:paraId="63253C28">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污染源</w:t>
                  </w:r>
                </w:p>
              </w:tc>
              <w:tc>
                <w:tcPr>
                  <w:tcW w:w="608" w:type="pct"/>
                  <w:noWrap w:val="0"/>
                  <w:vAlign w:val="center"/>
                </w:tcPr>
                <w:p w14:paraId="3959A3CE">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非正常原因</w:t>
                  </w:r>
                </w:p>
              </w:tc>
              <w:tc>
                <w:tcPr>
                  <w:tcW w:w="610" w:type="pct"/>
                  <w:noWrap w:val="0"/>
                  <w:vAlign w:val="center"/>
                </w:tcPr>
                <w:p w14:paraId="417C7D11">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污染物种类</w:t>
                  </w:r>
                </w:p>
              </w:tc>
              <w:tc>
                <w:tcPr>
                  <w:tcW w:w="727" w:type="pct"/>
                  <w:noWrap w:val="0"/>
                  <w:vAlign w:val="center"/>
                </w:tcPr>
                <w:p w14:paraId="0E8FDDA3">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非正常排放浓度（mg/m</w:t>
                  </w:r>
                  <w:r>
                    <w:rPr>
                      <w:rFonts w:hint="default" w:ascii="Times New Roman" w:hAnsi="Times New Roman" w:eastAsia="宋体" w:cs="Times New Roman"/>
                      <w:color w:val="auto"/>
                      <w:spacing w:val="0"/>
                      <w:position w:val="0"/>
                      <w:sz w:val="21"/>
                      <w:szCs w:val="21"/>
                      <w:highlight w:val="none"/>
                      <w:vertAlign w:val="superscript"/>
                      <w:lang w:val="en-US" w:eastAsia="zh-CN"/>
                    </w:rPr>
                    <w:t>3</w:t>
                  </w:r>
                  <w:r>
                    <w:rPr>
                      <w:rFonts w:hint="default" w:ascii="Times New Roman" w:hAnsi="Times New Roman" w:eastAsia="宋体" w:cs="Times New Roman"/>
                      <w:color w:val="auto"/>
                      <w:spacing w:val="0"/>
                      <w:position w:val="0"/>
                      <w:sz w:val="21"/>
                      <w:szCs w:val="21"/>
                      <w:highlight w:val="none"/>
                      <w:vertAlign w:val="baseline"/>
                      <w:lang w:val="en-US" w:eastAsia="zh-CN"/>
                    </w:rPr>
                    <w:t>）</w:t>
                  </w:r>
                </w:p>
              </w:tc>
              <w:tc>
                <w:tcPr>
                  <w:tcW w:w="615" w:type="pct"/>
                  <w:noWrap w:val="0"/>
                  <w:vAlign w:val="center"/>
                </w:tcPr>
                <w:p w14:paraId="3A26FE31">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非正常排放浓度速率（kg/h）</w:t>
                  </w:r>
                </w:p>
              </w:tc>
              <w:tc>
                <w:tcPr>
                  <w:tcW w:w="610" w:type="pct"/>
                  <w:noWrap w:val="0"/>
                  <w:vAlign w:val="center"/>
                </w:tcPr>
                <w:p w14:paraId="6E2DBE4F">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发生频次</w:t>
                  </w:r>
                </w:p>
              </w:tc>
              <w:tc>
                <w:tcPr>
                  <w:tcW w:w="610" w:type="pct"/>
                  <w:noWrap w:val="0"/>
                  <w:vAlign w:val="center"/>
                </w:tcPr>
                <w:p w14:paraId="31D1CC2A">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应对措施</w:t>
                  </w:r>
                </w:p>
              </w:tc>
            </w:tr>
            <w:tr w14:paraId="4C6B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pct"/>
                  <w:noWrap w:val="0"/>
                  <w:vAlign w:val="center"/>
                </w:tcPr>
                <w:p w14:paraId="4353A900">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DA00</w:t>
                  </w:r>
                  <w:r>
                    <w:rPr>
                      <w:rFonts w:hint="default" w:ascii="Times New Roman" w:hAnsi="Times New Roman" w:cs="Times New Roman"/>
                      <w:color w:val="auto"/>
                      <w:spacing w:val="0"/>
                      <w:position w:val="0"/>
                      <w:sz w:val="21"/>
                      <w:szCs w:val="21"/>
                      <w:highlight w:val="none"/>
                      <w:vertAlign w:val="baseline"/>
                      <w:lang w:val="en-US" w:eastAsia="zh-CN"/>
                    </w:rPr>
                    <w:t>1</w:t>
                  </w:r>
                </w:p>
              </w:tc>
              <w:tc>
                <w:tcPr>
                  <w:tcW w:w="608" w:type="pct"/>
                  <w:noWrap w:val="0"/>
                  <w:vAlign w:val="center"/>
                </w:tcPr>
                <w:p w14:paraId="06FBAE94">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cs="Times New Roman"/>
                      <w:color w:val="auto"/>
                      <w:spacing w:val="0"/>
                      <w:position w:val="0"/>
                      <w:sz w:val="21"/>
                      <w:szCs w:val="21"/>
                      <w:highlight w:val="none"/>
                      <w:vertAlign w:val="baseline"/>
                      <w:lang w:val="en-US" w:eastAsia="zh-CN"/>
                    </w:rPr>
                    <w:t>精炼</w:t>
                  </w:r>
                  <w:r>
                    <w:rPr>
                      <w:rFonts w:hint="eastAsia" w:ascii="Times New Roman" w:hAnsi="Times New Roman" w:cs="Times New Roman"/>
                      <w:color w:val="auto"/>
                      <w:spacing w:val="0"/>
                      <w:position w:val="0"/>
                      <w:sz w:val="21"/>
                      <w:szCs w:val="21"/>
                      <w:highlight w:val="none"/>
                      <w:vertAlign w:val="baseline"/>
                      <w:lang w:val="en-US" w:eastAsia="zh-CN"/>
                    </w:rPr>
                    <w:t>车间脱臭</w:t>
                  </w:r>
                  <w:r>
                    <w:rPr>
                      <w:rFonts w:hint="default" w:ascii="Times New Roman" w:hAnsi="Times New Roman" w:cs="Times New Roman"/>
                      <w:color w:val="auto"/>
                      <w:spacing w:val="0"/>
                      <w:position w:val="0"/>
                      <w:sz w:val="21"/>
                      <w:szCs w:val="21"/>
                      <w:highlight w:val="none"/>
                      <w:vertAlign w:val="baseline"/>
                      <w:lang w:val="en-US" w:eastAsia="zh-CN"/>
                    </w:rPr>
                    <w:t>废气</w:t>
                  </w:r>
                </w:p>
              </w:tc>
              <w:tc>
                <w:tcPr>
                  <w:tcW w:w="608" w:type="pct"/>
                  <w:noWrap w:val="0"/>
                  <w:vAlign w:val="center"/>
                </w:tcPr>
                <w:p w14:paraId="71351EF1">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cs="Times New Roman"/>
                      <w:color w:val="auto"/>
                      <w:spacing w:val="0"/>
                      <w:position w:val="0"/>
                      <w:sz w:val="21"/>
                      <w:szCs w:val="21"/>
                      <w:highlight w:val="none"/>
                      <w:vertAlign w:val="baseline"/>
                      <w:lang w:val="en-US" w:eastAsia="zh-CN"/>
                    </w:rPr>
                    <w:t>废气处理装置失效</w:t>
                  </w:r>
                </w:p>
              </w:tc>
              <w:tc>
                <w:tcPr>
                  <w:tcW w:w="610" w:type="pct"/>
                  <w:noWrap w:val="0"/>
                  <w:vAlign w:val="center"/>
                </w:tcPr>
                <w:p w14:paraId="3CEB1AB5">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cs="Times New Roman"/>
                      <w:color w:val="auto"/>
                      <w:spacing w:val="0"/>
                      <w:position w:val="0"/>
                      <w:sz w:val="21"/>
                      <w:szCs w:val="21"/>
                      <w:highlight w:val="none"/>
                      <w:vertAlign w:val="baseline"/>
                      <w:lang w:val="en-US" w:eastAsia="zh-CN"/>
                    </w:rPr>
                    <w:t>非甲烷总烃</w:t>
                  </w:r>
                </w:p>
              </w:tc>
              <w:tc>
                <w:tcPr>
                  <w:tcW w:w="1227" w:type="dxa"/>
                  <w:noWrap w:val="0"/>
                  <w:vAlign w:val="center"/>
                </w:tcPr>
                <w:p w14:paraId="0C0483AC">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50</w:t>
                  </w:r>
                </w:p>
              </w:tc>
              <w:tc>
                <w:tcPr>
                  <w:tcW w:w="1038" w:type="dxa"/>
                  <w:noWrap w:val="0"/>
                  <w:vAlign w:val="center"/>
                </w:tcPr>
                <w:p w14:paraId="72DE41D7">
                  <w:pPr>
                    <w:keepNext w:val="0"/>
                    <w:keepLines w:val="0"/>
                    <w:widowControl/>
                    <w:suppressLineNumbers w:val="0"/>
                    <w:jc w:val="center"/>
                    <w:textAlignment w:val="center"/>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cs="Times New Roman"/>
                      <w:i w:val="0"/>
                      <w:iCs w:val="0"/>
                      <w:color w:val="auto"/>
                      <w:kern w:val="0"/>
                      <w:sz w:val="21"/>
                      <w:szCs w:val="21"/>
                      <w:highlight w:val="none"/>
                      <w:u w:val="none"/>
                      <w:lang w:val="en-US" w:eastAsia="zh-CN" w:bidi="ar"/>
                    </w:rPr>
                    <w:t>0.25</w:t>
                  </w:r>
                </w:p>
              </w:tc>
              <w:tc>
                <w:tcPr>
                  <w:tcW w:w="610" w:type="pct"/>
                  <w:noWrap w:val="0"/>
                  <w:vAlign w:val="center"/>
                </w:tcPr>
                <w:p w14:paraId="20C0A07D">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1年1次</w:t>
                  </w:r>
                </w:p>
              </w:tc>
              <w:tc>
                <w:tcPr>
                  <w:tcW w:w="610" w:type="pct"/>
                  <w:noWrap w:val="0"/>
                  <w:vAlign w:val="center"/>
                </w:tcPr>
                <w:p w14:paraId="13310897">
                  <w:pPr>
                    <w:pStyle w:val="24"/>
                    <w:keepNext w:val="0"/>
                    <w:keepLines w:val="0"/>
                    <w:pageBreakBefore w:val="0"/>
                    <w:widowControl w:val="0"/>
                    <w:kinsoku/>
                    <w:wordWrap/>
                    <w:overflowPunct w:val="0"/>
                    <w:topLinePunct/>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default" w:ascii="Times New Roman" w:hAnsi="Times New Roman" w:eastAsia="宋体" w:cs="Times New Roman"/>
                      <w:color w:val="auto"/>
                      <w:spacing w:val="0"/>
                      <w:position w:val="0"/>
                      <w:sz w:val="21"/>
                      <w:szCs w:val="21"/>
                      <w:highlight w:val="none"/>
                      <w:vertAlign w:val="baseline"/>
                      <w:lang w:val="en-US" w:eastAsia="zh-CN"/>
                    </w:rPr>
                    <w:t>加强检修保养，及时更换滤袋</w:t>
                  </w:r>
                </w:p>
              </w:tc>
            </w:tr>
          </w:tbl>
          <w:p w14:paraId="7BBC3FC9">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（2）废气治理措施可行性分析</w:t>
            </w:r>
          </w:p>
          <w:p w14:paraId="2FCE6E80">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本项目</w:t>
            </w:r>
            <w:r>
              <w:rPr>
                <w:rFonts w:hint="default" w:ascii="Times New Roman" w:hAnsi="Times New Roman" w:eastAsia="宋体" w:cs="Times New Roman"/>
                <w:color w:val="auto"/>
                <w:spacing w:val="0"/>
                <w:position w:val="0"/>
                <w:sz w:val="24"/>
                <w:szCs w:val="24"/>
                <w:highlight w:val="none"/>
                <w:lang w:val="en-US" w:eastAsia="zh-CN"/>
              </w:rPr>
              <w:t>废气治理主要为</w:t>
            </w:r>
            <w:r>
              <w:rPr>
                <w:rFonts w:hint="default" w:ascii="Times New Roman" w:hAnsi="Times New Roman" w:cs="Times New Roman"/>
                <w:color w:val="auto"/>
                <w:spacing w:val="0"/>
                <w:position w:val="0"/>
                <w:sz w:val="24"/>
                <w:szCs w:val="24"/>
                <w:highlight w:val="none"/>
                <w:lang w:val="en-US" w:eastAsia="zh-CN"/>
              </w:rPr>
              <w:t>精炼车间废气</w:t>
            </w:r>
            <w:r>
              <w:rPr>
                <w:rFonts w:hint="eastAsia" w:ascii="Times New Roman" w:hAnsi="Times New Roman" w:cs="Times New Roman"/>
                <w:color w:val="auto"/>
                <w:spacing w:val="0"/>
                <w:position w:val="0"/>
                <w:sz w:val="24"/>
                <w:szCs w:val="24"/>
                <w:highlight w:val="none"/>
                <w:lang w:val="en-US" w:eastAsia="zh-CN"/>
              </w:rPr>
              <w:t>、锅炉废气、白土投料粉尘</w:t>
            </w:r>
            <w:r>
              <w:rPr>
                <w:rFonts w:hint="default" w:ascii="Times New Roman" w:hAnsi="Times New Roman" w:eastAsia="宋体" w:cs="Times New Roman"/>
                <w:color w:val="auto"/>
                <w:spacing w:val="0"/>
                <w:position w:val="0"/>
                <w:sz w:val="24"/>
                <w:szCs w:val="24"/>
                <w:highlight w:val="none"/>
                <w:lang w:val="en-US" w:eastAsia="zh-CN"/>
              </w:rPr>
              <w:t>。</w:t>
            </w:r>
          </w:p>
          <w:p w14:paraId="104CD1E0">
            <w:pPr>
              <w:pStyle w:val="24"/>
              <w:keepNext w:val="0"/>
              <w:keepLines w:val="0"/>
              <w:pageBreakBefore w:val="0"/>
              <w:kinsoku/>
              <w:wordWrap/>
              <w:overflowPunct w:val="0"/>
              <w:topLinePunct/>
              <w:bidi w:val="0"/>
              <w:spacing w:line="460" w:lineRule="exact"/>
              <w:ind w:right="0" w:firstLine="480" w:firstLineChars="200"/>
              <w:jc w:val="both"/>
              <w:rPr>
                <w:rFonts w:hint="eastAsia" w:ascii="Times New Roman" w:hAnsi="Times New Roman"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1）</w:t>
            </w:r>
            <w:r>
              <w:rPr>
                <w:rFonts w:hint="default" w:ascii="Times New Roman" w:hAnsi="Times New Roman" w:cs="Times New Roman"/>
                <w:color w:val="auto"/>
                <w:spacing w:val="0"/>
                <w:position w:val="0"/>
                <w:sz w:val="24"/>
                <w:szCs w:val="24"/>
                <w:highlight w:val="none"/>
                <w:lang w:val="en-US" w:eastAsia="zh-CN"/>
              </w:rPr>
              <w:t>精炼废气</w:t>
            </w:r>
          </w:p>
          <w:p w14:paraId="77F00E9E">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①</w:t>
            </w:r>
            <w:r>
              <w:rPr>
                <w:rFonts w:hint="default" w:ascii="Times New Roman" w:hAnsi="Times New Roman" w:cs="Times New Roman"/>
                <w:color w:val="auto"/>
                <w:spacing w:val="0"/>
                <w:position w:val="0"/>
                <w:sz w:val="24"/>
                <w:szCs w:val="24"/>
                <w:highlight w:val="none"/>
                <w:lang w:val="en-US" w:eastAsia="zh-CN"/>
              </w:rPr>
              <w:t>精炼车间脱臭脱色</w:t>
            </w:r>
            <w:r>
              <w:rPr>
                <w:rFonts w:hint="default" w:ascii="Times New Roman" w:hAnsi="Times New Roman" w:eastAsia="宋体" w:cs="Times New Roman"/>
                <w:color w:val="auto"/>
                <w:spacing w:val="0"/>
                <w:position w:val="0"/>
                <w:sz w:val="24"/>
                <w:szCs w:val="24"/>
                <w:highlight w:val="none"/>
                <w:lang w:val="en-US" w:eastAsia="zh-CN"/>
              </w:rPr>
              <w:t>废气治理措施</w:t>
            </w:r>
          </w:p>
          <w:p w14:paraId="0238C54F">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cs="Times New Roman"/>
                <w:color w:val="auto"/>
                <w:sz w:val="24"/>
                <w:szCs w:val="32"/>
                <w:highlight w:val="none"/>
                <w:lang w:val="en-US" w:eastAsia="zh-CN"/>
              </w:rPr>
            </w:pPr>
            <w:r>
              <w:rPr>
                <w:rFonts w:hint="eastAsia" w:cs="Times New Roman"/>
                <w:color w:val="auto"/>
                <w:sz w:val="24"/>
                <w:szCs w:val="32"/>
                <w:highlight w:val="none"/>
                <w:lang w:val="en-US" w:eastAsia="zh-CN"/>
              </w:rPr>
              <w:t>根据现有资料，项目现有工程精炼废气采用碱喷淋+次氯酸钠处理工艺，其去除效率为70%；本次改建对废气处理措施进行升级，由现有的二级碱喷淋+次氯酸钠喷淋处理工艺升级为</w:t>
            </w:r>
            <w:r>
              <w:rPr>
                <w:rFonts w:hint="default" w:ascii="Times New Roman" w:hAnsi="Times New Roman"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冰冻冷凝+二级碱喷淋+次氯酸钠喷淋+活性炭吸附</w:t>
            </w:r>
            <w:r>
              <w:rPr>
                <w:rFonts w:hint="default" w:ascii="Times New Roman" w:hAnsi="Times New Roman" w:cs="Times New Roman"/>
                <w:color w:val="auto"/>
                <w:kern w:val="0"/>
                <w:sz w:val="24"/>
                <w:szCs w:val="24"/>
                <w:highlight w:val="none"/>
                <w:lang w:val="en-US" w:eastAsia="zh-CN" w:bidi="ar"/>
              </w:rPr>
              <w:t>”组合处理工艺</w:t>
            </w:r>
            <w:r>
              <w:rPr>
                <w:rFonts w:hint="eastAsia" w:cs="Times New Roman"/>
                <w:color w:val="auto"/>
                <w:kern w:val="0"/>
                <w:sz w:val="24"/>
                <w:szCs w:val="24"/>
                <w:highlight w:val="none"/>
                <w:lang w:val="en-US" w:eastAsia="zh-CN" w:bidi="ar"/>
              </w:rPr>
              <w:t>，其处理效果提高，实现了污染物的减排。项目精炼废气排气筒由现有35m减至25m，是因新建精炼车间建筑物高度低于原精炼车间，且考虑安全因素，以满足消防要求而调整，其处理工艺流程如下：</w:t>
            </w:r>
          </w:p>
          <w:p w14:paraId="2CF8089A">
            <w:pPr>
              <w:keepNext w:val="0"/>
              <w:keepLines w:val="0"/>
              <w:pageBreakBefore w:val="0"/>
              <w:widowControl w:val="0"/>
              <w:kinsoku/>
              <w:wordWrap/>
              <w:overflowPunct w:val="0"/>
              <w:topLinePunct/>
              <w:autoSpaceDE/>
              <w:autoSpaceDN/>
              <w:bidi w:val="0"/>
              <w:adjustRightInd/>
              <w:snapToGrid/>
              <w:spacing w:line="240" w:lineRule="auto"/>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object>
                <v:shape id="_x0000_i1033" o:spt="75" type="#_x0000_t75" style="height:94.3pt;width:392pt;" o:ole="t" filled="f" o:preferrelative="t" stroked="f" coordsize="21600,21600">
                  <v:path/>
                  <v:fill on="f" focussize="0,0"/>
                  <v:stroke on="f"/>
                  <v:imagedata r:id="rId25" o:title=""/>
                  <o:lock v:ext="edit" aspectratio="f"/>
                  <w10:wrap type="none"/>
                  <w10:anchorlock/>
                </v:shape>
                <o:OLEObject Type="Embed" ProgID="Visio.Drawing.11" ShapeID="_x0000_i1033" DrawAspect="Content" ObjectID="_1468075733" r:id="rId24">
                  <o:LockedField>false</o:LockedField>
                </o:OLEObject>
              </w:object>
            </w:r>
          </w:p>
          <w:p w14:paraId="36394FFE">
            <w:pPr>
              <w:keepNext w:val="0"/>
              <w:keepLines w:val="0"/>
              <w:pageBreakBefore w:val="0"/>
              <w:widowControl w:val="0"/>
              <w:kinsoku/>
              <w:wordWrap/>
              <w:overflowPunct w:val="0"/>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color w:val="auto"/>
                <w:sz w:val="24"/>
                <w:szCs w:val="32"/>
                <w:highlight w:val="none"/>
              </w:rPr>
              <w:t>②</w:t>
            </w:r>
            <w:r>
              <w:rPr>
                <w:rFonts w:hint="default" w:ascii="Times New Roman" w:hAnsi="Times New Roman" w:cs="Times New Roman"/>
                <w:color w:val="auto"/>
                <w:sz w:val="24"/>
                <w:szCs w:val="32"/>
                <w:highlight w:val="none"/>
                <w:lang w:val="en-US" w:eastAsia="zh-CN"/>
              </w:rPr>
              <w:t>废气处理措施</w:t>
            </w:r>
          </w:p>
          <w:p w14:paraId="033605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冰冻冷凝</w:t>
            </w:r>
            <w:r>
              <w:rPr>
                <w:rFonts w:hint="eastAsia" w:cs="Times New Roman"/>
                <w:color w:val="auto"/>
                <w:sz w:val="24"/>
                <w:szCs w:val="24"/>
                <w:highlight w:val="none"/>
                <w:lang w:val="en-US" w:eastAsia="zh-CN"/>
              </w:rPr>
              <w:t>工艺</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脱臭真空系统采用冻结-冷凝真空技术，来自脱臭系统的真空气体进入两台交替使用的冻结-冷凝器中的一台的壳程中，在冻结-冷凝器壳程的低温（约-28℃）和高真空（约2mbar）的环境中，真空气体中的绝大部分可冷凝成分如</w:t>
            </w:r>
            <w:r>
              <w:rPr>
                <w:rFonts w:hint="eastAsia" w:cs="Times New Roman"/>
                <w:color w:val="auto"/>
                <w:kern w:val="0"/>
                <w:sz w:val="24"/>
                <w:szCs w:val="24"/>
                <w:highlight w:val="none"/>
                <w:lang w:val="en-US" w:eastAsia="zh-CN" w:bidi="ar"/>
              </w:rPr>
              <w:t>水蒸气</w:t>
            </w:r>
            <w:r>
              <w:rPr>
                <w:rFonts w:hint="default" w:ascii="Times New Roman" w:hAnsi="Times New Roman" w:eastAsia="宋体" w:cs="Times New Roman"/>
                <w:color w:val="auto"/>
                <w:kern w:val="0"/>
                <w:sz w:val="24"/>
                <w:szCs w:val="24"/>
                <w:highlight w:val="none"/>
                <w:lang w:val="en-US" w:eastAsia="zh-CN" w:bidi="ar"/>
              </w:rPr>
              <w:t>、脂肪酸等以冰的形式被冻结在管程的管道表面，空气及微量的可冷凝气体进入两级压缩增压器，随后进入主表面冷凝器的管程，真空气体中的</w:t>
            </w:r>
            <w:r>
              <w:rPr>
                <w:rFonts w:hint="eastAsia" w:cs="Times New Roman"/>
                <w:color w:val="auto"/>
                <w:kern w:val="0"/>
                <w:sz w:val="24"/>
                <w:szCs w:val="24"/>
                <w:highlight w:val="none"/>
                <w:lang w:val="en-US" w:eastAsia="zh-CN" w:bidi="ar"/>
              </w:rPr>
              <w:t>水蒸气</w:t>
            </w:r>
            <w:r>
              <w:rPr>
                <w:rFonts w:hint="default" w:ascii="Times New Roman" w:hAnsi="Times New Roman" w:eastAsia="宋体" w:cs="Times New Roman"/>
                <w:color w:val="auto"/>
                <w:kern w:val="0"/>
                <w:sz w:val="24"/>
                <w:szCs w:val="24"/>
                <w:highlight w:val="none"/>
                <w:lang w:val="en-US" w:eastAsia="zh-CN" w:bidi="ar"/>
              </w:rPr>
              <w:t>等可冷凝气体与壳程中的冷却水换热后被冷凝下来，冷凝液沿落水管道进入密封水罐中，空气等不可冷凝部分气体及少量可凝性气体经二级蒸汽喷射泵抽送和压缩后进入辅助表面冷凝器，水蒸汽等可冷凝气体被循环冷却水冷凝，冷凝液沿落水管道进入密封水罐；空气等不可冷凝部分气体最后从表面冷凝器一侧顶部被水环真空泵抽出，经水环真空泵顶部的气液分离器排至大气中。</w:t>
            </w:r>
          </w:p>
          <w:p w14:paraId="3CFB3CD3">
            <w:pPr>
              <w:keepNext w:val="0"/>
              <w:keepLines w:val="0"/>
              <w:pageBreakBefore w:val="0"/>
              <w:widowControl w:val="0"/>
              <w:kinsoku/>
              <w:wordWrap/>
              <w:overflowPunct w:val="0"/>
              <w:topLinePunct/>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碱性喷淋处理原理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碱性喷淋塔是针对酸性废气的处理设备，在喷淋塔加料池中加入碱性溶液</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如N</w:t>
            </w: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OH溶液</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然后碱性溶液经过上方喷嘴喷出，与下方的酸性废气充分接触，发生酸碱中和反应。</w:t>
            </w:r>
            <w:r>
              <w:rPr>
                <w:rFonts w:hint="eastAsia"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精炼工序产生的有机废气主要为游离脂肪酸</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以非甲烷总烃计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，属于酸性气体，采用碱液喷淋塔处理效果较好。</w:t>
            </w:r>
            <w:r>
              <w:rPr>
                <w:rFonts w:hint="default" w:ascii="Times New Roman" w:hAnsi="Times New Roman" w:cs="Times New Roman"/>
                <w:color w:val="auto"/>
                <w:sz w:val="24"/>
                <w:szCs w:val="24"/>
                <w:highlight w:val="none"/>
                <w:lang w:val="en-US" w:eastAsia="zh-CN"/>
              </w:rPr>
              <w:t>氢氧化钠溶液能够有效中和酸性气体，如二氧化碳、二氧化硫、二氧化氮、氯化氢、硫化氢、氟化氢等。这些酸性气体与氢氧化钠发生中和反应，生成相应的盐和水，从而达到净化废气的目的。例如，二氧化硫与氢氧化钠反应生成亚硫酸钠和水，硫化氢与氢氧化钠反应生成硫化钠和水。在工业应用中，氢氧化钠溶液(浓度通常为2-6%)被广泛用于碱液喷淋塔中处理酸性废气。废气从塔底进入，与从塔顶喷淋的碱液逆流接触，酸性气体被中和去除，净化效率可达95%以上。此外，氢氧化钠还能与氮氧化物（NO</w:t>
            </w:r>
            <w:r>
              <w:rPr>
                <w:rFonts w:hint="default" w:ascii="Times New Roman" w:hAnsi="Times New Roman" w:cs="Times New Roman"/>
                <w:color w:val="auto"/>
                <w:sz w:val="24"/>
                <w:szCs w:val="24"/>
                <w:highlight w:val="none"/>
                <w:vertAlign w:val="subscript"/>
                <w:lang w:val="en-US" w:eastAsia="zh-CN"/>
              </w:rPr>
              <w:t>x</w:t>
            </w:r>
            <w:r>
              <w:rPr>
                <w:rFonts w:hint="default" w:ascii="Times New Roman" w:hAnsi="Times New Roman" w:cs="Times New Roman"/>
                <w:color w:val="auto"/>
                <w:sz w:val="24"/>
                <w:szCs w:val="24"/>
                <w:highlight w:val="none"/>
                <w:lang w:val="en-US" w:eastAsia="zh-CN"/>
              </w:rPr>
              <w:t>）反应生成硝酸钠和亚硝酸钠，用于氮氧化物治理时通常采用5%氢氧化钠加2-4%硫化钠溶液。需要注意的是，氢氧化钠对气体的处理主要是通过化学中和反应实现的，而非物理吸附作用。物理吸附通常需要活性炭孔材料，而氢氧化钠是通过化学键断裂和重组来分解污染物有中和作用，但基本没有吸附作用。</w:t>
            </w:r>
          </w:p>
          <w:p w14:paraId="4BAA9DD5">
            <w:pPr>
              <w:keepNext w:val="0"/>
              <w:keepLines w:val="0"/>
              <w:pageBreakBefore w:val="0"/>
              <w:widowControl w:val="0"/>
              <w:kinsoku/>
              <w:wordWrap/>
              <w:overflowPunct w:val="0"/>
              <w:topLinePunct/>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次氯酸钠处理原理：次氯酸钠溶液对脱臭气体主要发挥化学中和作用。次氯酸钠在水中水解生成次氯酸（HClO），具有强氧化性，能够与脱臭气体中的酸性物质（如硫化氢、有机酸等）发生中和反应，将其氧化分解为无臭物质。</w:t>
            </w:r>
            <w:r>
              <w:rPr>
                <w:rFonts w:hint="eastAsia" w:cs="Times New Roman"/>
                <w:color w:val="auto"/>
                <w:sz w:val="24"/>
                <w:szCs w:val="24"/>
                <w:highlight w:val="none"/>
                <w:lang w:val="en-US" w:eastAsia="zh-CN"/>
              </w:rPr>
              <w:t>同时，次氯酸钠喷淋对有机废气有一定去除，其去除效率约为40%，</w:t>
            </w:r>
            <w:r>
              <w:rPr>
                <w:rFonts w:hint="default" w:ascii="Times New Roman" w:hAnsi="Times New Roman" w:cs="Times New Roman"/>
                <w:color w:val="auto"/>
                <w:sz w:val="24"/>
                <w:szCs w:val="24"/>
                <w:highlight w:val="none"/>
                <w:lang w:val="en-US" w:eastAsia="zh-CN"/>
              </w:rPr>
              <w:t>例如，次氯酸与氨气反应生成氯胺和水，与硫化氢反应生成硫酸盐等无害物质，从而达到除臭效果。在废气处理中，次氯酸钠溶液通常通过喷淋塔或洗涤塔与废气充分接触，利用其强氧化性分解恶臭物质。这种方法适用于处理大气量、高浓度的恶臭气体，操作弹性大，除臭效率高，对硫化氢、氨气等恶臭成分去除效果显著。需要注意的是，次氯酸钠溶液对气体的处理主要是通过化学氧化反应实现的，而非物理吸附作用。物理吸附通常需要活性炭等多孔材料，而次氯酸钠是通过化学键断裂和重组来分解污染物，因此严格来说不具有吸附功能。</w:t>
            </w:r>
          </w:p>
          <w:p w14:paraId="057214D5">
            <w:pPr>
              <w:keepNext w:val="0"/>
              <w:keepLines w:val="0"/>
              <w:pageBreakBefore w:val="0"/>
              <w:widowControl w:val="0"/>
              <w:kinsoku/>
              <w:wordWrap/>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活性炭吸附原理：</w:t>
            </w:r>
            <w:r>
              <w:rPr>
                <w:rFonts w:hint="default" w:ascii="Times New Roman" w:hAnsi="Times New Roman" w:eastAsia="宋体" w:cs="Times New Roman"/>
                <w:b w:val="0"/>
                <w:bCs w:val="0"/>
                <w:color w:val="auto"/>
                <w:sz w:val="24"/>
                <w:szCs w:val="24"/>
                <w:highlight w:val="none"/>
                <w:lang w:val="en-US" w:eastAsia="zh-CN"/>
              </w:rPr>
              <w:t>活性炭是一种主要由含碳材料制成的外观呈黑色，内部孔隙结构发达、比表面积大、吸附能力强的一类微晶质碳素材料。活性炭材料中有大量微孔，1</w:t>
            </w:r>
            <w:r>
              <w:rPr>
                <w:rFonts w:hint="eastAsia" w:ascii="Times New Roman" w:hAnsi="Times New Roman" w:eastAsia="宋体" w:cs="Times New Roman"/>
                <w:b w:val="0"/>
                <w:bCs w:val="0"/>
                <w:color w:val="auto"/>
                <w:sz w:val="24"/>
                <w:szCs w:val="24"/>
                <w:highlight w:val="none"/>
                <w:lang w:val="en-US" w:eastAsia="zh-CN"/>
              </w:rPr>
              <w:t>g</w:t>
            </w:r>
            <w:r>
              <w:rPr>
                <w:rFonts w:hint="default" w:ascii="Times New Roman" w:hAnsi="Times New Roman" w:eastAsia="宋体" w:cs="Times New Roman"/>
                <w:b w:val="0"/>
                <w:bCs w:val="0"/>
                <w:color w:val="auto"/>
                <w:sz w:val="24"/>
                <w:szCs w:val="24"/>
                <w:highlight w:val="none"/>
                <w:lang w:val="en-US" w:eastAsia="zh-CN"/>
              </w:rPr>
              <w:t>活性炭比表面积高达700~1000m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/g。当气体分子进入其微孔后，利用</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范德华引力</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，分子间相互吸引，更多的气体分子不断被吸引进来，直至空隙填满。活性炭吸附有机废气在国内外广泛使用，主要用于低浓度有机废气，根据废气浓度，吸附设施内结构及活性炭填充量不同，废气去除效率在</w:t>
            </w:r>
            <w:r>
              <w:rPr>
                <w:rFonts w:hint="eastAsia" w:ascii="Times New Roman" w:hAnsi="Times New Roman" w:eastAsia="宋体" w:cs="Times New Roman"/>
                <w:b w:val="0"/>
                <w:bCs w:val="0"/>
                <w:color w:val="auto"/>
                <w:sz w:val="24"/>
                <w:szCs w:val="24"/>
                <w:highlight w:val="none"/>
                <w:lang w:val="en-US" w:eastAsia="zh-CN"/>
              </w:rPr>
              <w:t>50~85</w:t>
            </w:r>
            <w:r>
              <w:rPr>
                <w:rFonts w:hint="default" w:ascii="Times New Roman" w:hAnsi="Times New Roman" w:eastAsia="宋体" w:cs="Times New Roman"/>
                <w:b w:val="0"/>
                <w:bCs w:val="0"/>
                <w:color w:val="auto"/>
                <w:sz w:val="24"/>
                <w:szCs w:val="24"/>
                <w:highlight w:val="none"/>
                <w:lang w:val="en-US" w:eastAsia="zh-CN"/>
              </w:rPr>
              <w:t>%之间。</w:t>
            </w:r>
            <w:r>
              <w:rPr>
                <w:rFonts w:hint="eastAsia" w:ascii="Times New Roman" w:hAnsi="Times New Roman" w:eastAsia="宋体" w:cs="Times New Roman"/>
                <w:b w:val="0"/>
                <w:bCs w:val="0"/>
                <w:color w:val="auto"/>
                <w:sz w:val="24"/>
                <w:szCs w:val="24"/>
                <w:highlight w:val="none"/>
                <w:lang w:val="en-US" w:eastAsia="zh-CN"/>
              </w:rPr>
              <w:t>根据《重庆市生态环境委员会办公室关于印发&lt;2023年重庆市夏秋季臭氧污染防治攻坚工作方案&gt;的函》（渝生态环委办〔2023〕2号），“采用一次性颗粒状活性炭处理VOCs废气，年活性炭使用量宜不应低于VOCs产生量的5倍，即1吨VOCs产生量，需5吨活性炭用于吸附”。为了保证活性炭吸附装置的处理效果，采用碘值不低于800mg/g的活性炭作为吸附剂。同时为保证活性炭吸附效率，活性炭需定期更换，更换下来的废活性炭交有危废处理资质的单位处置。</w:t>
            </w:r>
          </w:p>
          <w:p w14:paraId="7EBB447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本项目精炼废气采取</w:t>
            </w:r>
            <w:r>
              <w:rPr>
                <w:rFonts w:hint="eastAsia" w:ascii="Times New Roman" w:hAnsi="Times New Roman" w:eastAsia="宋体" w:cs="Times New Roman"/>
                <w:b w:val="0"/>
                <w:bCs w:val="0"/>
                <w:color w:val="auto"/>
                <w:sz w:val="24"/>
                <w:szCs w:val="24"/>
                <w:highlight w:val="none"/>
                <w:lang w:val="en-US" w:eastAsia="zh-CN"/>
              </w:rPr>
              <w:t>冰冻冷凝+</w:t>
            </w:r>
            <w:r>
              <w:rPr>
                <w:rFonts w:hint="eastAsia" w:ascii="Times New Roman" w:hAnsi="Times New Roman" w:cs="Times New Roman"/>
                <w:b w:val="0"/>
                <w:bCs w:val="0"/>
                <w:color w:val="auto"/>
                <w:sz w:val="24"/>
                <w:szCs w:val="24"/>
                <w:highlight w:val="none"/>
                <w:lang w:val="en-US" w:eastAsia="zh-CN"/>
              </w:rPr>
              <w:t>二级碱喷淋+次氯酸钠喷淋</w:t>
            </w:r>
            <w:r>
              <w:rPr>
                <w:rFonts w:hint="eastAsia" w:ascii="Times New Roman" w:hAnsi="Times New Roman" w:eastAsia="宋体" w:cs="Times New Roman"/>
                <w:b w:val="0"/>
                <w:bCs w:val="0"/>
                <w:color w:val="auto"/>
                <w:sz w:val="24"/>
                <w:szCs w:val="24"/>
                <w:highlight w:val="none"/>
                <w:lang w:val="en-US" w:eastAsia="zh-CN"/>
              </w:rPr>
              <w:t>+活性炭吸附处理工艺，均不属于</w:t>
            </w:r>
            <w:r>
              <w:rPr>
                <w:rFonts w:hint="eastAsia" w:ascii="Times New Roman" w:hAnsi="Times New Roman" w:cs="Times New Roman"/>
                <w:b w:val="0"/>
                <w:bCs w:val="0"/>
                <w:color w:val="auto"/>
                <w:sz w:val="24"/>
                <w:szCs w:val="24"/>
                <w:highlight w:val="none"/>
                <w:lang w:val="en-US" w:eastAsia="zh-CN"/>
              </w:rPr>
              <w:t>《国家污染物防治技术指导目录》（2024年，限制类和淘汰类）中限制类及淘汰类污染防治技术，项目废气治理措施可行。</w:t>
            </w:r>
          </w:p>
          <w:p w14:paraId="2A48173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根据《排污许可证申请与核发技术规</w:t>
            </w:r>
            <w:r>
              <w:rPr>
                <w:rFonts w:hint="default" w:ascii="Times New Roman" w:hAnsi="Times New Roman" w:eastAsia="宋体" w:cs="Times New Roman"/>
                <w:b w:val="0"/>
                <w:bCs w:val="0"/>
                <w:color w:val="auto"/>
                <w:kern w:val="2"/>
                <w:sz w:val="24"/>
                <w:szCs w:val="24"/>
                <w:highlight w:val="none"/>
                <w:lang w:val="en-US" w:eastAsia="zh-CN" w:bidi="ar-SA"/>
              </w:rPr>
              <w:t>范农副食品加工工业—饲料加工、植物油加工工业</w:t>
            </w:r>
            <w:r>
              <w:rPr>
                <w:rFonts w:hint="default" w:ascii="Times New Roman" w:hAnsi="Times New Roman" w:eastAsia="宋体" w:cs="Times New Roman"/>
                <w:b w:val="0"/>
                <w:bCs w:val="0"/>
                <w:color w:val="auto"/>
                <w:sz w:val="24"/>
                <w:szCs w:val="24"/>
                <w:highlight w:val="none"/>
                <w:lang w:val="en-US" w:eastAsia="zh-CN"/>
              </w:rPr>
              <w:t>》（HJ</w:t>
            </w:r>
            <w:r>
              <w:rPr>
                <w:rFonts w:hint="default" w:ascii="Times New Roman" w:hAnsi="Times New Roman" w:cs="Times New Roman"/>
                <w:b w:val="0"/>
                <w:bCs w:val="0"/>
                <w:color w:val="auto"/>
                <w:sz w:val="24"/>
                <w:szCs w:val="24"/>
                <w:highlight w:val="none"/>
                <w:lang w:val="en-US" w:eastAsia="zh-CN"/>
              </w:rPr>
              <w:t>1110</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2020</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附录C</w:t>
            </w:r>
            <w:r>
              <w:rPr>
                <w:rFonts w:hint="default" w:ascii="Times New Roman" w:hAnsi="Times New Roman" w:eastAsia="宋体" w:cs="Times New Roman"/>
                <w:b w:val="0"/>
                <w:bCs w:val="0"/>
                <w:color w:val="auto"/>
                <w:sz w:val="24"/>
                <w:szCs w:val="24"/>
                <w:highlight w:val="none"/>
                <w:lang w:val="en-US" w:eastAsia="zh-CN"/>
              </w:rPr>
              <w:t>废气污染防治可行技术，</w:t>
            </w:r>
            <w:r>
              <w:rPr>
                <w:rFonts w:hint="eastAsia" w:ascii="Times New Roman" w:hAnsi="Times New Roman"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采用的</w:t>
            </w:r>
            <w:r>
              <w:rPr>
                <w:rFonts w:hint="eastAsia" w:ascii="Times New Roman" w:hAnsi="Times New Roman" w:cs="Times New Roman"/>
                <w:b w:val="0"/>
                <w:bCs w:val="0"/>
                <w:color w:val="auto"/>
                <w:sz w:val="24"/>
                <w:szCs w:val="24"/>
                <w:highlight w:val="none"/>
                <w:lang w:val="en-US" w:eastAsia="zh-CN"/>
              </w:rPr>
              <w:t>冰冻冷凝法+</w:t>
            </w:r>
            <w:r>
              <w:rPr>
                <w:rFonts w:hint="default" w:ascii="Times New Roman" w:hAnsi="Times New Roman" w:cs="Times New Roman"/>
                <w:b w:val="0"/>
                <w:bCs w:val="0"/>
                <w:color w:val="auto"/>
                <w:sz w:val="24"/>
                <w:szCs w:val="24"/>
                <w:highlight w:val="none"/>
                <w:lang w:val="en-US" w:eastAsia="zh-CN"/>
              </w:rPr>
              <w:t>碱喷淋法</w:t>
            </w:r>
            <w:r>
              <w:rPr>
                <w:rFonts w:hint="eastAsia" w:ascii="Times New Roman" w:hAnsi="Times New Roman" w:cs="Times New Roman"/>
                <w:b w:val="0"/>
                <w:bCs w:val="0"/>
                <w:color w:val="auto"/>
                <w:sz w:val="24"/>
                <w:szCs w:val="24"/>
                <w:highlight w:val="none"/>
                <w:lang w:val="en-US" w:eastAsia="zh-CN"/>
              </w:rPr>
              <w:t>+活性炭吸附</w:t>
            </w:r>
            <w:r>
              <w:rPr>
                <w:rFonts w:hint="default" w:ascii="Times New Roman" w:hAnsi="Times New Roman" w:eastAsia="宋体" w:cs="Times New Roman"/>
                <w:b w:val="0"/>
                <w:bCs w:val="0"/>
                <w:color w:val="auto"/>
                <w:sz w:val="24"/>
                <w:szCs w:val="24"/>
                <w:highlight w:val="none"/>
                <w:lang w:val="en-US" w:eastAsia="zh-CN"/>
              </w:rPr>
              <w:t>属于可行技术</w:t>
            </w:r>
            <w:r>
              <w:rPr>
                <w:rFonts w:hint="eastAsia" w:ascii="Times New Roman" w:hAnsi="Times New Roman" w:cs="Times New Roman"/>
                <w:b w:val="0"/>
                <w:bCs w:val="0"/>
                <w:color w:val="auto"/>
                <w:sz w:val="24"/>
                <w:szCs w:val="24"/>
                <w:highlight w:val="none"/>
                <w:lang w:val="en-US" w:eastAsia="zh-CN"/>
              </w:rPr>
              <w:t>。</w:t>
            </w:r>
          </w:p>
          <w:p w14:paraId="4063F7E9">
            <w:pPr>
              <w:pStyle w:val="24"/>
              <w:keepNext w:val="0"/>
              <w:keepLines w:val="0"/>
              <w:pageBreakBefore w:val="0"/>
              <w:kinsoku/>
              <w:wordWrap/>
              <w:overflowPunct w:val="0"/>
              <w:topLinePunct/>
              <w:bidi w:val="0"/>
              <w:spacing w:line="360" w:lineRule="auto"/>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2）锅炉废气</w:t>
            </w:r>
          </w:p>
          <w:p w14:paraId="45438461">
            <w:pPr>
              <w:pStyle w:val="24"/>
              <w:keepNext w:val="0"/>
              <w:keepLines w:val="0"/>
              <w:pageBreakBefore w:val="0"/>
              <w:kinsoku/>
              <w:wordWrap/>
              <w:overflowPunct w:val="0"/>
              <w:topLinePunct/>
              <w:bidi w:val="0"/>
              <w:spacing w:line="360" w:lineRule="auto"/>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改建项目锅炉采用低氮燃烧技术，锅炉天然气燃烧废气通过2个排气筒排放。</w:t>
            </w:r>
          </w:p>
          <w:p w14:paraId="71ABCA7F">
            <w:pPr>
              <w:pStyle w:val="24"/>
              <w:keepNext w:val="0"/>
              <w:keepLines w:val="0"/>
              <w:pageBreakBefore w:val="0"/>
              <w:kinsoku/>
              <w:wordWrap/>
              <w:overflowPunct w:val="0"/>
              <w:topLinePunct/>
              <w:bidi w:val="0"/>
              <w:spacing w:line="360" w:lineRule="auto"/>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3）白土投料粉尘</w:t>
            </w:r>
          </w:p>
          <w:p w14:paraId="22F2839F">
            <w:pPr>
              <w:pStyle w:val="24"/>
              <w:keepNext w:val="0"/>
              <w:keepLines w:val="0"/>
              <w:pageBreakBefore w:val="0"/>
              <w:kinsoku/>
              <w:wordWrap/>
              <w:overflowPunct w:val="0"/>
              <w:topLinePunct/>
              <w:bidi w:val="0"/>
              <w:spacing w:line="360" w:lineRule="auto"/>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项目脱色工段活性白土投料工序产生粉尘，白土投料采用密闭负压投料方式，再经脉冲布袋除尘器处理后经车间排放，加强车间通风。</w:t>
            </w:r>
          </w:p>
          <w:p w14:paraId="6D1863BD">
            <w:pPr>
              <w:pStyle w:val="24"/>
              <w:keepNext w:val="0"/>
              <w:keepLines w:val="0"/>
              <w:pageBreakBefore w:val="0"/>
              <w:kinsoku/>
              <w:wordWrap/>
              <w:overflowPunct w:val="0"/>
              <w:topLinePunct/>
              <w:bidi w:val="0"/>
              <w:spacing w:line="360" w:lineRule="auto"/>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w:t>
            </w:r>
            <w:r>
              <w:rPr>
                <w:rFonts w:hint="eastAsia" w:ascii="Times New Roman" w:hAnsi="Times New Roman" w:cs="Times New Roman"/>
                <w:color w:val="auto"/>
                <w:spacing w:val="0"/>
                <w:position w:val="0"/>
                <w:sz w:val="24"/>
                <w:szCs w:val="24"/>
                <w:highlight w:val="none"/>
                <w:lang w:val="en-US" w:eastAsia="zh-CN"/>
              </w:rPr>
              <w:t>3</w:t>
            </w:r>
            <w:r>
              <w:rPr>
                <w:rFonts w:hint="default" w:ascii="Times New Roman" w:hAnsi="Times New Roman" w:eastAsia="宋体" w:cs="Times New Roman"/>
                <w:color w:val="auto"/>
                <w:spacing w:val="0"/>
                <w:position w:val="0"/>
                <w:sz w:val="24"/>
                <w:szCs w:val="24"/>
                <w:highlight w:val="none"/>
                <w:lang w:val="en-US" w:eastAsia="zh-CN"/>
              </w:rPr>
              <w:t>）废气排放环境影响分析</w:t>
            </w:r>
          </w:p>
          <w:p w14:paraId="064C9BEC">
            <w:pPr>
              <w:pStyle w:val="24"/>
              <w:keepNext w:val="0"/>
              <w:keepLines w:val="0"/>
              <w:pageBreakBefore w:val="0"/>
              <w:kinsoku/>
              <w:wordWrap/>
              <w:overflowPunct w:val="0"/>
              <w:topLinePunct/>
              <w:bidi w:val="0"/>
              <w:spacing w:line="360" w:lineRule="auto"/>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本项目</w:t>
            </w:r>
            <w:r>
              <w:rPr>
                <w:rFonts w:hint="default" w:ascii="Times New Roman" w:hAnsi="Times New Roman" w:eastAsia="宋体" w:cs="Times New Roman"/>
                <w:color w:val="auto"/>
                <w:spacing w:val="0"/>
                <w:position w:val="0"/>
                <w:sz w:val="24"/>
                <w:szCs w:val="24"/>
                <w:highlight w:val="none"/>
                <w:lang w:val="en-US" w:eastAsia="zh-CN"/>
              </w:rPr>
              <w:t>有组织排放的废气主要是排气筒（DA00</w:t>
            </w:r>
            <w:r>
              <w:rPr>
                <w:rFonts w:hint="default" w:ascii="Times New Roman" w:hAnsi="Times New Roman" w:cs="Times New Roman"/>
                <w:color w:val="auto"/>
                <w:spacing w:val="0"/>
                <w:position w:val="0"/>
                <w:sz w:val="24"/>
                <w:szCs w:val="24"/>
                <w:highlight w:val="none"/>
                <w:lang w:val="en-US" w:eastAsia="zh-CN"/>
              </w:rPr>
              <w:t>3</w:t>
            </w:r>
            <w:r>
              <w:rPr>
                <w:rFonts w:hint="default" w:ascii="Times New Roman" w:hAnsi="Times New Roman" w:eastAsia="宋体" w:cs="Times New Roman"/>
                <w:color w:val="auto"/>
                <w:spacing w:val="0"/>
                <w:position w:val="0"/>
                <w:sz w:val="24"/>
                <w:szCs w:val="24"/>
                <w:highlight w:val="none"/>
                <w:lang w:val="en-US" w:eastAsia="zh-CN"/>
              </w:rPr>
              <w:t>）排放的</w:t>
            </w:r>
            <w:r>
              <w:rPr>
                <w:rFonts w:hint="default" w:ascii="Times New Roman" w:hAnsi="Times New Roman" w:cs="Times New Roman"/>
                <w:color w:val="auto"/>
                <w:spacing w:val="0"/>
                <w:position w:val="0"/>
                <w:sz w:val="24"/>
                <w:szCs w:val="24"/>
                <w:highlight w:val="none"/>
                <w:lang w:val="en-US" w:eastAsia="zh-CN"/>
              </w:rPr>
              <w:t>有机废气、臭气浓度</w:t>
            </w:r>
            <w:r>
              <w:rPr>
                <w:rFonts w:hint="default" w:ascii="Times New Roman" w:hAnsi="Times New Roman" w:eastAsia="宋体" w:cs="Times New Roman"/>
                <w:color w:val="auto"/>
                <w:spacing w:val="0"/>
                <w:position w:val="0"/>
                <w:sz w:val="24"/>
                <w:szCs w:val="24"/>
                <w:highlight w:val="none"/>
                <w:lang w:val="en-US" w:eastAsia="zh-CN"/>
              </w:rPr>
              <w:t>。根据工程分析，</w:t>
            </w:r>
            <w:r>
              <w:rPr>
                <w:rFonts w:hint="default" w:ascii="Times New Roman" w:hAnsi="Times New Roman" w:cs="Times New Roman"/>
                <w:color w:val="auto"/>
                <w:spacing w:val="0"/>
                <w:position w:val="0"/>
                <w:sz w:val="24"/>
                <w:szCs w:val="24"/>
                <w:highlight w:val="none"/>
                <w:lang w:val="en-US" w:eastAsia="zh-CN"/>
              </w:rPr>
              <w:t>非甲烷总烃</w:t>
            </w:r>
            <w:r>
              <w:rPr>
                <w:rFonts w:hint="default" w:ascii="Times New Roman" w:hAnsi="Times New Roman" w:eastAsia="宋体" w:cs="Times New Roman"/>
                <w:color w:val="auto"/>
                <w:spacing w:val="0"/>
                <w:position w:val="0"/>
                <w:sz w:val="24"/>
                <w:szCs w:val="24"/>
                <w:highlight w:val="none"/>
                <w:lang w:val="en-US" w:eastAsia="zh-CN"/>
              </w:rPr>
              <w:t>排放浓度均能够满足《重庆市大气污染物综合排放标准</w:t>
            </w:r>
            <w:r>
              <w:rPr>
                <w:rFonts w:hint="default" w:ascii="Times New Roman" w:hAnsi="Times New Roman"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（DB50/418-2016)表1有组织排放标准</w:t>
            </w:r>
            <w:r>
              <w:rPr>
                <w:rFonts w:hint="default" w:ascii="Times New Roman" w:hAnsi="Times New Roman" w:cs="Times New Roman"/>
                <w:color w:val="auto"/>
                <w:spacing w:val="0"/>
                <w:position w:val="0"/>
                <w:sz w:val="24"/>
                <w:szCs w:val="24"/>
                <w:highlight w:val="none"/>
                <w:lang w:val="en-US" w:eastAsia="zh-CN"/>
              </w:rPr>
              <w:t>，臭气浓度满足《恶臭污染物排放标准》(GB14554-93)。</w:t>
            </w:r>
            <w:r>
              <w:rPr>
                <w:rFonts w:hint="eastAsia" w:ascii="Times New Roman" w:hAnsi="Times New Roman" w:cs="Times New Roman"/>
                <w:color w:val="auto"/>
                <w:spacing w:val="0"/>
                <w:position w:val="0"/>
                <w:sz w:val="24"/>
                <w:szCs w:val="24"/>
                <w:highlight w:val="none"/>
                <w:lang w:val="en-US" w:eastAsia="zh-CN"/>
              </w:rPr>
              <w:t>锅炉废气采用低氮燃烧技术，废气排放中SO</w:t>
            </w:r>
            <w:r>
              <w:rPr>
                <w:rFonts w:hint="eastAsia" w:ascii="Times New Roman" w:hAnsi="Times New Roman" w:cs="Times New Roman"/>
                <w:color w:val="auto"/>
                <w:spacing w:val="0"/>
                <w:position w:val="0"/>
                <w:sz w:val="24"/>
                <w:szCs w:val="24"/>
                <w:highlight w:val="none"/>
                <w:vertAlign w:val="subscript"/>
                <w:lang w:val="en-US" w:eastAsia="zh-CN"/>
              </w:rPr>
              <w:t>2</w:t>
            </w:r>
            <w:r>
              <w:rPr>
                <w:rFonts w:hint="eastAsia" w:ascii="Times New Roman" w:hAnsi="Times New Roman" w:cs="Times New Roman"/>
                <w:color w:val="auto"/>
                <w:spacing w:val="0"/>
                <w:position w:val="0"/>
                <w:sz w:val="24"/>
                <w:szCs w:val="24"/>
                <w:highlight w:val="none"/>
                <w:lang w:val="en-US" w:eastAsia="zh-CN"/>
              </w:rPr>
              <w:t>、NO</w:t>
            </w:r>
            <w:r>
              <w:rPr>
                <w:rFonts w:hint="eastAsia" w:ascii="Times New Roman" w:hAnsi="Times New Roman" w:cs="Times New Roman"/>
                <w:color w:val="auto"/>
                <w:spacing w:val="0"/>
                <w:position w:val="0"/>
                <w:sz w:val="24"/>
                <w:szCs w:val="24"/>
                <w:highlight w:val="none"/>
                <w:vertAlign w:val="subscript"/>
                <w:lang w:val="en-US" w:eastAsia="zh-CN"/>
              </w:rPr>
              <w:t>x</w:t>
            </w:r>
            <w:r>
              <w:rPr>
                <w:rFonts w:hint="eastAsia" w:ascii="Times New Roman" w:hAnsi="Times New Roman" w:cs="Times New Roman"/>
                <w:color w:val="auto"/>
                <w:spacing w:val="0"/>
                <w:position w:val="0"/>
                <w:sz w:val="24"/>
                <w:szCs w:val="24"/>
                <w:highlight w:val="none"/>
                <w:lang w:val="en-US" w:eastAsia="zh-CN"/>
              </w:rPr>
              <w:t>、颗粒物满足</w:t>
            </w:r>
            <w:r>
              <w:rPr>
                <w:rFonts w:hint="default" w:ascii="Times New Roman" w:hAnsi="Times New Roman" w:cs="Times New Roman"/>
                <w:color w:val="auto"/>
                <w:sz w:val="24"/>
                <w:szCs w:val="22"/>
                <w:highlight w:val="none"/>
              </w:rPr>
              <w:t>《锅炉大气污染物排放标准》(DB50/658-2016）及第1号修改单</w:t>
            </w:r>
            <w:r>
              <w:rPr>
                <w:rFonts w:hint="eastAsia" w:ascii="Times New Roman" w:hAnsi="Times New Roman" w:cs="Times New Roman"/>
                <w:color w:val="auto"/>
                <w:sz w:val="24"/>
                <w:szCs w:val="22"/>
                <w:highlight w:val="none"/>
                <w:lang w:val="en-US" w:eastAsia="zh-CN"/>
              </w:rPr>
              <w:t>限值要求；白土投料粉尘经脉冲布袋除尘器处理后以无组织形式排放，</w:t>
            </w:r>
            <w:r>
              <w:rPr>
                <w:rFonts w:hint="default" w:ascii="Times New Roman" w:hAnsi="Times New Roman" w:eastAsia="宋体" w:cs="Times New Roman"/>
                <w:color w:val="auto"/>
                <w:spacing w:val="0"/>
                <w:position w:val="0"/>
                <w:sz w:val="24"/>
                <w:szCs w:val="24"/>
                <w:highlight w:val="none"/>
                <w:lang w:val="en-US" w:eastAsia="zh-CN"/>
              </w:rPr>
              <w:t>对周围环境影响较小。</w:t>
            </w:r>
          </w:p>
          <w:p w14:paraId="61E410C7">
            <w:pPr>
              <w:pStyle w:val="24"/>
              <w:keepNext w:val="0"/>
              <w:keepLines w:val="0"/>
              <w:pageBreakBefore w:val="0"/>
              <w:kinsoku/>
              <w:wordWrap/>
              <w:overflowPunct w:val="0"/>
              <w:topLinePunct/>
              <w:bidi w:val="0"/>
              <w:spacing w:line="360" w:lineRule="auto"/>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（4）废气排放口情况</w:t>
            </w:r>
          </w:p>
          <w:p w14:paraId="50E01D4F">
            <w:pPr>
              <w:pStyle w:val="24"/>
              <w:keepNext w:val="0"/>
              <w:keepLines w:val="0"/>
              <w:pageBreakBefore w:val="0"/>
              <w:kinsoku/>
              <w:wordWrap/>
              <w:overflowPunct w:val="0"/>
              <w:topLinePunct/>
              <w:bidi w:val="0"/>
              <w:spacing w:line="460" w:lineRule="exact"/>
              <w:ind w:right="0"/>
              <w:jc w:val="center"/>
              <w:rPr>
                <w:rFonts w:hint="default" w:ascii="Times New Roman" w:hAnsi="Times New Roman" w:eastAsia="宋体" w:cs="Times New Roman"/>
                <w:b/>
                <w:bCs/>
                <w:color w:val="auto"/>
                <w:spacing w:val="0"/>
                <w:position w:val="0"/>
                <w:sz w:val="22"/>
                <w:szCs w:val="22"/>
                <w:highlight w:val="none"/>
                <w:lang w:val="en-US" w:eastAsia="zh-CN"/>
              </w:rPr>
            </w:pPr>
            <w:r>
              <w:rPr>
                <w:rFonts w:hint="default" w:ascii="Times New Roman" w:hAnsi="Times New Roman" w:eastAsia="宋体" w:cs="Times New Roman"/>
                <w:b/>
                <w:bCs/>
                <w:color w:val="auto"/>
                <w:spacing w:val="0"/>
                <w:position w:val="0"/>
                <w:sz w:val="22"/>
                <w:szCs w:val="22"/>
                <w:highlight w:val="none"/>
                <w:lang w:val="en-US" w:eastAsia="zh-CN"/>
              </w:rPr>
              <w:t>表4.2-</w:t>
            </w:r>
            <w:r>
              <w:rPr>
                <w:rFonts w:hint="eastAsia" w:ascii="Times New Roman" w:hAnsi="Times New Roman" w:cs="Times New Roman"/>
                <w:b/>
                <w:bCs/>
                <w:color w:val="auto"/>
                <w:spacing w:val="0"/>
                <w:position w:val="0"/>
                <w:sz w:val="22"/>
                <w:szCs w:val="22"/>
                <w:highlight w:val="none"/>
                <w:lang w:val="en-US" w:eastAsia="zh-CN"/>
              </w:rPr>
              <w:t>5本项目</w:t>
            </w:r>
            <w:r>
              <w:rPr>
                <w:rFonts w:hint="default" w:ascii="Times New Roman" w:hAnsi="Times New Roman" w:eastAsia="宋体" w:cs="Times New Roman"/>
                <w:b/>
                <w:bCs/>
                <w:color w:val="auto"/>
                <w:spacing w:val="0"/>
                <w:position w:val="0"/>
                <w:sz w:val="22"/>
                <w:szCs w:val="22"/>
                <w:highlight w:val="none"/>
                <w:lang w:val="en-US" w:eastAsia="zh-CN"/>
              </w:rPr>
              <w:t>废气排放口基本情况</w:t>
            </w:r>
          </w:p>
          <w:tbl>
            <w:tblPr>
              <w:tblStyle w:val="18"/>
              <w:tblW w:w="4995"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373"/>
              <w:gridCol w:w="940"/>
              <w:gridCol w:w="1282"/>
              <w:gridCol w:w="1519"/>
              <w:gridCol w:w="895"/>
              <w:gridCol w:w="1343"/>
              <w:gridCol w:w="1060"/>
            </w:tblGrid>
            <w:tr w14:paraId="6DDD73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trPr>
              <w:tc>
                <w:tcPr>
                  <w:tcW w:w="816" w:type="pct"/>
                  <w:vMerge w:val="restart"/>
                  <w:noWrap w:val="0"/>
                  <w:vAlign w:val="center"/>
                </w:tcPr>
                <w:p w14:paraId="3C60CD50">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污染源</w:t>
                  </w:r>
                </w:p>
              </w:tc>
              <w:tc>
                <w:tcPr>
                  <w:tcW w:w="558" w:type="pct"/>
                  <w:vMerge w:val="restart"/>
                  <w:noWrap w:val="0"/>
                  <w:vAlign w:val="center"/>
                </w:tcPr>
                <w:p w14:paraId="2061A018">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default" w:ascii="Times New Roman" w:hAnsi="Times New Roman" w:cs="Times New Roman"/>
                      <w:color w:val="auto"/>
                      <w:kern w:val="0"/>
                      <w:sz w:val="20"/>
                      <w:szCs w:val="20"/>
                      <w:highlight w:val="none"/>
                      <w:lang w:val="en-US" w:eastAsia="zh-CN" w:bidi="ar"/>
                    </w:rPr>
                    <w:t>编号</w:t>
                  </w:r>
                </w:p>
              </w:tc>
              <w:tc>
                <w:tcPr>
                  <w:tcW w:w="762" w:type="pct"/>
                  <w:vMerge w:val="restart"/>
                  <w:noWrap w:val="0"/>
                  <w:vAlign w:val="center"/>
                </w:tcPr>
                <w:p w14:paraId="33D77050">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坐标（m）</w:t>
                  </w:r>
                </w:p>
              </w:tc>
              <w:tc>
                <w:tcPr>
                  <w:tcW w:w="902" w:type="pct"/>
                  <w:vMerge w:val="restart"/>
                  <w:noWrap w:val="0"/>
                  <w:vAlign w:val="center"/>
                </w:tcPr>
                <w:p w14:paraId="60766C8E">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kern w:val="0"/>
                      <w:sz w:val="21"/>
                      <w:szCs w:val="28"/>
                      <w:highlight w:val="none"/>
                      <w:lang w:bidi="ar"/>
                    </w:rPr>
                    <w:t>污染物</w:t>
                  </w:r>
                </w:p>
              </w:tc>
              <w:tc>
                <w:tcPr>
                  <w:tcW w:w="531" w:type="pct"/>
                  <w:noWrap w:val="0"/>
                  <w:vAlign w:val="center"/>
                </w:tcPr>
                <w:p w14:paraId="16988B59">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排气筒</w:t>
                  </w:r>
                </w:p>
                <w:p w14:paraId="59E16B02">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高度</w:t>
                  </w:r>
                </w:p>
              </w:tc>
              <w:tc>
                <w:tcPr>
                  <w:tcW w:w="798" w:type="pct"/>
                  <w:noWrap w:val="0"/>
                  <w:vAlign w:val="center"/>
                </w:tcPr>
                <w:p w14:paraId="588B942D">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排气筒</w:t>
                  </w:r>
                </w:p>
                <w:p w14:paraId="42A0AE11">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内径</w:t>
                  </w:r>
                </w:p>
              </w:tc>
              <w:tc>
                <w:tcPr>
                  <w:tcW w:w="630" w:type="pct"/>
                  <w:noWrap w:val="0"/>
                  <w:vAlign w:val="center"/>
                </w:tcPr>
                <w:p w14:paraId="3E192F5F">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烟气出</w:t>
                  </w:r>
                </w:p>
                <w:p w14:paraId="3C48F33B">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口温度</w:t>
                  </w:r>
                </w:p>
              </w:tc>
            </w:tr>
            <w:tr w14:paraId="1BDA6A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816" w:type="pct"/>
                  <w:vMerge w:val="continue"/>
                  <w:noWrap w:val="0"/>
                  <w:vAlign w:val="center"/>
                </w:tcPr>
                <w:p w14:paraId="14592AE1">
                  <w:pPr>
                    <w:pageBreakBefore w:val="0"/>
                    <w:widowControl/>
                    <w:kinsoku/>
                    <w:wordWrap/>
                    <w:overflowPunct w:val="0"/>
                    <w:topLinePunct/>
                    <w:bidi w:val="0"/>
                    <w:spacing w:line="240" w:lineRule="auto"/>
                    <w:ind w:firstLine="0" w:firstLineChars="0"/>
                    <w:jc w:val="center"/>
                    <w:rPr>
                      <w:rFonts w:hint="default" w:ascii="Times New Roman" w:hAnsi="Times New Roman" w:cs="Times New Roman"/>
                      <w:color w:val="auto"/>
                      <w:sz w:val="20"/>
                      <w:szCs w:val="20"/>
                      <w:highlight w:val="none"/>
                    </w:rPr>
                  </w:pPr>
                </w:p>
              </w:tc>
              <w:tc>
                <w:tcPr>
                  <w:tcW w:w="558" w:type="pct"/>
                  <w:vMerge w:val="continue"/>
                  <w:noWrap w:val="0"/>
                  <w:vAlign w:val="center"/>
                </w:tcPr>
                <w:p w14:paraId="431D2312">
                  <w:pPr>
                    <w:pageBreakBefore w:val="0"/>
                    <w:widowControl/>
                    <w:kinsoku/>
                    <w:wordWrap/>
                    <w:overflowPunct w:val="0"/>
                    <w:topLinePunct/>
                    <w:bidi w:val="0"/>
                    <w:spacing w:line="240" w:lineRule="auto"/>
                    <w:ind w:firstLine="0" w:firstLineChars="0"/>
                    <w:jc w:val="center"/>
                    <w:rPr>
                      <w:rFonts w:hint="default" w:ascii="Times New Roman" w:hAnsi="Times New Roman" w:cs="Times New Roman"/>
                      <w:color w:val="auto"/>
                      <w:sz w:val="20"/>
                      <w:szCs w:val="20"/>
                      <w:highlight w:val="none"/>
                    </w:rPr>
                  </w:pPr>
                </w:p>
              </w:tc>
              <w:tc>
                <w:tcPr>
                  <w:tcW w:w="762" w:type="pct"/>
                  <w:vMerge w:val="continue"/>
                  <w:noWrap w:val="0"/>
                  <w:vAlign w:val="center"/>
                </w:tcPr>
                <w:p w14:paraId="749F12E3">
                  <w:pPr>
                    <w:pageBreakBefore w:val="0"/>
                    <w:widowControl/>
                    <w:kinsoku/>
                    <w:wordWrap/>
                    <w:overflowPunct w:val="0"/>
                    <w:topLinePunct/>
                    <w:bidi w:val="0"/>
                    <w:spacing w:line="240" w:lineRule="auto"/>
                    <w:ind w:firstLine="0" w:firstLineChars="0"/>
                    <w:jc w:val="center"/>
                    <w:rPr>
                      <w:rFonts w:hint="default" w:ascii="Times New Roman" w:hAnsi="Times New Roman" w:cs="Times New Roman"/>
                      <w:color w:val="auto"/>
                      <w:sz w:val="20"/>
                      <w:szCs w:val="20"/>
                      <w:highlight w:val="none"/>
                    </w:rPr>
                  </w:pPr>
                </w:p>
              </w:tc>
              <w:tc>
                <w:tcPr>
                  <w:tcW w:w="902" w:type="pct"/>
                  <w:vMerge w:val="continue"/>
                  <w:noWrap w:val="0"/>
                  <w:vAlign w:val="center"/>
                </w:tcPr>
                <w:p w14:paraId="75D0B071">
                  <w:pPr>
                    <w:pageBreakBefore w:val="0"/>
                    <w:widowControl/>
                    <w:kinsoku/>
                    <w:wordWrap/>
                    <w:overflowPunct w:val="0"/>
                    <w:topLinePunct/>
                    <w:bidi w:val="0"/>
                    <w:spacing w:line="240" w:lineRule="auto"/>
                    <w:ind w:firstLine="0" w:firstLineChars="0"/>
                    <w:jc w:val="center"/>
                    <w:rPr>
                      <w:rFonts w:hint="default" w:ascii="Times New Roman" w:hAnsi="Times New Roman" w:cs="Times New Roman"/>
                      <w:color w:val="auto"/>
                      <w:sz w:val="21"/>
                      <w:szCs w:val="28"/>
                      <w:highlight w:val="none"/>
                    </w:rPr>
                  </w:pPr>
                </w:p>
              </w:tc>
              <w:tc>
                <w:tcPr>
                  <w:tcW w:w="531" w:type="pct"/>
                  <w:noWrap w:val="0"/>
                  <w:vAlign w:val="center"/>
                </w:tcPr>
                <w:p w14:paraId="44A1DF4E">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eastAsia="zh-CN" w:bidi="ar"/>
                    </w:rPr>
                    <w:t>（</w:t>
                  </w:r>
                  <w:r>
                    <w:rPr>
                      <w:rFonts w:hint="default" w:ascii="Times New Roman" w:hAnsi="Times New Roman" w:cs="Times New Roman"/>
                      <w:color w:val="auto"/>
                      <w:kern w:val="0"/>
                      <w:sz w:val="20"/>
                      <w:szCs w:val="20"/>
                      <w:highlight w:val="none"/>
                      <w:lang w:bidi="ar"/>
                    </w:rPr>
                    <w:t>m</w:t>
                  </w:r>
                  <w:r>
                    <w:rPr>
                      <w:rFonts w:hint="default" w:ascii="Times New Roman" w:hAnsi="Times New Roman" w:cs="Times New Roman"/>
                      <w:color w:val="auto"/>
                      <w:kern w:val="0"/>
                      <w:sz w:val="20"/>
                      <w:szCs w:val="20"/>
                      <w:highlight w:val="none"/>
                      <w:lang w:eastAsia="zh-CN" w:bidi="ar"/>
                    </w:rPr>
                    <w:t>）</w:t>
                  </w:r>
                </w:p>
              </w:tc>
              <w:tc>
                <w:tcPr>
                  <w:tcW w:w="798" w:type="pct"/>
                  <w:noWrap w:val="0"/>
                  <w:vAlign w:val="center"/>
                </w:tcPr>
                <w:p w14:paraId="55778E56">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eastAsia="zh-CN" w:bidi="ar"/>
                    </w:rPr>
                    <w:t>（</w:t>
                  </w:r>
                  <w:r>
                    <w:rPr>
                      <w:rFonts w:hint="default" w:ascii="Times New Roman" w:hAnsi="Times New Roman" w:cs="Times New Roman"/>
                      <w:color w:val="auto"/>
                      <w:kern w:val="0"/>
                      <w:sz w:val="20"/>
                      <w:szCs w:val="20"/>
                      <w:highlight w:val="none"/>
                      <w:lang w:bidi="ar"/>
                    </w:rPr>
                    <w:t>m</w:t>
                  </w:r>
                  <w:r>
                    <w:rPr>
                      <w:rFonts w:hint="default" w:ascii="Times New Roman" w:hAnsi="Times New Roman" w:cs="Times New Roman"/>
                      <w:color w:val="auto"/>
                      <w:kern w:val="0"/>
                      <w:sz w:val="20"/>
                      <w:szCs w:val="20"/>
                      <w:highlight w:val="none"/>
                      <w:lang w:eastAsia="zh-CN" w:bidi="ar"/>
                    </w:rPr>
                    <w:t>）</w:t>
                  </w:r>
                </w:p>
              </w:tc>
              <w:tc>
                <w:tcPr>
                  <w:tcW w:w="630" w:type="pct"/>
                  <w:noWrap w:val="0"/>
                  <w:vAlign w:val="center"/>
                </w:tcPr>
                <w:p w14:paraId="1A782C4A">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w:t>
                  </w:r>
                </w:p>
              </w:tc>
            </w:tr>
            <w:tr w14:paraId="08F01A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816" w:type="pct"/>
                  <w:vMerge w:val="restart"/>
                  <w:noWrap w:val="0"/>
                  <w:vAlign w:val="center"/>
                </w:tcPr>
                <w:p w14:paraId="6F4F9A8B">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0"/>
                      <w:sz w:val="21"/>
                      <w:szCs w:val="28"/>
                      <w:highlight w:val="none"/>
                      <w:lang w:val="en-US" w:eastAsia="zh-CN" w:bidi="ar"/>
                    </w:rPr>
                  </w:pPr>
                  <w:r>
                    <w:rPr>
                      <w:rFonts w:hint="default" w:ascii="Times New Roman" w:hAnsi="Times New Roman" w:cs="Times New Roman"/>
                      <w:color w:val="auto"/>
                      <w:kern w:val="0"/>
                      <w:sz w:val="21"/>
                      <w:szCs w:val="28"/>
                      <w:highlight w:val="none"/>
                      <w:lang w:val="en-US" w:eastAsia="zh-CN" w:bidi="ar"/>
                    </w:rPr>
                    <w:t>精炼废气</w:t>
                  </w:r>
                </w:p>
                <w:p w14:paraId="564C9F10">
                  <w:pPr>
                    <w:pageBreakBefore w:val="0"/>
                    <w:widowControl/>
                    <w:kinsoku/>
                    <w:wordWrap/>
                    <w:overflowPunct w:val="0"/>
                    <w:topLinePunct/>
                    <w:bidi w:val="0"/>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1"/>
                      <w:szCs w:val="28"/>
                      <w:highlight w:val="none"/>
                      <w:lang w:bidi="ar"/>
                    </w:rPr>
                    <w:t>排气筒</w:t>
                  </w:r>
                </w:p>
              </w:tc>
              <w:tc>
                <w:tcPr>
                  <w:tcW w:w="558" w:type="pct"/>
                  <w:vMerge w:val="restart"/>
                  <w:shd w:val="clear" w:color="auto" w:fill="auto"/>
                  <w:noWrap w:val="0"/>
                  <w:vAlign w:val="center"/>
                </w:tcPr>
                <w:p w14:paraId="0519955B">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0"/>
                      <w:sz w:val="21"/>
                      <w:szCs w:val="28"/>
                      <w:highlight w:val="none"/>
                      <w:lang w:val="en-US" w:eastAsia="zh-CN" w:bidi="ar"/>
                    </w:rPr>
                  </w:pPr>
                  <w:r>
                    <w:rPr>
                      <w:rFonts w:hint="default" w:ascii="Times New Roman" w:hAnsi="Times New Roman" w:cs="Times New Roman"/>
                      <w:color w:val="auto"/>
                      <w:kern w:val="0"/>
                      <w:sz w:val="21"/>
                      <w:szCs w:val="28"/>
                      <w:highlight w:val="none"/>
                      <w:lang w:val="en-US" w:eastAsia="zh-CN" w:bidi="ar"/>
                    </w:rPr>
                    <w:t>DA001</w:t>
                  </w:r>
                </w:p>
              </w:tc>
              <w:tc>
                <w:tcPr>
                  <w:tcW w:w="762" w:type="pct"/>
                  <w:vMerge w:val="restart"/>
                  <w:shd w:val="clear" w:color="auto" w:fill="auto"/>
                  <w:noWrap w:val="0"/>
                  <w:vAlign w:val="center"/>
                </w:tcPr>
                <w:p w14:paraId="05899284">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106.379333</w:t>
                  </w:r>
                </w:p>
                <w:p w14:paraId="01FCFB02">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cs="Times New Roman"/>
                      <w:color w:val="auto"/>
                      <w:sz w:val="21"/>
                      <w:szCs w:val="28"/>
                      <w:highlight w:val="none"/>
                    </w:rPr>
                    <w:t>29.304996</w:t>
                  </w:r>
                </w:p>
              </w:tc>
              <w:tc>
                <w:tcPr>
                  <w:tcW w:w="902" w:type="pct"/>
                  <w:noWrap w:val="0"/>
                  <w:vAlign w:val="center"/>
                </w:tcPr>
                <w:p w14:paraId="75FCC61E">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kern w:val="0"/>
                      <w:sz w:val="21"/>
                      <w:szCs w:val="28"/>
                      <w:highlight w:val="none"/>
                      <w:lang w:val="en-US" w:eastAsia="zh-CN" w:bidi="ar"/>
                    </w:rPr>
                    <w:t>非甲烷总烃</w:t>
                  </w:r>
                </w:p>
              </w:tc>
              <w:tc>
                <w:tcPr>
                  <w:tcW w:w="531" w:type="pct"/>
                  <w:vMerge w:val="restart"/>
                  <w:noWrap w:val="0"/>
                  <w:vAlign w:val="center"/>
                </w:tcPr>
                <w:p w14:paraId="09FB77D9">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0"/>
                      <w:szCs w:val="20"/>
                      <w:highlight w:val="none"/>
                      <w:lang w:eastAsia="zh-CN" w:bidi="ar"/>
                    </w:rPr>
                  </w:pPr>
                  <w:r>
                    <w:rPr>
                      <w:rFonts w:hint="default" w:ascii="Times New Roman" w:hAnsi="Times New Roman" w:cs="Times New Roman"/>
                      <w:color w:val="auto"/>
                      <w:sz w:val="22"/>
                      <w:szCs w:val="22"/>
                      <w:highlight w:val="none"/>
                      <w:lang w:val="en-US" w:eastAsia="zh-CN"/>
                    </w:rPr>
                    <w:t>25</w:t>
                  </w:r>
                </w:p>
              </w:tc>
              <w:tc>
                <w:tcPr>
                  <w:tcW w:w="1343" w:type="dxa"/>
                  <w:vMerge w:val="restart"/>
                  <w:noWrap w:val="0"/>
                  <w:vAlign w:val="center"/>
                </w:tcPr>
                <w:p w14:paraId="56BBA9EB">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0"/>
                      <w:szCs w:val="20"/>
                      <w:highlight w:val="none"/>
                      <w:lang w:val="en-US" w:eastAsia="zh-CN" w:bidi="ar"/>
                    </w:rPr>
                  </w:pPr>
                  <w:r>
                    <w:rPr>
                      <w:rFonts w:hint="default" w:ascii="Times New Roman" w:hAnsi="Times New Roman" w:cs="Times New Roman"/>
                      <w:color w:val="auto"/>
                      <w:kern w:val="2"/>
                      <w:sz w:val="20"/>
                      <w:szCs w:val="20"/>
                      <w:highlight w:val="none"/>
                      <w:lang w:val="en-US" w:eastAsia="zh-CN" w:bidi="ar"/>
                    </w:rPr>
                    <w:t>0.</w:t>
                  </w:r>
                  <w:r>
                    <w:rPr>
                      <w:rFonts w:hint="eastAsia" w:cs="Times New Roman"/>
                      <w:color w:val="auto"/>
                      <w:kern w:val="2"/>
                      <w:sz w:val="20"/>
                      <w:szCs w:val="20"/>
                      <w:highlight w:val="none"/>
                      <w:lang w:val="en-US" w:eastAsia="zh-CN" w:bidi="ar"/>
                    </w:rPr>
                    <w:t>3</w:t>
                  </w:r>
                </w:p>
              </w:tc>
              <w:tc>
                <w:tcPr>
                  <w:tcW w:w="630" w:type="pct"/>
                  <w:vMerge w:val="restart"/>
                  <w:noWrap w:val="0"/>
                  <w:vAlign w:val="center"/>
                </w:tcPr>
                <w:p w14:paraId="717ECB78">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0"/>
                      <w:szCs w:val="20"/>
                      <w:highlight w:val="none"/>
                      <w:lang w:val="en-US" w:bidi="ar"/>
                    </w:rPr>
                  </w:pPr>
                  <w:r>
                    <w:rPr>
                      <w:rFonts w:hint="eastAsia" w:cs="Times New Roman"/>
                      <w:color w:val="auto"/>
                      <w:sz w:val="22"/>
                      <w:szCs w:val="22"/>
                      <w:highlight w:val="none"/>
                      <w:lang w:val="en-US" w:eastAsia="zh-CN"/>
                    </w:rPr>
                    <w:t>30</w:t>
                  </w:r>
                </w:p>
              </w:tc>
            </w:tr>
            <w:tr w14:paraId="16AC19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816" w:type="pct"/>
                  <w:vMerge w:val="continue"/>
                  <w:noWrap w:val="0"/>
                  <w:vAlign w:val="center"/>
                </w:tcPr>
                <w:p w14:paraId="5A5E6FEB">
                  <w:pPr>
                    <w:pageBreakBefore w:val="0"/>
                    <w:widowControl/>
                    <w:kinsoku/>
                    <w:wordWrap/>
                    <w:overflowPunct w:val="0"/>
                    <w:topLinePunct/>
                    <w:bidi w:val="0"/>
                    <w:spacing w:line="240" w:lineRule="auto"/>
                    <w:ind w:firstLine="0" w:firstLineChars="0"/>
                    <w:jc w:val="center"/>
                    <w:rPr>
                      <w:rFonts w:hint="default" w:ascii="Times New Roman" w:hAnsi="Times New Roman" w:cs="Times New Roman"/>
                      <w:color w:val="auto"/>
                      <w:sz w:val="20"/>
                      <w:szCs w:val="20"/>
                      <w:highlight w:val="none"/>
                    </w:rPr>
                  </w:pPr>
                </w:p>
              </w:tc>
              <w:tc>
                <w:tcPr>
                  <w:tcW w:w="558" w:type="pct"/>
                  <w:vMerge w:val="continue"/>
                  <w:noWrap w:val="0"/>
                  <w:vAlign w:val="center"/>
                </w:tcPr>
                <w:p w14:paraId="78A9BCE6">
                  <w:pPr>
                    <w:pageBreakBefore w:val="0"/>
                    <w:widowControl/>
                    <w:kinsoku/>
                    <w:wordWrap/>
                    <w:overflowPunct w:val="0"/>
                    <w:topLinePunct/>
                    <w:bidi w:val="0"/>
                    <w:spacing w:line="240" w:lineRule="auto"/>
                    <w:ind w:firstLine="0" w:firstLineChars="0"/>
                    <w:jc w:val="center"/>
                    <w:rPr>
                      <w:rFonts w:hint="default" w:ascii="Times New Roman" w:hAnsi="Times New Roman" w:cs="Times New Roman"/>
                      <w:color w:val="auto"/>
                      <w:sz w:val="20"/>
                      <w:szCs w:val="20"/>
                      <w:highlight w:val="none"/>
                    </w:rPr>
                  </w:pPr>
                </w:p>
              </w:tc>
              <w:tc>
                <w:tcPr>
                  <w:tcW w:w="762" w:type="pct"/>
                  <w:vMerge w:val="continue"/>
                  <w:noWrap w:val="0"/>
                  <w:vAlign w:val="center"/>
                </w:tcPr>
                <w:p w14:paraId="0CDE104D">
                  <w:pPr>
                    <w:pageBreakBefore w:val="0"/>
                    <w:widowControl/>
                    <w:kinsoku/>
                    <w:wordWrap/>
                    <w:overflowPunct w:val="0"/>
                    <w:topLinePunct/>
                    <w:bidi w:val="0"/>
                    <w:spacing w:line="240" w:lineRule="auto"/>
                    <w:ind w:firstLine="0" w:firstLineChars="0"/>
                    <w:jc w:val="center"/>
                    <w:rPr>
                      <w:rFonts w:hint="default" w:ascii="Times New Roman" w:hAnsi="Times New Roman" w:cs="Times New Roman"/>
                      <w:color w:val="auto"/>
                      <w:sz w:val="20"/>
                      <w:szCs w:val="20"/>
                      <w:highlight w:val="none"/>
                    </w:rPr>
                  </w:pPr>
                </w:p>
              </w:tc>
              <w:tc>
                <w:tcPr>
                  <w:tcW w:w="902" w:type="pct"/>
                  <w:noWrap w:val="0"/>
                  <w:vAlign w:val="center"/>
                </w:tcPr>
                <w:p w14:paraId="0E3C3A3F">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kern w:val="0"/>
                      <w:sz w:val="21"/>
                      <w:szCs w:val="28"/>
                      <w:highlight w:val="none"/>
                      <w:lang w:val="en-US" w:eastAsia="zh-CN" w:bidi="ar"/>
                    </w:rPr>
                    <w:t>臭气浓度</w:t>
                  </w:r>
                </w:p>
              </w:tc>
              <w:tc>
                <w:tcPr>
                  <w:tcW w:w="531" w:type="pct"/>
                  <w:vMerge w:val="continue"/>
                  <w:noWrap w:val="0"/>
                  <w:vAlign w:val="center"/>
                </w:tcPr>
                <w:p w14:paraId="539AF196">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0"/>
                      <w:szCs w:val="20"/>
                      <w:highlight w:val="none"/>
                      <w:lang w:eastAsia="zh-CN" w:bidi="ar"/>
                    </w:rPr>
                  </w:pPr>
                </w:p>
              </w:tc>
              <w:tc>
                <w:tcPr>
                  <w:tcW w:w="798" w:type="pct"/>
                  <w:vMerge w:val="continue"/>
                  <w:noWrap w:val="0"/>
                  <w:vAlign w:val="center"/>
                </w:tcPr>
                <w:p w14:paraId="226C41B6">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0"/>
                      <w:szCs w:val="20"/>
                      <w:highlight w:val="none"/>
                      <w:lang w:eastAsia="zh-CN" w:bidi="ar"/>
                    </w:rPr>
                  </w:pPr>
                </w:p>
              </w:tc>
              <w:tc>
                <w:tcPr>
                  <w:tcW w:w="630" w:type="pct"/>
                  <w:vMerge w:val="continue"/>
                  <w:noWrap w:val="0"/>
                  <w:vAlign w:val="center"/>
                </w:tcPr>
                <w:p w14:paraId="2258CA32">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0"/>
                      <w:szCs w:val="20"/>
                      <w:highlight w:val="none"/>
                      <w:lang w:bidi="ar"/>
                    </w:rPr>
                  </w:pPr>
                </w:p>
              </w:tc>
            </w:tr>
            <w:tr w14:paraId="442312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816" w:type="pct"/>
                  <w:vMerge w:val="restart"/>
                  <w:noWrap w:val="0"/>
                  <w:vAlign w:val="center"/>
                </w:tcPr>
                <w:p w14:paraId="1102AE86">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0"/>
                      <w:sz w:val="21"/>
                      <w:szCs w:val="28"/>
                      <w:highlight w:val="none"/>
                      <w:lang w:val="en-US" w:eastAsia="zh-CN" w:bidi="ar"/>
                    </w:rPr>
                  </w:pPr>
                  <w:r>
                    <w:rPr>
                      <w:rFonts w:hint="default" w:ascii="Times New Roman" w:hAnsi="Times New Roman" w:cs="Times New Roman"/>
                      <w:color w:val="auto"/>
                      <w:kern w:val="0"/>
                      <w:sz w:val="21"/>
                      <w:szCs w:val="28"/>
                      <w:highlight w:val="none"/>
                      <w:lang w:val="en-US" w:eastAsia="zh-CN" w:bidi="ar"/>
                    </w:rPr>
                    <w:t>锅炉废气</w:t>
                  </w:r>
                </w:p>
              </w:tc>
              <w:tc>
                <w:tcPr>
                  <w:tcW w:w="558" w:type="pct"/>
                  <w:vMerge w:val="restart"/>
                  <w:noWrap w:val="0"/>
                  <w:vAlign w:val="center"/>
                </w:tcPr>
                <w:p w14:paraId="7B0D2B0F">
                  <w:pPr>
                    <w:pageBreakBefore w:val="0"/>
                    <w:widowControl/>
                    <w:tabs>
                      <w:tab w:val="left" w:pos="489"/>
                    </w:tabs>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0"/>
                      <w:sz w:val="21"/>
                      <w:szCs w:val="28"/>
                      <w:highlight w:val="none"/>
                      <w:lang w:val="en-US" w:eastAsia="zh-CN" w:bidi="ar"/>
                    </w:rPr>
                  </w:pPr>
                  <w:r>
                    <w:rPr>
                      <w:rFonts w:hint="default" w:ascii="Times New Roman" w:hAnsi="Times New Roman" w:cs="Times New Roman"/>
                      <w:color w:val="auto"/>
                      <w:kern w:val="0"/>
                      <w:sz w:val="21"/>
                      <w:szCs w:val="28"/>
                      <w:highlight w:val="none"/>
                      <w:lang w:val="en-US" w:eastAsia="zh-CN" w:bidi="ar"/>
                    </w:rPr>
                    <w:t>DA002</w:t>
                  </w:r>
                </w:p>
              </w:tc>
              <w:tc>
                <w:tcPr>
                  <w:tcW w:w="762" w:type="pct"/>
                  <w:vMerge w:val="restart"/>
                  <w:noWrap w:val="0"/>
                  <w:vAlign w:val="center"/>
                </w:tcPr>
                <w:p w14:paraId="49927FA4">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r>
                    <w:rPr>
                      <w:rFonts w:hint="default" w:ascii="Times New Roman" w:hAnsi="Times New Roman" w:cs="Times New Roman"/>
                      <w:color w:val="auto"/>
                      <w:kern w:val="0"/>
                      <w:sz w:val="21"/>
                      <w:szCs w:val="28"/>
                      <w:highlight w:val="none"/>
                      <w:lang w:bidi="ar"/>
                    </w:rPr>
                    <w:t>106.379478</w:t>
                  </w:r>
                </w:p>
                <w:p w14:paraId="3C313446">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r>
                    <w:rPr>
                      <w:rFonts w:hint="default" w:ascii="Times New Roman" w:hAnsi="Times New Roman" w:cs="Times New Roman"/>
                      <w:color w:val="auto"/>
                      <w:kern w:val="0"/>
                      <w:sz w:val="21"/>
                      <w:szCs w:val="28"/>
                      <w:highlight w:val="none"/>
                      <w:lang w:bidi="ar"/>
                    </w:rPr>
                    <w:t>29.304867</w:t>
                  </w:r>
                </w:p>
              </w:tc>
              <w:tc>
                <w:tcPr>
                  <w:tcW w:w="902" w:type="pct"/>
                  <w:noWrap w:val="0"/>
                  <w:vAlign w:val="center"/>
                </w:tcPr>
                <w:p w14:paraId="3987F6E5">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1"/>
                      <w:szCs w:val="28"/>
                      <w:highlight w:val="none"/>
                      <w:lang w:bidi="ar"/>
                    </w:rPr>
                  </w:pPr>
                  <w:r>
                    <w:rPr>
                      <w:rFonts w:hint="default" w:ascii="Times New Roman" w:hAnsi="Times New Roman" w:eastAsia="宋体" w:cs="Times New Roman"/>
                      <w:color w:val="auto"/>
                      <w:kern w:val="2"/>
                      <w:sz w:val="20"/>
                      <w:szCs w:val="20"/>
                      <w:highlight w:val="none"/>
                      <w:lang w:val="en-US" w:eastAsia="zh-CN" w:bidi="ar"/>
                    </w:rPr>
                    <w:t>SO</w:t>
                  </w:r>
                  <w:r>
                    <w:rPr>
                      <w:rFonts w:hint="default" w:ascii="Times New Roman" w:hAnsi="Times New Roman" w:eastAsia="宋体" w:cs="Times New Roman"/>
                      <w:color w:val="auto"/>
                      <w:kern w:val="2"/>
                      <w:sz w:val="20"/>
                      <w:szCs w:val="20"/>
                      <w:highlight w:val="none"/>
                      <w:vertAlign w:val="subscript"/>
                      <w:lang w:val="en-US" w:eastAsia="zh-CN" w:bidi="ar"/>
                    </w:rPr>
                    <w:t>2</w:t>
                  </w:r>
                </w:p>
              </w:tc>
              <w:tc>
                <w:tcPr>
                  <w:tcW w:w="531" w:type="pct"/>
                  <w:vMerge w:val="restart"/>
                  <w:noWrap w:val="0"/>
                  <w:vAlign w:val="center"/>
                </w:tcPr>
                <w:p w14:paraId="03446FBB">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0"/>
                      <w:sz w:val="22"/>
                      <w:szCs w:val="22"/>
                      <w:highlight w:val="none"/>
                      <w:lang w:val="en-US" w:eastAsia="zh-CN" w:bidi="ar"/>
                    </w:rPr>
                  </w:pPr>
                  <w:r>
                    <w:rPr>
                      <w:rFonts w:hint="default" w:ascii="Times New Roman" w:hAnsi="Times New Roman" w:cs="Times New Roman"/>
                      <w:color w:val="auto"/>
                      <w:kern w:val="0"/>
                      <w:sz w:val="22"/>
                      <w:szCs w:val="22"/>
                      <w:highlight w:val="none"/>
                      <w:lang w:val="en-US" w:eastAsia="zh-CN" w:bidi="ar"/>
                    </w:rPr>
                    <w:t>25</w:t>
                  </w:r>
                </w:p>
              </w:tc>
              <w:tc>
                <w:tcPr>
                  <w:tcW w:w="1343" w:type="dxa"/>
                  <w:vMerge w:val="restart"/>
                  <w:noWrap w:val="0"/>
                  <w:vAlign w:val="center"/>
                </w:tcPr>
                <w:p w14:paraId="6E1AF933">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22"/>
                      <w:szCs w:val="22"/>
                      <w:highlight w:val="none"/>
                      <w:lang w:val="en-US" w:eastAsia="zh-CN" w:bidi="ar"/>
                    </w:rPr>
                  </w:pPr>
                  <w:r>
                    <w:rPr>
                      <w:rFonts w:hint="default" w:ascii="Times New Roman" w:hAnsi="Times New Roman" w:cs="Times New Roman"/>
                      <w:color w:val="auto"/>
                      <w:kern w:val="2"/>
                      <w:sz w:val="20"/>
                      <w:szCs w:val="20"/>
                      <w:highlight w:val="none"/>
                      <w:lang w:val="en-US" w:eastAsia="zh-CN" w:bidi="ar"/>
                    </w:rPr>
                    <w:t>0.</w:t>
                  </w:r>
                  <w:r>
                    <w:rPr>
                      <w:rFonts w:hint="eastAsia" w:cs="Times New Roman"/>
                      <w:color w:val="auto"/>
                      <w:kern w:val="2"/>
                      <w:sz w:val="20"/>
                      <w:szCs w:val="20"/>
                      <w:highlight w:val="none"/>
                      <w:lang w:val="en-US" w:eastAsia="zh-CN" w:bidi="ar"/>
                    </w:rPr>
                    <w:t>2</w:t>
                  </w:r>
                </w:p>
              </w:tc>
              <w:tc>
                <w:tcPr>
                  <w:tcW w:w="630" w:type="pct"/>
                  <w:vMerge w:val="restart"/>
                  <w:noWrap w:val="0"/>
                  <w:vAlign w:val="center"/>
                </w:tcPr>
                <w:p w14:paraId="210DC267">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0"/>
                      <w:sz w:val="22"/>
                      <w:szCs w:val="22"/>
                      <w:highlight w:val="none"/>
                      <w:lang w:val="en-US" w:eastAsia="zh-CN" w:bidi="ar"/>
                    </w:rPr>
                  </w:pPr>
                  <w:r>
                    <w:rPr>
                      <w:rFonts w:hint="eastAsia" w:cs="Times New Roman"/>
                      <w:color w:val="auto"/>
                      <w:kern w:val="0"/>
                      <w:sz w:val="22"/>
                      <w:szCs w:val="22"/>
                      <w:highlight w:val="none"/>
                      <w:lang w:val="en-US" w:eastAsia="zh-CN" w:bidi="ar"/>
                    </w:rPr>
                    <w:t>150</w:t>
                  </w:r>
                </w:p>
              </w:tc>
            </w:tr>
            <w:tr w14:paraId="55F670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816" w:type="pct"/>
                  <w:vMerge w:val="continue"/>
                  <w:noWrap w:val="0"/>
                  <w:vAlign w:val="center"/>
                </w:tcPr>
                <w:p w14:paraId="43165843">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558" w:type="pct"/>
                  <w:vMerge w:val="continue"/>
                  <w:noWrap w:val="0"/>
                  <w:vAlign w:val="center"/>
                </w:tcPr>
                <w:p w14:paraId="33D10FA4">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762" w:type="pct"/>
                  <w:vMerge w:val="continue"/>
                  <w:noWrap w:val="0"/>
                  <w:vAlign w:val="center"/>
                </w:tcPr>
                <w:p w14:paraId="2569DAB2">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902" w:type="pct"/>
                  <w:noWrap w:val="0"/>
                  <w:vAlign w:val="center"/>
                </w:tcPr>
                <w:p w14:paraId="0FF441DE">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1"/>
                      <w:szCs w:val="28"/>
                      <w:highlight w:val="none"/>
                      <w:lang w:bidi="ar"/>
                    </w:rPr>
                  </w:pPr>
                  <w:r>
                    <w:rPr>
                      <w:rFonts w:hint="default" w:ascii="Times New Roman" w:hAnsi="Times New Roman" w:eastAsia="宋体" w:cs="Times New Roman"/>
                      <w:color w:val="auto"/>
                      <w:kern w:val="2"/>
                      <w:sz w:val="20"/>
                      <w:szCs w:val="20"/>
                      <w:highlight w:val="none"/>
                      <w:lang w:val="en-US" w:eastAsia="zh-CN" w:bidi="ar"/>
                    </w:rPr>
                    <w:t>NOx</w:t>
                  </w:r>
                </w:p>
              </w:tc>
              <w:tc>
                <w:tcPr>
                  <w:tcW w:w="531" w:type="pct"/>
                  <w:vMerge w:val="continue"/>
                  <w:noWrap w:val="0"/>
                  <w:vAlign w:val="center"/>
                </w:tcPr>
                <w:p w14:paraId="0DF683CD">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c>
                <w:tcPr>
                  <w:tcW w:w="798" w:type="pct"/>
                  <w:vMerge w:val="continue"/>
                  <w:noWrap w:val="0"/>
                  <w:vAlign w:val="center"/>
                </w:tcPr>
                <w:p w14:paraId="19CFB21E">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c>
                <w:tcPr>
                  <w:tcW w:w="630" w:type="pct"/>
                  <w:vMerge w:val="continue"/>
                  <w:noWrap w:val="0"/>
                  <w:vAlign w:val="center"/>
                </w:tcPr>
                <w:p w14:paraId="11C3072E">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r>
            <w:tr w14:paraId="724807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816" w:type="pct"/>
                  <w:vMerge w:val="continue"/>
                  <w:noWrap w:val="0"/>
                  <w:vAlign w:val="center"/>
                </w:tcPr>
                <w:p w14:paraId="246AB6FD">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558" w:type="pct"/>
                  <w:vMerge w:val="continue"/>
                  <w:noWrap w:val="0"/>
                  <w:vAlign w:val="center"/>
                </w:tcPr>
                <w:p w14:paraId="6018C1C0">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762" w:type="pct"/>
                  <w:vMerge w:val="continue"/>
                  <w:noWrap w:val="0"/>
                  <w:vAlign w:val="center"/>
                </w:tcPr>
                <w:p w14:paraId="5DD3C1F7">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902" w:type="pct"/>
                  <w:noWrap w:val="0"/>
                  <w:vAlign w:val="center"/>
                </w:tcPr>
                <w:p w14:paraId="7258289A">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1"/>
                      <w:szCs w:val="28"/>
                      <w:highlight w:val="none"/>
                      <w:lang w:bidi="ar"/>
                    </w:rPr>
                  </w:pPr>
                  <w:r>
                    <w:rPr>
                      <w:rFonts w:hint="default" w:ascii="Times New Roman" w:hAnsi="Times New Roman" w:eastAsia="宋体" w:cs="Times New Roman"/>
                      <w:color w:val="auto"/>
                      <w:kern w:val="2"/>
                      <w:sz w:val="20"/>
                      <w:szCs w:val="20"/>
                      <w:highlight w:val="none"/>
                      <w:lang w:val="en-US" w:eastAsia="zh-CN" w:bidi="ar"/>
                    </w:rPr>
                    <w:t>颗粒物</w:t>
                  </w:r>
                </w:p>
              </w:tc>
              <w:tc>
                <w:tcPr>
                  <w:tcW w:w="531" w:type="pct"/>
                  <w:vMerge w:val="continue"/>
                  <w:noWrap w:val="0"/>
                  <w:vAlign w:val="center"/>
                </w:tcPr>
                <w:p w14:paraId="3FC1FA27">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c>
                <w:tcPr>
                  <w:tcW w:w="798" w:type="pct"/>
                  <w:vMerge w:val="continue"/>
                  <w:noWrap w:val="0"/>
                  <w:vAlign w:val="center"/>
                </w:tcPr>
                <w:p w14:paraId="4A05B709">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c>
                <w:tcPr>
                  <w:tcW w:w="630" w:type="pct"/>
                  <w:vMerge w:val="continue"/>
                  <w:noWrap w:val="0"/>
                  <w:vAlign w:val="center"/>
                </w:tcPr>
                <w:p w14:paraId="50728714">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r>
            <w:tr w14:paraId="2C861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5" w:hRule="atLeast"/>
              </w:trPr>
              <w:tc>
                <w:tcPr>
                  <w:tcW w:w="816" w:type="pct"/>
                  <w:vMerge w:val="continue"/>
                  <w:noWrap w:val="0"/>
                  <w:vAlign w:val="center"/>
                </w:tcPr>
                <w:p w14:paraId="2E8EB80C">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558" w:type="pct"/>
                  <w:vMerge w:val="restart"/>
                  <w:noWrap w:val="0"/>
                  <w:vAlign w:val="center"/>
                </w:tcPr>
                <w:p w14:paraId="2A6D1190">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r>
                    <w:rPr>
                      <w:rFonts w:hint="default" w:ascii="Times New Roman" w:hAnsi="Times New Roman" w:cs="Times New Roman"/>
                      <w:color w:val="auto"/>
                      <w:kern w:val="0"/>
                      <w:sz w:val="21"/>
                      <w:szCs w:val="28"/>
                      <w:highlight w:val="none"/>
                      <w:lang w:val="en-US" w:eastAsia="zh-CN" w:bidi="ar"/>
                    </w:rPr>
                    <w:t>DA003</w:t>
                  </w:r>
                </w:p>
              </w:tc>
              <w:tc>
                <w:tcPr>
                  <w:tcW w:w="762" w:type="pct"/>
                  <w:vMerge w:val="restart"/>
                  <w:noWrap w:val="0"/>
                  <w:vAlign w:val="center"/>
                </w:tcPr>
                <w:p w14:paraId="28921116">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r>
                    <w:rPr>
                      <w:rFonts w:hint="default" w:ascii="Times New Roman" w:hAnsi="Times New Roman" w:cs="Times New Roman"/>
                      <w:color w:val="auto"/>
                      <w:kern w:val="0"/>
                      <w:sz w:val="21"/>
                      <w:szCs w:val="28"/>
                      <w:highlight w:val="none"/>
                      <w:lang w:bidi="ar"/>
                    </w:rPr>
                    <w:t>106.379489</w:t>
                  </w:r>
                </w:p>
                <w:p w14:paraId="1A069A9B">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r>
                    <w:rPr>
                      <w:rFonts w:hint="default" w:ascii="Times New Roman" w:hAnsi="Times New Roman" w:cs="Times New Roman"/>
                      <w:color w:val="auto"/>
                      <w:kern w:val="0"/>
                      <w:sz w:val="21"/>
                      <w:szCs w:val="28"/>
                      <w:highlight w:val="none"/>
                      <w:lang w:bidi="ar"/>
                    </w:rPr>
                    <w:t>29.304902</w:t>
                  </w:r>
                </w:p>
              </w:tc>
              <w:tc>
                <w:tcPr>
                  <w:tcW w:w="902" w:type="pct"/>
                  <w:noWrap w:val="0"/>
                  <w:vAlign w:val="center"/>
                </w:tcPr>
                <w:p w14:paraId="35AD9B83">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1"/>
                      <w:szCs w:val="28"/>
                      <w:highlight w:val="none"/>
                      <w:lang w:bidi="ar"/>
                    </w:rPr>
                  </w:pPr>
                  <w:r>
                    <w:rPr>
                      <w:rFonts w:hint="default" w:ascii="Times New Roman" w:hAnsi="Times New Roman" w:eastAsia="宋体" w:cs="Times New Roman"/>
                      <w:color w:val="auto"/>
                      <w:kern w:val="2"/>
                      <w:sz w:val="20"/>
                      <w:szCs w:val="20"/>
                      <w:highlight w:val="none"/>
                      <w:lang w:val="en-US" w:eastAsia="zh-CN" w:bidi="ar"/>
                    </w:rPr>
                    <w:t>SO</w:t>
                  </w:r>
                  <w:r>
                    <w:rPr>
                      <w:rFonts w:hint="default" w:ascii="Times New Roman" w:hAnsi="Times New Roman" w:eastAsia="宋体" w:cs="Times New Roman"/>
                      <w:color w:val="auto"/>
                      <w:kern w:val="2"/>
                      <w:sz w:val="20"/>
                      <w:szCs w:val="20"/>
                      <w:highlight w:val="none"/>
                      <w:vertAlign w:val="subscript"/>
                      <w:lang w:val="en-US" w:eastAsia="zh-CN" w:bidi="ar"/>
                    </w:rPr>
                    <w:t>2</w:t>
                  </w:r>
                </w:p>
              </w:tc>
              <w:tc>
                <w:tcPr>
                  <w:tcW w:w="531" w:type="pct"/>
                  <w:vMerge w:val="restart"/>
                  <w:noWrap w:val="0"/>
                  <w:vAlign w:val="center"/>
                </w:tcPr>
                <w:p w14:paraId="403AEDA3">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val="en-US" w:bidi="ar"/>
                    </w:rPr>
                  </w:pPr>
                  <w:r>
                    <w:rPr>
                      <w:rFonts w:hint="default" w:ascii="Times New Roman" w:hAnsi="Times New Roman" w:cs="Times New Roman"/>
                      <w:color w:val="auto"/>
                      <w:kern w:val="0"/>
                      <w:sz w:val="22"/>
                      <w:szCs w:val="22"/>
                      <w:highlight w:val="none"/>
                      <w:lang w:val="en-US" w:eastAsia="zh-CN" w:bidi="ar"/>
                    </w:rPr>
                    <w:t>19</w:t>
                  </w:r>
                </w:p>
              </w:tc>
              <w:tc>
                <w:tcPr>
                  <w:tcW w:w="1343" w:type="dxa"/>
                  <w:vMerge w:val="restart"/>
                  <w:noWrap w:val="0"/>
                  <w:vAlign w:val="center"/>
                </w:tcPr>
                <w:p w14:paraId="25768DE0">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2"/>
                      <w:szCs w:val="22"/>
                      <w:highlight w:val="none"/>
                      <w:lang w:bidi="ar"/>
                    </w:rPr>
                  </w:pPr>
                  <w:r>
                    <w:rPr>
                      <w:rFonts w:hint="default" w:ascii="Times New Roman" w:hAnsi="Times New Roman" w:cs="Times New Roman"/>
                      <w:color w:val="auto"/>
                      <w:kern w:val="2"/>
                      <w:sz w:val="20"/>
                      <w:szCs w:val="20"/>
                      <w:highlight w:val="none"/>
                      <w:lang w:val="en-US" w:eastAsia="zh-CN" w:bidi="ar"/>
                    </w:rPr>
                    <w:t>0.</w:t>
                  </w:r>
                  <w:r>
                    <w:rPr>
                      <w:rFonts w:hint="eastAsia" w:cs="Times New Roman"/>
                      <w:color w:val="auto"/>
                      <w:kern w:val="2"/>
                      <w:sz w:val="20"/>
                      <w:szCs w:val="20"/>
                      <w:highlight w:val="none"/>
                      <w:lang w:val="en-US" w:eastAsia="zh-CN" w:bidi="ar"/>
                    </w:rPr>
                    <w:t>2</w:t>
                  </w:r>
                </w:p>
              </w:tc>
              <w:tc>
                <w:tcPr>
                  <w:tcW w:w="630" w:type="pct"/>
                  <w:vMerge w:val="restart"/>
                  <w:noWrap w:val="0"/>
                  <w:vAlign w:val="center"/>
                </w:tcPr>
                <w:p w14:paraId="3D09D46C">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kern w:val="0"/>
                      <w:sz w:val="22"/>
                      <w:szCs w:val="22"/>
                      <w:highlight w:val="none"/>
                      <w:lang w:val="en-US" w:eastAsia="zh-CN" w:bidi="ar"/>
                    </w:rPr>
                  </w:pPr>
                  <w:r>
                    <w:rPr>
                      <w:rFonts w:hint="eastAsia" w:cs="Times New Roman"/>
                      <w:color w:val="auto"/>
                      <w:kern w:val="0"/>
                      <w:sz w:val="22"/>
                      <w:szCs w:val="22"/>
                      <w:highlight w:val="none"/>
                      <w:lang w:val="en-US" w:eastAsia="zh-CN" w:bidi="ar"/>
                    </w:rPr>
                    <w:t>70</w:t>
                  </w:r>
                </w:p>
              </w:tc>
            </w:tr>
            <w:tr w14:paraId="3FFCD3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816" w:type="pct"/>
                  <w:vMerge w:val="continue"/>
                  <w:noWrap w:val="0"/>
                  <w:vAlign w:val="center"/>
                </w:tcPr>
                <w:p w14:paraId="0644164D">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558" w:type="pct"/>
                  <w:vMerge w:val="continue"/>
                  <w:noWrap w:val="0"/>
                  <w:vAlign w:val="center"/>
                </w:tcPr>
                <w:p w14:paraId="247056F7">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val="en-US" w:eastAsia="zh-CN" w:bidi="ar"/>
                    </w:rPr>
                  </w:pPr>
                </w:p>
              </w:tc>
              <w:tc>
                <w:tcPr>
                  <w:tcW w:w="762" w:type="pct"/>
                  <w:vMerge w:val="continue"/>
                  <w:noWrap w:val="0"/>
                  <w:vAlign w:val="center"/>
                </w:tcPr>
                <w:p w14:paraId="1826BCA3">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902" w:type="pct"/>
                  <w:noWrap w:val="0"/>
                  <w:vAlign w:val="center"/>
                </w:tcPr>
                <w:p w14:paraId="6B602CA3">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1"/>
                      <w:szCs w:val="28"/>
                      <w:highlight w:val="none"/>
                      <w:lang w:bidi="ar"/>
                    </w:rPr>
                  </w:pPr>
                  <w:r>
                    <w:rPr>
                      <w:rFonts w:hint="default" w:ascii="Times New Roman" w:hAnsi="Times New Roman" w:eastAsia="宋体" w:cs="Times New Roman"/>
                      <w:color w:val="auto"/>
                      <w:kern w:val="2"/>
                      <w:sz w:val="20"/>
                      <w:szCs w:val="20"/>
                      <w:highlight w:val="none"/>
                      <w:lang w:val="en-US" w:eastAsia="zh-CN" w:bidi="ar"/>
                    </w:rPr>
                    <w:t>NOx</w:t>
                  </w:r>
                </w:p>
              </w:tc>
              <w:tc>
                <w:tcPr>
                  <w:tcW w:w="531" w:type="pct"/>
                  <w:vMerge w:val="continue"/>
                  <w:noWrap w:val="0"/>
                  <w:vAlign w:val="center"/>
                </w:tcPr>
                <w:p w14:paraId="24227EF8">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c>
                <w:tcPr>
                  <w:tcW w:w="798" w:type="pct"/>
                  <w:vMerge w:val="continue"/>
                  <w:noWrap w:val="0"/>
                  <w:vAlign w:val="center"/>
                </w:tcPr>
                <w:p w14:paraId="6C3588EB">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c>
                <w:tcPr>
                  <w:tcW w:w="630" w:type="pct"/>
                  <w:vMerge w:val="continue"/>
                  <w:noWrap w:val="0"/>
                  <w:vAlign w:val="center"/>
                </w:tcPr>
                <w:p w14:paraId="37DBA26D">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r>
            <w:tr w14:paraId="13BE45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816" w:type="pct"/>
                  <w:vMerge w:val="continue"/>
                  <w:noWrap w:val="0"/>
                  <w:vAlign w:val="center"/>
                </w:tcPr>
                <w:p w14:paraId="4923797D">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558" w:type="pct"/>
                  <w:vMerge w:val="continue"/>
                  <w:noWrap w:val="0"/>
                  <w:vAlign w:val="center"/>
                </w:tcPr>
                <w:p w14:paraId="7CBFF8A9">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762" w:type="pct"/>
                  <w:vMerge w:val="continue"/>
                  <w:noWrap w:val="0"/>
                  <w:vAlign w:val="center"/>
                </w:tcPr>
                <w:p w14:paraId="1630C30F">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1"/>
                      <w:szCs w:val="28"/>
                      <w:highlight w:val="none"/>
                      <w:lang w:bidi="ar"/>
                    </w:rPr>
                  </w:pPr>
                </w:p>
              </w:tc>
              <w:tc>
                <w:tcPr>
                  <w:tcW w:w="902" w:type="pct"/>
                  <w:noWrap w:val="0"/>
                  <w:vAlign w:val="center"/>
                </w:tcPr>
                <w:p w14:paraId="77C69400">
                  <w:pPr>
                    <w:keepNext w:val="0"/>
                    <w:keepLines w:val="0"/>
                    <w:pageBreakBefore w:val="0"/>
                    <w:widowControl w:val="0"/>
                    <w:suppressLineNumbers w:val="0"/>
                    <w:suppressAutoHyphens/>
                    <w:kinsoku/>
                    <w:wordWrap/>
                    <w:overflowPunct w:val="0"/>
                    <w:topLinePunct/>
                    <w:autoSpaceDE w:val="0"/>
                    <w:autoSpaceDN w:val="0"/>
                    <w:bidi w:val="0"/>
                    <w:adjustRightInd/>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1"/>
                      <w:szCs w:val="28"/>
                      <w:highlight w:val="none"/>
                      <w:lang w:bidi="ar"/>
                    </w:rPr>
                  </w:pPr>
                  <w:r>
                    <w:rPr>
                      <w:rFonts w:hint="default" w:ascii="Times New Roman" w:hAnsi="Times New Roman" w:eastAsia="宋体" w:cs="Times New Roman"/>
                      <w:color w:val="auto"/>
                      <w:kern w:val="2"/>
                      <w:sz w:val="20"/>
                      <w:szCs w:val="20"/>
                      <w:highlight w:val="none"/>
                      <w:lang w:val="en-US" w:eastAsia="zh-CN" w:bidi="ar"/>
                    </w:rPr>
                    <w:t>颗粒物</w:t>
                  </w:r>
                </w:p>
              </w:tc>
              <w:tc>
                <w:tcPr>
                  <w:tcW w:w="531" w:type="pct"/>
                  <w:vMerge w:val="continue"/>
                  <w:noWrap w:val="0"/>
                  <w:vAlign w:val="center"/>
                </w:tcPr>
                <w:p w14:paraId="75F37636">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c>
                <w:tcPr>
                  <w:tcW w:w="798" w:type="pct"/>
                  <w:vMerge w:val="continue"/>
                  <w:noWrap w:val="0"/>
                  <w:vAlign w:val="center"/>
                </w:tcPr>
                <w:p w14:paraId="53257A69">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c>
                <w:tcPr>
                  <w:tcW w:w="630" w:type="pct"/>
                  <w:vMerge w:val="continue"/>
                  <w:noWrap w:val="0"/>
                  <w:vAlign w:val="center"/>
                </w:tcPr>
                <w:p w14:paraId="39FB18F7">
                  <w:pPr>
                    <w:pageBreakBefore w:val="0"/>
                    <w:widowControl/>
                    <w:kinsoku/>
                    <w:wordWrap/>
                    <w:overflowPunct w:val="0"/>
                    <w:topLinePunct/>
                    <w:bidi w:val="0"/>
                    <w:spacing w:line="240" w:lineRule="auto"/>
                    <w:ind w:firstLine="0" w:firstLineChars="0"/>
                    <w:jc w:val="center"/>
                    <w:textAlignment w:val="center"/>
                    <w:rPr>
                      <w:rFonts w:hint="default" w:ascii="Times New Roman" w:hAnsi="Times New Roman" w:cs="Times New Roman"/>
                      <w:color w:val="auto"/>
                      <w:kern w:val="0"/>
                      <w:sz w:val="22"/>
                      <w:szCs w:val="22"/>
                      <w:highlight w:val="none"/>
                      <w:lang w:bidi="ar"/>
                    </w:rPr>
                  </w:pPr>
                </w:p>
              </w:tc>
            </w:tr>
            <w:tr w14:paraId="226D91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5000" w:type="pct"/>
                  <w:gridSpan w:val="7"/>
                  <w:noWrap w:val="0"/>
                  <w:vAlign w:val="center"/>
                </w:tcPr>
                <w:p w14:paraId="0C6B9233">
                  <w:pPr>
                    <w:pageBreakBefore w:val="0"/>
                    <w:widowControl/>
                    <w:kinsoku/>
                    <w:wordWrap/>
                    <w:overflowPunct w:val="0"/>
                    <w:topLinePunct/>
                    <w:bidi w:val="0"/>
                    <w:spacing w:line="240" w:lineRule="auto"/>
                    <w:ind w:firstLine="0" w:firstLineChars="0"/>
                    <w:jc w:val="both"/>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b w:val="0"/>
                      <w:bCs w:val="0"/>
                      <w:color w:val="auto"/>
                      <w:sz w:val="21"/>
                      <w:szCs w:val="21"/>
                      <w:highlight w:val="none"/>
                      <w:lang w:val="en-US" w:eastAsia="zh-CN"/>
                    </w:rPr>
                    <w:t>注：以厂址中心为坐标原点（0,0）</w:t>
                  </w:r>
                </w:p>
              </w:tc>
            </w:tr>
          </w:tbl>
          <w:p w14:paraId="6494DF79">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（5）废气监测计划</w:t>
            </w:r>
          </w:p>
          <w:p w14:paraId="71590D9D">
            <w:pPr>
              <w:pStyle w:val="24"/>
              <w:keepNext w:val="0"/>
              <w:keepLines w:val="0"/>
              <w:pageBreakBefore w:val="0"/>
              <w:kinsoku/>
              <w:wordWrap/>
              <w:overflowPunct w:val="0"/>
              <w:topLinePunct/>
              <w:bidi w:val="0"/>
              <w:spacing w:line="460" w:lineRule="exact"/>
              <w:ind w:right="0" w:firstLine="480" w:firstLineChars="200"/>
              <w:jc w:val="both"/>
              <w:rPr>
                <w:rFonts w:hint="default" w:ascii="Times New Roman" w:hAnsi="Times New Roman" w:eastAsia="宋体" w:cs="Times New Roman"/>
                <w:color w:val="auto"/>
                <w:spacing w:val="0"/>
                <w:position w:val="0"/>
                <w:sz w:val="24"/>
                <w:szCs w:val="24"/>
                <w:highlight w:val="none"/>
                <w:lang w:val="en-US" w:eastAsia="zh-CN"/>
              </w:rPr>
            </w:pPr>
            <w:r>
              <w:rPr>
                <w:rFonts w:hint="eastAsia" w:ascii="Times New Roman" w:hAnsi="Times New Roman" w:cs="Times New Roman"/>
                <w:color w:val="auto"/>
                <w:spacing w:val="0"/>
                <w:position w:val="0"/>
                <w:sz w:val="24"/>
                <w:szCs w:val="24"/>
                <w:highlight w:val="none"/>
                <w:lang w:val="en-US" w:eastAsia="zh-CN"/>
              </w:rPr>
              <w:t>本项目</w:t>
            </w:r>
            <w:r>
              <w:rPr>
                <w:rFonts w:hint="default" w:ascii="Times New Roman" w:hAnsi="Times New Roman" w:eastAsia="宋体" w:cs="Times New Roman"/>
                <w:color w:val="auto"/>
                <w:spacing w:val="0"/>
                <w:position w:val="0"/>
                <w:sz w:val="24"/>
                <w:szCs w:val="24"/>
                <w:highlight w:val="none"/>
                <w:lang w:val="en-US" w:eastAsia="zh-CN"/>
              </w:rPr>
              <w:t>废气监测涉及</w:t>
            </w:r>
            <w:r>
              <w:rPr>
                <w:rFonts w:hint="default" w:ascii="Times New Roman" w:hAnsi="Times New Roman" w:cs="Times New Roman"/>
                <w:color w:val="auto"/>
                <w:spacing w:val="0"/>
                <w:position w:val="0"/>
                <w:sz w:val="24"/>
                <w:szCs w:val="24"/>
                <w:highlight w:val="none"/>
                <w:lang w:val="en-US" w:eastAsia="zh-CN"/>
              </w:rPr>
              <w:t>锅炉</w:t>
            </w:r>
            <w:r>
              <w:rPr>
                <w:rFonts w:hint="default" w:ascii="Times New Roman" w:hAnsi="Times New Roman" w:eastAsia="宋体" w:cs="Times New Roman"/>
                <w:color w:val="auto"/>
                <w:spacing w:val="0"/>
                <w:position w:val="0"/>
                <w:sz w:val="24"/>
                <w:szCs w:val="24"/>
                <w:highlight w:val="none"/>
                <w:lang w:val="en-US" w:eastAsia="zh-CN"/>
              </w:rPr>
              <w:t>废气排气筒和</w:t>
            </w:r>
            <w:r>
              <w:rPr>
                <w:rFonts w:hint="default" w:ascii="Times New Roman" w:hAnsi="Times New Roman" w:cs="Times New Roman"/>
                <w:color w:val="auto"/>
                <w:spacing w:val="0"/>
                <w:position w:val="0"/>
                <w:sz w:val="24"/>
                <w:szCs w:val="24"/>
                <w:highlight w:val="none"/>
                <w:lang w:val="en-US" w:eastAsia="zh-CN"/>
              </w:rPr>
              <w:t>精炼</w:t>
            </w:r>
            <w:r>
              <w:rPr>
                <w:rFonts w:hint="default" w:ascii="Times New Roman" w:hAnsi="Times New Roman" w:eastAsia="宋体" w:cs="Times New Roman"/>
                <w:color w:val="auto"/>
                <w:spacing w:val="0"/>
                <w:position w:val="0"/>
                <w:sz w:val="24"/>
                <w:szCs w:val="24"/>
                <w:highlight w:val="none"/>
                <w:lang w:val="en-US" w:eastAsia="zh-CN"/>
              </w:rPr>
              <w:t>废气排气筒，涉及的废气污染因子为颗粒物、SO</w:t>
            </w:r>
            <w:r>
              <w:rPr>
                <w:rFonts w:hint="default" w:ascii="Times New Roman" w:hAnsi="Times New Roman" w:eastAsia="宋体" w:cs="Times New Roman"/>
                <w:color w:val="auto"/>
                <w:spacing w:val="0"/>
                <w:position w:val="0"/>
                <w:sz w:val="24"/>
                <w:szCs w:val="24"/>
                <w:highlight w:val="none"/>
                <w:vertAlign w:val="subscript"/>
                <w:lang w:val="en-US" w:eastAsia="zh-CN"/>
              </w:rPr>
              <w:t>2</w:t>
            </w:r>
            <w:r>
              <w:rPr>
                <w:rFonts w:hint="default" w:ascii="Times New Roman" w:hAnsi="Times New Roman" w:eastAsia="宋体" w:cs="Times New Roman"/>
                <w:color w:val="auto"/>
                <w:spacing w:val="0"/>
                <w:position w:val="0"/>
                <w:sz w:val="24"/>
                <w:szCs w:val="24"/>
                <w:highlight w:val="none"/>
                <w:lang w:val="en-US" w:eastAsia="zh-CN"/>
              </w:rPr>
              <w:t>、NOx</w:t>
            </w:r>
            <w:r>
              <w:rPr>
                <w:rFonts w:hint="default" w:ascii="Times New Roman" w:hAnsi="Times New Roman" w:cs="Times New Roman"/>
                <w:color w:val="auto"/>
                <w:spacing w:val="0"/>
                <w:position w:val="0"/>
                <w:sz w:val="24"/>
                <w:szCs w:val="24"/>
                <w:highlight w:val="none"/>
                <w:lang w:val="en-US" w:eastAsia="zh-CN"/>
              </w:rPr>
              <w:t>、非甲烷总烃、臭气浓度</w:t>
            </w:r>
            <w:r>
              <w:rPr>
                <w:rFonts w:hint="default" w:ascii="Times New Roman" w:hAnsi="Times New Roman" w:eastAsia="宋体" w:cs="Times New Roman"/>
                <w:color w:val="auto"/>
                <w:spacing w:val="0"/>
                <w:position w:val="0"/>
                <w:sz w:val="24"/>
                <w:szCs w:val="24"/>
                <w:highlight w:val="none"/>
                <w:lang w:val="en-US" w:eastAsia="zh-CN"/>
              </w:rPr>
              <w:t>，根据《排污许可证申请与核发技术规范</w:t>
            </w:r>
            <w:r>
              <w:rPr>
                <w:rFonts w:hint="default" w:ascii="Times New Roman" w:hAnsi="Times New Roman" w:eastAsia="宋体" w:cs="Times New Roman"/>
                <w:color w:val="auto"/>
                <w:kern w:val="0"/>
                <w:sz w:val="24"/>
                <w:szCs w:val="24"/>
                <w:highlight w:val="none"/>
                <w:lang w:val="en-US" w:eastAsia="zh-CN" w:bidi="ar"/>
              </w:rPr>
              <w:t>农副食品加工工业一饲料加工、植物油加工工业</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spacing w:val="0"/>
                <w:position w:val="0"/>
                <w:sz w:val="24"/>
                <w:szCs w:val="24"/>
                <w:highlight w:val="none"/>
                <w:lang w:val="en-US" w:eastAsia="zh-CN"/>
              </w:rPr>
              <w:t>《排污许可证申请与核发技术规范</w:t>
            </w:r>
            <w:r>
              <w:rPr>
                <w:rFonts w:hint="default" w:ascii="Times New Roman" w:hAnsi="Times New Roman" w:cs="Times New Roman"/>
                <w:color w:val="auto"/>
                <w:kern w:val="0"/>
                <w:sz w:val="24"/>
                <w:szCs w:val="24"/>
                <w:highlight w:val="none"/>
                <w:lang w:val="en-US" w:eastAsia="zh-CN" w:bidi="ar"/>
              </w:rPr>
              <w:t>锅炉》</w:t>
            </w:r>
            <w:r>
              <w:rPr>
                <w:rFonts w:hint="default" w:ascii="Times New Roman" w:hAnsi="Times New Roman" w:eastAsia="宋体" w:cs="Times New Roman"/>
                <w:color w:val="auto"/>
                <w:spacing w:val="0"/>
                <w:position w:val="0"/>
                <w:sz w:val="24"/>
                <w:szCs w:val="24"/>
                <w:highlight w:val="none"/>
                <w:lang w:val="en-US" w:eastAsia="zh-CN"/>
              </w:rPr>
              <w:t>，结合项目特点，制定污染源监测方案，详见表4.2-</w:t>
            </w:r>
            <w:r>
              <w:rPr>
                <w:rFonts w:hint="eastAsia" w:ascii="Times New Roman" w:hAnsi="Times New Roman" w:cs="Times New Roman"/>
                <w:color w:val="auto"/>
                <w:spacing w:val="0"/>
                <w:position w:val="0"/>
                <w:sz w:val="24"/>
                <w:szCs w:val="24"/>
                <w:highlight w:val="none"/>
                <w:lang w:val="en-US" w:eastAsia="zh-CN"/>
              </w:rPr>
              <w:t>6</w:t>
            </w:r>
            <w:r>
              <w:rPr>
                <w:rFonts w:hint="default" w:ascii="Times New Roman" w:hAnsi="Times New Roman" w:eastAsia="宋体" w:cs="Times New Roman"/>
                <w:color w:val="auto"/>
                <w:spacing w:val="0"/>
                <w:position w:val="0"/>
                <w:sz w:val="24"/>
                <w:szCs w:val="24"/>
                <w:highlight w:val="none"/>
                <w:lang w:val="en-US" w:eastAsia="zh-CN"/>
              </w:rPr>
              <w:t>。</w:t>
            </w:r>
          </w:p>
          <w:p w14:paraId="33ED7555">
            <w:pPr>
              <w:pStyle w:val="24"/>
              <w:keepNext w:val="0"/>
              <w:keepLines w:val="0"/>
              <w:pageBreakBefore w:val="0"/>
              <w:kinsoku/>
              <w:wordWrap/>
              <w:overflowPunct w:val="0"/>
              <w:topLinePunct/>
              <w:bidi w:val="0"/>
              <w:spacing w:line="460" w:lineRule="exact"/>
              <w:ind w:right="0"/>
              <w:jc w:val="center"/>
              <w:rPr>
                <w:rFonts w:hint="default" w:ascii="Times New Roman" w:hAnsi="Times New Roman" w:cs="Times New Roman"/>
                <w:b/>
                <w:bCs/>
                <w:color w:val="auto"/>
                <w:spacing w:val="7"/>
                <w:sz w:val="24"/>
                <w:szCs w:val="24"/>
                <w:highlight w:val="none"/>
                <w:u w:val="none" w:color="auto"/>
              </w:rPr>
            </w:pPr>
          </w:p>
          <w:p w14:paraId="7DDE76F0">
            <w:pPr>
              <w:pStyle w:val="24"/>
              <w:keepNext w:val="0"/>
              <w:keepLines w:val="0"/>
              <w:pageBreakBefore w:val="0"/>
              <w:kinsoku/>
              <w:wordWrap/>
              <w:overflowPunct w:val="0"/>
              <w:topLinePunct/>
              <w:bidi w:val="0"/>
              <w:spacing w:line="460" w:lineRule="exact"/>
              <w:ind w:right="0"/>
              <w:jc w:val="center"/>
              <w:rPr>
                <w:rFonts w:hint="default" w:ascii="Times New Roman" w:hAnsi="Times New Roman" w:cs="Times New Roman"/>
                <w:b/>
                <w:bCs/>
                <w:color w:val="auto"/>
                <w:spacing w:val="7"/>
                <w:sz w:val="24"/>
                <w:szCs w:val="24"/>
                <w:highlight w:val="none"/>
                <w:u w:val="none" w:color="auto"/>
              </w:rPr>
            </w:pPr>
          </w:p>
          <w:p w14:paraId="22E6F6D9">
            <w:pPr>
              <w:pStyle w:val="24"/>
              <w:keepNext w:val="0"/>
              <w:keepLines w:val="0"/>
              <w:pageBreakBefore w:val="0"/>
              <w:kinsoku/>
              <w:wordWrap/>
              <w:overflowPunct w:val="0"/>
              <w:topLinePunct/>
              <w:bidi w:val="0"/>
              <w:spacing w:line="460" w:lineRule="exact"/>
              <w:ind w:right="0"/>
              <w:jc w:val="center"/>
              <w:rPr>
                <w:rFonts w:hint="default" w:ascii="Times New Roman" w:hAnsi="Times New Roman" w:cs="Times New Roman"/>
                <w:b/>
                <w:bCs/>
                <w:color w:val="auto"/>
                <w:spacing w:val="7"/>
                <w:sz w:val="24"/>
                <w:szCs w:val="24"/>
                <w:highlight w:val="none"/>
                <w:u w:val="none" w:color="auto"/>
              </w:rPr>
            </w:pPr>
          </w:p>
          <w:p w14:paraId="36536D9D">
            <w:pPr>
              <w:pStyle w:val="24"/>
              <w:keepNext w:val="0"/>
              <w:keepLines w:val="0"/>
              <w:pageBreakBefore w:val="0"/>
              <w:kinsoku/>
              <w:wordWrap/>
              <w:overflowPunct w:val="0"/>
              <w:topLinePunct/>
              <w:bidi w:val="0"/>
              <w:spacing w:line="460" w:lineRule="exact"/>
              <w:ind w:right="0"/>
              <w:jc w:val="center"/>
              <w:rPr>
                <w:rFonts w:hint="default" w:ascii="Times New Roman" w:hAnsi="Times New Roman" w:cs="Times New Roman"/>
                <w:b/>
                <w:bCs/>
                <w:color w:val="auto"/>
                <w:spacing w:val="7"/>
                <w:sz w:val="24"/>
                <w:szCs w:val="24"/>
                <w:highlight w:val="none"/>
                <w:u w:val="none" w:color="auto"/>
              </w:rPr>
            </w:pPr>
          </w:p>
          <w:p w14:paraId="6CB52D77">
            <w:pPr>
              <w:pStyle w:val="24"/>
              <w:keepNext w:val="0"/>
              <w:keepLines w:val="0"/>
              <w:pageBreakBefore w:val="0"/>
              <w:kinsoku/>
              <w:wordWrap/>
              <w:overflowPunct w:val="0"/>
              <w:topLinePunct/>
              <w:bidi w:val="0"/>
              <w:spacing w:line="460" w:lineRule="exact"/>
              <w:ind w:right="0"/>
              <w:jc w:val="center"/>
              <w:rPr>
                <w:rFonts w:hint="default" w:ascii="Times New Roman" w:hAnsi="Times New Roman" w:cs="Times New Roman"/>
                <w:b/>
                <w:bCs/>
                <w:color w:val="auto"/>
                <w:sz w:val="24"/>
                <w:szCs w:val="24"/>
                <w:highlight w:val="none"/>
                <w:u w:val="none" w:color="auto"/>
              </w:rPr>
            </w:pPr>
            <w:r>
              <w:rPr>
                <w:rFonts w:hint="default" w:ascii="Times New Roman" w:hAnsi="Times New Roman" w:cs="Times New Roman"/>
                <w:b/>
                <w:bCs/>
                <w:color w:val="auto"/>
                <w:spacing w:val="7"/>
                <w:sz w:val="24"/>
                <w:szCs w:val="24"/>
                <w:highlight w:val="none"/>
                <w:u w:val="none" w:color="auto"/>
              </w:rPr>
              <w:t>表</w:t>
            </w:r>
            <w:r>
              <w:rPr>
                <w:rFonts w:hint="default" w:ascii="Times New Roman" w:hAnsi="Times New Roman" w:eastAsia="Times New Roman" w:cs="Times New Roman"/>
                <w:b/>
                <w:bCs/>
                <w:color w:val="auto"/>
                <w:spacing w:val="7"/>
                <w:sz w:val="24"/>
                <w:szCs w:val="24"/>
                <w:highlight w:val="none"/>
                <w:u w:val="none" w:color="auto"/>
              </w:rPr>
              <w:t>4</w:t>
            </w:r>
            <w:r>
              <w:rPr>
                <w:rFonts w:hint="default" w:ascii="Times New Roman" w:hAnsi="Times New Roman" w:eastAsia="宋体" w:cs="Times New Roman"/>
                <w:b/>
                <w:bCs/>
                <w:color w:val="auto"/>
                <w:spacing w:val="7"/>
                <w:sz w:val="24"/>
                <w:szCs w:val="24"/>
                <w:highlight w:val="none"/>
                <w:u w:val="none" w:color="auto"/>
                <w:lang w:val="en-US" w:eastAsia="zh-CN"/>
              </w:rPr>
              <w:t>.2</w:t>
            </w:r>
            <w:r>
              <w:rPr>
                <w:rFonts w:hint="default" w:ascii="Times New Roman" w:hAnsi="Times New Roman" w:eastAsia="Times New Roman" w:cs="Times New Roman"/>
                <w:b/>
                <w:bCs/>
                <w:color w:val="auto"/>
                <w:spacing w:val="7"/>
                <w:sz w:val="24"/>
                <w:szCs w:val="24"/>
                <w:highlight w:val="none"/>
                <w:u w:val="none" w:color="auto"/>
              </w:rPr>
              <w:t>-</w:t>
            </w:r>
            <w:r>
              <w:rPr>
                <w:rFonts w:hint="eastAsia" w:ascii="Times New Roman" w:hAnsi="Times New Roman" w:cs="Times New Roman"/>
                <w:b/>
                <w:bCs/>
                <w:color w:val="auto"/>
                <w:spacing w:val="7"/>
                <w:sz w:val="24"/>
                <w:szCs w:val="24"/>
                <w:highlight w:val="none"/>
                <w:u w:val="none" w:color="auto"/>
                <w:lang w:val="en-US" w:eastAsia="zh-CN"/>
              </w:rPr>
              <w:t>6</w:t>
            </w:r>
            <w:r>
              <w:rPr>
                <w:rFonts w:hint="default" w:ascii="Times New Roman" w:hAnsi="Times New Roman" w:cs="Times New Roman"/>
                <w:b/>
                <w:bCs/>
                <w:color w:val="auto"/>
                <w:spacing w:val="7"/>
                <w:sz w:val="24"/>
                <w:szCs w:val="24"/>
                <w:highlight w:val="none"/>
                <w:u w:val="none" w:color="auto"/>
              </w:rPr>
              <w:t>运营期大气环境监测计划</w:t>
            </w:r>
          </w:p>
          <w:p w14:paraId="6527D609">
            <w:pPr>
              <w:pageBreakBefore w:val="0"/>
              <w:kinsoku/>
              <w:wordWrap/>
              <w:overflowPunct w:val="0"/>
              <w:topLinePunct/>
              <w:bidi w:val="0"/>
              <w:spacing w:line="91" w:lineRule="exact"/>
              <w:rPr>
                <w:rFonts w:hint="default" w:ascii="Times New Roman" w:hAnsi="Times New Roman" w:cs="Times New Roman"/>
                <w:color w:val="auto"/>
                <w:highlight w:val="none"/>
              </w:rPr>
            </w:pPr>
          </w:p>
          <w:tbl>
            <w:tblPr>
              <w:tblStyle w:val="18"/>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12"/>
              <w:gridCol w:w="1045"/>
              <w:gridCol w:w="2656"/>
              <w:gridCol w:w="2420"/>
              <w:gridCol w:w="1437"/>
            </w:tblGrid>
            <w:tr w14:paraId="6B9F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314CE625">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类别</w:t>
                  </w:r>
                </w:p>
              </w:tc>
              <w:tc>
                <w:tcPr>
                  <w:tcW w:w="612" w:type="dxa"/>
                  <w:noWrap w:val="0"/>
                  <w:vAlign w:val="center"/>
                </w:tcPr>
                <w:p w14:paraId="43BE774D">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污染源</w:t>
                  </w:r>
                </w:p>
              </w:tc>
              <w:tc>
                <w:tcPr>
                  <w:tcW w:w="1045" w:type="dxa"/>
                  <w:noWrap w:val="0"/>
                  <w:vAlign w:val="center"/>
                </w:tcPr>
                <w:p w14:paraId="1AAFB6C1">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监测</w:t>
                  </w:r>
                </w:p>
                <w:p w14:paraId="57C99D16">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点位</w:t>
                  </w:r>
                </w:p>
              </w:tc>
              <w:tc>
                <w:tcPr>
                  <w:tcW w:w="2656" w:type="dxa"/>
                  <w:noWrap w:val="0"/>
                  <w:vAlign w:val="center"/>
                </w:tcPr>
                <w:p w14:paraId="0B0DFAD1">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监测项目</w:t>
                  </w:r>
                </w:p>
              </w:tc>
              <w:tc>
                <w:tcPr>
                  <w:tcW w:w="2420" w:type="dxa"/>
                  <w:noWrap w:val="0"/>
                  <w:vAlign w:val="center"/>
                </w:tcPr>
                <w:p w14:paraId="01639525">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执行标准</w:t>
                  </w:r>
                </w:p>
              </w:tc>
              <w:tc>
                <w:tcPr>
                  <w:tcW w:w="1437" w:type="dxa"/>
                  <w:noWrap w:val="0"/>
                  <w:vAlign w:val="center"/>
                </w:tcPr>
                <w:p w14:paraId="7567B0A9">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监测频率</w:t>
                  </w:r>
                </w:p>
              </w:tc>
            </w:tr>
            <w:tr w14:paraId="56E4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26" w:type="dxa"/>
                  <w:vMerge w:val="restart"/>
                  <w:noWrap w:val="0"/>
                  <w:vAlign w:val="center"/>
                </w:tcPr>
                <w:p w14:paraId="346EEC0F">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lang w:val="en-US" w:eastAsia="zh-CN"/>
                    </w:rPr>
                  </w:pPr>
                  <w:r>
                    <w:rPr>
                      <w:rFonts w:hint="eastAsia" w:cs="Times New Roman"/>
                      <w:color w:val="auto"/>
                      <w:sz w:val="21"/>
                      <w:szCs w:val="28"/>
                      <w:highlight w:val="none"/>
                      <w:lang w:val="en-US" w:eastAsia="zh-CN"/>
                    </w:rPr>
                    <w:t>废气</w:t>
                  </w:r>
                </w:p>
              </w:tc>
              <w:tc>
                <w:tcPr>
                  <w:tcW w:w="612" w:type="dxa"/>
                  <w:vMerge w:val="restart"/>
                  <w:shd w:val="clear" w:color="auto" w:fill="auto"/>
                  <w:noWrap w:val="0"/>
                  <w:vAlign w:val="center"/>
                </w:tcPr>
                <w:p w14:paraId="44EE5F7D">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lang w:val="en-US" w:eastAsia="zh-CN"/>
                    </w:rPr>
                  </w:pPr>
                  <w:r>
                    <w:rPr>
                      <w:rFonts w:hint="default" w:ascii="Times New Roman" w:hAnsi="Times New Roman" w:cs="Times New Roman"/>
                      <w:color w:val="auto"/>
                      <w:sz w:val="21"/>
                      <w:szCs w:val="28"/>
                      <w:highlight w:val="none"/>
                      <w:lang w:val="en-US" w:eastAsia="zh-CN"/>
                    </w:rPr>
                    <w:t>精炼</w:t>
                  </w:r>
                  <w:r>
                    <w:rPr>
                      <w:rFonts w:hint="default" w:ascii="Times New Roman" w:hAnsi="Times New Roman" w:cs="Times New Roman"/>
                      <w:color w:val="auto"/>
                      <w:sz w:val="21"/>
                      <w:szCs w:val="28"/>
                      <w:highlight w:val="none"/>
                    </w:rPr>
                    <w:t>废气</w:t>
                  </w:r>
                </w:p>
              </w:tc>
              <w:tc>
                <w:tcPr>
                  <w:tcW w:w="1045" w:type="dxa"/>
                  <w:vMerge w:val="restart"/>
                  <w:shd w:val="clear" w:color="auto" w:fill="auto"/>
                  <w:noWrap w:val="0"/>
                  <w:vAlign w:val="center"/>
                </w:tcPr>
                <w:p w14:paraId="06AE65AE">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DA00</w:t>
                  </w:r>
                  <w:r>
                    <w:rPr>
                      <w:rFonts w:hint="default" w:ascii="Times New Roman" w:hAnsi="Times New Roman" w:cs="Times New Roman"/>
                      <w:color w:val="auto"/>
                      <w:sz w:val="21"/>
                      <w:szCs w:val="28"/>
                      <w:highlight w:val="none"/>
                      <w:lang w:val="en-US" w:eastAsia="zh-CN"/>
                    </w:rPr>
                    <w:t>1</w:t>
                  </w:r>
                </w:p>
              </w:tc>
              <w:tc>
                <w:tcPr>
                  <w:tcW w:w="2656" w:type="dxa"/>
                  <w:shd w:val="clear" w:color="auto" w:fill="auto"/>
                  <w:noWrap w:val="0"/>
                  <w:vAlign w:val="center"/>
                </w:tcPr>
                <w:p w14:paraId="33A0ADEA">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cs="Times New Roman"/>
                      <w:color w:val="auto"/>
                      <w:kern w:val="0"/>
                      <w:sz w:val="21"/>
                      <w:szCs w:val="28"/>
                      <w:highlight w:val="none"/>
                      <w:lang w:val="en-US" w:eastAsia="zh-CN"/>
                    </w:rPr>
                    <w:t>非甲烷总烃</w:t>
                  </w:r>
                </w:p>
              </w:tc>
              <w:tc>
                <w:tcPr>
                  <w:tcW w:w="2420" w:type="dxa"/>
                  <w:shd w:val="clear" w:color="auto" w:fill="auto"/>
                  <w:noWrap w:val="0"/>
                  <w:vAlign w:val="center"/>
                </w:tcPr>
                <w:p w14:paraId="5FC2AF2D">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cs="Times New Roman"/>
                      <w:color w:val="auto"/>
                      <w:highlight w:val="none"/>
                    </w:rPr>
                    <w:t>大气污染物综合排放标准（DB50/418-2016)</w:t>
                  </w:r>
                </w:p>
              </w:tc>
              <w:tc>
                <w:tcPr>
                  <w:tcW w:w="1437" w:type="dxa"/>
                  <w:vMerge w:val="restart"/>
                  <w:noWrap w:val="0"/>
                  <w:vAlign w:val="center"/>
                </w:tcPr>
                <w:p w14:paraId="676E2EE2">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验收时监测一次，营运期1次/</w:t>
                  </w:r>
                  <w:r>
                    <w:rPr>
                      <w:rFonts w:hint="default" w:ascii="Times New Roman" w:hAnsi="Times New Roman" w:cs="Times New Roman"/>
                      <w:color w:val="auto"/>
                      <w:sz w:val="21"/>
                      <w:szCs w:val="28"/>
                      <w:highlight w:val="none"/>
                      <w:lang w:val="en-US" w:eastAsia="zh-CN"/>
                    </w:rPr>
                    <w:t>1</w:t>
                  </w:r>
                  <w:r>
                    <w:rPr>
                      <w:rFonts w:hint="default" w:ascii="Times New Roman" w:hAnsi="Times New Roman" w:cs="Times New Roman"/>
                      <w:color w:val="auto"/>
                      <w:sz w:val="21"/>
                      <w:szCs w:val="28"/>
                      <w:highlight w:val="none"/>
                    </w:rPr>
                    <w:t>年</w:t>
                  </w:r>
                </w:p>
              </w:tc>
            </w:tr>
            <w:tr w14:paraId="28EB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26" w:type="dxa"/>
                  <w:vMerge w:val="continue"/>
                  <w:noWrap w:val="0"/>
                  <w:vAlign w:val="center"/>
                </w:tcPr>
                <w:p w14:paraId="11FA204F">
                  <w:pPr>
                    <w:pageBreakBefore w:val="0"/>
                    <w:kinsoku/>
                    <w:wordWrap/>
                    <w:overflowPunct w:val="0"/>
                    <w:topLinePunct/>
                    <w:bidi w:val="0"/>
                    <w:adjustRightInd w:val="0"/>
                    <w:snapToGrid w:val="0"/>
                    <w:spacing w:line="240" w:lineRule="auto"/>
                    <w:ind w:firstLine="0" w:firstLineChars="0"/>
                    <w:jc w:val="center"/>
                    <w:rPr>
                      <w:color w:val="auto"/>
                      <w:highlight w:val="none"/>
                    </w:rPr>
                  </w:pPr>
                </w:p>
              </w:tc>
              <w:tc>
                <w:tcPr>
                  <w:tcW w:w="612" w:type="dxa"/>
                  <w:vMerge w:val="continue"/>
                  <w:noWrap w:val="0"/>
                  <w:vAlign w:val="center"/>
                </w:tcPr>
                <w:p w14:paraId="28D699E0">
                  <w:pPr>
                    <w:pageBreakBefore w:val="0"/>
                    <w:kinsoku/>
                    <w:wordWrap/>
                    <w:overflowPunct w:val="0"/>
                    <w:topLinePunct/>
                    <w:bidi w:val="0"/>
                    <w:adjustRightInd w:val="0"/>
                    <w:snapToGrid w:val="0"/>
                    <w:spacing w:line="240" w:lineRule="auto"/>
                    <w:ind w:firstLine="0" w:firstLineChars="0"/>
                    <w:jc w:val="center"/>
                    <w:rPr>
                      <w:color w:val="auto"/>
                      <w:highlight w:val="none"/>
                    </w:rPr>
                  </w:pPr>
                </w:p>
              </w:tc>
              <w:tc>
                <w:tcPr>
                  <w:tcW w:w="1045" w:type="dxa"/>
                  <w:vMerge w:val="continue"/>
                  <w:noWrap w:val="0"/>
                  <w:vAlign w:val="center"/>
                </w:tcPr>
                <w:p w14:paraId="71909376">
                  <w:pPr>
                    <w:pageBreakBefore w:val="0"/>
                    <w:kinsoku/>
                    <w:wordWrap/>
                    <w:overflowPunct w:val="0"/>
                    <w:topLinePunct/>
                    <w:bidi w:val="0"/>
                    <w:adjustRightInd w:val="0"/>
                    <w:snapToGrid w:val="0"/>
                    <w:spacing w:line="240" w:lineRule="auto"/>
                    <w:ind w:firstLine="0" w:firstLineChars="0"/>
                    <w:jc w:val="center"/>
                    <w:rPr>
                      <w:color w:val="auto"/>
                      <w:highlight w:val="none"/>
                    </w:rPr>
                  </w:pPr>
                </w:p>
              </w:tc>
              <w:tc>
                <w:tcPr>
                  <w:tcW w:w="2656" w:type="dxa"/>
                  <w:shd w:val="clear" w:color="auto" w:fill="auto"/>
                  <w:noWrap w:val="0"/>
                  <w:vAlign w:val="center"/>
                </w:tcPr>
                <w:p w14:paraId="2CC942A0">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8"/>
                      <w:highlight w:val="none"/>
                      <w:lang w:val="en-US" w:eastAsia="zh-CN" w:bidi="ar-SA"/>
                    </w:rPr>
                  </w:pPr>
                  <w:r>
                    <w:rPr>
                      <w:rFonts w:hint="default" w:ascii="Times New Roman" w:hAnsi="Times New Roman" w:cs="Times New Roman"/>
                      <w:color w:val="auto"/>
                      <w:kern w:val="0"/>
                      <w:sz w:val="21"/>
                      <w:szCs w:val="28"/>
                      <w:highlight w:val="none"/>
                      <w:lang w:val="en-US" w:eastAsia="zh-CN"/>
                    </w:rPr>
                    <w:t>臭气浓度</w:t>
                  </w:r>
                </w:p>
              </w:tc>
              <w:tc>
                <w:tcPr>
                  <w:tcW w:w="2420" w:type="dxa"/>
                  <w:shd w:val="clear" w:color="auto" w:fill="auto"/>
                  <w:noWrap w:val="0"/>
                  <w:vAlign w:val="center"/>
                </w:tcPr>
                <w:p w14:paraId="7F9ADDB3">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《恶臭污染物排放标准》(GB14554-93)</w:t>
                  </w:r>
                </w:p>
              </w:tc>
              <w:tc>
                <w:tcPr>
                  <w:tcW w:w="1437" w:type="dxa"/>
                  <w:vMerge w:val="continue"/>
                  <w:noWrap w:val="0"/>
                  <w:vAlign w:val="center"/>
                </w:tcPr>
                <w:p w14:paraId="27D032CB">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kern w:val="0"/>
                      <w:sz w:val="21"/>
                      <w:szCs w:val="28"/>
                      <w:highlight w:val="none"/>
                      <w:lang w:val="en-US" w:eastAsia="zh-CN"/>
                    </w:rPr>
                  </w:pPr>
                </w:p>
              </w:tc>
            </w:tr>
            <w:tr w14:paraId="416F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26" w:type="dxa"/>
                  <w:vMerge w:val="restart"/>
                  <w:noWrap w:val="0"/>
                  <w:vAlign w:val="center"/>
                </w:tcPr>
                <w:p w14:paraId="6271D9FA">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8"/>
                      <w:highlight w:val="none"/>
                      <w:lang w:val="en-US" w:eastAsia="zh-CN"/>
                    </w:rPr>
                  </w:pPr>
                  <w:r>
                    <w:rPr>
                      <w:rFonts w:hint="default" w:ascii="Times New Roman" w:hAnsi="Times New Roman" w:cs="Times New Roman"/>
                      <w:color w:val="auto"/>
                      <w:sz w:val="21"/>
                      <w:szCs w:val="28"/>
                      <w:highlight w:val="none"/>
                      <w:lang w:val="en-US" w:eastAsia="zh-CN"/>
                    </w:rPr>
                    <w:t>废气</w:t>
                  </w:r>
                </w:p>
              </w:tc>
              <w:tc>
                <w:tcPr>
                  <w:tcW w:w="612" w:type="dxa"/>
                  <w:noWrap w:val="0"/>
                  <w:vAlign w:val="center"/>
                </w:tcPr>
                <w:p w14:paraId="190CCBC1">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lang w:val="en-US" w:eastAsia="zh-CN"/>
                    </w:rPr>
                    <w:t>锅炉</w:t>
                  </w:r>
                  <w:r>
                    <w:rPr>
                      <w:rFonts w:hint="default" w:ascii="Times New Roman" w:hAnsi="Times New Roman" w:cs="Times New Roman"/>
                      <w:color w:val="auto"/>
                      <w:sz w:val="21"/>
                      <w:szCs w:val="28"/>
                      <w:highlight w:val="none"/>
                    </w:rPr>
                    <w:t>废气</w:t>
                  </w:r>
                </w:p>
              </w:tc>
              <w:tc>
                <w:tcPr>
                  <w:tcW w:w="1045" w:type="dxa"/>
                  <w:noWrap w:val="0"/>
                  <w:vAlign w:val="center"/>
                </w:tcPr>
                <w:p w14:paraId="0E2F2E78">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lang w:val="en-US" w:eastAsia="zh-CN"/>
                    </w:rPr>
                  </w:pPr>
                  <w:r>
                    <w:rPr>
                      <w:rFonts w:hint="default" w:ascii="Times New Roman" w:hAnsi="Times New Roman" w:cs="Times New Roman"/>
                      <w:color w:val="auto"/>
                      <w:sz w:val="21"/>
                      <w:szCs w:val="28"/>
                      <w:highlight w:val="none"/>
                    </w:rPr>
                    <w:t>DA00</w:t>
                  </w:r>
                  <w:r>
                    <w:rPr>
                      <w:rFonts w:hint="default" w:ascii="Times New Roman" w:hAnsi="Times New Roman" w:cs="Times New Roman"/>
                      <w:color w:val="auto"/>
                      <w:sz w:val="21"/>
                      <w:szCs w:val="28"/>
                      <w:highlight w:val="none"/>
                      <w:lang w:val="en-US" w:eastAsia="zh-CN"/>
                    </w:rPr>
                    <w:t>2、</w:t>
                  </w:r>
                </w:p>
                <w:p w14:paraId="3DAEDC77">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8"/>
                      <w:highlight w:val="none"/>
                      <w:lang w:eastAsia="zh-CN"/>
                    </w:rPr>
                  </w:pPr>
                  <w:r>
                    <w:rPr>
                      <w:rFonts w:hint="default" w:ascii="Times New Roman" w:hAnsi="Times New Roman" w:cs="Times New Roman"/>
                      <w:color w:val="auto"/>
                      <w:sz w:val="21"/>
                      <w:szCs w:val="28"/>
                      <w:highlight w:val="none"/>
                    </w:rPr>
                    <w:t>DA00</w:t>
                  </w:r>
                  <w:r>
                    <w:rPr>
                      <w:rFonts w:hint="default" w:ascii="Times New Roman" w:hAnsi="Times New Roman" w:cs="Times New Roman"/>
                      <w:color w:val="auto"/>
                      <w:sz w:val="21"/>
                      <w:szCs w:val="28"/>
                      <w:highlight w:val="none"/>
                      <w:lang w:val="en-US" w:eastAsia="zh-CN"/>
                    </w:rPr>
                    <w:t>3</w:t>
                  </w:r>
                </w:p>
              </w:tc>
              <w:tc>
                <w:tcPr>
                  <w:tcW w:w="2656" w:type="dxa"/>
                  <w:noWrap w:val="0"/>
                  <w:vAlign w:val="center"/>
                </w:tcPr>
                <w:p w14:paraId="1BD238AD">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kern w:val="0"/>
                      <w:sz w:val="21"/>
                      <w:szCs w:val="28"/>
                      <w:highlight w:val="none"/>
                      <w:lang w:val="en-US" w:eastAsia="zh-CN"/>
                    </w:rPr>
                    <w:t>颗粒物</w:t>
                  </w:r>
                  <w:r>
                    <w:rPr>
                      <w:rFonts w:hint="default" w:ascii="Times New Roman" w:hAnsi="Times New Roman" w:cs="Times New Roman"/>
                      <w:color w:val="auto"/>
                      <w:kern w:val="0"/>
                      <w:sz w:val="21"/>
                      <w:szCs w:val="28"/>
                      <w:highlight w:val="none"/>
                    </w:rPr>
                    <w:t>、</w:t>
                  </w:r>
                  <w:r>
                    <w:rPr>
                      <w:rFonts w:hint="default" w:ascii="Times New Roman" w:hAnsi="Times New Roman" w:cs="Times New Roman"/>
                      <w:color w:val="auto"/>
                      <w:sz w:val="21"/>
                      <w:szCs w:val="28"/>
                      <w:highlight w:val="none"/>
                    </w:rPr>
                    <w:t>SO</w:t>
                  </w:r>
                  <w:r>
                    <w:rPr>
                      <w:rFonts w:hint="default" w:ascii="Times New Roman" w:hAnsi="Times New Roman" w:cs="Times New Roman"/>
                      <w:color w:val="auto"/>
                      <w:sz w:val="21"/>
                      <w:szCs w:val="28"/>
                      <w:highlight w:val="none"/>
                      <w:vertAlign w:val="subscript"/>
                    </w:rPr>
                    <w:t>2</w:t>
                  </w:r>
                  <w:r>
                    <w:rPr>
                      <w:rFonts w:hint="default" w:ascii="Times New Roman" w:hAnsi="Times New Roman" w:cs="Times New Roman"/>
                      <w:color w:val="auto"/>
                      <w:kern w:val="0"/>
                      <w:sz w:val="21"/>
                      <w:szCs w:val="28"/>
                      <w:highlight w:val="none"/>
                    </w:rPr>
                    <w:t>、</w:t>
                  </w:r>
                  <w:r>
                    <w:rPr>
                      <w:rFonts w:hint="default" w:ascii="Times New Roman" w:hAnsi="Times New Roman" w:cs="Times New Roman"/>
                      <w:color w:val="auto"/>
                      <w:sz w:val="21"/>
                      <w:szCs w:val="28"/>
                      <w:highlight w:val="none"/>
                    </w:rPr>
                    <w:t>NOx</w:t>
                  </w:r>
                </w:p>
              </w:tc>
              <w:tc>
                <w:tcPr>
                  <w:tcW w:w="2420" w:type="dxa"/>
                  <w:noWrap w:val="0"/>
                  <w:vAlign w:val="center"/>
                </w:tcPr>
                <w:p w14:paraId="275584DA">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highlight w:val="none"/>
                    </w:rPr>
                    <w:t>《锅炉大气污染物排放标准》(DB50/658-2016）及第1号修改单</w:t>
                  </w:r>
                </w:p>
              </w:tc>
              <w:tc>
                <w:tcPr>
                  <w:tcW w:w="1437" w:type="dxa"/>
                  <w:noWrap w:val="0"/>
                  <w:vAlign w:val="center"/>
                </w:tcPr>
                <w:p w14:paraId="117DD85D">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验收时监测一次，营运期1次/</w:t>
                  </w:r>
                  <w:r>
                    <w:rPr>
                      <w:rFonts w:hint="default" w:ascii="Times New Roman" w:hAnsi="Times New Roman" w:cs="Times New Roman"/>
                      <w:color w:val="auto"/>
                      <w:sz w:val="21"/>
                      <w:szCs w:val="28"/>
                      <w:highlight w:val="none"/>
                      <w:lang w:val="en-US" w:eastAsia="zh-CN"/>
                    </w:rPr>
                    <w:t>1</w:t>
                  </w:r>
                  <w:r>
                    <w:rPr>
                      <w:rFonts w:hint="default" w:ascii="Times New Roman" w:hAnsi="Times New Roman" w:cs="Times New Roman"/>
                      <w:color w:val="auto"/>
                      <w:sz w:val="21"/>
                      <w:szCs w:val="28"/>
                      <w:highlight w:val="none"/>
                    </w:rPr>
                    <w:t>年</w:t>
                  </w:r>
                </w:p>
              </w:tc>
            </w:tr>
            <w:tr w14:paraId="022F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426" w:type="dxa"/>
                  <w:vMerge w:val="continue"/>
                  <w:noWrap w:val="0"/>
                  <w:vAlign w:val="center"/>
                </w:tcPr>
                <w:p w14:paraId="40F1A0B1">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p>
              </w:tc>
              <w:tc>
                <w:tcPr>
                  <w:tcW w:w="1657" w:type="dxa"/>
                  <w:gridSpan w:val="2"/>
                  <w:noWrap w:val="0"/>
                  <w:vAlign w:val="center"/>
                </w:tcPr>
                <w:p w14:paraId="140C6C92">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全厂无组织</w:t>
                  </w:r>
                </w:p>
              </w:tc>
              <w:tc>
                <w:tcPr>
                  <w:tcW w:w="2656" w:type="dxa"/>
                  <w:noWrap w:val="0"/>
                  <w:vAlign w:val="center"/>
                </w:tcPr>
                <w:p w14:paraId="7160EB5D">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lang w:val="en-US"/>
                    </w:rPr>
                  </w:pPr>
                  <w:r>
                    <w:rPr>
                      <w:rFonts w:hint="default" w:ascii="Times New Roman" w:hAnsi="Times New Roman" w:cs="Times New Roman"/>
                      <w:color w:val="auto"/>
                      <w:kern w:val="0"/>
                      <w:sz w:val="21"/>
                      <w:szCs w:val="28"/>
                      <w:highlight w:val="none"/>
                      <w:lang w:val="en-US" w:eastAsia="zh-CN"/>
                    </w:rPr>
                    <w:t>非甲烷总烃，臭气浓度</w:t>
                  </w:r>
                  <w:r>
                    <w:rPr>
                      <w:rFonts w:hint="eastAsia" w:cs="Times New Roman"/>
                      <w:color w:val="auto"/>
                      <w:kern w:val="0"/>
                      <w:sz w:val="21"/>
                      <w:szCs w:val="28"/>
                      <w:highlight w:val="none"/>
                      <w:lang w:val="en-US" w:eastAsia="zh-CN"/>
                    </w:rPr>
                    <w:t>、颗粒物</w:t>
                  </w:r>
                </w:p>
              </w:tc>
              <w:tc>
                <w:tcPr>
                  <w:tcW w:w="2420" w:type="dxa"/>
                  <w:tcBorders>
                    <w:top w:val="single" w:color="auto" w:sz="4" w:space="0"/>
                  </w:tcBorders>
                  <w:noWrap w:val="0"/>
                  <w:vAlign w:val="center"/>
                </w:tcPr>
                <w:p w14:paraId="7CF04944">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eastAsia="宋体" w:cs="Times New Roman"/>
                      <w:color w:val="auto"/>
                      <w:sz w:val="21"/>
                      <w:szCs w:val="28"/>
                      <w:highlight w:val="none"/>
                      <w:lang w:eastAsia="zh-CN"/>
                    </w:rPr>
                  </w:pPr>
                  <w:r>
                    <w:rPr>
                      <w:rFonts w:hint="default" w:ascii="Times New Roman" w:hAnsi="Times New Roman" w:cs="Times New Roman"/>
                      <w:color w:val="auto"/>
                      <w:highlight w:val="none"/>
                    </w:rPr>
                    <w:t>大气污染物综合排放标准（DB50/418-2016)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《恶臭污染物排放标准》(GB14554-93)</w:t>
                  </w:r>
                </w:p>
              </w:tc>
              <w:tc>
                <w:tcPr>
                  <w:tcW w:w="1437" w:type="dxa"/>
                  <w:tcBorders>
                    <w:top w:val="single" w:color="000000" w:sz="2" w:space="0"/>
                  </w:tcBorders>
                  <w:noWrap w:val="0"/>
                  <w:vAlign w:val="center"/>
                </w:tcPr>
                <w:p w14:paraId="78CC5BB3">
                  <w:pPr>
                    <w:pageBreakBefore w:val="0"/>
                    <w:kinsoku/>
                    <w:wordWrap/>
                    <w:overflowPunct w:val="0"/>
                    <w:topLinePunct/>
                    <w:bidi w:val="0"/>
                    <w:adjustRightInd w:val="0"/>
                    <w:snapToGrid w:val="0"/>
                    <w:spacing w:line="240" w:lineRule="auto"/>
                    <w:ind w:firstLine="0" w:firstLineChars="0"/>
                    <w:jc w:val="center"/>
                    <w:rPr>
                      <w:rFonts w:hint="default" w:ascii="Times New Roman" w:hAnsi="Times New Roman" w:cs="Times New Roman"/>
                      <w:color w:val="auto"/>
                      <w:sz w:val="21"/>
                      <w:szCs w:val="28"/>
                      <w:highlight w:val="none"/>
                    </w:rPr>
                  </w:pPr>
                  <w:r>
                    <w:rPr>
                      <w:rFonts w:hint="default" w:ascii="Times New Roman" w:hAnsi="Times New Roman" w:cs="Times New Roman"/>
                      <w:color w:val="auto"/>
                      <w:sz w:val="21"/>
                      <w:szCs w:val="28"/>
                      <w:highlight w:val="none"/>
                    </w:rPr>
                    <w:t>验收时监测一次，营运期1次/</w:t>
                  </w:r>
                  <w:r>
                    <w:rPr>
                      <w:rFonts w:hint="default" w:ascii="Times New Roman" w:hAnsi="Times New Roman" w:cs="Times New Roman"/>
                      <w:color w:val="auto"/>
                      <w:sz w:val="21"/>
                      <w:szCs w:val="28"/>
                      <w:highlight w:val="none"/>
                      <w:lang w:val="en-US" w:eastAsia="zh-CN"/>
                    </w:rPr>
                    <w:t>1</w:t>
                  </w:r>
                  <w:r>
                    <w:rPr>
                      <w:rFonts w:hint="default" w:ascii="Times New Roman" w:hAnsi="Times New Roman" w:cs="Times New Roman"/>
                      <w:color w:val="auto"/>
                      <w:sz w:val="21"/>
                      <w:szCs w:val="28"/>
                      <w:highlight w:val="none"/>
                    </w:rPr>
                    <w:t>年</w:t>
                  </w:r>
                </w:p>
              </w:tc>
            </w:tr>
          </w:tbl>
          <w:p w14:paraId="3B434B62">
            <w:pPr>
              <w:pStyle w:val="24"/>
              <w:keepNext w:val="0"/>
              <w:keepLines w:val="0"/>
              <w:pageBreakBefore w:val="0"/>
              <w:kinsoku/>
              <w:wordWrap/>
              <w:overflowPunct w:val="0"/>
              <w:topLinePunct/>
              <w:bidi w:val="0"/>
              <w:spacing w:line="460" w:lineRule="exact"/>
              <w:ind w:right="0" w:firstLine="482" w:firstLineChars="200"/>
              <w:jc w:val="both"/>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4.2.2废水</w:t>
            </w:r>
          </w:p>
          <w:p w14:paraId="0D28E793">
            <w:pPr>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不新增人员，无新增生活污水。营运期产生的废水主要为精炼车间水洗工序废水、地面清洁废水</w:t>
            </w:r>
            <w:r>
              <w:rPr>
                <w:rFonts w:hint="default" w:ascii="Times New Roman" w:hAnsi="Times New Roman" w:cs="Times New Roman"/>
                <w:b w:val="0"/>
                <w:bCs w:val="0"/>
                <w:color w:val="auto"/>
                <w:sz w:val="24"/>
                <w:szCs w:val="24"/>
                <w:highlight w:val="none"/>
                <w:lang w:val="en-US" w:eastAsia="zh-CN"/>
              </w:rPr>
              <w:t>及废气处理装置废水</w:t>
            </w:r>
            <w:r>
              <w:rPr>
                <w:rFonts w:hint="eastAsia" w:cs="Times New Roman"/>
                <w:b w:val="0"/>
                <w:bCs w:val="0"/>
                <w:color w:val="auto"/>
                <w:sz w:val="24"/>
                <w:szCs w:val="24"/>
                <w:highlight w:val="none"/>
                <w:lang w:val="en-US" w:eastAsia="zh-CN"/>
              </w:rPr>
              <w:t>，以及冷却系统排水、锅炉排水和真空泵排水，其中水洗工序废水34</w:t>
            </w:r>
            <w:r>
              <w:rPr>
                <w:rFonts w:hint="eastAsia" w:cs="Times New Roman"/>
                <w:color w:val="auto"/>
                <w:sz w:val="21"/>
                <w:szCs w:val="21"/>
                <w:highlight w:val="none"/>
                <w:vertAlign w:val="baseline"/>
                <w:lang w:val="en-US" w:eastAsia="zh-CN"/>
              </w:rPr>
              <w:t>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/d</w:t>
            </w:r>
            <w:r>
              <w:rPr>
                <w:rFonts w:hint="eastAsia" w:cs="Times New Roman"/>
                <w:color w:val="auto"/>
                <w:sz w:val="24"/>
                <w:szCs w:val="24"/>
                <w:highlight w:val="none"/>
                <w:vertAlign w:val="baseline"/>
                <w:lang w:val="en-US" w:eastAsia="zh-CN"/>
              </w:rPr>
              <w:t>，地面清洁废水3.15m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/d，废气处理装置废水5.4m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/d，</w:t>
            </w:r>
            <w:r>
              <w:rPr>
                <w:rFonts w:hint="eastAsia" w:cs="Times New Roman"/>
                <w:b w:val="0"/>
                <w:bCs w:val="0"/>
                <w:color w:val="auto"/>
                <w:sz w:val="24"/>
                <w:szCs w:val="24"/>
                <w:highlight w:val="none"/>
                <w:lang w:val="en-US" w:eastAsia="zh-CN"/>
              </w:rPr>
              <w:t>冷却系统排水、锅炉排水和真空泵排水量31.66</w:t>
            </w:r>
            <w:r>
              <w:rPr>
                <w:rFonts w:hint="eastAsia" w:cs="Times New Roman"/>
                <w:color w:val="auto"/>
                <w:sz w:val="24"/>
                <w:szCs w:val="24"/>
                <w:highlight w:val="none"/>
                <w:vertAlign w:val="baseline"/>
                <w:lang w:val="en-US" w:eastAsia="zh-CN"/>
              </w:rPr>
              <w:t>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/d</w:t>
            </w:r>
            <w:r>
              <w:rPr>
                <w:rFonts w:hint="default" w:ascii="Times New Roman" w:hAnsi="Times New Roman" w:eastAsia="宋体" w:cs="Times New Roman"/>
                <w:color w:val="auto"/>
                <w:kern w:val="0"/>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精炼车间水洗工序废水、地面清洁废水</w:t>
            </w:r>
            <w:r>
              <w:rPr>
                <w:rFonts w:hint="default" w:ascii="Times New Roman" w:hAnsi="Times New Roman" w:cs="Times New Roman"/>
                <w:b w:val="0"/>
                <w:bCs w:val="0"/>
                <w:color w:val="auto"/>
                <w:sz w:val="24"/>
                <w:szCs w:val="24"/>
                <w:highlight w:val="none"/>
                <w:lang w:val="en-US" w:eastAsia="zh-CN"/>
              </w:rPr>
              <w:t>、废气处理装置废水</w:t>
            </w:r>
            <w:r>
              <w:rPr>
                <w:rFonts w:hint="default" w:ascii="Times New Roman" w:hAnsi="Times New Roman" w:eastAsia="宋体" w:cs="Times New Roman"/>
                <w:color w:val="auto"/>
                <w:kern w:val="0"/>
                <w:sz w:val="24"/>
                <w:szCs w:val="24"/>
                <w:highlight w:val="none"/>
                <w:lang w:val="en-US" w:eastAsia="zh-CN"/>
              </w:rPr>
              <w:t>依托企业已建污水处理站处理达</w:t>
            </w:r>
            <w:r>
              <w:rPr>
                <w:rFonts w:hint="default" w:ascii="Times New Roman" w:eastAsia="宋体" w:cs="Times New Roman"/>
                <w:color w:val="auto"/>
                <w:spacing w:val="0"/>
                <w:kern w:val="2"/>
                <w:sz w:val="24"/>
                <w:szCs w:val="24"/>
                <w:highlight w:val="none"/>
                <w:lang w:val="en-US" w:eastAsia="zh-CN" w:bidi="ar-SA"/>
              </w:rPr>
              <w:t>《</w:t>
            </w:r>
            <w:r>
              <w:rPr>
                <w:rFonts w:hint="eastAsia" w:ascii="Times New Roman" w:eastAsia="宋体" w:cs="Times New Roman"/>
                <w:color w:val="auto"/>
                <w:spacing w:val="0"/>
                <w:kern w:val="2"/>
                <w:sz w:val="24"/>
                <w:szCs w:val="24"/>
                <w:highlight w:val="none"/>
                <w:lang w:val="en-US" w:eastAsia="zh-CN" w:bidi="ar-SA"/>
              </w:rPr>
              <w:t>食品加工制造业水污染物排放标准</w:t>
            </w:r>
            <w:r>
              <w:rPr>
                <w:rFonts w:hint="default" w:ascii="Times New Roman" w:eastAsia="宋体" w:cs="Times New Roman"/>
                <w:color w:val="auto"/>
                <w:spacing w:val="0"/>
                <w:kern w:val="2"/>
                <w:sz w:val="24"/>
                <w:szCs w:val="24"/>
                <w:highlight w:val="none"/>
                <w:lang w:val="en-US" w:eastAsia="zh-CN" w:bidi="ar-SA"/>
              </w:rPr>
              <w:t>》（GB</w:t>
            </w:r>
            <w:r>
              <w:rPr>
                <w:rFonts w:hint="eastAsia" w:ascii="Times New Roman" w:eastAsia="宋体" w:cs="Times New Roman"/>
                <w:color w:val="auto"/>
                <w:spacing w:val="0"/>
                <w:kern w:val="2"/>
                <w:sz w:val="24"/>
                <w:szCs w:val="24"/>
                <w:highlight w:val="none"/>
                <w:lang w:val="en-US" w:eastAsia="zh-CN" w:bidi="ar-SA"/>
              </w:rPr>
              <w:t>46817</w:t>
            </w:r>
            <w:r>
              <w:rPr>
                <w:rFonts w:hint="default" w:ascii="Times New Roman" w:eastAsia="宋体" w:cs="Times New Roman"/>
                <w:color w:val="auto"/>
                <w:spacing w:val="0"/>
                <w:kern w:val="2"/>
                <w:sz w:val="24"/>
                <w:szCs w:val="24"/>
                <w:highlight w:val="none"/>
                <w:lang w:val="en-US" w:eastAsia="zh-CN" w:bidi="ar-SA"/>
              </w:rPr>
              <w:t>-</w:t>
            </w:r>
            <w:r>
              <w:rPr>
                <w:rFonts w:hint="eastAsia" w:ascii="Times New Roman" w:eastAsia="宋体" w:cs="Times New Roman"/>
                <w:color w:val="auto"/>
                <w:spacing w:val="0"/>
                <w:kern w:val="2"/>
                <w:sz w:val="24"/>
                <w:szCs w:val="24"/>
                <w:highlight w:val="none"/>
                <w:lang w:val="en-US" w:eastAsia="zh-CN" w:bidi="ar-SA"/>
              </w:rPr>
              <w:t>2025</w:t>
            </w:r>
            <w:r>
              <w:rPr>
                <w:rFonts w:hint="default" w:ascii="Times New Roman" w:eastAsia="宋体" w:cs="Times New Roman"/>
                <w:color w:val="auto"/>
                <w:spacing w:val="0"/>
                <w:kern w:val="2"/>
                <w:sz w:val="24"/>
                <w:szCs w:val="24"/>
                <w:highlight w:val="none"/>
                <w:lang w:val="en-US" w:eastAsia="zh-CN" w:bidi="ar-SA"/>
              </w:rPr>
              <w:t>）</w:t>
            </w:r>
            <w:r>
              <w:rPr>
                <w:rFonts w:hint="eastAsia" w:cs="Times New Roman"/>
                <w:color w:val="auto"/>
                <w:kern w:val="0"/>
                <w:sz w:val="24"/>
                <w:szCs w:val="24"/>
                <w:highlight w:val="none"/>
                <w:lang w:val="en-US" w:eastAsia="zh-CN"/>
              </w:rPr>
              <w:t>表1间接排放</w:t>
            </w:r>
            <w:r>
              <w:rPr>
                <w:rFonts w:hint="default" w:ascii="Times New Roman" w:hAnsi="Times New Roman" w:eastAsia="宋体" w:cs="Times New Roman"/>
                <w:color w:val="auto"/>
                <w:kern w:val="0"/>
                <w:sz w:val="24"/>
                <w:szCs w:val="24"/>
                <w:highlight w:val="none"/>
                <w:lang w:val="en-US" w:eastAsia="zh-CN"/>
              </w:rPr>
              <w:t>标准后排入园区污水管网，再进入铜罐驿污水处理厂深度处理达《地表水环境质量标准》（GB3838-2002）IV类标准（其中TN、SS满足《城镇污水处理厂污染物排放标准》（GB18918-2002）一级A标准）标准后排入金竹沟，最终排入长江。</w:t>
            </w:r>
          </w:p>
          <w:p w14:paraId="1923D199">
            <w:p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（1）废水产排污及治理设施情况</w:t>
            </w:r>
          </w:p>
          <w:p w14:paraId="4A75CAFE">
            <w:p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本项目精炼车间水污染物（COD、TP、TN）按照建设单位提供原水检测结果中最大值进行核算，其他污染因子结合企业实际情况及行业特征进行选取，</w:t>
            </w:r>
            <w:r>
              <w:rPr>
                <w:rFonts w:hint="default" w:ascii="Times New Roman" w:hAnsi="Times New Roman" w:eastAsia="宋体" w:cs="Times New Roman"/>
                <w:b w:val="0"/>
                <w:bCs w:val="0"/>
                <w:color w:val="auto"/>
                <w:sz w:val="24"/>
                <w:szCs w:val="24"/>
                <w:highlight w:val="none"/>
                <w:lang w:val="en-US" w:eastAsia="zh-CN"/>
              </w:rPr>
              <w:t>项目废水污染物产排污环节、废水治理措施及排放情况、废水排口信息详见下表所示。</w:t>
            </w:r>
          </w:p>
          <w:p w14:paraId="36D5BDE2">
            <w:pPr>
              <w:rPr>
                <w:rFonts w:hint="default" w:ascii="Times New Roman" w:hAnsi="Times New Roman" w:eastAsia="宋体" w:cs="Times New Roman"/>
                <w:color w:val="auto"/>
                <w:kern w:val="0"/>
                <w:sz w:val="24"/>
                <w:szCs w:val="24"/>
                <w:highlight w:val="none"/>
                <w:lang w:val="en-US" w:eastAsia="zh-CN"/>
              </w:rPr>
            </w:pPr>
          </w:p>
          <w:p w14:paraId="3468617F">
            <w:pPr>
              <w:pStyle w:val="3"/>
              <w:rPr>
                <w:rFonts w:hint="default" w:ascii="Times New Roman" w:hAnsi="Times New Roman" w:eastAsia="宋体" w:cs="Times New Roman"/>
                <w:color w:val="auto"/>
                <w:kern w:val="0"/>
                <w:sz w:val="24"/>
                <w:szCs w:val="24"/>
                <w:highlight w:val="none"/>
                <w:lang w:val="en-US" w:eastAsia="zh-CN"/>
              </w:rPr>
            </w:pPr>
          </w:p>
          <w:p w14:paraId="7C6C6CCD">
            <w:pPr>
              <w:pStyle w:val="2"/>
              <w:rPr>
                <w:rFonts w:hint="default"/>
              </w:rPr>
            </w:pPr>
          </w:p>
        </w:tc>
      </w:tr>
    </w:tbl>
    <w:p w14:paraId="779A9CC1">
      <w:pPr>
        <w:pStyle w:val="13"/>
        <w:pageBreakBefore w:val="0"/>
        <w:kinsoku/>
        <w:wordWrap/>
        <w:overflowPunct w:val="0"/>
        <w:topLinePunct/>
        <w:bidi w:val="0"/>
        <w:rPr>
          <w:rFonts w:hint="default" w:ascii="Times New Roman" w:hAnsi="Times New Roman" w:cs="Times New Roman"/>
          <w:color w:val="auto"/>
          <w:highlight w:val="none"/>
        </w:rPr>
        <w:sectPr>
          <w:pgSz w:w="11907" w:h="16840"/>
          <w:pgMar w:top="1701" w:right="1531" w:bottom="2127" w:left="1531" w:header="851" w:footer="187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8"/>
      </w:tblGrid>
      <w:tr w14:paraId="44EA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8" w:type="dxa"/>
          </w:tcPr>
          <w:p w14:paraId="1D706AA0">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.2-7</w:t>
            </w:r>
            <w:r>
              <w:rPr>
                <w:rFonts w:hint="default" w:ascii="Times New Roman" w:hAnsi="Times New Roman" w:eastAsia="宋体" w:cs="Times New Roman"/>
                <w:b/>
                <w:bCs/>
                <w:color w:val="auto"/>
                <w:sz w:val="24"/>
                <w:szCs w:val="24"/>
                <w:highlight w:val="none"/>
                <w:lang w:val="en-US" w:eastAsia="zh-CN"/>
              </w:rPr>
              <w:t>项目废</w:t>
            </w:r>
            <w:r>
              <w:rPr>
                <w:rFonts w:hint="default" w:ascii="Times New Roman" w:hAnsi="Times New Roman" w:cs="Times New Roman"/>
                <w:b/>
                <w:bCs/>
                <w:color w:val="auto"/>
                <w:sz w:val="24"/>
                <w:szCs w:val="24"/>
                <w:highlight w:val="none"/>
                <w:lang w:val="en-US" w:eastAsia="zh-CN"/>
              </w:rPr>
              <w:t>水</w:t>
            </w:r>
            <w:r>
              <w:rPr>
                <w:rFonts w:hint="default" w:ascii="Times New Roman" w:hAnsi="Times New Roman" w:eastAsia="宋体" w:cs="Times New Roman"/>
                <w:b/>
                <w:bCs/>
                <w:color w:val="auto"/>
                <w:sz w:val="24"/>
                <w:szCs w:val="24"/>
                <w:highlight w:val="none"/>
                <w:lang w:val="en-US" w:eastAsia="zh-CN"/>
              </w:rPr>
              <w:t>污染物产排污环节、废</w:t>
            </w:r>
            <w:r>
              <w:rPr>
                <w:rFonts w:hint="default" w:ascii="Times New Roman" w:hAnsi="Times New Roman" w:cs="Times New Roman"/>
                <w:b/>
                <w:bCs/>
                <w:color w:val="auto"/>
                <w:sz w:val="24"/>
                <w:szCs w:val="24"/>
                <w:highlight w:val="none"/>
                <w:lang w:val="en-US" w:eastAsia="zh-CN"/>
              </w:rPr>
              <w:t>水</w:t>
            </w:r>
            <w:r>
              <w:rPr>
                <w:rFonts w:hint="default" w:ascii="Times New Roman" w:hAnsi="Times New Roman" w:eastAsia="宋体" w:cs="Times New Roman"/>
                <w:b/>
                <w:bCs/>
                <w:color w:val="auto"/>
                <w:sz w:val="24"/>
                <w:szCs w:val="24"/>
                <w:highlight w:val="none"/>
                <w:lang w:val="en-US" w:eastAsia="zh-CN"/>
              </w:rPr>
              <w:t>治理措施及排放情况</w:t>
            </w:r>
            <w:r>
              <w:rPr>
                <w:rFonts w:hint="default" w:ascii="Times New Roman" w:hAnsi="Times New Roman" w:cs="Times New Roman"/>
                <w:b/>
                <w:bCs/>
                <w:color w:val="auto"/>
                <w:sz w:val="24"/>
                <w:szCs w:val="24"/>
                <w:highlight w:val="none"/>
                <w:lang w:val="en-US" w:eastAsia="zh-CN"/>
              </w:rPr>
              <w:t>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5"/>
              <w:gridCol w:w="1373"/>
              <w:gridCol w:w="1282"/>
              <w:gridCol w:w="1175"/>
              <w:gridCol w:w="1241"/>
              <w:gridCol w:w="1194"/>
              <w:gridCol w:w="835"/>
              <w:gridCol w:w="666"/>
              <w:gridCol w:w="1091"/>
              <w:gridCol w:w="1077"/>
              <w:gridCol w:w="1091"/>
              <w:gridCol w:w="1092"/>
            </w:tblGrid>
            <w:tr w14:paraId="5CEC90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restart"/>
                  <w:tcBorders>
                    <w:tl2br w:val="nil"/>
                    <w:tr2bl w:val="nil"/>
                  </w:tcBorders>
                  <w:noWrap w:val="0"/>
                  <w:vAlign w:val="center"/>
                </w:tcPr>
                <w:p w14:paraId="6FB7FF6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产排污环节</w:t>
                  </w:r>
                </w:p>
              </w:tc>
              <w:tc>
                <w:tcPr>
                  <w:tcW w:w="1373" w:type="dxa"/>
                  <w:vMerge w:val="restart"/>
                  <w:tcBorders>
                    <w:tl2br w:val="nil"/>
                    <w:tr2bl w:val="nil"/>
                  </w:tcBorders>
                  <w:noWrap w:val="0"/>
                  <w:vAlign w:val="center"/>
                </w:tcPr>
                <w:p w14:paraId="5F328E7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污染物种类</w:t>
                  </w:r>
                </w:p>
              </w:tc>
              <w:tc>
                <w:tcPr>
                  <w:tcW w:w="1282" w:type="dxa"/>
                  <w:vMerge w:val="restart"/>
                  <w:tcBorders>
                    <w:tl2br w:val="nil"/>
                    <w:tr2bl w:val="nil"/>
                  </w:tcBorders>
                  <w:noWrap w:val="0"/>
                  <w:vAlign w:val="center"/>
                </w:tcPr>
                <w:p w14:paraId="0B32613D">
                  <w:pPr>
                    <w:pStyle w:val="2"/>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废水量（t/a）</w:t>
                  </w:r>
                </w:p>
              </w:tc>
              <w:tc>
                <w:tcPr>
                  <w:tcW w:w="1175" w:type="dxa"/>
                  <w:vMerge w:val="restart"/>
                  <w:tcBorders>
                    <w:tl2br w:val="nil"/>
                    <w:tr2bl w:val="nil"/>
                  </w:tcBorders>
                  <w:noWrap w:val="0"/>
                  <w:vAlign w:val="center"/>
                </w:tcPr>
                <w:p w14:paraId="5CF54047">
                  <w:pPr>
                    <w:pStyle w:val="2"/>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污染物产生浓度</w:t>
                  </w:r>
                  <w:r>
                    <w:rPr>
                      <w:rFonts w:hint="default" w:ascii="Times New Roman" w:hAnsi="Times New Roman" w:eastAsia="宋体" w:cs="Times New Roman"/>
                      <w:color w:val="auto"/>
                      <w:sz w:val="21"/>
                      <w:szCs w:val="21"/>
                      <w:highlight w:val="none"/>
                    </w:rPr>
                    <w:t>（mg/</w:t>
                  </w:r>
                  <w:r>
                    <w:rPr>
                      <w:rFonts w:hint="default"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rPr>
                    <w:t>）</w:t>
                  </w:r>
                </w:p>
              </w:tc>
              <w:tc>
                <w:tcPr>
                  <w:tcW w:w="1241" w:type="dxa"/>
                  <w:vMerge w:val="restart"/>
                  <w:tcBorders>
                    <w:tl2br w:val="nil"/>
                    <w:tr2bl w:val="nil"/>
                  </w:tcBorders>
                  <w:noWrap w:val="0"/>
                  <w:vAlign w:val="center"/>
                </w:tcPr>
                <w:p w14:paraId="4C10629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污染物产生量</w:t>
                  </w:r>
                </w:p>
                <w:p w14:paraId="2F90E8D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（t/a）</w:t>
                  </w:r>
                </w:p>
              </w:tc>
              <w:tc>
                <w:tcPr>
                  <w:tcW w:w="1194" w:type="dxa"/>
                  <w:vMerge w:val="restart"/>
                  <w:tcBorders>
                    <w:tl2br w:val="nil"/>
                    <w:tr2bl w:val="nil"/>
                  </w:tcBorders>
                  <w:noWrap w:val="0"/>
                  <w:vAlign w:val="center"/>
                </w:tcPr>
                <w:p w14:paraId="544A837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污染防治设施名称及工艺</w:t>
                  </w:r>
                </w:p>
              </w:tc>
              <w:tc>
                <w:tcPr>
                  <w:tcW w:w="835" w:type="dxa"/>
                  <w:vMerge w:val="restart"/>
                  <w:tcBorders>
                    <w:tl2br w:val="nil"/>
                    <w:tr2bl w:val="nil"/>
                  </w:tcBorders>
                  <w:noWrap w:val="0"/>
                  <w:vAlign w:val="center"/>
                </w:tcPr>
                <w:p w14:paraId="27B221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是否为可行技术</w:t>
                  </w:r>
                </w:p>
              </w:tc>
              <w:tc>
                <w:tcPr>
                  <w:tcW w:w="666" w:type="dxa"/>
                  <w:vMerge w:val="restart"/>
                  <w:tcBorders>
                    <w:tl2br w:val="nil"/>
                    <w:tr2bl w:val="nil"/>
                  </w:tcBorders>
                  <w:noWrap w:val="0"/>
                  <w:vAlign w:val="center"/>
                </w:tcPr>
                <w:p w14:paraId="604A5B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排放形式</w:t>
                  </w:r>
                </w:p>
              </w:tc>
              <w:tc>
                <w:tcPr>
                  <w:tcW w:w="2168" w:type="dxa"/>
                  <w:gridSpan w:val="2"/>
                  <w:tcBorders>
                    <w:bottom w:val="single" w:color="auto" w:sz="4" w:space="0"/>
                    <w:right w:val="single" w:color="auto" w:sz="4" w:space="0"/>
                    <w:tl2br w:val="nil"/>
                    <w:tr2bl w:val="nil"/>
                  </w:tcBorders>
                  <w:noWrap w:val="0"/>
                  <w:vAlign w:val="center"/>
                </w:tcPr>
                <w:p w14:paraId="50D913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排入污水处理厂</w:t>
                  </w:r>
                </w:p>
              </w:tc>
              <w:tc>
                <w:tcPr>
                  <w:tcW w:w="2183" w:type="dxa"/>
                  <w:gridSpan w:val="2"/>
                  <w:tcBorders>
                    <w:left w:val="single" w:color="auto" w:sz="4" w:space="0"/>
                    <w:bottom w:val="single" w:color="auto" w:sz="4" w:space="0"/>
                    <w:tl2br w:val="nil"/>
                    <w:tr2bl w:val="nil"/>
                  </w:tcBorders>
                  <w:noWrap w:val="0"/>
                  <w:vAlign w:val="center"/>
                </w:tcPr>
                <w:p w14:paraId="113758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排入环境</w:t>
                  </w:r>
                </w:p>
              </w:tc>
            </w:tr>
            <w:tr w14:paraId="426B90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32A8D2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vMerge w:val="continue"/>
                  <w:tcBorders>
                    <w:tl2br w:val="nil"/>
                    <w:tr2bl w:val="nil"/>
                  </w:tcBorders>
                  <w:noWrap w:val="0"/>
                  <w:vAlign w:val="center"/>
                </w:tcPr>
                <w:p w14:paraId="690BD14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82" w:type="dxa"/>
                  <w:vMerge w:val="continue"/>
                  <w:tcBorders>
                    <w:tl2br w:val="nil"/>
                    <w:tr2bl w:val="nil"/>
                  </w:tcBorders>
                  <w:noWrap w:val="0"/>
                  <w:vAlign w:val="center"/>
                </w:tcPr>
                <w:p w14:paraId="417EFC5E">
                  <w:pPr>
                    <w:pStyle w:val="2"/>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vMerge w:val="continue"/>
                  <w:tcBorders>
                    <w:tl2br w:val="nil"/>
                    <w:tr2bl w:val="nil"/>
                  </w:tcBorders>
                  <w:noWrap w:val="0"/>
                  <w:vAlign w:val="center"/>
                </w:tcPr>
                <w:p w14:paraId="3A397558">
                  <w:pPr>
                    <w:pStyle w:val="2"/>
                    <w:keepNext w:val="0"/>
                    <w:keepLines w:val="0"/>
                    <w:pageBreakBefore w:val="0"/>
                    <w:kinsoku/>
                    <w:wordWrap/>
                    <w:overflowPunct/>
                    <w:topLinePunct w:val="0"/>
                    <w:autoSpaceDE/>
                    <w:autoSpaceDN/>
                    <w:bidi w:val="0"/>
                    <w:spacing w:before="0" w:after="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41" w:type="dxa"/>
                  <w:vMerge w:val="continue"/>
                  <w:tcBorders>
                    <w:tl2br w:val="nil"/>
                    <w:tr2bl w:val="nil"/>
                  </w:tcBorders>
                  <w:noWrap w:val="0"/>
                  <w:vAlign w:val="center"/>
                </w:tcPr>
                <w:p w14:paraId="21F149E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94" w:type="dxa"/>
                  <w:vMerge w:val="continue"/>
                  <w:tcBorders>
                    <w:tl2br w:val="nil"/>
                    <w:tr2bl w:val="nil"/>
                  </w:tcBorders>
                  <w:noWrap w:val="0"/>
                  <w:vAlign w:val="center"/>
                </w:tcPr>
                <w:p w14:paraId="3F6DE76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35" w:type="dxa"/>
                  <w:vMerge w:val="continue"/>
                  <w:tcBorders>
                    <w:tl2br w:val="nil"/>
                    <w:tr2bl w:val="nil"/>
                  </w:tcBorders>
                  <w:noWrap w:val="0"/>
                  <w:vAlign w:val="center"/>
                </w:tcPr>
                <w:p w14:paraId="6D3CBE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6" w:type="dxa"/>
                  <w:vMerge w:val="continue"/>
                  <w:tcBorders>
                    <w:tl2br w:val="nil"/>
                    <w:tr2bl w:val="nil"/>
                  </w:tcBorders>
                  <w:noWrap w:val="0"/>
                  <w:vAlign w:val="center"/>
                </w:tcPr>
                <w:p w14:paraId="35627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91" w:type="dxa"/>
                  <w:tcBorders>
                    <w:top w:val="single" w:color="auto" w:sz="4" w:space="0"/>
                    <w:tl2br w:val="nil"/>
                    <w:tr2bl w:val="nil"/>
                  </w:tcBorders>
                  <w:noWrap w:val="0"/>
                  <w:vAlign w:val="center"/>
                </w:tcPr>
                <w:p w14:paraId="654E7B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排放浓度</w:t>
                  </w:r>
                  <w:r>
                    <w:rPr>
                      <w:rFonts w:hint="default" w:ascii="Times New Roman" w:hAnsi="Times New Roman" w:eastAsia="宋体" w:cs="Times New Roman"/>
                      <w:color w:val="auto"/>
                      <w:sz w:val="21"/>
                      <w:szCs w:val="21"/>
                      <w:highlight w:val="none"/>
                    </w:rPr>
                    <w:t>（mg/</w:t>
                  </w:r>
                  <w:r>
                    <w:rPr>
                      <w:rFonts w:hint="default"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rPr>
                    <w:t>）</w:t>
                  </w:r>
                </w:p>
              </w:tc>
              <w:tc>
                <w:tcPr>
                  <w:tcW w:w="1077" w:type="dxa"/>
                  <w:tcBorders>
                    <w:top w:val="single" w:color="auto" w:sz="4" w:space="0"/>
                    <w:right w:val="single" w:color="auto" w:sz="4" w:space="0"/>
                    <w:tl2br w:val="nil"/>
                    <w:tr2bl w:val="nil"/>
                  </w:tcBorders>
                  <w:noWrap w:val="0"/>
                  <w:vAlign w:val="center"/>
                </w:tcPr>
                <w:p w14:paraId="5F387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排放量t/a</w:t>
                  </w:r>
                </w:p>
              </w:tc>
              <w:tc>
                <w:tcPr>
                  <w:tcW w:w="1091" w:type="dxa"/>
                  <w:tcBorders>
                    <w:top w:val="single" w:color="auto" w:sz="4" w:space="0"/>
                    <w:left w:val="single" w:color="auto" w:sz="4" w:space="0"/>
                    <w:tl2br w:val="nil"/>
                    <w:tr2bl w:val="nil"/>
                  </w:tcBorders>
                  <w:noWrap w:val="0"/>
                  <w:vAlign w:val="center"/>
                </w:tcPr>
                <w:p w14:paraId="4C6052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排放浓度</w:t>
                  </w:r>
                  <w:r>
                    <w:rPr>
                      <w:rFonts w:hint="default" w:ascii="Times New Roman" w:hAnsi="Times New Roman" w:eastAsia="宋体" w:cs="Times New Roman"/>
                      <w:color w:val="auto"/>
                      <w:sz w:val="21"/>
                      <w:szCs w:val="21"/>
                      <w:highlight w:val="none"/>
                    </w:rPr>
                    <w:t>（mg/</w:t>
                  </w:r>
                  <w:r>
                    <w:rPr>
                      <w:rFonts w:hint="default"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rPr>
                    <w:t>）</w:t>
                  </w:r>
                </w:p>
              </w:tc>
              <w:tc>
                <w:tcPr>
                  <w:tcW w:w="1092" w:type="dxa"/>
                  <w:tcBorders>
                    <w:top w:val="single" w:color="auto" w:sz="4" w:space="0"/>
                    <w:tl2br w:val="nil"/>
                    <w:tr2bl w:val="nil"/>
                  </w:tcBorders>
                  <w:noWrap w:val="0"/>
                  <w:vAlign w:val="center"/>
                </w:tcPr>
                <w:p w14:paraId="1F6AB8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排放量t/a</w:t>
                  </w:r>
                </w:p>
              </w:tc>
            </w:tr>
            <w:tr w14:paraId="0C6259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restart"/>
                  <w:tcBorders>
                    <w:tl2br w:val="nil"/>
                    <w:tr2bl w:val="nil"/>
                  </w:tcBorders>
                  <w:noWrap w:val="0"/>
                  <w:vAlign w:val="center"/>
                </w:tcPr>
                <w:p w14:paraId="59C17A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水洗废水</w:t>
                  </w:r>
                </w:p>
              </w:tc>
              <w:tc>
                <w:tcPr>
                  <w:tcW w:w="1373" w:type="dxa"/>
                  <w:tcBorders>
                    <w:tl2br w:val="nil"/>
                    <w:tr2bl w:val="nil"/>
                  </w:tcBorders>
                  <w:noWrap w:val="0"/>
                  <w:vAlign w:val="center"/>
                </w:tcPr>
                <w:p w14:paraId="2CBB7F1C">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282" w:type="dxa"/>
                  <w:vMerge w:val="restart"/>
                  <w:tcBorders>
                    <w:tl2br w:val="nil"/>
                    <w:tr2bl w:val="nil"/>
                  </w:tcBorders>
                  <w:noWrap w:val="0"/>
                  <w:vAlign w:val="center"/>
                </w:tcPr>
                <w:p w14:paraId="12FE53F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34m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/d，10200m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/a</w:t>
                  </w:r>
                </w:p>
              </w:tc>
              <w:tc>
                <w:tcPr>
                  <w:tcW w:w="1175" w:type="dxa"/>
                  <w:tcBorders>
                    <w:tl2br w:val="nil"/>
                    <w:tr2bl w:val="nil"/>
                  </w:tcBorders>
                  <w:noWrap w:val="0"/>
                  <w:vAlign w:val="center"/>
                </w:tcPr>
                <w:p w14:paraId="02725E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5330</w:t>
                  </w:r>
                </w:p>
              </w:tc>
              <w:tc>
                <w:tcPr>
                  <w:tcW w:w="1241" w:type="dxa"/>
                  <w:tcBorders>
                    <w:tl2br w:val="nil"/>
                    <w:tr2bl w:val="nil"/>
                  </w:tcBorders>
                  <w:noWrap w:val="0"/>
                  <w:vAlign w:val="center"/>
                </w:tcPr>
                <w:p w14:paraId="44A5F1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54.37</w:t>
                  </w:r>
                </w:p>
              </w:tc>
              <w:tc>
                <w:tcPr>
                  <w:tcW w:w="1194" w:type="dxa"/>
                  <w:tcBorders>
                    <w:tl2br w:val="nil"/>
                    <w:tr2bl w:val="nil"/>
                  </w:tcBorders>
                  <w:noWrap w:val="0"/>
                  <w:vAlign w:val="center"/>
                </w:tcPr>
                <w:p w14:paraId="305278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w:t>
                  </w:r>
                </w:p>
              </w:tc>
              <w:tc>
                <w:tcPr>
                  <w:tcW w:w="835" w:type="dxa"/>
                  <w:tcBorders>
                    <w:tl2br w:val="nil"/>
                    <w:tr2bl w:val="nil"/>
                  </w:tcBorders>
                  <w:noWrap w:val="0"/>
                  <w:vAlign w:val="center"/>
                </w:tcPr>
                <w:p w14:paraId="6481C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6" w:type="dxa"/>
                  <w:tcBorders>
                    <w:tl2br w:val="nil"/>
                    <w:tr2bl w:val="nil"/>
                  </w:tcBorders>
                  <w:noWrap w:val="0"/>
                  <w:vAlign w:val="center"/>
                </w:tcPr>
                <w:p w14:paraId="5BB595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091" w:type="dxa"/>
                  <w:tcBorders>
                    <w:tl2br w:val="nil"/>
                    <w:tr2bl w:val="nil"/>
                  </w:tcBorders>
                  <w:noWrap w:val="0"/>
                  <w:vAlign w:val="center"/>
                </w:tcPr>
                <w:p w14:paraId="06D11A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077" w:type="dxa"/>
                  <w:tcBorders>
                    <w:right w:val="single" w:color="auto" w:sz="4" w:space="0"/>
                    <w:tl2br w:val="nil"/>
                    <w:tr2bl w:val="nil"/>
                  </w:tcBorders>
                  <w:noWrap w:val="0"/>
                  <w:vAlign w:val="center"/>
                </w:tcPr>
                <w:p w14:paraId="487F4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91" w:type="dxa"/>
                  <w:tcBorders>
                    <w:left w:val="single" w:color="auto" w:sz="4" w:space="0"/>
                    <w:tl2br w:val="nil"/>
                    <w:tr2bl w:val="nil"/>
                  </w:tcBorders>
                  <w:noWrap w:val="0"/>
                  <w:vAlign w:val="center"/>
                </w:tcPr>
                <w:p w14:paraId="7D7D99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w:t>
                  </w:r>
                </w:p>
              </w:tc>
              <w:tc>
                <w:tcPr>
                  <w:tcW w:w="1092" w:type="dxa"/>
                  <w:tcBorders>
                    <w:tl2br w:val="nil"/>
                    <w:tr2bl w:val="nil"/>
                  </w:tcBorders>
                  <w:noWrap w:val="0"/>
                  <w:vAlign w:val="center"/>
                </w:tcPr>
                <w:p w14:paraId="619C24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7090D1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5EAF4A5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61A9DDAD">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1282" w:type="dxa"/>
                  <w:vMerge w:val="continue"/>
                  <w:tcBorders>
                    <w:tl2br w:val="nil"/>
                    <w:tr2bl w:val="nil"/>
                  </w:tcBorders>
                  <w:noWrap w:val="0"/>
                  <w:vAlign w:val="center"/>
                </w:tcPr>
                <w:p w14:paraId="6950537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78B053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2580</w:t>
                  </w:r>
                </w:p>
              </w:tc>
              <w:tc>
                <w:tcPr>
                  <w:tcW w:w="1241" w:type="dxa"/>
                  <w:tcBorders>
                    <w:tl2br w:val="nil"/>
                    <w:tr2bl w:val="nil"/>
                  </w:tcBorders>
                  <w:noWrap w:val="0"/>
                  <w:vAlign w:val="center"/>
                </w:tcPr>
                <w:p w14:paraId="5B7EC28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26.32</w:t>
                  </w:r>
                </w:p>
              </w:tc>
              <w:tc>
                <w:tcPr>
                  <w:tcW w:w="1194" w:type="dxa"/>
                  <w:tcBorders>
                    <w:tl2br w:val="nil"/>
                    <w:tr2bl w:val="nil"/>
                  </w:tcBorders>
                  <w:noWrap w:val="0"/>
                  <w:vAlign w:val="center"/>
                </w:tcPr>
                <w:p w14:paraId="4BEC4E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018FB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1EEDE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7C5BFF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1BDF07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0C025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23EAB0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47505F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30EA0E8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6C5DC88A">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SS</w:t>
                  </w:r>
                </w:p>
              </w:tc>
              <w:tc>
                <w:tcPr>
                  <w:tcW w:w="1282" w:type="dxa"/>
                  <w:vMerge w:val="continue"/>
                  <w:tcBorders>
                    <w:tl2br w:val="nil"/>
                    <w:tr2bl w:val="nil"/>
                  </w:tcBorders>
                  <w:noWrap w:val="0"/>
                  <w:vAlign w:val="center"/>
                </w:tcPr>
                <w:p w14:paraId="5C5DB38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0A58CB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940</w:t>
                  </w:r>
                </w:p>
              </w:tc>
              <w:tc>
                <w:tcPr>
                  <w:tcW w:w="1241" w:type="dxa"/>
                  <w:tcBorders>
                    <w:tl2br w:val="nil"/>
                    <w:tr2bl w:val="nil"/>
                  </w:tcBorders>
                  <w:noWrap w:val="0"/>
                  <w:vAlign w:val="center"/>
                </w:tcPr>
                <w:p w14:paraId="4F9ACC8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9.59</w:t>
                  </w:r>
                </w:p>
              </w:tc>
              <w:tc>
                <w:tcPr>
                  <w:tcW w:w="1194" w:type="dxa"/>
                  <w:tcBorders>
                    <w:tl2br w:val="nil"/>
                    <w:tr2bl w:val="nil"/>
                  </w:tcBorders>
                  <w:noWrap w:val="0"/>
                  <w:vAlign w:val="center"/>
                </w:tcPr>
                <w:p w14:paraId="69B11E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53C05A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31AAB7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2D678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33523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0F5424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70C554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73923A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1792702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786C9D9A">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282" w:type="dxa"/>
                  <w:vMerge w:val="continue"/>
                  <w:tcBorders>
                    <w:tl2br w:val="nil"/>
                    <w:tr2bl w:val="nil"/>
                  </w:tcBorders>
                  <w:noWrap w:val="0"/>
                  <w:vAlign w:val="center"/>
                </w:tcPr>
                <w:p w14:paraId="4DE3C11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246E1D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241" w:type="dxa"/>
                  <w:tcBorders>
                    <w:tl2br w:val="nil"/>
                    <w:tr2bl w:val="nil"/>
                  </w:tcBorders>
                  <w:noWrap w:val="0"/>
                  <w:vAlign w:val="center"/>
                </w:tcPr>
                <w:p w14:paraId="428D97A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0.20</w:t>
                  </w:r>
                </w:p>
              </w:tc>
              <w:tc>
                <w:tcPr>
                  <w:tcW w:w="1194" w:type="dxa"/>
                  <w:tcBorders>
                    <w:tl2br w:val="nil"/>
                    <w:tr2bl w:val="nil"/>
                  </w:tcBorders>
                  <w:noWrap w:val="0"/>
                  <w:vAlign w:val="center"/>
                </w:tcPr>
                <w:p w14:paraId="17532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03A8E6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100583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72F59D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2549D7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577B9D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7E372F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5CB089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266BCFB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3281FBA1">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1282" w:type="dxa"/>
                  <w:vMerge w:val="continue"/>
                  <w:tcBorders>
                    <w:tl2br w:val="nil"/>
                    <w:tr2bl w:val="nil"/>
                  </w:tcBorders>
                  <w:noWrap w:val="0"/>
                  <w:vAlign w:val="center"/>
                </w:tcPr>
                <w:p w14:paraId="5D3E536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2EE6AA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41" w:type="dxa"/>
                  <w:tcBorders>
                    <w:tl2br w:val="nil"/>
                    <w:tr2bl w:val="nil"/>
                  </w:tcBorders>
                  <w:noWrap w:val="0"/>
                  <w:vAlign w:val="center"/>
                </w:tcPr>
                <w:p w14:paraId="4C8997B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1194" w:type="dxa"/>
                  <w:tcBorders>
                    <w:tl2br w:val="nil"/>
                    <w:tr2bl w:val="nil"/>
                  </w:tcBorders>
                  <w:noWrap w:val="0"/>
                  <w:vAlign w:val="center"/>
                </w:tcPr>
                <w:p w14:paraId="36EBC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536A7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05AFF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0DA42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0BD312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259766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132835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7BE820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11BD112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shd w:val="clear" w:color="auto" w:fill="auto"/>
                  <w:noWrap w:val="0"/>
                  <w:vAlign w:val="center"/>
                </w:tcPr>
                <w:p w14:paraId="05C38202">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1282" w:type="dxa"/>
                  <w:vMerge w:val="continue"/>
                  <w:tcBorders>
                    <w:tl2br w:val="nil"/>
                    <w:tr2bl w:val="nil"/>
                  </w:tcBorders>
                  <w:noWrap w:val="0"/>
                  <w:vAlign w:val="center"/>
                </w:tcPr>
                <w:p w14:paraId="0945F77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shd w:val="clear" w:color="auto" w:fill="auto"/>
                  <w:noWrap w:val="0"/>
                  <w:vAlign w:val="center"/>
                </w:tcPr>
                <w:p w14:paraId="1F555B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252</w:t>
                  </w:r>
                </w:p>
              </w:tc>
              <w:tc>
                <w:tcPr>
                  <w:tcW w:w="1241" w:type="dxa"/>
                  <w:tcBorders>
                    <w:tl2br w:val="nil"/>
                    <w:tr2bl w:val="nil"/>
                  </w:tcBorders>
                  <w:shd w:val="clear" w:color="auto" w:fill="auto"/>
                  <w:noWrap w:val="0"/>
                  <w:vAlign w:val="center"/>
                </w:tcPr>
                <w:p w14:paraId="14B847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2.57</w:t>
                  </w:r>
                </w:p>
              </w:tc>
              <w:tc>
                <w:tcPr>
                  <w:tcW w:w="1194" w:type="dxa"/>
                  <w:tcBorders>
                    <w:tl2br w:val="nil"/>
                    <w:tr2bl w:val="nil"/>
                  </w:tcBorders>
                  <w:noWrap w:val="0"/>
                  <w:vAlign w:val="center"/>
                </w:tcPr>
                <w:p w14:paraId="26F3CD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33DE81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1ECD0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6AED0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7AC7A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7CC32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7F7415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5E5694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1EF5185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447665E1">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TN</w:t>
                  </w:r>
                </w:p>
              </w:tc>
              <w:tc>
                <w:tcPr>
                  <w:tcW w:w="1282" w:type="dxa"/>
                  <w:vMerge w:val="continue"/>
                  <w:tcBorders>
                    <w:tl2br w:val="nil"/>
                    <w:tr2bl w:val="nil"/>
                  </w:tcBorders>
                  <w:noWrap w:val="0"/>
                  <w:vAlign w:val="center"/>
                </w:tcPr>
                <w:p w14:paraId="20F6812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252A87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40.4</w:t>
                  </w:r>
                </w:p>
              </w:tc>
              <w:tc>
                <w:tcPr>
                  <w:tcW w:w="1241" w:type="dxa"/>
                  <w:tcBorders>
                    <w:tl2br w:val="nil"/>
                    <w:tr2bl w:val="nil"/>
                  </w:tcBorders>
                  <w:noWrap w:val="0"/>
                  <w:vAlign w:val="center"/>
                </w:tcPr>
                <w:p w14:paraId="057BDB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0.41</w:t>
                  </w:r>
                </w:p>
              </w:tc>
              <w:tc>
                <w:tcPr>
                  <w:tcW w:w="1194" w:type="dxa"/>
                  <w:tcBorders>
                    <w:tl2br w:val="nil"/>
                    <w:tr2bl w:val="nil"/>
                  </w:tcBorders>
                  <w:noWrap w:val="0"/>
                  <w:vAlign w:val="center"/>
                </w:tcPr>
                <w:p w14:paraId="069B1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w:t>
                  </w:r>
                </w:p>
              </w:tc>
              <w:tc>
                <w:tcPr>
                  <w:tcW w:w="835" w:type="dxa"/>
                  <w:tcBorders>
                    <w:tl2br w:val="nil"/>
                    <w:tr2bl w:val="nil"/>
                  </w:tcBorders>
                  <w:noWrap w:val="0"/>
                  <w:vAlign w:val="center"/>
                </w:tcPr>
                <w:p w14:paraId="5DBF08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6" w:type="dxa"/>
                  <w:tcBorders>
                    <w:tl2br w:val="nil"/>
                    <w:tr2bl w:val="nil"/>
                  </w:tcBorders>
                  <w:noWrap w:val="0"/>
                  <w:vAlign w:val="center"/>
                </w:tcPr>
                <w:p w14:paraId="79A76F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091" w:type="dxa"/>
                  <w:tcBorders>
                    <w:tl2br w:val="nil"/>
                    <w:tr2bl w:val="nil"/>
                  </w:tcBorders>
                  <w:noWrap w:val="0"/>
                  <w:vAlign w:val="center"/>
                </w:tcPr>
                <w:p w14:paraId="0D46B7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077" w:type="dxa"/>
                  <w:tcBorders>
                    <w:right w:val="single" w:color="auto" w:sz="4" w:space="0"/>
                    <w:tl2br w:val="nil"/>
                    <w:tr2bl w:val="nil"/>
                  </w:tcBorders>
                  <w:noWrap w:val="0"/>
                  <w:vAlign w:val="center"/>
                </w:tcPr>
                <w:p w14:paraId="61676F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91" w:type="dxa"/>
                  <w:tcBorders>
                    <w:left w:val="single" w:color="auto" w:sz="4" w:space="0"/>
                    <w:tl2br w:val="nil"/>
                    <w:tr2bl w:val="nil"/>
                  </w:tcBorders>
                  <w:noWrap w:val="0"/>
                  <w:vAlign w:val="center"/>
                </w:tcPr>
                <w:p w14:paraId="12A379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w:t>
                  </w:r>
                </w:p>
              </w:tc>
              <w:tc>
                <w:tcPr>
                  <w:tcW w:w="1092" w:type="dxa"/>
                  <w:tcBorders>
                    <w:tl2br w:val="nil"/>
                    <w:tr2bl w:val="nil"/>
                  </w:tcBorders>
                  <w:noWrap w:val="0"/>
                  <w:vAlign w:val="center"/>
                </w:tcPr>
                <w:p w14:paraId="4AE01E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6A104E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875" w:type="dxa"/>
                  <w:vMerge w:val="restart"/>
                  <w:tcBorders>
                    <w:tl2br w:val="nil"/>
                    <w:tr2bl w:val="nil"/>
                  </w:tcBorders>
                  <w:noWrap w:val="0"/>
                  <w:vAlign w:val="center"/>
                </w:tcPr>
                <w:p w14:paraId="7EFBF27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地面清洁废水</w:t>
                  </w:r>
                </w:p>
              </w:tc>
              <w:tc>
                <w:tcPr>
                  <w:tcW w:w="1373" w:type="dxa"/>
                  <w:tcBorders>
                    <w:tl2br w:val="nil"/>
                    <w:tr2bl w:val="nil"/>
                  </w:tcBorders>
                  <w:noWrap w:val="0"/>
                  <w:vAlign w:val="center"/>
                </w:tcPr>
                <w:p w14:paraId="5CA79095">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282" w:type="dxa"/>
                  <w:vMerge w:val="restart"/>
                  <w:tcBorders>
                    <w:tl2br w:val="nil"/>
                    <w:tr2bl w:val="nil"/>
                  </w:tcBorders>
                  <w:noWrap w:val="0"/>
                  <w:vAlign w:val="center"/>
                </w:tcPr>
                <w:p w14:paraId="7D63D38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3.15m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/d，945m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/a</w:t>
                  </w:r>
                </w:p>
              </w:tc>
              <w:tc>
                <w:tcPr>
                  <w:tcW w:w="1175" w:type="dxa"/>
                  <w:tcBorders>
                    <w:tl2br w:val="nil"/>
                    <w:tr2bl w:val="nil"/>
                  </w:tcBorders>
                  <w:noWrap w:val="0"/>
                  <w:vAlign w:val="center"/>
                </w:tcPr>
                <w:p w14:paraId="39C358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241" w:type="dxa"/>
                  <w:tcBorders>
                    <w:tl2br w:val="nil"/>
                    <w:tr2bl w:val="nil"/>
                  </w:tcBorders>
                  <w:noWrap w:val="0"/>
                  <w:vAlign w:val="center"/>
                </w:tcPr>
                <w:p w14:paraId="2FDC679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c>
                <w:tcPr>
                  <w:tcW w:w="1194" w:type="dxa"/>
                  <w:tcBorders>
                    <w:tl2br w:val="nil"/>
                    <w:tr2bl w:val="nil"/>
                  </w:tcBorders>
                  <w:noWrap w:val="0"/>
                  <w:vAlign w:val="center"/>
                </w:tcPr>
                <w:p w14:paraId="0F2961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i w:val="0"/>
                      <w:color w:val="auto"/>
                      <w:kern w:val="0"/>
                      <w:sz w:val="21"/>
                      <w:szCs w:val="21"/>
                      <w:highlight w:val="none"/>
                      <w:u w:val="none"/>
                      <w:lang w:val="en-US" w:eastAsia="zh-CN" w:bidi="ar"/>
                    </w:rPr>
                    <w:t>/</w:t>
                  </w:r>
                </w:p>
              </w:tc>
              <w:tc>
                <w:tcPr>
                  <w:tcW w:w="835" w:type="dxa"/>
                  <w:tcBorders>
                    <w:tl2br w:val="nil"/>
                    <w:tr2bl w:val="nil"/>
                  </w:tcBorders>
                  <w:noWrap w:val="0"/>
                  <w:vAlign w:val="center"/>
                </w:tcPr>
                <w:p w14:paraId="612CB3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66" w:type="dxa"/>
                  <w:tcBorders>
                    <w:tl2br w:val="nil"/>
                    <w:tr2bl w:val="nil"/>
                  </w:tcBorders>
                  <w:noWrap w:val="0"/>
                  <w:vAlign w:val="center"/>
                </w:tcPr>
                <w:p w14:paraId="100282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1091" w:type="dxa"/>
                  <w:tcBorders>
                    <w:tl2br w:val="nil"/>
                    <w:tr2bl w:val="nil"/>
                  </w:tcBorders>
                  <w:noWrap w:val="0"/>
                  <w:vAlign w:val="center"/>
                </w:tcPr>
                <w:p w14:paraId="422DD4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1077" w:type="dxa"/>
                  <w:tcBorders>
                    <w:right w:val="single" w:color="auto" w:sz="4" w:space="0"/>
                    <w:tl2br w:val="nil"/>
                    <w:tr2bl w:val="nil"/>
                  </w:tcBorders>
                  <w:noWrap w:val="0"/>
                  <w:vAlign w:val="center"/>
                </w:tcPr>
                <w:p w14:paraId="64C1C1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091" w:type="dxa"/>
                  <w:tcBorders>
                    <w:left w:val="single" w:color="auto" w:sz="4" w:space="0"/>
                    <w:tl2br w:val="nil"/>
                    <w:tr2bl w:val="nil"/>
                  </w:tcBorders>
                  <w:noWrap w:val="0"/>
                  <w:vAlign w:val="center"/>
                </w:tcPr>
                <w:p w14:paraId="417D1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w:t>
                  </w:r>
                </w:p>
              </w:tc>
              <w:tc>
                <w:tcPr>
                  <w:tcW w:w="1092" w:type="dxa"/>
                  <w:tcBorders>
                    <w:tl2br w:val="nil"/>
                    <w:tr2bl w:val="nil"/>
                  </w:tcBorders>
                  <w:noWrap w:val="0"/>
                  <w:vAlign w:val="center"/>
                </w:tcPr>
                <w:p w14:paraId="680D1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p>
              </w:tc>
            </w:tr>
            <w:tr w14:paraId="122C58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3B74901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53D07217">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1282" w:type="dxa"/>
                  <w:vMerge w:val="continue"/>
                  <w:tcBorders>
                    <w:tl2br w:val="nil"/>
                    <w:tr2bl w:val="nil"/>
                  </w:tcBorders>
                  <w:noWrap w:val="0"/>
                  <w:vAlign w:val="center"/>
                </w:tcPr>
                <w:p w14:paraId="202844C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0F68809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1241" w:type="dxa"/>
                  <w:tcBorders>
                    <w:tl2br w:val="nil"/>
                    <w:tr2bl w:val="nil"/>
                  </w:tcBorders>
                  <w:noWrap w:val="0"/>
                  <w:vAlign w:val="center"/>
                </w:tcPr>
                <w:p w14:paraId="57E81A4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1194" w:type="dxa"/>
                  <w:tcBorders>
                    <w:tl2br w:val="nil"/>
                    <w:tr2bl w:val="nil"/>
                  </w:tcBorders>
                  <w:noWrap w:val="0"/>
                  <w:vAlign w:val="center"/>
                </w:tcPr>
                <w:p w14:paraId="1E7D49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4FBBDA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57C908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28579D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592A58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2D38FC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11999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161A29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7" w:hRule="atLeast"/>
                <w:jc w:val="center"/>
              </w:trPr>
              <w:tc>
                <w:tcPr>
                  <w:tcW w:w="875" w:type="dxa"/>
                  <w:vMerge w:val="continue"/>
                  <w:tcBorders>
                    <w:tl2br w:val="nil"/>
                    <w:tr2bl w:val="nil"/>
                  </w:tcBorders>
                  <w:noWrap w:val="0"/>
                  <w:vAlign w:val="center"/>
                </w:tcPr>
                <w:p w14:paraId="14B2509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3266703A">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SS</w:t>
                  </w:r>
                </w:p>
              </w:tc>
              <w:tc>
                <w:tcPr>
                  <w:tcW w:w="1282" w:type="dxa"/>
                  <w:vMerge w:val="continue"/>
                  <w:tcBorders>
                    <w:tl2br w:val="nil"/>
                    <w:tr2bl w:val="nil"/>
                  </w:tcBorders>
                  <w:noWrap w:val="0"/>
                  <w:vAlign w:val="center"/>
                </w:tcPr>
                <w:p w14:paraId="61D2D3B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38CEACA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241" w:type="dxa"/>
                  <w:tcBorders>
                    <w:tl2br w:val="nil"/>
                    <w:tr2bl w:val="nil"/>
                  </w:tcBorders>
                  <w:noWrap w:val="0"/>
                  <w:vAlign w:val="center"/>
                </w:tcPr>
                <w:p w14:paraId="1317F44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1194" w:type="dxa"/>
                  <w:tcBorders>
                    <w:tl2br w:val="nil"/>
                    <w:tr2bl w:val="nil"/>
                  </w:tcBorders>
                  <w:noWrap w:val="0"/>
                  <w:vAlign w:val="center"/>
                </w:tcPr>
                <w:p w14:paraId="3E3ED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0674E5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043D60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0C7F8D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42AC1E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24252D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3E3991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7925F7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1184E88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04B8360F">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282" w:type="dxa"/>
                  <w:vMerge w:val="continue"/>
                  <w:tcBorders>
                    <w:tl2br w:val="nil"/>
                    <w:tr2bl w:val="nil"/>
                  </w:tcBorders>
                  <w:noWrap w:val="0"/>
                  <w:vAlign w:val="center"/>
                </w:tcPr>
                <w:p w14:paraId="1C26903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46E8AA9B">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241" w:type="dxa"/>
                  <w:tcBorders>
                    <w:tl2br w:val="nil"/>
                    <w:tr2bl w:val="nil"/>
                  </w:tcBorders>
                  <w:noWrap w:val="0"/>
                  <w:vAlign w:val="center"/>
                </w:tcPr>
                <w:p w14:paraId="1C72EC87">
                  <w:pPr>
                    <w:keepNext w:val="0"/>
                    <w:keepLines w:val="0"/>
                    <w:widowControl/>
                    <w:suppressLineNumbers w:val="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194" w:type="dxa"/>
                  <w:tcBorders>
                    <w:tl2br w:val="nil"/>
                    <w:tr2bl w:val="nil"/>
                  </w:tcBorders>
                  <w:noWrap w:val="0"/>
                  <w:vAlign w:val="center"/>
                </w:tcPr>
                <w:p w14:paraId="2EBA0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w:t>
                  </w:r>
                </w:p>
              </w:tc>
              <w:tc>
                <w:tcPr>
                  <w:tcW w:w="835" w:type="dxa"/>
                  <w:tcBorders>
                    <w:tl2br w:val="nil"/>
                    <w:tr2bl w:val="nil"/>
                  </w:tcBorders>
                  <w:noWrap w:val="0"/>
                  <w:vAlign w:val="center"/>
                </w:tcPr>
                <w:p w14:paraId="7F2ACF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6" w:type="dxa"/>
                  <w:tcBorders>
                    <w:tl2br w:val="nil"/>
                    <w:tr2bl w:val="nil"/>
                  </w:tcBorders>
                  <w:noWrap w:val="0"/>
                  <w:vAlign w:val="center"/>
                </w:tcPr>
                <w:p w14:paraId="7943DC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091" w:type="dxa"/>
                  <w:tcBorders>
                    <w:tl2br w:val="nil"/>
                    <w:tr2bl w:val="nil"/>
                  </w:tcBorders>
                  <w:noWrap w:val="0"/>
                  <w:vAlign w:val="center"/>
                </w:tcPr>
                <w:p w14:paraId="103A7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1077" w:type="dxa"/>
                  <w:tcBorders>
                    <w:right w:val="single" w:color="auto" w:sz="4" w:space="0"/>
                    <w:tl2br w:val="nil"/>
                    <w:tr2bl w:val="nil"/>
                  </w:tcBorders>
                  <w:noWrap w:val="0"/>
                  <w:vAlign w:val="center"/>
                </w:tcPr>
                <w:p w14:paraId="31715B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091" w:type="dxa"/>
                  <w:tcBorders>
                    <w:left w:val="single" w:color="auto" w:sz="4" w:space="0"/>
                    <w:tl2br w:val="nil"/>
                    <w:tr2bl w:val="nil"/>
                  </w:tcBorders>
                  <w:noWrap w:val="0"/>
                  <w:vAlign w:val="center"/>
                </w:tcPr>
                <w:p w14:paraId="03393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w:t>
                  </w:r>
                </w:p>
              </w:tc>
              <w:tc>
                <w:tcPr>
                  <w:tcW w:w="1092" w:type="dxa"/>
                  <w:tcBorders>
                    <w:tl2br w:val="nil"/>
                    <w:tr2bl w:val="nil"/>
                  </w:tcBorders>
                  <w:noWrap w:val="0"/>
                  <w:vAlign w:val="center"/>
                </w:tcPr>
                <w:p w14:paraId="5615F7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7D532A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7DA13D9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335D83CD">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1282" w:type="dxa"/>
                  <w:vMerge w:val="continue"/>
                  <w:tcBorders>
                    <w:tl2br w:val="nil"/>
                    <w:tr2bl w:val="nil"/>
                  </w:tcBorders>
                  <w:noWrap w:val="0"/>
                  <w:vAlign w:val="center"/>
                </w:tcPr>
                <w:p w14:paraId="7D7824F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316BAE2C">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41" w:type="dxa"/>
                  <w:tcBorders>
                    <w:tl2br w:val="nil"/>
                    <w:tr2bl w:val="nil"/>
                  </w:tcBorders>
                  <w:noWrap w:val="0"/>
                  <w:vAlign w:val="center"/>
                </w:tcPr>
                <w:p w14:paraId="7D4058FD">
                  <w:pPr>
                    <w:keepNext w:val="0"/>
                    <w:keepLines w:val="0"/>
                    <w:widowControl/>
                    <w:suppressLineNumbers w:val="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194" w:type="dxa"/>
                  <w:tcBorders>
                    <w:tl2br w:val="nil"/>
                    <w:tr2bl w:val="nil"/>
                  </w:tcBorders>
                  <w:noWrap w:val="0"/>
                  <w:vAlign w:val="center"/>
                </w:tcPr>
                <w:p w14:paraId="7C4A6A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i w:val="0"/>
                      <w:color w:val="auto"/>
                      <w:kern w:val="0"/>
                      <w:sz w:val="21"/>
                      <w:szCs w:val="21"/>
                      <w:highlight w:val="none"/>
                      <w:u w:val="none"/>
                      <w:lang w:val="en-US" w:eastAsia="zh-CN" w:bidi="ar"/>
                    </w:rPr>
                    <w:t>/</w:t>
                  </w:r>
                </w:p>
              </w:tc>
              <w:tc>
                <w:tcPr>
                  <w:tcW w:w="835" w:type="dxa"/>
                  <w:tcBorders>
                    <w:tl2br w:val="nil"/>
                    <w:tr2bl w:val="nil"/>
                  </w:tcBorders>
                  <w:noWrap w:val="0"/>
                  <w:vAlign w:val="center"/>
                </w:tcPr>
                <w:p w14:paraId="71C200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66" w:type="dxa"/>
                  <w:tcBorders>
                    <w:tl2br w:val="nil"/>
                    <w:tr2bl w:val="nil"/>
                  </w:tcBorders>
                  <w:noWrap w:val="0"/>
                  <w:vAlign w:val="center"/>
                </w:tcPr>
                <w:p w14:paraId="5D2D4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1091" w:type="dxa"/>
                  <w:tcBorders>
                    <w:tl2br w:val="nil"/>
                    <w:tr2bl w:val="nil"/>
                  </w:tcBorders>
                  <w:noWrap w:val="0"/>
                  <w:vAlign w:val="center"/>
                </w:tcPr>
                <w:p w14:paraId="2B8BDD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p>
              </w:tc>
              <w:tc>
                <w:tcPr>
                  <w:tcW w:w="1077" w:type="dxa"/>
                  <w:tcBorders>
                    <w:right w:val="single" w:color="auto" w:sz="4" w:space="0"/>
                    <w:tl2br w:val="nil"/>
                    <w:tr2bl w:val="nil"/>
                  </w:tcBorders>
                  <w:noWrap w:val="0"/>
                  <w:vAlign w:val="center"/>
                </w:tcPr>
                <w:p w14:paraId="48CFED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091" w:type="dxa"/>
                  <w:tcBorders>
                    <w:left w:val="single" w:color="auto" w:sz="4" w:space="0"/>
                    <w:tl2br w:val="nil"/>
                    <w:tr2bl w:val="nil"/>
                  </w:tcBorders>
                  <w:noWrap w:val="0"/>
                  <w:vAlign w:val="center"/>
                </w:tcPr>
                <w:p w14:paraId="6A5FEB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color w:val="auto"/>
                      <w:kern w:val="0"/>
                      <w:sz w:val="21"/>
                      <w:szCs w:val="21"/>
                      <w:highlight w:val="none"/>
                      <w:u w:val="none"/>
                      <w:lang w:val="en-US" w:eastAsia="zh-CN" w:bidi="ar"/>
                    </w:rPr>
                    <w:t>/</w:t>
                  </w:r>
                </w:p>
              </w:tc>
              <w:tc>
                <w:tcPr>
                  <w:tcW w:w="1092" w:type="dxa"/>
                  <w:tcBorders>
                    <w:tl2br w:val="nil"/>
                    <w:tr2bl w:val="nil"/>
                  </w:tcBorders>
                  <w:noWrap w:val="0"/>
                  <w:vAlign w:val="center"/>
                </w:tcPr>
                <w:p w14:paraId="574DBB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w:t>
                  </w:r>
                </w:p>
              </w:tc>
            </w:tr>
            <w:tr w14:paraId="067AF0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restart"/>
                  <w:tcBorders>
                    <w:tl2br w:val="nil"/>
                    <w:tr2bl w:val="nil"/>
                  </w:tcBorders>
                  <w:noWrap w:val="0"/>
                  <w:vAlign w:val="center"/>
                </w:tcPr>
                <w:p w14:paraId="73C8CAC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废气装置排水</w:t>
                  </w:r>
                </w:p>
              </w:tc>
              <w:tc>
                <w:tcPr>
                  <w:tcW w:w="1373" w:type="dxa"/>
                  <w:tcBorders>
                    <w:tl2br w:val="nil"/>
                    <w:tr2bl w:val="nil"/>
                  </w:tcBorders>
                  <w:noWrap w:val="0"/>
                  <w:vAlign w:val="center"/>
                </w:tcPr>
                <w:p w14:paraId="30A7E67F">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282" w:type="dxa"/>
                  <w:vMerge w:val="restart"/>
                  <w:tcBorders>
                    <w:tl2br w:val="nil"/>
                    <w:tr2bl w:val="nil"/>
                  </w:tcBorders>
                  <w:noWrap w:val="0"/>
                  <w:vAlign w:val="center"/>
                </w:tcPr>
                <w:p w14:paraId="61AE281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5.4m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/d，</w:t>
                  </w:r>
                  <w:r>
                    <w:rPr>
                      <w:rFonts w:hint="default" w:ascii="Times New Roman" w:hAnsi="Times New Roman" w:cs="Times New Roman"/>
                      <w:color w:val="auto"/>
                      <w:sz w:val="21"/>
                      <w:szCs w:val="21"/>
                      <w:highlight w:val="none"/>
                      <w:vertAlign w:val="baseline"/>
                      <w:lang w:val="en-US" w:eastAsia="zh-CN"/>
                    </w:rPr>
                    <w:t>64.8</w:t>
                  </w:r>
                  <w:r>
                    <w:rPr>
                      <w:rFonts w:hint="default" w:cs="Times New Roman"/>
                      <w:color w:val="auto"/>
                      <w:sz w:val="21"/>
                      <w:szCs w:val="21"/>
                      <w:highlight w:val="none"/>
                      <w:vertAlign w:val="baseline"/>
                      <w:lang w:val="en-US" w:eastAsia="zh-CN"/>
                    </w:rPr>
                    <w:t>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/a</w:t>
                  </w:r>
                </w:p>
              </w:tc>
              <w:tc>
                <w:tcPr>
                  <w:tcW w:w="1175" w:type="dxa"/>
                  <w:tcBorders>
                    <w:tl2br w:val="nil"/>
                    <w:tr2bl w:val="nil"/>
                  </w:tcBorders>
                  <w:noWrap w:val="0"/>
                  <w:vAlign w:val="center"/>
                </w:tcPr>
                <w:p w14:paraId="4E6918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660</w:t>
                  </w:r>
                </w:p>
              </w:tc>
              <w:tc>
                <w:tcPr>
                  <w:tcW w:w="1241" w:type="dxa"/>
                  <w:tcBorders>
                    <w:tl2br w:val="nil"/>
                    <w:tr2bl w:val="nil"/>
                  </w:tcBorders>
                  <w:noWrap w:val="0"/>
                  <w:vAlign w:val="center"/>
                </w:tcPr>
                <w:p w14:paraId="3840A581">
                  <w:pPr>
                    <w:keepNext w:val="0"/>
                    <w:keepLines w:val="0"/>
                    <w:widowControl/>
                    <w:suppressLineNumbers w:val="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94" w:type="dxa"/>
                  <w:tcBorders>
                    <w:tl2br w:val="nil"/>
                    <w:tr2bl w:val="nil"/>
                  </w:tcBorders>
                  <w:noWrap w:val="0"/>
                  <w:vAlign w:val="center"/>
                </w:tcPr>
                <w:p w14:paraId="656CBA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36124F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6084B1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498141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73EC12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731BEE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170E8F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6B27BF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1C17167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3E2F5D0F">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SS</w:t>
                  </w:r>
                </w:p>
              </w:tc>
              <w:tc>
                <w:tcPr>
                  <w:tcW w:w="1282" w:type="dxa"/>
                  <w:vMerge w:val="continue"/>
                  <w:tcBorders>
                    <w:tl2br w:val="nil"/>
                    <w:tr2bl w:val="nil"/>
                  </w:tcBorders>
                  <w:noWrap w:val="0"/>
                  <w:vAlign w:val="center"/>
                </w:tcPr>
                <w:p w14:paraId="279474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48273B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241" w:type="dxa"/>
                  <w:tcBorders>
                    <w:tl2br w:val="nil"/>
                    <w:tr2bl w:val="nil"/>
                  </w:tcBorders>
                  <w:noWrap w:val="0"/>
                  <w:vAlign w:val="center"/>
                </w:tcPr>
                <w:p w14:paraId="5631B08E">
                  <w:pPr>
                    <w:keepNext w:val="0"/>
                    <w:keepLines w:val="0"/>
                    <w:widowControl/>
                    <w:suppressLineNumbers w:val="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194" w:type="dxa"/>
                  <w:tcBorders>
                    <w:tl2br w:val="nil"/>
                    <w:tr2bl w:val="nil"/>
                  </w:tcBorders>
                  <w:noWrap w:val="0"/>
                  <w:vAlign w:val="center"/>
                </w:tcPr>
                <w:p w14:paraId="001BCA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4B139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73BC39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73E1C6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14E3FD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56DF8B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626D40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52CCBE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4FE994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733289A7">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282" w:type="dxa"/>
                  <w:vMerge w:val="continue"/>
                  <w:tcBorders>
                    <w:tl2br w:val="nil"/>
                    <w:tr2bl w:val="nil"/>
                  </w:tcBorders>
                  <w:noWrap w:val="0"/>
                  <w:vAlign w:val="center"/>
                </w:tcPr>
                <w:p w14:paraId="78DEEA7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6A5ACB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241" w:type="dxa"/>
                  <w:tcBorders>
                    <w:tl2br w:val="nil"/>
                    <w:tr2bl w:val="nil"/>
                  </w:tcBorders>
                  <w:noWrap w:val="0"/>
                  <w:vAlign w:val="center"/>
                </w:tcPr>
                <w:p w14:paraId="326588AC">
                  <w:pPr>
                    <w:keepNext w:val="0"/>
                    <w:keepLines w:val="0"/>
                    <w:widowControl/>
                    <w:suppressLineNumbers w:val="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1194" w:type="dxa"/>
                  <w:tcBorders>
                    <w:tl2br w:val="nil"/>
                    <w:tr2bl w:val="nil"/>
                  </w:tcBorders>
                  <w:noWrap w:val="0"/>
                  <w:vAlign w:val="center"/>
                </w:tcPr>
                <w:p w14:paraId="012EA5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1F7A8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0D922C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0EFE55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503C2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3892C9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6DE35C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7CD216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8" w:hRule="atLeast"/>
                <w:jc w:val="center"/>
              </w:trPr>
              <w:tc>
                <w:tcPr>
                  <w:tcW w:w="875" w:type="dxa"/>
                  <w:vMerge w:val="restart"/>
                  <w:tcBorders>
                    <w:tl2br w:val="nil"/>
                    <w:tr2bl w:val="nil"/>
                  </w:tcBorders>
                  <w:noWrap w:val="0"/>
                  <w:vAlign w:val="center"/>
                </w:tcPr>
                <w:p w14:paraId="564A154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cs="Times New Roman"/>
                      <w:b w:val="0"/>
                      <w:bCs w:val="0"/>
                      <w:color w:val="auto"/>
                      <w:sz w:val="21"/>
                      <w:szCs w:val="21"/>
                      <w:highlight w:val="none"/>
                      <w:lang w:val="en-US" w:eastAsia="zh-CN"/>
                    </w:rPr>
                    <w:t>冷却系统排水、锅炉排水和真空泵排水</w:t>
                  </w:r>
                </w:p>
              </w:tc>
              <w:tc>
                <w:tcPr>
                  <w:tcW w:w="1373" w:type="dxa"/>
                  <w:tcBorders>
                    <w:tl2br w:val="nil"/>
                    <w:tr2bl w:val="nil"/>
                  </w:tcBorders>
                  <w:noWrap w:val="0"/>
                  <w:vAlign w:val="center"/>
                </w:tcPr>
                <w:p w14:paraId="63D3FD48">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COD</w:t>
                  </w:r>
                </w:p>
              </w:tc>
              <w:tc>
                <w:tcPr>
                  <w:tcW w:w="1282" w:type="dxa"/>
                  <w:vMerge w:val="restart"/>
                  <w:tcBorders>
                    <w:tl2br w:val="nil"/>
                    <w:tr2bl w:val="nil"/>
                  </w:tcBorders>
                  <w:noWrap w:val="0"/>
                  <w:vAlign w:val="center"/>
                </w:tcPr>
                <w:p w14:paraId="4E3F250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default" w:cs="Times New Roman"/>
                      <w:b w:val="0"/>
                      <w:bCs w:val="0"/>
                      <w:color w:val="auto"/>
                      <w:sz w:val="21"/>
                      <w:szCs w:val="21"/>
                      <w:highlight w:val="none"/>
                      <w:lang w:val="en-US" w:eastAsia="zh-CN"/>
                    </w:rPr>
                    <w:t>31.6</w:t>
                  </w:r>
                  <w:r>
                    <w:rPr>
                      <w:rFonts w:hint="eastAsia" w:cs="Times New Roman"/>
                      <w:b w:val="0"/>
                      <w:bCs w:val="0"/>
                      <w:color w:val="auto"/>
                      <w:sz w:val="21"/>
                      <w:szCs w:val="21"/>
                      <w:highlight w:val="none"/>
                      <w:lang w:val="en-US" w:eastAsia="zh-CN"/>
                    </w:rPr>
                    <w:t>1</w:t>
                  </w:r>
                  <w:r>
                    <w:rPr>
                      <w:rFonts w:hint="default" w:cs="Times New Roman"/>
                      <w:color w:val="auto"/>
                      <w:sz w:val="21"/>
                      <w:szCs w:val="21"/>
                      <w:highlight w:val="none"/>
                      <w:vertAlign w:val="baseline"/>
                      <w:lang w:val="en-US" w:eastAsia="zh-CN"/>
                    </w:rPr>
                    <w:t>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/d</w:t>
                  </w:r>
                </w:p>
                <w:p w14:paraId="1578EB9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4"/>
                      <w:szCs w:val="24"/>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7128.5</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/a</w:t>
                  </w:r>
                </w:p>
              </w:tc>
              <w:tc>
                <w:tcPr>
                  <w:tcW w:w="1175" w:type="dxa"/>
                  <w:tcBorders>
                    <w:tl2br w:val="nil"/>
                    <w:tr2bl w:val="nil"/>
                  </w:tcBorders>
                  <w:noWrap w:val="0"/>
                  <w:vAlign w:val="center"/>
                </w:tcPr>
                <w:p w14:paraId="63F432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90</w:t>
                  </w:r>
                </w:p>
              </w:tc>
              <w:tc>
                <w:tcPr>
                  <w:tcW w:w="1241" w:type="dxa"/>
                  <w:tcBorders>
                    <w:tl2br w:val="nil"/>
                    <w:tr2bl w:val="nil"/>
                  </w:tcBorders>
                  <w:noWrap w:val="0"/>
                  <w:vAlign w:val="center"/>
                </w:tcPr>
                <w:p w14:paraId="462E1E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0.64</w:t>
                  </w:r>
                </w:p>
              </w:tc>
              <w:tc>
                <w:tcPr>
                  <w:tcW w:w="1194" w:type="dxa"/>
                  <w:tcBorders>
                    <w:tl2br w:val="nil"/>
                    <w:tr2bl w:val="nil"/>
                  </w:tcBorders>
                  <w:noWrap w:val="0"/>
                  <w:vAlign w:val="center"/>
                </w:tcPr>
                <w:p w14:paraId="15ED33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2FBD6F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178BC2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51CB3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1C0AFA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2E6148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012F0C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2B8168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71C4A47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5E900160">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SS</w:t>
                  </w:r>
                </w:p>
              </w:tc>
              <w:tc>
                <w:tcPr>
                  <w:tcW w:w="1282" w:type="dxa"/>
                  <w:vMerge w:val="continue"/>
                  <w:tcBorders>
                    <w:tl2br w:val="nil"/>
                    <w:tr2bl w:val="nil"/>
                  </w:tcBorders>
                  <w:noWrap w:val="0"/>
                  <w:vAlign w:val="center"/>
                </w:tcPr>
                <w:p w14:paraId="2625B26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21"/>
                      <w:szCs w:val="21"/>
                      <w:highlight w:val="none"/>
                      <w:vertAlign w:val="baseline"/>
                      <w:lang w:val="en-US" w:eastAsia="zh-CN"/>
                    </w:rPr>
                  </w:pPr>
                </w:p>
              </w:tc>
              <w:tc>
                <w:tcPr>
                  <w:tcW w:w="1175" w:type="dxa"/>
                  <w:tcBorders>
                    <w:tl2br w:val="nil"/>
                    <w:tr2bl w:val="nil"/>
                  </w:tcBorders>
                  <w:noWrap w:val="0"/>
                  <w:vAlign w:val="center"/>
                </w:tcPr>
                <w:p w14:paraId="227E37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50</w:t>
                  </w:r>
                </w:p>
              </w:tc>
              <w:tc>
                <w:tcPr>
                  <w:tcW w:w="1241" w:type="dxa"/>
                  <w:tcBorders>
                    <w:tl2br w:val="nil"/>
                    <w:tr2bl w:val="nil"/>
                  </w:tcBorders>
                  <w:noWrap w:val="0"/>
                  <w:vAlign w:val="center"/>
                </w:tcPr>
                <w:p w14:paraId="239F02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0.39</w:t>
                  </w:r>
                </w:p>
              </w:tc>
              <w:tc>
                <w:tcPr>
                  <w:tcW w:w="1194" w:type="dxa"/>
                  <w:tcBorders>
                    <w:tl2br w:val="nil"/>
                    <w:tr2bl w:val="nil"/>
                  </w:tcBorders>
                  <w:noWrap w:val="0"/>
                  <w:vAlign w:val="center"/>
                </w:tcPr>
                <w:p w14:paraId="5D4C0B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835" w:type="dxa"/>
                  <w:tcBorders>
                    <w:tl2br w:val="nil"/>
                    <w:tr2bl w:val="nil"/>
                  </w:tcBorders>
                  <w:noWrap w:val="0"/>
                  <w:vAlign w:val="center"/>
                </w:tcPr>
                <w:p w14:paraId="666FA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666" w:type="dxa"/>
                  <w:tcBorders>
                    <w:tl2br w:val="nil"/>
                    <w:tr2bl w:val="nil"/>
                  </w:tcBorders>
                  <w:noWrap w:val="0"/>
                  <w:vAlign w:val="center"/>
                </w:tcPr>
                <w:p w14:paraId="13CE06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226F1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c>
                <w:tcPr>
                  <w:tcW w:w="1077" w:type="dxa"/>
                  <w:tcBorders>
                    <w:right w:val="single" w:color="auto" w:sz="4" w:space="0"/>
                    <w:tl2br w:val="nil"/>
                    <w:tr2bl w:val="nil"/>
                  </w:tcBorders>
                  <w:noWrap w:val="0"/>
                  <w:vAlign w:val="center"/>
                </w:tcPr>
                <w:p w14:paraId="326037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1091" w:type="dxa"/>
                  <w:tcBorders>
                    <w:left w:val="single" w:color="auto" w:sz="4" w:space="0"/>
                    <w:tl2br w:val="nil"/>
                    <w:tr2bl w:val="nil"/>
                  </w:tcBorders>
                  <w:noWrap w:val="0"/>
                  <w:vAlign w:val="center"/>
                </w:tcPr>
                <w:p w14:paraId="31B59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olor w:val="auto"/>
                      <w:kern w:val="0"/>
                      <w:sz w:val="21"/>
                      <w:szCs w:val="21"/>
                      <w:highlight w:val="none"/>
                      <w:u w:val="none"/>
                      <w:lang w:val="en-US" w:eastAsia="zh-CN" w:bidi="ar"/>
                    </w:rPr>
                  </w:pPr>
                </w:p>
              </w:tc>
              <w:tc>
                <w:tcPr>
                  <w:tcW w:w="1092" w:type="dxa"/>
                  <w:tcBorders>
                    <w:tl2br w:val="nil"/>
                    <w:tr2bl w:val="nil"/>
                  </w:tcBorders>
                  <w:noWrap w:val="0"/>
                  <w:vAlign w:val="center"/>
                </w:tcPr>
                <w:p w14:paraId="6042C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p>
              </w:tc>
            </w:tr>
            <w:tr w14:paraId="51163C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restart"/>
                  <w:tcBorders>
                    <w:tl2br w:val="nil"/>
                    <w:tr2bl w:val="nil"/>
                  </w:tcBorders>
                  <w:noWrap w:val="0"/>
                  <w:vAlign w:val="center"/>
                </w:tcPr>
                <w:p w14:paraId="658081BC">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1373" w:type="dxa"/>
                  <w:tcBorders>
                    <w:tl2br w:val="nil"/>
                    <w:tr2bl w:val="nil"/>
                  </w:tcBorders>
                  <w:noWrap w:val="0"/>
                  <w:vAlign w:val="center"/>
                </w:tcPr>
                <w:p w14:paraId="2113ABE1">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282" w:type="dxa"/>
                  <w:vMerge w:val="restart"/>
                  <w:tcBorders>
                    <w:tl2br w:val="nil"/>
                    <w:tr2bl w:val="nil"/>
                  </w:tcBorders>
                  <w:noWrap w:val="0"/>
                  <w:vAlign w:val="center"/>
                </w:tcPr>
                <w:p w14:paraId="0FCD8196">
                  <w:pPr>
                    <w:pStyle w:val="5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74.2</w:t>
                  </w:r>
                  <w:r>
                    <w:rPr>
                      <w:rFonts w:hint="eastAsia" w:cs="Times New Roman"/>
                      <w:color w:val="auto"/>
                      <w:sz w:val="21"/>
                      <w:szCs w:val="21"/>
                      <w:highlight w:val="none"/>
                      <w:lang w:val="en-US" w:eastAsia="zh-CN"/>
                    </w:rPr>
                    <w:t>1</w:t>
                  </w:r>
                  <w:r>
                    <w:rPr>
                      <w:rFonts w:hint="default" w:cs="Times New Roman"/>
                      <w:color w:val="auto"/>
                      <w:sz w:val="21"/>
                      <w:szCs w:val="21"/>
                      <w:highlight w:val="none"/>
                      <w:vertAlign w:val="baseline"/>
                      <w:lang w:val="en-US" w:eastAsia="zh-CN"/>
                    </w:rPr>
                    <w:t>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/d，</w:t>
                  </w:r>
                </w:p>
                <w:p w14:paraId="06943430">
                  <w:pPr>
                    <w:pStyle w:val="5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cs="Times New Roman"/>
                      <w:color w:val="auto"/>
                      <w:sz w:val="21"/>
                      <w:szCs w:val="21"/>
                      <w:highlight w:val="none"/>
                      <w:lang w:val="en-US" w:eastAsia="zh-CN"/>
                    </w:rPr>
                    <w:t>18338.3</w:t>
                  </w:r>
                  <w:r>
                    <w:rPr>
                      <w:rFonts w:hint="default" w:cs="Times New Roman"/>
                      <w:color w:val="auto"/>
                      <w:sz w:val="21"/>
                      <w:szCs w:val="21"/>
                      <w:highlight w:val="none"/>
                      <w:vertAlign w:val="baseline"/>
                      <w:lang w:val="en-US" w:eastAsia="zh-CN"/>
                    </w:rPr>
                    <w:t>m</w:t>
                  </w:r>
                  <w:r>
                    <w:rPr>
                      <w:rFonts w:hint="default" w:cs="Times New Roman"/>
                      <w:color w:val="auto"/>
                      <w:sz w:val="21"/>
                      <w:szCs w:val="21"/>
                      <w:highlight w:val="none"/>
                      <w:vertAlign w:val="superscript"/>
                      <w:lang w:val="en-US" w:eastAsia="zh-CN"/>
                    </w:rPr>
                    <w:t>3</w:t>
                  </w:r>
                  <w:r>
                    <w:rPr>
                      <w:rFonts w:hint="default" w:cs="Times New Roman"/>
                      <w:color w:val="auto"/>
                      <w:sz w:val="21"/>
                      <w:szCs w:val="21"/>
                      <w:highlight w:val="none"/>
                      <w:vertAlign w:val="baseline"/>
                      <w:lang w:val="en-US" w:eastAsia="zh-CN"/>
                    </w:rPr>
                    <w:t>/a</w:t>
                  </w:r>
                </w:p>
              </w:tc>
              <w:tc>
                <w:tcPr>
                  <w:tcW w:w="1175" w:type="dxa"/>
                  <w:tcBorders>
                    <w:tl2br w:val="nil"/>
                    <w:tr2bl w:val="nil"/>
                  </w:tcBorders>
                  <w:noWrap w:val="0"/>
                  <w:vAlign w:val="center"/>
                </w:tcPr>
                <w:p w14:paraId="4961DD4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3017</w:t>
                  </w:r>
                </w:p>
              </w:tc>
              <w:tc>
                <w:tcPr>
                  <w:tcW w:w="1241" w:type="dxa"/>
                  <w:tcBorders>
                    <w:tl2br w:val="nil"/>
                    <w:tr2bl w:val="nil"/>
                  </w:tcBorders>
                  <w:noWrap w:val="0"/>
                  <w:vAlign w:val="center"/>
                </w:tcPr>
                <w:p w14:paraId="3A15FDCF">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55.33</w:t>
                  </w:r>
                </w:p>
              </w:tc>
              <w:tc>
                <w:tcPr>
                  <w:tcW w:w="1194" w:type="dxa"/>
                  <w:vMerge w:val="restart"/>
                  <w:tcBorders>
                    <w:tl2br w:val="nil"/>
                    <w:tr2bl w:val="nil"/>
                  </w:tcBorders>
                  <w:noWrap w:val="0"/>
                  <w:vAlign w:val="center"/>
                </w:tcPr>
                <w:p w14:paraId="51A2BE3C">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废水处理设施：</w:t>
                  </w:r>
                  <w:r>
                    <w:rPr>
                      <w:rFonts w:hint="default" w:ascii="Times New Roman" w:hAnsi="Times New Roman" w:cs="Times New Roman"/>
                      <w:color w:val="auto"/>
                      <w:sz w:val="21"/>
                      <w:szCs w:val="21"/>
                      <w:highlight w:val="none"/>
                      <w:lang w:val="en-US" w:eastAsia="zh-CN"/>
                    </w:rPr>
                    <w:t>隔油+气浮+沉淀+水解酸化+缺氧+生物接触氧化+沉淀工艺</w:t>
                  </w:r>
                </w:p>
              </w:tc>
              <w:tc>
                <w:tcPr>
                  <w:tcW w:w="835" w:type="dxa"/>
                  <w:vMerge w:val="restart"/>
                  <w:tcBorders>
                    <w:tl2br w:val="nil"/>
                    <w:tr2bl w:val="nil"/>
                  </w:tcBorders>
                  <w:noWrap w:val="0"/>
                  <w:vAlign w:val="center"/>
                </w:tcPr>
                <w:p w14:paraId="096D4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r>
                    <w:rPr>
                      <w:rFonts w:hint="default" w:ascii="Times New Roman" w:hAnsi="Times New Roman" w:eastAsia="宋体" w:cs="Times New Roman"/>
                      <w:color w:val="auto"/>
                      <w:sz w:val="21"/>
                      <w:szCs w:val="21"/>
                      <w:highlight w:val="none"/>
                      <w:lang w:eastAsia="zh-CN"/>
                    </w:rPr>
                    <w:sym w:font="Wingdings 2" w:char="0052"/>
                  </w:r>
                </w:p>
                <w:p w14:paraId="70B0F0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r>
                    <w:rPr>
                      <w:rFonts w:hint="default" w:ascii="Times New Roman" w:hAnsi="Times New Roman" w:cs="Times New Roman"/>
                      <w:color w:val="auto"/>
                      <w:sz w:val="21"/>
                      <w:szCs w:val="21"/>
                      <w:highlight w:val="none"/>
                      <w:lang w:eastAsia="zh-CN"/>
                    </w:rPr>
                    <w:t>□</w:t>
                  </w:r>
                </w:p>
              </w:tc>
              <w:tc>
                <w:tcPr>
                  <w:tcW w:w="666" w:type="dxa"/>
                  <w:vMerge w:val="restart"/>
                  <w:tcBorders>
                    <w:tl2br w:val="nil"/>
                    <w:tr2bl w:val="nil"/>
                  </w:tcBorders>
                  <w:noWrap w:val="0"/>
                  <w:vAlign w:val="center"/>
                </w:tcPr>
                <w:p w14:paraId="45A0E7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间接排放</w:t>
                  </w:r>
                </w:p>
              </w:tc>
              <w:tc>
                <w:tcPr>
                  <w:tcW w:w="1091" w:type="dxa"/>
                  <w:tcBorders>
                    <w:tl2br w:val="nil"/>
                    <w:tr2bl w:val="nil"/>
                  </w:tcBorders>
                  <w:noWrap w:val="0"/>
                  <w:vAlign w:val="center"/>
                </w:tcPr>
                <w:p w14:paraId="36E66EE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94</w:t>
                  </w:r>
                </w:p>
              </w:tc>
              <w:tc>
                <w:tcPr>
                  <w:tcW w:w="1077" w:type="dxa"/>
                  <w:tcBorders>
                    <w:right w:val="single" w:color="auto" w:sz="4" w:space="0"/>
                    <w:tl2br w:val="nil"/>
                    <w:tr2bl w:val="nil"/>
                  </w:tcBorders>
                  <w:noWrap w:val="0"/>
                  <w:vAlign w:val="center"/>
                </w:tcPr>
                <w:p w14:paraId="5B575CA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1.72</w:t>
                  </w:r>
                </w:p>
              </w:tc>
              <w:tc>
                <w:tcPr>
                  <w:tcW w:w="1091" w:type="dxa"/>
                  <w:tcBorders>
                    <w:left w:val="single" w:color="auto" w:sz="4" w:space="0"/>
                    <w:tl2br w:val="nil"/>
                    <w:tr2bl w:val="nil"/>
                  </w:tcBorders>
                  <w:noWrap w:val="0"/>
                  <w:vAlign w:val="center"/>
                </w:tcPr>
                <w:p w14:paraId="1BF41AC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092" w:type="dxa"/>
                  <w:tcBorders>
                    <w:tl2br w:val="nil"/>
                    <w:tr2bl w:val="nil"/>
                  </w:tcBorders>
                  <w:noWrap w:val="0"/>
                  <w:vAlign w:val="center"/>
                </w:tcPr>
                <w:p w14:paraId="01118D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0.55</w:t>
                  </w:r>
                </w:p>
              </w:tc>
            </w:tr>
            <w:tr w14:paraId="2EECFD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5284A4D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4977B8F9">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1282" w:type="dxa"/>
                  <w:vMerge w:val="continue"/>
                  <w:tcBorders>
                    <w:tl2br w:val="nil"/>
                    <w:tr2bl w:val="nil"/>
                  </w:tcBorders>
                  <w:noWrap w:val="0"/>
                  <w:vAlign w:val="center"/>
                </w:tcPr>
                <w:p w14:paraId="47CD68C4">
                  <w:pPr>
                    <w:pStyle w:val="5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175" w:type="dxa"/>
                  <w:tcBorders>
                    <w:tl2br w:val="nil"/>
                    <w:tr2bl w:val="nil"/>
                  </w:tcBorders>
                  <w:noWrap w:val="0"/>
                  <w:vAlign w:val="center"/>
                </w:tcPr>
                <w:p w14:paraId="052CD6BB">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1443</w:t>
                  </w:r>
                </w:p>
              </w:tc>
              <w:tc>
                <w:tcPr>
                  <w:tcW w:w="1241" w:type="dxa"/>
                  <w:tcBorders>
                    <w:tl2br w:val="nil"/>
                    <w:tr2bl w:val="nil"/>
                  </w:tcBorders>
                  <w:noWrap w:val="0"/>
                  <w:vAlign w:val="center"/>
                </w:tcPr>
                <w:p w14:paraId="3D3E930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26.46</w:t>
                  </w:r>
                </w:p>
              </w:tc>
              <w:tc>
                <w:tcPr>
                  <w:tcW w:w="1194" w:type="dxa"/>
                  <w:vMerge w:val="continue"/>
                  <w:tcBorders>
                    <w:tl2br w:val="nil"/>
                    <w:tr2bl w:val="nil"/>
                  </w:tcBorders>
                  <w:noWrap w:val="0"/>
                  <w:vAlign w:val="center"/>
                </w:tcPr>
                <w:p w14:paraId="6EEC9B8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35" w:type="dxa"/>
                  <w:vMerge w:val="continue"/>
                  <w:tcBorders>
                    <w:tl2br w:val="nil"/>
                    <w:tr2bl w:val="nil"/>
                  </w:tcBorders>
                  <w:noWrap w:val="0"/>
                  <w:vAlign w:val="center"/>
                </w:tcPr>
                <w:p w14:paraId="55AA91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6" w:type="dxa"/>
                  <w:vMerge w:val="continue"/>
                  <w:tcBorders>
                    <w:tl2br w:val="nil"/>
                    <w:tr2bl w:val="nil"/>
                  </w:tcBorders>
                  <w:noWrap w:val="0"/>
                  <w:vAlign w:val="center"/>
                </w:tcPr>
                <w:p w14:paraId="4F5EFD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0AB2EAD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1077" w:type="dxa"/>
                  <w:tcBorders>
                    <w:right w:val="single" w:color="auto" w:sz="4" w:space="0"/>
                    <w:tl2br w:val="nil"/>
                    <w:tr2bl w:val="nil"/>
                  </w:tcBorders>
                  <w:noWrap w:val="0"/>
                  <w:vAlign w:val="center"/>
                </w:tcPr>
                <w:p w14:paraId="7F3E900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1091" w:type="dxa"/>
                  <w:tcBorders>
                    <w:left w:val="single" w:color="auto" w:sz="4" w:space="0"/>
                    <w:tl2br w:val="nil"/>
                    <w:tr2bl w:val="nil"/>
                  </w:tcBorders>
                  <w:noWrap w:val="0"/>
                  <w:vAlign w:val="center"/>
                </w:tcPr>
                <w:p w14:paraId="7EEA6A8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092" w:type="dxa"/>
                  <w:tcBorders>
                    <w:tl2br w:val="nil"/>
                    <w:tr2bl w:val="nil"/>
                  </w:tcBorders>
                  <w:noWrap w:val="0"/>
                  <w:vAlign w:val="center"/>
                </w:tcPr>
                <w:p w14:paraId="1E44822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r>
            <w:tr w14:paraId="0833C0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0E6C8DCD">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08672003">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SS</w:t>
                  </w:r>
                </w:p>
              </w:tc>
              <w:tc>
                <w:tcPr>
                  <w:tcW w:w="1282" w:type="dxa"/>
                  <w:vMerge w:val="continue"/>
                  <w:tcBorders>
                    <w:tl2br w:val="nil"/>
                    <w:tr2bl w:val="nil"/>
                  </w:tcBorders>
                  <w:noWrap w:val="0"/>
                  <w:vAlign w:val="center"/>
                </w:tcPr>
                <w:p w14:paraId="42B7A58F">
                  <w:pPr>
                    <w:pStyle w:val="5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175" w:type="dxa"/>
                  <w:tcBorders>
                    <w:tl2br w:val="nil"/>
                    <w:tr2bl w:val="nil"/>
                  </w:tcBorders>
                  <w:noWrap w:val="0"/>
                  <w:vAlign w:val="center"/>
                </w:tcPr>
                <w:p w14:paraId="3CADF35C">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550</w:t>
                  </w:r>
                </w:p>
              </w:tc>
              <w:tc>
                <w:tcPr>
                  <w:tcW w:w="1241" w:type="dxa"/>
                  <w:tcBorders>
                    <w:tl2br w:val="nil"/>
                    <w:tr2bl w:val="nil"/>
                  </w:tcBorders>
                  <w:noWrap w:val="0"/>
                  <w:vAlign w:val="center"/>
                </w:tcPr>
                <w:p w14:paraId="01FF821F">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10.09</w:t>
                  </w:r>
                </w:p>
              </w:tc>
              <w:tc>
                <w:tcPr>
                  <w:tcW w:w="1194" w:type="dxa"/>
                  <w:vMerge w:val="continue"/>
                  <w:tcBorders>
                    <w:tl2br w:val="nil"/>
                    <w:tr2bl w:val="nil"/>
                  </w:tcBorders>
                  <w:noWrap w:val="0"/>
                  <w:vAlign w:val="center"/>
                </w:tcPr>
                <w:p w14:paraId="0F769AA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35" w:type="dxa"/>
                  <w:vMerge w:val="continue"/>
                  <w:tcBorders>
                    <w:tl2br w:val="nil"/>
                    <w:tr2bl w:val="nil"/>
                  </w:tcBorders>
                  <w:noWrap w:val="0"/>
                  <w:vAlign w:val="top"/>
                </w:tcPr>
                <w:p w14:paraId="2C564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vertAlign w:val="baseline"/>
                      <w:lang w:val="en-US" w:eastAsia="zh-CN"/>
                    </w:rPr>
                  </w:pPr>
                </w:p>
              </w:tc>
              <w:tc>
                <w:tcPr>
                  <w:tcW w:w="666" w:type="dxa"/>
                  <w:vMerge w:val="continue"/>
                  <w:tcBorders>
                    <w:tl2br w:val="nil"/>
                    <w:tr2bl w:val="nil"/>
                  </w:tcBorders>
                  <w:noWrap w:val="0"/>
                  <w:vAlign w:val="center"/>
                </w:tcPr>
                <w:p w14:paraId="69B7A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44DE2D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077" w:type="dxa"/>
                  <w:tcBorders>
                    <w:right w:val="single" w:color="auto" w:sz="4" w:space="0"/>
                    <w:tl2br w:val="nil"/>
                    <w:tr2bl w:val="nil"/>
                  </w:tcBorders>
                  <w:noWrap w:val="0"/>
                  <w:vAlign w:val="center"/>
                </w:tcPr>
                <w:p w14:paraId="2F86DC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0.33</w:t>
                  </w:r>
                </w:p>
              </w:tc>
              <w:tc>
                <w:tcPr>
                  <w:tcW w:w="1091" w:type="dxa"/>
                  <w:tcBorders>
                    <w:left w:val="single" w:color="auto" w:sz="4" w:space="0"/>
                    <w:tl2br w:val="nil"/>
                    <w:tr2bl w:val="nil"/>
                  </w:tcBorders>
                  <w:noWrap w:val="0"/>
                  <w:vAlign w:val="center"/>
                </w:tcPr>
                <w:p w14:paraId="6CDA9F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092" w:type="dxa"/>
                  <w:tcBorders>
                    <w:tl2br w:val="nil"/>
                    <w:tr2bl w:val="nil"/>
                  </w:tcBorders>
                  <w:noWrap w:val="0"/>
                  <w:vAlign w:val="center"/>
                </w:tcPr>
                <w:p w14:paraId="73426A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r>
            <w:tr w14:paraId="4444BB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53F2656C">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5604F5A8">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282" w:type="dxa"/>
                  <w:vMerge w:val="continue"/>
                  <w:tcBorders>
                    <w:tl2br w:val="nil"/>
                    <w:tr2bl w:val="nil"/>
                  </w:tcBorders>
                  <w:noWrap w:val="0"/>
                  <w:vAlign w:val="center"/>
                </w:tcPr>
                <w:p w14:paraId="3D215CC6">
                  <w:pPr>
                    <w:pStyle w:val="5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175" w:type="dxa"/>
                  <w:tcBorders>
                    <w:tl2br w:val="nil"/>
                    <w:tr2bl w:val="nil"/>
                  </w:tcBorders>
                  <w:noWrap w:val="0"/>
                  <w:vAlign w:val="center"/>
                </w:tcPr>
                <w:p w14:paraId="0AF36B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41" w:type="dxa"/>
                  <w:tcBorders>
                    <w:tl2br w:val="nil"/>
                    <w:tr2bl w:val="nil"/>
                  </w:tcBorders>
                  <w:noWrap w:val="0"/>
                  <w:vAlign w:val="center"/>
                </w:tcPr>
                <w:p w14:paraId="367F58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1194" w:type="dxa"/>
                  <w:vMerge w:val="continue"/>
                  <w:tcBorders>
                    <w:tl2br w:val="nil"/>
                    <w:tr2bl w:val="nil"/>
                  </w:tcBorders>
                  <w:noWrap w:val="0"/>
                  <w:vAlign w:val="center"/>
                </w:tcPr>
                <w:p w14:paraId="353010E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35" w:type="dxa"/>
                  <w:vMerge w:val="continue"/>
                  <w:tcBorders>
                    <w:tl2br w:val="nil"/>
                    <w:tr2bl w:val="nil"/>
                  </w:tcBorders>
                  <w:noWrap w:val="0"/>
                  <w:vAlign w:val="top"/>
                </w:tcPr>
                <w:p w14:paraId="5A662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vertAlign w:val="baseline"/>
                      <w:lang w:val="en-US" w:eastAsia="zh-CN"/>
                    </w:rPr>
                  </w:pPr>
                </w:p>
              </w:tc>
              <w:tc>
                <w:tcPr>
                  <w:tcW w:w="666" w:type="dxa"/>
                  <w:vMerge w:val="continue"/>
                  <w:tcBorders>
                    <w:tl2br w:val="nil"/>
                    <w:tr2bl w:val="nil"/>
                  </w:tcBorders>
                  <w:noWrap w:val="0"/>
                  <w:vAlign w:val="center"/>
                </w:tcPr>
                <w:p w14:paraId="0ED931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768365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0.978</w:t>
                  </w:r>
                </w:p>
              </w:tc>
              <w:tc>
                <w:tcPr>
                  <w:tcW w:w="1077" w:type="dxa"/>
                  <w:tcBorders>
                    <w:right w:val="single" w:color="auto" w:sz="4" w:space="0"/>
                    <w:tl2br w:val="nil"/>
                    <w:tr2bl w:val="nil"/>
                  </w:tcBorders>
                  <w:noWrap w:val="0"/>
                  <w:vAlign w:val="center"/>
                </w:tcPr>
                <w:p w14:paraId="2D0AEB9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091" w:type="dxa"/>
                  <w:tcBorders>
                    <w:left w:val="single" w:color="auto" w:sz="4" w:space="0"/>
                    <w:tl2br w:val="nil"/>
                    <w:tr2bl w:val="nil"/>
                  </w:tcBorders>
                  <w:noWrap w:val="0"/>
                  <w:vAlign w:val="center"/>
                </w:tcPr>
                <w:p w14:paraId="03CF19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0.978</w:t>
                  </w:r>
                </w:p>
              </w:tc>
              <w:tc>
                <w:tcPr>
                  <w:tcW w:w="1092" w:type="dxa"/>
                  <w:tcBorders>
                    <w:tl2br w:val="nil"/>
                    <w:tr2bl w:val="nil"/>
                  </w:tcBorders>
                  <w:noWrap w:val="0"/>
                  <w:vAlign w:val="center"/>
                </w:tcPr>
                <w:p w14:paraId="2967B5A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737B7C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3502060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0BE0752E">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1282" w:type="dxa"/>
                  <w:vMerge w:val="continue"/>
                  <w:tcBorders>
                    <w:tl2br w:val="nil"/>
                    <w:tr2bl w:val="nil"/>
                  </w:tcBorders>
                  <w:noWrap w:val="0"/>
                  <w:vAlign w:val="center"/>
                </w:tcPr>
                <w:p w14:paraId="2A0A71B0">
                  <w:pPr>
                    <w:pStyle w:val="5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175" w:type="dxa"/>
                  <w:tcBorders>
                    <w:tl2br w:val="nil"/>
                    <w:tr2bl w:val="nil"/>
                  </w:tcBorders>
                  <w:noWrap w:val="0"/>
                  <w:vAlign w:val="center"/>
                </w:tcPr>
                <w:p w14:paraId="56A500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241" w:type="dxa"/>
                  <w:tcBorders>
                    <w:tl2br w:val="nil"/>
                    <w:tr2bl w:val="nil"/>
                  </w:tcBorders>
                  <w:noWrap w:val="0"/>
                  <w:vAlign w:val="center"/>
                </w:tcPr>
                <w:p w14:paraId="5B0A44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w:t>
                  </w:r>
                </w:p>
              </w:tc>
              <w:tc>
                <w:tcPr>
                  <w:tcW w:w="1194" w:type="dxa"/>
                  <w:vMerge w:val="continue"/>
                  <w:tcBorders>
                    <w:tl2br w:val="nil"/>
                    <w:tr2bl w:val="nil"/>
                  </w:tcBorders>
                  <w:noWrap w:val="0"/>
                  <w:vAlign w:val="center"/>
                </w:tcPr>
                <w:p w14:paraId="7F5F9C6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35" w:type="dxa"/>
                  <w:vMerge w:val="continue"/>
                  <w:tcBorders>
                    <w:tl2br w:val="nil"/>
                    <w:tr2bl w:val="nil"/>
                  </w:tcBorders>
                  <w:noWrap w:val="0"/>
                  <w:vAlign w:val="top"/>
                </w:tcPr>
                <w:p w14:paraId="171A72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vertAlign w:val="baseline"/>
                      <w:lang w:val="en-US" w:eastAsia="zh-CN"/>
                    </w:rPr>
                  </w:pPr>
                </w:p>
              </w:tc>
              <w:tc>
                <w:tcPr>
                  <w:tcW w:w="666" w:type="dxa"/>
                  <w:vMerge w:val="continue"/>
                  <w:tcBorders>
                    <w:tl2br w:val="nil"/>
                    <w:tr2bl w:val="nil"/>
                  </w:tcBorders>
                  <w:noWrap w:val="0"/>
                  <w:vAlign w:val="center"/>
                </w:tcPr>
                <w:p w14:paraId="48E01E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772A3D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2.59</w:t>
                  </w:r>
                </w:p>
              </w:tc>
              <w:tc>
                <w:tcPr>
                  <w:tcW w:w="1077" w:type="dxa"/>
                  <w:tcBorders>
                    <w:right w:val="single" w:color="auto" w:sz="4" w:space="0"/>
                    <w:tl2br w:val="nil"/>
                    <w:tr2bl w:val="nil"/>
                  </w:tcBorders>
                  <w:noWrap w:val="0"/>
                  <w:vAlign w:val="center"/>
                </w:tcPr>
                <w:p w14:paraId="1DDF93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091" w:type="dxa"/>
                  <w:tcBorders>
                    <w:left w:val="single" w:color="auto" w:sz="4" w:space="0"/>
                    <w:tl2br w:val="nil"/>
                    <w:tr2bl w:val="nil"/>
                  </w:tcBorders>
                  <w:noWrap w:val="0"/>
                  <w:vAlign w:val="center"/>
                </w:tcPr>
                <w:p w14:paraId="3A2F1C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2.59</w:t>
                  </w:r>
                </w:p>
              </w:tc>
              <w:tc>
                <w:tcPr>
                  <w:tcW w:w="1092" w:type="dxa"/>
                  <w:tcBorders>
                    <w:tl2br w:val="nil"/>
                    <w:tr2bl w:val="nil"/>
                  </w:tcBorders>
                  <w:noWrap w:val="0"/>
                  <w:vAlign w:val="center"/>
                </w:tcPr>
                <w:p w14:paraId="3AD83B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6DAA36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5A7F0225">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44A2B637">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1282" w:type="dxa"/>
                  <w:vMerge w:val="continue"/>
                  <w:tcBorders>
                    <w:tl2br w:val="nil"/>
                    <w:tr2bl w:val="nil"/>
                  </w:tcBorders>
                  <w:noWrap w:val="0"/>
                  <w:vAlign w:val="center"/>
                </w:tcPr>
                <w:p w14:paraId="3788BE23">
                  <w:pPr>
                    <w:pStyle w:val="5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175" w:type="dxa"/>
                  <w:tcBorders>
                    <w:tl2br w:val="nil"/>
                    <w:tr2bl w:val="nil"/>
                  </w:tcBorders>
                  <w:noWrap w:val="0"/>
                  <w:vAlign w:val="center"/>
                </w:tcPr>
                <w:p w14:paraId="7800DE7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1241" w:type="dxa"/>
                  <w:tcBorders>
                    <w:tl2br w:val="nil"/>
                    <w:tr2bl w:val="nil"/>
                  </w:tcBorders>
                  <w:noWrap w:val="0"/>
                  <w:vAlign w:val="center"/>
                </w:tcPr>
                <w:p w14:paraId="3CF05A24">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2.57</w:t>
                  </w:r>
                </w:p>
              </w:tc>
              <w:tc>
                <w:tcPr>
                  <w:tcW w:w="1194" w:type="dxa"/>
                  <w:vMerge w:val="continue"/>
                  <w:tcBorders>
                    <w:tl2br w:val="nil"/>
                    <w:tr2bl w:val="nil"/>
                  </w:tcBorders>
                  <w:noWrap w:val="0"/>
                  <w:vAlign w:val="center"/>
                </w:tcPr>
                <w:p w14:paraId="41C019C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35" w:type="dxa"/>
                  <w:vMerge w:val="continue"/>
                  <w:tcBorders>
                    <w:tl2br w:val="nil"/>
                    <w:tr2bl w:val="nil"/>
                  </w:tcBorders>
                  <w:noWrap w:val="0"/>
                  <w:vAlign w:val="top"/>
                </w:tcPr>
                <w:p w14:paraId="640AEE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vertAlign w:val="baseline"/>
                      <w:lang w:val="en-US" w:eastAsia="zh-CN"/>
                    </w:rPr>
                  </w:pPr>
                </w:p>
              </w:tc>
              <w:tc>
                <w:tcPr>
                  <w:tcW w:w="666" w:type="dxa"/>
                  <w:vMerge w:val="continue"/>
                  <w:tcBorders>
                    <w:tl2br w:val="nil"/>
                    <w:tr2bl w:val="nil"/>
                  </w:tcBorders>
                  <w:noWrap w:val="0"/>
                  <w:vAlign w:val="center"/>
                </w:tcPr>
                <w:p w14:paraId="0AD38B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05C4BCB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077" w:type="dxa"/>
                  <w:tcBorders>
                    <w:right w:val="single" w:color="auto" w:sz="4" w:space="0"/>
                    <w:tl2br w:val="nil"/>
                    <w:tr2bl w:val="nil"/>
                  </w:tcBorders>
                  <w:noWrap w:val="0"/>
                  <w:vAlign w:val="center"/>
                </w:tcPr>
                <w:p w14:paraId="6DB36A1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0.0009</w:t>
                  </w:r>
                </w:p>
              </w:tc>
              <w:tc>
                <w:tcPr>
                  <w:tcW w:w="1091" w:type="dxa"/>
                  <w:tcBorders>
                    <w:left w:val="single" w:color="auto" w:sz="4" w:space="0"/>
                    <w:tl2br w:val="nil"/>
                    <w:tr2bl w:val="nil"/>
                  </w:tcBorders>
                  <w:noWrap w:val="0"/>
                  <w:vAlign w:val="center"/>
                </w:tcPr>
                <w:p w14:paraId="29125F1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092" w:type="dxa"/>
                  <w:tcBorders>
                    <w:tl2br w:val="nil"/>
                    <w:tr2bl w:val="nil"/>
                  </w:tcBorders>
                  <w:noWrap w:val="0"/>
                  <w:vAlign w:val="center"/>
                </w:tcPr>
                <w:p w14:paraId="0571EEE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0.0009</w:t>
                  </w:r>
                </w:p>
              </w:tc>
            </w:tr>
            <w:tr w14:paraId="5766C5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875" w:type="dxa"/>
                  <w:vMerge w:val="continue"/>
                  <w:tcBorders>
                    <w:tl2br w:val="nil"/>
                    <w:tr2bl w:val="nil"/>
                  </w:tcBorders>
                  <w:noWrap w:val="0"/>
                  <w:vAlign w:val="center"/>
                </w:tcPr>
                <w:p w14:paraId="0318FBB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73" w:type="dxa"/>
                  <w:tcBorders>
                    <w:tl2br w:val="nil"/>
                    <w:tr2bl w:val="nil"/>
                  </w:tcBorders>
                  <w:noWrap w:val="0"/>
                  <w:vAlign w:val="center"/>
                </w:tcPr>
                <w:p w14:paraId="68D845EC">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TN</w:t>
                  </w:r>
                </w:p>
              </w:tc>
              <w:tc>
                <w:tcPr>
                  <w:tcW w:w="1282" w:type="dxa"/>
                  <w:vMerge w:val="continue"/>
                  <w:tcBorders>
                    <w:tl2br w:val="nil"/>
                    <w:tr2bl w:val="nil"/>
                  </w:tcBorders>
                  <w:noWrap w:val="0"/>
                  <w:vAlign w:val="center"/>
                </w:tcPr>
                <w:p w14:paraId="0EFBA8BB">
                  <w:pPr>
                    <w:pStyle w:val="51"/>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175" w:type="dxa"/>
                  <w:tcBorders>
                    <w:tl2br w:val="nil"/>
                    <w:tr2bl w:val="nil"/>
                  </w:tcBorders>
                  <w:noWrap w:val="0"/>
                  <w:vAlign w:val="center"/>
                </w:tcPr>
                <w:p w14:paraId="4B1794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1241" w:type="dxa"/>
                  <w:tcBorders>
                    <w:tl2br w:val="nil"/>
                    <w:tr2bl w:val="nil"/>
                  </w:tcBorders>
                  <w:noWrap w:val="0"/>
                  <w:vAlign w:val="center"/>
                </w:tcPr>
                <w:p w14:paraId="2D38AE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w:t>
                  </w:r>
                </w:p>
              </w:tc>
              <w:tc>
                <w:tcPr>
                  <w:tcW w:w="1194" w:type="dxa"/>
                  <w:vMerge w:val="continue"/>
                  <w:tcBorders>
                    <w:tl2br w:val="nil"/>
                    <w:tr2bl w:val="nil"/>
                  </w:tcBorders>
                  <w:noWrap w:val="0"/>
                  <w:vAlign w:val="center"/>
                </w:tcPr>
                <w:p w14:paraId="1FC96204">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835" w:type="dxa"/>
                  <w:vMerge w:val="continue"/>
                  <w:tcBorders>
                    <w:tl2br w:val="nil"/>
                    <w:tr2bl w:val="nil"/>
                  </w:tcBorders>
                  <w:noWrap w:val="0"/>
                  <w:vAlign w:val="top"/>
                </w:tcPr>
                <w:p w14:paraId="28493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6" w:type="dxa"/>
                  <w:vMerge w:val="continue"/>
                  <w:tcBorders>
                    <w:tl2br w:val="nil"/>
                    <w:tr2bl w:val="nil"/>
                  </w:tcBorders>
                  <w:noWrap w:val="0"/>
                  <w:vAlign w:val="center"/>
                </w:tcPr>
                <w:p w14:paraId="2A99CB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91" w:type="dxa"/>
                  <w:tcBorders>
                    <w:tl2br w:val="nil"/>
                    <w:tr2bl w:val="nil"/>
                  </w:tcBorders>
                  <w:noWrap w:val="0"/>
                  <w:vAlign w:val="center"/>
                </w:tcPr>
                <w:p w14:paraId="4B304F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1077" w:type="dxa"/>
                  <w:tcBorders>
                    <w:right w:val="single" w:color="auto" w:sz="4" w:space="0"/>
                    <w:tl2br w:val="nil"/>
                    <w:tr2bl w:val="nil"/>
                  </w:tcBorders>
                  <w:noWrap w:val="0"/>
                  <w:vAlign w:val="center"/>
                </w:tcPr>
                <w:p w14:paraId="58F2E5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091" w:type="dxa"/>
                  <w:tcBorders>
                    <w:left w:val="single" w:color="auto" w:sz="4" w:space="0"/>
                    <w:tl2br w:val="nil"/>
                    <w:tr2bl w:val="nil"/>
                  </w:tcBorders>
                  <w:noWrap w:val="0"/>
                  <w:vAlign w:val="center"/>
                </w:tcPr>
                <w:p w14:paraId="72B4B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1092" w:type="dxa"/>
                  <w:tcBorders>
                    <w:tl2br w:val="nil"/>
                    <w:tr2bl w:val="nil"/>
                  </w:tcBorders>
                  <w:noWrap w:val="0"/>
                  <w:vAlign w:val="center"/>
                </w:tcPr>
                <w:p w14:paraId="1B96DB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14:paraId="4D9D79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2992" w:type="dxa"/>
                  <w:gridSpan w:val="12"/>
                  <w:tcBorders>
                    <w:tl2br w:val="nil"/>
                    <w:tr2bl w:val="nil"/>
                  </w:tcBorders>
                  <w:noWrap w:val="0"/>
                  <w:vAlign w:val="center"/>
                </w:tcPr>
                <w:p w14:paraId="1D6122B2">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注：排放量为</w:t>
                  </w:r>
                  <w:r>
                    <w:rPr>
                      <w:rFonts w:hint="default" w:cs="Times New Roman"/>
                      <w:i w:val="0"/>
                      <w:iCs w:val="0"/>
                      <w:color w:val="auto"/>
                      <w:kern w:val="0"/>
                      <w:sz w:val="21"/>
                      <w:szCs w:val="21"/>
                      <w:highlight w:val="none"/>
                      <w:u w:val="none"/>
                      <w:lang w:val="en-US" w:eastAsia="zh-CN" w:bidi="ar"/>
                    </w:rPr>
                    <w:t>改建</w:t>
                  </w:r>
                  <w:r>
                    <w:rPr>
                      <w:rFonts w:hint="default" w:ascii="Times New Roman" w:hAnsi="Times New Roman" w:eastAsia="宋体" w:cs="Times New Roman"/>
                      <w:i w:val="0"/>
                      <w:iCs w:val="0"/>
                      <w:color w:val="auto"/>
                      <w:kern w:val="0"/>
                      <w:sz w:val="21"/>
                      <w:szCs w:val="21"/>
                      <w:highlight w:val="none"/>
                      <w:u w:val="none"/>
                      <w:lang w:val="en-US" w:eastAsia="zh-CN" w:bidi="ar"/>
                    </w:rPr>
                    <w:t>项目全部进入污水处理站废水，包括水洗排放地面清洁废水、废气装置排放及冷却系统、水环泵排水</w:t>
                  </w:r>
                </w:p>
              </w:tc>
            </w:tr>
          </w:tbl>
          <w:p w14:paraId="6796C622">
            <w:pPr>
              <w:pStyle w:val="3"/>
              <w:rPr>
                <w:rFonts w:hint="default" w:ascii="Times New Roman" w:hAnsi="Times New Roman" w:cs="Times New Roman"/>
                <w:b/>
                <w:bCs/>
                <w:color w:val="auto"/>
                <w:sz w:val="24"/>
                <w:szCs w:val="24"/>
                <w:highlight w:val="none"/>
                <w:lang w:val="en-US" w:eastAsia="zh-CN"/>
              </w:rPr>
            </w:pPr>
          </w:p>
          <w:p w14:paraId="495B7A51">
            <w:pPr>
              <w:rPr>
                <w:rFonts w:hint="default" w:ascii="Times New Roman" w:hAnsi="Times New Roman" w:cs="Times New Roman"/>
                <w:b/>
                <w:bCs/>
                <w:color w:val="auto"/>
                <w:sz w:val="24"/>
                <w:szCs w:val="24"/>
                <w:highlight w:val="none"/>
                <w:lang w:val="en-US" w:eastAsia="zh-CN"/>
              </w:rPr>
            </w:pPr>
          </w:p>
          <w:p w14:paraId="0EC17048">
            <w:pPr>
              <w:pStyle w:val="2"/>
              <w:rPr>
                <w:rFonts w:hint="default" w:ascii="Times New Roman" w:hAnsi="Times New Roman" w:cs="Times New Roman"/>
                <w:b/>
                <w:bCs/>
                <w:color w:val="auto"/>
                <w:sz w:val="24"/>
                <w:szCs w:val="24"/>
                <w:highlight w:val="none"/>
                <w:lang w:val="en-US" w:eastAsia="zh-CN"/>
              </w:rPr>
            </w:pPr>
          </w:p>
          <w:p w14:paraId="1D024B6C">
            <w:pPr>
              <w:pStyle w:val="3"/>
              <w:rPr>
                <w:rFonts w:hint="default" w:ascii="Times New Roman" w:hAnsi="Times New Roman" w:cs="Times New Roman"/>
                <w:b/>
                <w:bCs/>
                <w:color w:val="auto"/>
                <w:sz w:val="24"/>
                <w:szCs w:val="24"/>
                <w:highlight w:val="none"/>
                <w:lang w:val="en-US" w:eastAsia="zh-CN"/>
              </w:rPr>
            </w:pPr>
          </w:p>
          <w:p w14:paraId="51390C75">
            <w:pPr>
              <w:rPr>
                <w:rFonts w:hint="default" w:ascii="Times New Roman" w:hAnsi="Times New Roman" w:cs="Times New Roman"/>
                <w:b/>
                <w:bCs/>
                <w:color w:val="auto"/>
                <w:sz w:val="24"/>
                <w:szCs w:val="24"/>
                <w:highlight w:val="none"/>
                <w:lang w:val="en-US" w:eastAsia="zh-CN"/>
              </w:rPr>
            </w:pPr>
          </w:p>
          <w:p w14:paraId="6A59ABD0">
            <w:pPr>
              <w:pStyle w:val="2"/>
              <w:rPr>
                <w:rFonts w:hint="default" w:ascii="Times New Roman" w:hAnsi="Times New Roman" w:cs="Times New Roman"/>
                <w:b/>
                <w:bCs/>
                <w:color w:val="auto"/>
                <w:sz w:val="24"/>
                <w:szCs w:val="24"/>
                <w:highlight w:val="none"/>
                <w:lang w:val="en-US" w:eastAsia="zh-CN"/>
              </w:rPr>
            </w:pPr>
          </w:p>
          <w:p w14:paraId="2DC74274">
            <w:pPr>
              <w:pStyle w:val="3"/>
              <w:rPr>
                <w:rFonts w:hint="default"/>
              </w:rPr>
            </w:pPr>
          </w:p>
          <w:p w14:paraId="56FD4816">
            <w:pPr>
              <w:pStyle w:val="13"/>
              <w:pageBreakBefore w:val="0"/>
              <w:kinsoku/>
              <w:wordWrap/>
              <w:overflowPunct w:val="0"/>
              <w:topLinePunct/>
              <w:bidi w:val="0"/>
              <w:spacing w:line="240" w:lineRule="auto"/>
              <w:ind w:left="0" w:leftChars="0" w:firstLine="0" w:firstLineChars="0"/>
              <w:rPr>
                <w:rFonts w:hint="default" w:ascii="Times New Roman" w:hAnsi="Times New Roman" w:cs="Times New Roman"/>
                <w:color w:val="auto"/>
                <w:highlight w:val="none"/>
                <w:vertAlign w:val="baseline"/>
              </w:rPr>
            </w:pPr>
          </w:p>
        </w:tc>
      </w:tr>
    </w:tbl>
    <w:p w14:paraId="35E536CE">
      <w:pPr>
        <w:pStyle w:val="13"/>
        <w:pageBreakBefore w:val="0"/>
        <w:kinsoku/>
        <w:wordWrap/>
        <w:overflowPunct w:val="0"/>
        <w:topLinePunct/>
        <w:bidi w:val="0"/>
        <w:ind w:left="0" w:leftChars="0" w:firstLine="0" w:firstLineChars="0"/>
        <w:rPr>
          <w:rFonts w:hint="default" w:ascii="Times New Roman" w:hAnsi="Times New Roman" w:cs="Times New Roman"/>
          <w:color w:val="auto"/>
          <w:highlight w:val="none"/>
        </w:rPr>
        <w:sectPr>
          <w:pgSz w:w="16840" w:h="11907" w:orient="landscape"/>
          <w:pgMar w:top="1531" w:right="1701" w:bottom="1531" w:left="2127" w:header="851" w:footer="187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8839"/>
      </w:tblGrid>
      <w:tr w14:paraId="5507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tcPr>
          <w:p w14:paraId="54E87838">
            <w:pPr>
              <w:pStyle w:val="13"/>
              <w:pageBreakBefore w:val="0"/>
              <w:kinsoku/>
              <w:wordWrap/>
              <w:overflowPunct w:val="0"/>
              <w:topLinePunct/>
              <w:bidi w:val="0"/>
              <w:spacing w:line="240" w:lineRule="auto"/>
              <w:rPr>
                <w:rFonts w:hint="default" w:ascii="Times New Roman" w:hAnsi="Times New Roman" w:cs="Times New Roman"/>
                <w:color w:val="auto"/>
                <w:highlight w:val="none"/>
                <w:vertAlign w:val="baseline"/>
              </w:rPr>
            </w:pPr>
          </w:p>
        </w:tc>
        <w:tc>
          <w:tcPr>
            <w:tcW w:w="8193" w:type="dxa"/>
          </w:tcPr>
          <w:p w14:paraId="7D191D56">
            <w:pPr>
              <w:pStyle w:val="16"/>
              <w:spacing w:before="0" w:beforeAutospacing="0" w:after="0" w:afterAutospacing="0" w:line="440" w:lineRule="exact"/>
              <w:jc w:val="center"/>
              <w:rPr>
                <w:rFonts w:hint="default" w:ascii="Times New Roman" w:hAnsi="Times New Roman" w:eastAsia="宋体" w:cs="Times New Roman"/>
                <w:b/>
                <w:bCs/>
                <w:snapToGrid w:val="0"/>
                <w:color w:val="auto"/>
                <w:sz w:val="24"/>
                <w:szCs w:val="24"/>
                <w:highlight w:val="none"/>
                <w:lang w:eastAsia="zh-CN"/>
              </w:rPr>
            </w:pPr>
            <w:r>
              <w:rPr>
                <w:rFonts w:hint="default" w:ascii="Times New Roman" w:hAnsi="Times New Roman" w:cs="Times New Roman"/>
                <w:b/>
                <w:bCs/>
                <w:snapToGrid w:val="0"/>
                <w:color w:val="auto"/>
                <w:sz w:val="24"/>
                <w:szCs w:val="24"/>
                <w:highlight w:val="none"/>
              </w:rPr>
              <w:t>表4</w:t>
            </w:r>
            <w:r>
              <w:rPr>
                <w:rFonts w:hint="eastAsia" w:ascii="Times New Roman" w:hAnsi="Times New Roman" w:cs="Times New Roman"/>
                <w:b/>
                <w:bCs/>
                <w:snapToGrid w:val="0"/>
                <w:color w:val="auto"/>
                <w:sz w:val="24"/>
                <w:szCs w:val="24"/>
                <w:highlight w:val="none"/>
                <w:lang w:val="en-US" w:eastAsia="zh-CN"/>
              </w:rPr>
              <w:t>.2-8</w:t>
            </w:r>
            <w:r>
              <w:rPr>
                <w:rFonts w:hint="default" w:ascii="Times New Roman" w:hAnsi="Times New Roman" w:cs="Times New Roman"/>
                <w:b/>
                <w:bCs/>
                <w:snapToGrid w:val="0"/>
                <w:color w:val="auto"/>
                <w:sz w:val="24"/>
                <w:szCs w:val="24"/>
                <w:highlight w:val="none"/>
              </w:rPr>
              <w:t>废水</w:t>
            </w:r>
            <w:r>
              <w:rPr>
                <w:rFonts w:hint="default" w:ascii="Times New Roman" w:hAnsi="Times New Roman" w:cs="Times New Roman"/>
                <w:b/>
                <w:bCs/>
                <w:snapToGrid w:val="0"/>
                <w:color w:val="auto"/>
                <w:sz w:val="24"/>
                <w:szCs w:val="24"/>
                <w:highlight w:val="none"/>
                <w:lang w:eastAsia="zh-CN"/>
              </w:rPr>
              <w:t>排放口信息一览表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
              <w:gridCol w:w="840"/>
              <w:gridCol w:w="413"/>
              <w:gridCol w:w="413"/>
              <w:gridCol w:w="1447"/>
              <w:gridCol w:w="1349"/>
              <w:gridCol w:w="413"/>
              <w:gridCol w:w="413"/>
              <w:gridCol w:w="1835"/>
              <w:gridCol w:w="1078"/>
            </w:tblGrid>
            <w:tr w14:paraId="4F80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 w:type="pct"/>
                  <w:vMerge w:val="restart"/>
                  <w:noWrap w:val="0"/>
                  <w:vAlign w:val="center"/>
                </w:tcPr>
                <w:p w14:paraId="3A7A86B5">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序号</w:t>
                  </w:r>
                </w:p>
              </w:tc>
              <w:tc>
                <w:tcPr>
                  <w:tcW w:w="454" w:type="pct"/>
                  <w:vMerge w:val="restart"/>
                  <w:noWrap w:val="0"/>
                  <w:vAlign w:val="center"/>
                </w:tcPr>
                <w:p w14:paraId="7B3396CB">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排放口编号</w:t>
                  </w:r>
                </w:p>
              </w:tc>
              <w:tc>
                <w:tcPr>
                  <w:tcW w:w="459" w:type="pct"/>
                  <w:vMerge w:val="restart"/>
                  <w:noWrap w:val="0"/>
                  <w:vAlign w:val="center"/>
                </w:tcPr>
                <w:p w14:paraId="30F9D0B6">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排放口名称</w:t>
                  </w:r>
                </w:p>
              </w:tc>
              <w:tc>
                <w:tcPr>
                  <w:tcW w:w="376" w:type="pct"/>
                  <w:vMerge w:val="restart"/>
                  <w:noWrap w:val="0"/>
                  <w:vAlign w:val="center"/>
                </w:tcPr>
                <w:p w14:paraId="4C532F7B">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排放口类型</w:t>
                  </w:r>
                </w:p>
              </w:tc>
              <w:tc>
                <w:tcPr>
                  <w:tcW w:w="886" w:type="pct"/>
                  <w:gridSpan w:val="2"/>
                  <w:noWrap w:val="0"/>
                  <w:vAlign w:val="center"/>
                </w:tcPr>
                <w:p w14:paraId="03219C13">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地理位置坐标</w:t>
                  </w:r>
                </w:p>
              </w:tc>
              <w:tc>
                <w:tcPr>
                  <w:tcW w:w="484" w:type="pct"/>
                  <w:vMerge w:val="restart"/>
                  <w:noWrap w:val="0"/>
                  <w:vAlign w:val="center"/>
                </w:tcPr>
                <w:p w14:paraId="002FD9FF">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排放去向</w:t>
                  </w:r>
                </w:p>
              </w:tc>
              <w:tc>
                <w:tcPr>
                  <w:tcW w:w="404" w:type="pct"/>
                  <w:vMerge w:val="restart"/>
                  <w:noWrap w:val="0"/>
                  <w:vAlign w:val="center"/>
                </w:tcPr>
                <w:p w14:paraId="13CB29D1">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排放规律</w:t>
                  </w:r>
                </w:p>
              </w:tc>
              <w:tc>
                <w:tcPr>
                  <w:tcW w:w="782" w:type="pct"/>
                  <w:vMerge w:val="restart"/>
                  <w:noWrap w:val="0"/>
                  <w:vAlign w:val="center"/>
                </w:tcPr>
                <w:p w14:paraId="10773FAE">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排放标准</w:t>
                  </w:r>
                </w:p>
              </w:tc>
              <w:tc>
                <w:tcPr>
                  <w:tcW w:w="937" w:type="pct"/>
                  <w:vMerge w:val="restart"/>
                  <w:noWrap w:val="0"/>
                  <w:vAlign w:val="center"/>
                </w:tcPr>
                <w:p w14:paraId="23B179B8">
                  <w:pPr>
                    <w:pStyle w:val="16"/>
                    <w:spacing w:before="0" w:beforeLines="0" w:beforeAutospacing="0" w:after="0" w:afterLines="0" w:afterAutospacing="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z w:val="21"/>
                      <w:szCs w:val="21"/>
                      <w:highlight w:val="none"/>
                    </w:rPr>
                    <w:t>标准限值mg/L</w:t>
                  </w:r>
                </w:p>
              </w:tc>
            </w:tr>
            <w:tr w14:paraId="7C2E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 w:type="pct"/>
                  <w:vMerge w:val="continue"/>
                  <w:noWrap w:val="0"/>
                  <w:vAlign w:val="center"/>
                </w:tcPr>
                <w:p w14:paraId="5BC473B5">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rPr>
                  </w:pPr>
                </w:p>
              </w:tc>
              <w:tc>
                <w:tcPr>
                  <w:tcW w:w="454" w:type="pct"/>
                  <w:vMerge w:val="continue"/>
                  <w:noWrap w:val="0"/>
                  <w:vAlign w:val="center"/>
                </w:tcPr>
                <w:p w14:paraId="26382325">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rPr>
                  </w:pPr>
                </w:p>
              </w:tc>
              <w:tc>
                <w:tcPr>
                  <w:tcW w:w="459" w:type="pct"/>
                  <w:vMerge w:val="continue"/>
                  <w:noWrap w:val="0"/>
                  <w:vAlign w:val="center"/>
                </w:tcPr>
                <w:p w14:paraId="55A69C8C">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rPr>
                  </w:pPr>
                </w:p>
              </w:tc>
              <w:tc>
                <w:tcPr>
                  <w:tcW w:w="376" w:type="pct"/>
                  <w:vMerge w:val="continue"/>
                  <w:noWrap w:val="0"/>
                  <w:vAlign w:val="center"/>
                </w:tcPr>
                <w:p w14:paraId="10414E72">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rPr>
                  </w:pPr>
                </w:p>
              </w:tc>
              <w:tc>
                <w:tcPr>
                  <w:tcW w:w="411" w:type="pct"/>
                  <w:noWrap w:val="0"/>
                  <w:vAlign w:val="center"/>
                </w:tcPr>
                <w:p w14:paraId="532F3F28">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经度</w:t>
                  </w:r>
                </w:p>
              </w:tc>
              <w:tc>
                <w:tcPr>
                  <w:tcW w:w="475" w:type="pct"/>
                  <w:noWrap w:val="0"/>
                  <w:vAlign w:val="center"/>
                </w:tcPr>
                <w:p w14:paraId="105C7DB5">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纬度</w:t>
                  </w:r>
                </w:p>
              </w:tc>
              <w:tc>
                <w:tcPr>
                  <w:tcW w:w="484" w:type="pct"/>
                  <w:vMerge w:val="continue"/>
                  <w:noWrap w:val="0"/>
                  <w:vAlign w:val="center"/>
                </w:tcPr>
                <w:p w14:paraId="5DE971E6">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lang w:val="en-US" w:eastAsia="zh-CN"/>
                    </w:rPr>
                  </w:pPr>
                </w:p>
              </w:tc>
              <w:tc>
                <w:tcPr>
                  <w:tcW w:w="404" w:type="pct"/>
                  <w:vMerge w:val="continue"/>
                  <w:noWrap w:val="0"/>
                  <w:vAlign w:val="center"/>
                </w:tcPr>
                <w:p w14:paraId="3F6C02CD">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rPr>
                  </w:pPr>
                </w:p>
              </w:tc>
              <w:tc>
                <w:tcPr>
                  <w:tcW w:w="782" w:type="pct"/>
                  <w:vMerge w:val="continue"/>
                  <w:noWrap w:val="0"/>
                  <w:vAlign w:val="center"/>
                </w:tcPr>
                <w:p w14:paraId="40CC70FA">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rPr>
                  </w:pPr>
                </w:p>
              </w:tc>
              <w:tc>
                <w:tcPr>
                  <w:tcW w:w="937" w:type="pct"/>
                  <w:vMerge w:val="continue"/>
                  <w:noWrap w:val="0"/>
                  <w:vAlign w:val="center"/>
                </w:tcPr>
                <w:p w14:paraId="006A7648">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sz w:val="21"/>
                      <w:szCs w:val="21"/>
                      <w:highlight w:val="none"/>
                    </w:rPr>
                  </w:pPr>
                </w:p>
              </w:tc>
            </w:tr>
            <w:tr w14:paraId="2A0E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 w:type="pct"/>
                  <w:noWrap w:val="0"/>
                  <w:vAlign w:val="center"/>
                </w:tcPr>
                <w:p w14:paraId="6318A485">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454" w:type="pct"/>
                  <w:noWrap w:val="0"/>
                  <w:vAlign w:val="center"/>
                </w:tcPr>
                <w:p w14:paraId="79D6C00E">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DW001</w:t>
                  </w:r>
                </w:p>
              </w:tc>
              <w:tc>
                <w:tcPr>
                  <w:tcW w:w="459" w:type="pct"/>
                  <w:noWrap w:val="0"/>
                  <w:vAlign w:val="center"/>
                </w:tcPr>
                <w:p w14:paraId="2FD1C0E7">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废水处理设施出口</w:t>
                  </w:r>
                </w:p>
              </w:tc>
              <w:tc>
                <w:tcPr>
                  <w:tcW w:w="376" w:type="pct"/>
                  <w:noWrap w:val="0"/>
                  <w:vAlign w:val="center"/>
                </w:tcPr>
                <w:p w14:paraId="2C50DD7A">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一般排放口</w:t>
                  </w:r>
                </w:p>
              </w:tc>
              <w:tc>
                <w:tcPr>
                  <w:tcW w:w="411" w:type="pct"/>
                  <w:noWrap w:val="0"/>
                  <w:vAlign w:val="center"/>
                </w:tcPr>
                <w:p w14:paraId="12436FF0">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106.380556910</w:t>
                  </w:r>
                </w:p>
              </w:tc>
              <w:tc>
                <w:tcPr>
                  <w:tcW w:w="475" w:type="pct"/>
                  <w:noWrap w:val="0"/>
                  <w:vAlign w:val="center"/>
                </w:tcPr>
                <w:p w14:paraId="494A7EAC">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29.306833795</w:t>
                  </w:r>
                </w:p>
              </w:tc>
              <w:tc>
                <w:tcPr>
                  <w:tcW w:w="484" w:type="pct"/>
                  <w:noWrap w:val="0"/>
                  <w:vAlign w:val="center"/>
                </w:tcPr>
                <w:p w14:paraId="0A9BEA76">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铜罐驿污水处理厂</w:t>
                  </w:r>
                </w:p>
              </w:tc>
              <w:tc>
                <w:tcPr>
                  <w:tcW w:w="404" w:type="pct"/>
                  <w:noWrap w:val="0"/>
                  <w:vAlign w:val="center"/>
                </w:tcPr>
                <w:p w14:paraId="40E5A710">
                  <w:pPr>
                    <w:keepNext w:val="0"/>
                    <w:keepLines w:val="0"/>
                    <w:pageBreakBefore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间歇排放</w:t>
                  </w:r>
                </w:p>
              </w:tc>
              <w:tc>
                <w:tcPr>
                  <w:tcW w:w="782" w:type="pct"/>
                  <w:noWrap w:val="0"/>
                  <w:vAlign w:val="center"/>
                </w:tcPr>
                <w:p w14:paraId="42E17BE7">
                  <w:pPr>
                    <w:keepNext w:val="0"/>
                    <w:keepLines w:val="0"/>
                    <w:pageBreakBefore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食品加工制造业水污染物排放标准</w:t>
                  </w:r>
                  <w:r>
                    <w:rPr>
                      <w:rFonts w:hint="default" w:ascii="Times New Roman" w:hAnsi="Times New Roman" w:eastAsia="宋体" w:cs="Times New Roman"/>
                      <w:bCs/>
                      <w:snapToGrid w:val="0"/>
                      <w:color w:val="auto"/>
                      <w:kern w:val="0"/>
                      <w:sz w:val="21"/>
                      <w:szCs w:val="21"/>
                      <w:highlight w:val="none"/>
                      <w:lang w:val="en-US" w:eastAsia="zh-CN"/>
                    </w:rPr>
                    <w:t>》（GB</w:t>
                  </w:r>
                  <w:r>
                    <w:rPr>
                      <w:rFonts w:hint="eastAsia" w:cs="Times New Roman"/>
                      <w:bCs/>
                      <w:snapToGrid w:val="0"/>
                      <w:color w:val="auto"/>
                      <w:kern w:val="0"/>
                      <w:sz w:val="21"/>
                      <w:szCs w:val="21"/>
                      <w:highlight w:val="none"/>
                      <w:lang w:val="en-US" w:eastAsia="zh-CN"/>
                    </w:rPr>
                    <w:t>46817</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2025</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表1间接排放标准</w:t>
                  </w:r>
                </w:p>
              </w:tc>
              <w:tc>
                <w:tcPr>
                  <w:tcW w:w="937" w:type="pct"/>
                  <w:noWrap w:val="0"/>
                  <w:vAlign w:val="center"/>
                </w:tcPr>
                <w:p w14:paraId="07EFB3CE">
                  <w:pPr>
                    <w:pStyle w:val="16"/>
                    <w:spacing w:before="0" w:beforeLines="0" w:beforeAutospacing="0" w:after="0" w:afterLines="0" w:afterAutospacing="0"/>
                    <w:jc w:val="center"/>
                    <w:rPr>
                      <w:rFonts w:hint="default" w:ascii="Times New Roman" w:hAnsi="Times New Roman" w:cs="Times New Roman"/>
                      <w:snapToGrid w:val="0"/>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default" w:ascii="Times New Roman" w:hAnsi="Times New Roman" w:eastAsia="宋体" w:cs="Times New Roman"/>
                      <w:i w:val="0"/>
                      <w:iCs w:val="0"/>
                      <w:color w:val="auto"/>
                      <w:sz w:val="21"/>
                      <w:szCs w:val="21"/>
                      <w:highlight w:val="none"/>
                      <w:u w:val="none"/>
                      <w:lang w:val="en-US" w:eastAsia="zh-CN"/>
                    </w:rPr>
                    <w:t>6~9(无量纲)</w:t>
                  </w:r>
                </w:p>
                <w:p w14:paraId="15F31CEE">
                  <w:pPr>
                    <w:pStyle w:val="16"/>
                    <w:spacing w:before="0" w:beforeLines="0" w:beforeAutospacing="0" w:after="0" w:afterLines="0" w:afterAutospacing="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COD:500</w:t>
                  </w:r>
                </w:p>
                <w:p w14:paraId="1A7CB2A5">
                  <w:pPr>
                    <w:pStyle w:val="16"/>
                    <w:spacing w:before="0" w:beforeLines="0" w:beforeAutospacing="0" w:after="0" w:afterLines="0" w:afterAutospacing="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BOD</w:t>
                  </w:r>
                  <w:r>
                    <w:rPr>
                      <w:rFonts w:hint="default" w:ascii="Times New Roman" w:hAnsi="Times New Roman" w:cs="Times New Roman"/>
                      <w:snapToGrid w:val="0"/>
                      <w:color w:val="auto"/>
                      <w:sz w:val="21"/>
                      <w:szCs w:val="21"/>
                      <w:highlight w:val="none"/>
                      <w:vertAlign w:val="subscript"/>
                    </w:rPr>
                    <w:t>5</w:t>
                  </w:r>
                  <w:r>
                    <w:rPr>
                      <w:rFonts w:hint="default" w:ascii="Times New Roman" w:hAnsi="Times New Roman" w:cs="Times New Roman"/>
                      <w:snapToGrid w:val="0"/>
                      <w:color w:val="auto"/>
                      <w:sz w:val="21"/>
                      <w:szCs w:val="21"/>
                      <w:highlight w:val="none"/>
                    </w:rPr>
                    <w:t>:3</w:t>
                  </w:r>
                  <w:r>
                    <w:rPr>
                      <w:rFonts w:hint="eastAsia" w:ascii="Times New Roman" w:hAnsi="Times New Roman" w:cs="Times New Roman"/>
                      <w:snapToGrid w:val="0"/>
                      <w:color w:val="auto"/>
                      <w:sz w:val="21"/>
                      <w:szCs w:val="21"/>
                      <w:highlight w:val="none"/>
                      <w:lang w:val="en-US" w:eastAsia="zh-CN"/>
                    </w:rPr>
                    <w:t>5</w:t>
                  </w:r>
                  <w:r>
                    <w:rPr>
                      <w:rFonts w:hint="default" w:ascii="Times New Roman" w:hAnsi="Times New Roman" w:cs="Times New Roman"/>
                      <w:snapToGrid w:val="0"/>
                      <w:color w:val="auto"/>
                      <w:sz w:val="21"/>
                      <w:szCs w:val="21"/>
                      <w:highlight w:val="none"/>
                    </w:rPr>
                    <w:t>0</w:t>
                  </w:r>
                </w:p>
                <w:p w14:paraId="0EB491AA">
                  <w:pPr>
                    <w:pStyle w:val="16"/>
                    <w:spacing w:before="0" w:beforeLines="0" w:beforeAutospacing="0" w:after="0" w:afterLines="0" w:afterAutospacing="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NH</w:t>
                  </w:r>
                  <w:r>
                    <w:rPr>
                      <w:rFonts w:hint="default" w:ascii="Times New Roman" w:hAnsi="Times New Roman" w:cs="Times New Roman"/>
                      <w:snapToGrid w:val="0"/>
                      <w:color w:val="auto"/>
                      <w:sz w:val="21"/>
                      <w:szCs w:val="21"/>
                      <w:highlight w:val="none"/>
                      <w:vertAlign w:val="subscript"/>
                    </w:rPr>
                    <w:t>3</w:t>
                  </w:r>
                  <w:r>
                    <w:rPr>
                      <w:rFonts w:hint="default" w:ascii="Times New Roman" w:hAnsi="Times New Roman" w:cs="Times New Roman"/>
                      <w:snapToGrid w:val="0"/>
                      <w:color w:val="auto"/>
                      <w:sz w:val="21"/>
                      <w:szCs w:val="21"/>
                      <w:highlight w:val="none"/>
                    </w:rPr>
                    <w:t>-N:45</w:t>
                  </w:r>
                </w:p>
                <w:p w14:paraId="79A6BEF7">
                  <w:pPr>
                    <w:pStyle w:val="16"/>
                    <w:spacing w:before="0" w:beforeLines="0" w:beforeAutospacing="0" w:after="0" w:afterLines="0" w:afterAutospacing="0"/>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SS:400</w:t>
                  </w:r>
                </w:p>
                <w:p w14:paraId="68ED26EC">
                  <w:pPr>
                    <w:pStyle w:val="16"/>
                    <w:spacing w:before="0" w:beforeLines="0" w:beforeAutospacing="0" w:after="0" w:afterLines="0" w:afterAutospacing="0"/>
                    <w:jc w:val="center"/>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动植物油：100</w:t>
                  </w:r>
                </w:p>
                <w:p w14:paraId="65C9B682">
                  <w:pPr>
                    <w:pStyle w:val="16"/>
                    <w:spacing w:before="0" w:beforeLines="0" w:beforeAutospacing="0" w:after="0" w:afterLines="0" w:afterAutospacing="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TP:8</w:t>
                  </w:r>
                  <w:r>
                    <w:rPr>
                      <w:rFonts w:hint="eastAsia" w:ascii="Times New Roman" w:hAnsi="Times New Roman" w:cs="Times New Roman"/>
                      <w:snapToGrid w:val="0"/>
                      <w:color w:val="auto"/>
                      <w:sz w:val="21"/>
                      <w:szCs w:val="21"/>
                      <w:highlight w:val="none"/>
                      <w:lang w:val="en-US" w:eastAsia="zh-CN"/>
                    </w:rPr>
                    <w:t>：TN:70；色度：100</w:t>
                  </w:r>
                </w:p>
              </w:tc>
            </w:tr>
          </w:tbl>
          <w:p w14:paraId="4083BAD6">
            <w:p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（2）废水监测要求</w:t>
            </w:r>
          </w:p>
          <w:p w14:paraId="1109BC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废水污染物排放监测要求详见下表。</w:t>
            </w:r>
          </w:p>
          <w:p w14:paraId="39DED303">
            <w:pPr>
              <w:pStyle w:val="16"/>
              <w:spacing w:before="0" w:beforeAutospacing="0" w:after="0" w:afterAutospacing="0" w:line="440" w:lineRule="exact"/>
              <w:jc w:val="center"/>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eastAsia="宋体" w:cs="Times New Roman"/>
                <w:b/>
                <w:bCs/>
                <w:snapToGrid w:val="0"/>
                <w:color w:val="auto"/>
                <w:sz w:val="24"/>
                <w:szCs w:val="24"/>
                <w:highlight w:val="none"/>
                <w:lang w:val="en-US" w:eastAsia="zh-CN"/>
              </w:rPr>
              <w:t>表4</w:t>
            </w:r>
            <w:r>
              <w:rPr>
                <w:rFonts w:hint="eastAsia" w:ascii="Times New Roman" w:hAnsi="Times New Roman" w:cs="Times New Roman"/>
                <w:b/>
                <w:bCs/>
                <w:snapToGrid w:val="0"/>
                <w:color w:val="auto"/>
                <w:sz w:val="24"/>
                <w:szCs w:val="24"/>
                <w:highlight w:val="none"/>
                <w:lang w:val="en-US" w:eastAsia="zh-CN"/>
              </w:rPr>
              <w:t>.2-9</w:t>
            </w:r>
            <w:r>
              <w:rPr>
                <w:rFonts w:hint="default" w:ascii="Times New Roman" w:hAnsi="Times New Roman" w:eastAsia="宋体" w:cs="Times New Roman"/>
                <w:b/>
                <w:bCs/>
                <w:snapToGrid w:val="0"/>
                <w:color w:val="auto"/>
                <w:sz w:val="24"/>
                <w:szCs w:val="24"/>
                <w:highlight w:val="none"/>
                <w:lang w:val="en-US" w:eastAsia="zh-CN"/>
              </w:rPr>
              <w:t>废水污染物监测要求一览表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942"/>
              <w:gridCol w:w="935"/>
              <w:gridCol w:w="1295"/>
              <w:gridCol w:w="1692"/>
              <w:gridCol w:w="1295"/>
              <w:gridCol w:w="1943"/>
            </w:tblGrid>
            <w:tr w14:paraId="7D3E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 w:type="pct"/>
                  <w:noWrap w:val="0"/>
                  <w:vAlign w:val="center"/>
                </w:tcPr>
                <w:p w14:paraId="7F5B54E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序号</w:t>
                  </w:r>
                </w:p>
              </w:tc>
              <w:tc>
                <w:tcPr>
                  <w:tcW w:w="565" w:type="pct"/>
                  <w:noWrap w:val="0"/>
                  <w:vAlign w:val="center"/>
                </w:tcPr>
                <w:p w14:paraId="48007337">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污染源类别/监测类别</w:t>
                  </w:r>
                </w:p>
              </w:tc>
              <w:tc>
                <w:tcPr>
                  <w:tcW w:w="561" w:type="pct"/>
                  <w:noWrap w:val="0"/>
                  <w:vAlign w:val="center"/>
                </w:tcPr>
                <w:p w14:paraId="673F5161">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排放口编号/监测点位</w:t>
                  </w:r>
                </w:p>
              </w:tc>
              <w:tc>
                <w:tcPr>
                  <w:tcW w:w="770" w:type="pct"/>
                  <w:noWrap w:val="0"/>
                  <w:vAlign w:val="center"/>
                </w:tcPr>
                <w:p w14:paraId="5732655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排放口名称/监测点位名称</w:t>
                  </w:r>
                </w:p>
              </w:tc>
              <w:tc>
                <w:tcPr>
                  <w:tcW w:w="1000" w:type="pct"/>
                  <w:noWrap w:val="0"/>
                  <w:vAlign w:val="center"/>
                </w:tcPr>
                <w:p w14:paraId="3AA92943">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监测因子</w:t>
                  </w:r>
                </w:p>
              </w:tc>
              <w:tc>
                <w:tcPr>
                  <w:tcW w:w="770" w:type="pct"/>
                  <w:noWrap w:val="0"/>
                  <w:vAlign w:val="center"/>
                </w:tcPr>
                <w:p w14:paraId="173FB0B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监测频次</w:t>
                  </w:r>
                </w:p>
              </w:tc>
              <w:tc>
                <w:tcPr>
                  <w:tcW w:w="1015" w:type="pct"/>
                  <w:noWrap w:val="0"/>
                  <w:vAlign w:val="center"/>
                </w:tcPr>
                <w:p w14:paraId="774B37D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z w:val="21"/>
                      <w:szCs w:val="21"/>
                      <w:highlight w:val="none"/>
                      <w:lang w:eastAsia="zh-CN"/>
                    </w:rPr>
                    <w:t>执行</w:t>
                  </w:r>
                  <w:r>
                    <w:rPr>
                      <w:rFonts w:hint="default" w:ascii="Times New Roman" w:hAnsi="Times New Roman" w:cs="Times New Roman"/>
                      <w:color w:val="auto"/>
                      <w:sz w:val="21"/>
                      <w:szCs w:val="21"/>
                      <w:highlight w:val="none"/>
                      <w:lang w:val="en-US" w:eastAsia="zh-CN"/>
                    </w:rPr>
                    <w:t>标准</w:t>
                  </w:r>
                </w:p>
              </w:tc>
            </w:tr>
            <w:tr w14:paraId="2879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5" w:type="pct"/>
                  <w:noWrap w:val="0"/>
                  <w:vAlign w:val="center"/>
                </w:tcPr>
                <w:p w14:paraId="5E16B4BC">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p>
              </w:tc>
              <w:tc>
                <w:tcPr>
                  <w:tcW w:w="565" w:type="pct"/>
                  <w:noWrap w:val="0"/>
                  <w:vAlign w:val="center"/>
                </w:tcPr>
                <w:p w14:paraId="43D67C9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废水</w:t>
                  </w:r>
                </w:p>
              </w:tc>
              <w:tc>
                <w:tcPr>
                  <w:tcW w:w="561" w:type="pct"/>
                  <w:noWrap w:val="0"/>
                  <w:vAlign w:val="center"/>
                </w:tcPr>
                <w:p w14:paraId="7B6EECB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DW001</w:t>
                  </w:r>
                </w:p>
              </w:tc>
              <w:tc>
                <w:tcPr>
                  <w:tcW w:w="770" w:type="pct"/>
                  <w:noWrap w:val="0"/>
                  <w:vAlign w:val="center"/>
                </w:tcPr>
                <w:p w14:paraId="6E006ED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snapToGrid w:val="0"/>
                      <w:color w:val="auto"/>
                      <w:sz w:val="21"/>
                      <w:szCs w:val="21"/>
                      <w:highlight w:val="none"/>
                      <w:lang w:val="en-US"/>
                    </w:rPr>
                  </w:pPr>
                  <w:r>
                    <w:rPr>
                      <w:rFonts w:hint="default" w:ascii="Times New Roman" w:hAnsi="Times New Roman" w:cs="Times New Roman"/>
                      <w:color w:val="auto"/>
                      <w:kern w:val="2"/>
                      <w:sz w:val="21"/>
                      <w:szCs w:val="21"/>
                      <w:highlight w:val="none"/>
                      <w:lang w:val="en-US" w:eastAsia="zh-CN" w:bidi="ar-SA"/>
                    </w:rPr>
                    <w:t>废水处理设施出口</w:t>
                  </w:r>
                </w:p>
              </w:tc>
              <w:tc>
                <w:tcPr>
                  <w:tcW w:w="1000" w:type="pct"/>
                  <w:noWrap w:val="0"/>
                  <w:vAlign w:val="center"/>
                </w:tcPr>
                <w:p w14:paraId="75F06631">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Times New Roman" w:hAnsi="Times New Roman" w:cs="Times New Roman"/>
                      <w:i w:val="0"/>
                      <w:iCs w:val="0"/>
                      <w:color w:val="auto"/>
                      <w:kern w:val="0"/>
                      <w:sz w:val="21"/>
                      <w:szCs w:val="21"/>
                      <w:highlight w:val="none"/>
                      <w:u w:val="none"/>
                      <w:lang w:val="en-US" w:eastAsia="zh-CN" w:bidi="ar"/>
                    </w:rPr>
                    <w:t>色度、</w:t>
                  </w:r>
                  <w:r>
                    <w:rPr>
                      <w:rFonts w:hint="default" w:ascii="Times New Roman" w:hAnsi="Times New Roman" w:cs="Times New Roman"/>
                      <w:snapToGrid w:val="0"/>
                      <w:color w:val="auto"/>
                      <w:sz w:val="21"/>
                      <w:szCs w:val="21"/>
                      <w:highlight w:val="none"/>
                    </w:rPr>
                    <w:t>COD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snapToGrid w:val="0"/>
                      <w:color w:val="auto"/>
                      <w:sz w:val="21"/>
                      <w:szCs w:val="21"/>
                      <w:highlight w:val="none"/>
                    </w:rPr>
                    <w:t>NH</w:t>
                  </w:r>
                  <w:r>
                    <w:rPr>
                      <w:rFonts w:hint="default" w:ascii="Times New Roman" w:hAnsi="Times New Roman" w:cs="Times New Roman"/>
                      <w:snapToGrid w:val="0"/>
                      <w:color w:val="auto"/>
                      <w:sz w:val="21"/>
                      <w:szCs w:val="21"/>
                      <w:highlight w:val="none"/>
                      <w:vertAlign w:val="subscript"/>
                    </w:rPr>
                    <w:t>3</w:t>
                  </w:r>
                  <w:r>
                    <w:rPr>
                      <w:rFonts w:hint="default" w:ascii="Times New Roman" w:hAnsi="Times New Roman" w:cs="Times New Roman"/>
                      <w:snapToGrid w:val="0"/>
                      <w:color w:val="auto"/>
                      <w:sz w:val="21"/>
                      <w:szCs w:val="21"/>
                      <w:highlight w:val="none"/>
                    </w:rPr>
                    <w:t>-N</w:t>
                  </w:r>
                  <w:r>
                    <w:rPr>
                      <w:rFonts w:hint="default" w:ascii="Times New Roman" w:hAnsi="Times New Roman" w:cs="Times New Roman"/>
                      <w:snapToGrid w:val="0"/>
                      <w:color w:val="auto"/>
                      <w:sz w:val="21"/>
                      <w:szCs w:val="21"/>
                      <w:highlight w:val="none"/>
                      <w:lang w:eastAsia="zh-CN"/>
                    </w:rPr>
                    <w:t>、</w:t>
                  </w:r>
                </w:p>
                <w:p w14:paraId="37C1754C">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napToGrid w:val="0"/>
                      <w:color w:val="auto"/>
                      <w:sz w:val="21"/>
                      <w:szCs w:val="21"/>
                      <w:highlight w:val="none"/>
                    </w:rPr>
                    <w:t>BOD</w:t>
                  </w:r>
                  <w:r>
                    <w:rPr>
                      <w:rFonts w:hint="default" w:ascii="Times New Roman" w:hAnsi="Times New Roman" w:cs="Times New Roman"/>
                      <w:snapToGrid w:val="0"/>
                      <w:color w:val="auto"/>
                      <w:sz w:val="21"/>
                      <w:szCs w:val="21"/>
                      <w:highlight w:val="none"/>
                      <w:vertAlign w:val="subscript"/>
                    </w:rPr>
                    <w:t>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snapToGrid w:val="0"/>
                      <w:color w:val="auto"/>
                      <w:sz w:val="21"/>
                      <w:szCs w:val="21"/>
                      <w:highlight w:val="none"/>
                    </w:rPr>
                    <w:t>SS</w:t>
                  </w:r>
                  <w:r>
                    <w:rPr>
                      <w:rFonts w:hint="default" w:ascii="Times New Roman" w:hAnsi="Times New Roman"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lang w:val="en-US" w:eastAsia="zh-CN"/>
                    </w:rPr>
                    <w:t>动植物油、TP</w:t>
                  </w:r>
                  <w:r>
                    <w:rPr>
                      <w:rFonts w:hint="eastAsia" w:ascii="Times New Roman" w:hAnsi="Times New Roman" w:cs="Times New Roman"/>
                      <w:snapToGrid w:val="0"/>
                      <w:color w:val="auto"/>
                      <w:sz w:val="21"/>
                      <w:szCs w:val="21"/>
                      <w:highlight w:val="none"/>
                      <w:lang w:val="en-US" w:eastAsia="zh-CN"/>
                    </w:rPr>
                    <w:t>、TN</w:t>
                  </w:r>
                </w:p>
              </w:tc>
              <w:tc>
                <w:tcPr>
                  <w:tcW w:w="770" w:type="pct"/>
                  <w:noWrap w:val="0"/>
                  <w:vAlign w:val="center"/>
                </w:tcPr>
                <w:p w14:paraId="51CF26DD">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验收监测1次，运营期</w:t>
                  </w:r>
                  <w:r>
                    <w:rPr>
                      <w:rFonts w:hint="eastAsia" w:ascii="Times New Roman" w:hAnsi="Times New Roman" w:cs="Times New Roman"/>
                      <w:color w:val="auto"/>
                      <w:sz w:val="21"/>
                      <w:szCs w:val="21"/>
                      <w:highlight w:val="none"/>
                      <w:lang w:val="en-US" w:eastAsia="zh-CN"/>
                    </w:rPr>
                    <w:t>1年1次</w:t>
                  </w:r>
                </w:p>
              </w:tc>
              <w:tc>
                <w:tcPr>
                  <w:tcW w:w="1015" w:type="pct"/>
                  <w:noWrap w:val="0"/>
                  <w:vAlign w:val="center"/>
                </w:tcPr>
                <w:p w14:paraId="5E4AC047">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食品加工制造业水污染物排放标准</w:t>
                  </w:r>
                  <w:r>
                    <w:rPr>
                      <w:rFonts w:hint="default" w:ascii="Times New Roman" w:hAnsi="Times New Roman" w:eastAsia="宋体" w:cs="Times New Roman"/>
                      <w:bCs/>
                      <w:snapToGrid w:val="0"/>
                      <w:color w:val="auto"/>
                      <w:kern w:val="0"/>
                      <w:sz w:val="21"/>
                      <w:szCs w:val="21"/>
                      <w:highlight w:val="none"/>
                      <w:lang w:val="en-US" w:eastAsia="zh-CN"/>
                    </w:rPr>
                    <w:t>》（GB</w:t>
                  </w:r>
                  <w:r>
                    <w:rPr>
                      <w:rFonts w:hint="eastAsia" w:cs="Times New Roman"/>
                      <w:bCs/>
                      <w:snapToGrid w:val="0"/>
                      <w:color w:val="auto"/>
                      <w:kern w:val="0"/>
                      <w:sz w:val="21"/>
                      <w:szCs w:val="21"/>
                      <w:highlight w:val="none"/>
                      <w:lang w:val="en-US" w:eastAsia="zh-CN"/>
                    </w:rPr>
                    <w:t>46817</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2025</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表1间接排放标准</w:t>
                  </w:r>
                </w:p>
              </w:tc>
            </w:tr>
          </w:tbl>
          <w:p w14:paraId="679EAF09">
            <w:p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（3）措施可行性论证</w:t>
            </w:r>
          </w:p>
          <w:p w14:paraId="525A2A9F">
            <w:pPr>
              <w:adjustRightInd w:val="0"/>
              <w:snapToGrid w:val="0"/>
              <w:spacing w:line="360" w:lineRule="auto"/>
              <w:ind w:firstLine="480" w:firstLineChars="200"/>
              <w:jc w:val="both"/>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1）水洗工段排水回用可行性分析</w:t>
            </w:r>
          </w:p>
          <w:p w14:paraId="772AC5A5">
            <w:pPr>
              <w:adjustRightInd w:val="0"/>
              <w:snapToGrid w:val="0"/>
              <w:spacing w:line="360" w:lineRule="auto"/>
              <w:ind w:firstLine="480" w:firstLineChars="200"/>
              <w:jc w:val="both"/>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本项目水洗工段采用循环节水技术，设置水洗离心泵1台，经脱皂后的油进入水洗工段，通过水洗罐水洗后，水进入油水分离箱进行油水分离，经油水分离后的50%清水继续回用至水洗工段，其水质控制要求为</w:t>
            </w:r>
            <w:r>
              <w:rPr>
                <w:rFonts w:hint="eastAsia" w:ascii="Times New Roman" w:hAnsi="Times New Roman" w:cs="Times New Roman"/>
                <w:color w:val="auto"/>
                <w:sz w:val="24"/>
                <w:szCs w:val="24"/>
                <w:highlight w:val="none"/>
                <w:lang w:val="en-US" w:eastAsia="zh-CN"/>
              </w:rPr>
              <w:t>pH值＜6，悬浮物＜5mg/L；由于水洗工段水洗排水主要为纯水，经</w:t>
            </w:r>
            <w:r>
              <w:rPr>
                <w:rFonts w:hint="eastAsia" w:cs="Times New Roman"/>
                <w:color w:val="auto"/>
                <w:sz w:val="24"/>
                <w:szCs w:val="24"/>
                <w:highlight w:val="none"/>
                <w:lang w:val="en-US" w:eastAsia="zh-CN"/>
              </w:rPr>
              <w:t>油水</w:t>
            </w:r>
            <w:r>
              <w:rPr>
                <w:rFonts w:hint="eastAsia" w:ascii="Times New Roman" w:hAnsi="Times New Roman" w:cs="Times New Roman"/>
                <w:color w:val="auto"/>
                <w:sz w:val="24"/>
                <w:szCs w:val="24"/>
                <w:highlight w:val="none"/>
                <w:lang w:val="en-US" w:eastAsia="zh-CN"/>
              </w:rPr>
              <w:t>分离后，水质简单，其悬浮物＜5mg/L，能满足回用要求。</w:t>
            </w:r>
          </w:p>
          <w:p w14:paraId="27BB2013">
            <w:pPr>
              <w:adjustRightInd w:val="0"/>
              <w:snapToGrid w:val="0"/>
              <w:spacing w:line="360" w:lineRule="auto"/>
              <w:ind w:firstLine="480" w:firstLineChars="200"/>
              <w:jc w:val="both"/>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2）污水处理站依托可行性分析</w:t>
            </w:r>
          </w:p>
          <w:p w14:paraId="6AC9D3D1">
            <w:pPr>
              <w:adjustRightInd w:val="0"/>
              <w:snapToGrid w:val="0"/>
              <w:spacing w:line="360" w:lineRule="auto"/>
              <w:ind w:firstLine="480" w:firstLineChars="200"/>
              <w:jc w:val="both"/>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color w:val="auto"/>
                <w:kern w:val="0"/>
                <w:sz w:val="24"/>
                <w:szCs w:val="24"/>
                <w:highlight w:val="none"/>
                <w:lang w:val="en-US" w:eastAsia="zh-CN"/>
              </w:rPr>
              <w:t>废水</w:t>
            </w:r>
            <w:r>
              <w:rPr>
                <w:rFonts w:hint="default" w:ascii="Times New Roman" w:hAnsi="Times New Roman" w:eastAsia="宋体" w:cs="Times New Roman"/>
                <w:b w:val="0"/>
                <w:bCs w:val="0"/>
                <w:color w:val="auto"/>
                <w:sz w:val="24"/>
                <w:szCs w:val="24"/>
                <w:highlight w:val="none"/>
                <w:lang w:val="en-US" w:eastAsia="zh-CN"/>
              </w:rPr>
              <w:t>依托企业已建</w:t>
            </w:r>
            <w:r>
              <w:rPr>
                <w:rFonts w:hint="eastAsia" w:cs="Times New Roman"/>
                <w:b w:val="0"/>
                <w:bCs w:val="0"/>
                <w:color w:val="auto"/>
                <w:sz w:val="24"/>
                <w:szCs w:val="24"/>
                <w:highlight w:val="none"/>
                <w:lang w:val="en-US" w:eastAsia="zh-CN"/>
              </w:rPr>
              <w:t>污水处理站</w:t>
            </w:r>
            <w:r>
              <w:rPr>
                <w:rFonts w:hint="default" w:ascii="Times New Roman" w:hAnsi="Times New Roman" w:eastAsia="宋体" w:cs="Times New Roman"/>
                <w:b w:val="0"/>
                <w:bCs w:val="0"/>
                <w:color w:val="auto"/>
                <w:sz w:val="24"/>
                <w:szCs w:val="24"/>
                <w:highlight w:val="none"/>
                <w:lang w:val="en-US" w:eastAsia="zh-CN"/>
              </w:rPr>
              <w:t>处理。根据现场踏勘调查，企业污水处理站设计能力为150m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/d，</w:t>
            </w:r>
            <w:r>
              <w:rPr>
                <w:rFonts w:hint="eastAsia" w:cs="Times New Roman"/>
                <w:b w:val="0"/>
                <w:bCs w:val="0"/>
                <w:color w:val="auto"/>
                <w:sz w:val="24"/>
                <w:szCs w:val="24"/>
                <w:highlight w:val="none"/>
                <w:lang w:val="en-US" w:eastAsia="zh-CN"/>
              </w:rPr>
              <w:t>本项目通过采取水洗废水的循环利用，减少了废水排放量，其回用率为50%，改建后全厂废水排放量为103.37m</w:t>
            </w:r>
            <w:r>
              <w:rPr>
                <w:rFonts w:hint="eastAsia" w:cs="Times New Roman"/>
                <w:b w:val="0"/>
                <w:bCs w:val="0"/>
                <w:color w:val="auto"/>
                <w:sz w:val="24"/>
                <w:szCs w:val="24"/>
                <w:highlight w:val="none"/>
                <w:vertAlign w:val="superscript"/>
                <w:lang w:val="en-US" w:eastAsia="zh-CN"/>
              </w:rPr>
              <w:t>3</w:t>
            </w:r>
            <w:r>
              <w:rPr>
                <w:rFonts w:hint="eastAsia" w:cs="Times New Roman"/>
                <w:b w:val="0"/>
                <w:bCs w:val="0"/>
                <w:color w:val="auto"/>
                <w:sz w:val="24"/>
                <w:szCs w:val="24"/>
                <w:highlight w:val="none"/>
                <w:lang w:val="en-US" w:eastAsia="zh-CN"/>
              </w:rPr>
              <w:t>/d，实现了废水的减排，</w:t>
            </w:r>
            <w:r>
              <w:rPr>
                <w:rFonts w:hint="default" w:ascii="Times New Roman" w:hAnsi="Times New Roman" w:eastAsia="宋体" w:cs="Times New Roman"/>
                <w:b w:val="0"/>
                <w:bCs w:val="0"/>
                <w:color w:val="auto"/>
                <w:sz w:val="24"/>
                <w:szCs w:val="24"/>
                <w:highlight w:val="none"/>
                <w:lang w:val="en-US" w:eastAsia="zh-CN"/>
              </w:rPr>
              <w:t>现有已建污水处理站采用“</w:t>
            </w:r>
            <w:r>
              <w:rPr>
                <w:rFonts w:hint="default" w:ascii="Times New Roman" w:hAnsi="Times New Roman" w:cs="Times New Roman"/>
                <w:color w:val="auto"/>
                <w:sz w:val="24"/>
                <w:szCs w:val="24"/>
                <w:highlight w:val="none"/>
                <w:lang w:val="en-US" w:eastAsia="zh-CN"/>
              </w:rPr>
              <w:t>隔油+气浮+沉淀+水解酸化+缺氧+生物接触氧化+沉淀工艺</w:t>
            </w:r>
            <w:r>
              <w:rPr>
                <w:rFonts w:hint="default" w:ascii="Times New Roman" w:hAnsi="Times New Roman" w:eastAsia="宋体" w:cs="Times New Roman"/>
                <w:b w:val="0"/>
                <w:bCs w:val="0"/>
                <w:color w:val="auto"/>
                <w:sz w:val="24"/>
                <w:szCs w:val="24"/>
                <w:highlight w:val="none"/>
                <w:lang w:val="en-US" w:eastAsia="zh-CN"/>
              </w:rPr>
              <w:t>”的处理工艺，运行正常，厂区管网完善</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故</w:t>
            </w: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产生的废水可进入现有已建的污水处理站进行处理能够达《污水综合排放标准》（GB8978-1996）三级标准排放，且项目</w:t>
            </w:r>
            <w:r>
              <w:rPr>
                <w:rFonts w:hint="eastAsia" w:cs="Times New Roman"/>
                <w:b w:val="0"/>
                <w:bCs w:val="0"/>
                <w:color w:val="auto"/>
                <w:sz w:val="24"/>
                <w:szCs w:val="24"/>
                <w:highlight w:val="none"/>
                <w:lang w:val="en-US" w:eastAsia="zh-CN"/>
              </w:rPr>
              <w:t>改建</w:t>
            </w:r>
            <w:r>
              <w:rPr>
                <w:rFonts w:hint="default" w:ascii="Times New Roman" w:hAnsi="Times New Roman" w:eastAsia="宋体" w:cs="Times New Roman"/>
                <w:b w:val="0"/>
                <w:bCs w:val="0"/>
                <w:color w:val="auto"/>
                <w:sz w:val="24"/>
                <w:szCs w:val="24"/>
                <w:highlight w:val="none"/>
                <w:lang w:val="en-US" w:eastAsia="zh-CN"/>
              </w:rPr>
              <w:t>前后废水水质基本无变化，该污水处理站处理工艺能较好</w:t>
            </w:r>
            <w:r>
              <w:rPr>
                <w:rFonts w:hint="eastAsia" w:cs="Times New Roman"/>
                <w:b w:val="0"/>
                <w:bCs w:val="0"/>
                <w:color w:val="auto"/>
                <w:sz w:val="24"/>
                <w:szCs w:val="24"/>
                <w:highlight w:val="none"/>
                <w:lang w:val="en-US" w:eastAsia="zh-CN"/>
              </w:rPr>
              <w:t>去除</w:t>
            </w:r>
            <w:r>
              <w:rPr>
                <w:rFonts w:hint="default" w:ascii="Times New Roman" w:hAnsi="Times New Roman" w:eastAsia="宋体" w:cs="Times New Roman"/>
                <w:b w:val="0"/>
                <w:bCs w:val="0"/>
                <w:color w:val="auto"/>
                <w:sz w:val="24"/>
                <w:szCs w:val="24"/>
                <w:highlight w:val="none"/>
                <w:lang w:val="en-US" w:eastAsia="zh-CN"/>
              </w:rPr>
              <w:t>废水中污染物。该</w:t>
            </w:r>
            <w:r>
              <w:rPr>
                <w:rFonts w:hint="eastAsia" w:cs="Times New Roman"/>
                <w:b w:val="0"/>
                <w:bCs w:val="0"/>
                <w:color w:val="auto"/>
                <w:sz w:val="24"/>
                <w:szCs w:val="24"/>
                <w:highlight w:val="none"/>
                <w:lang w:val="en-US" w:eastAsia="zh-CN"/>
              </w:rPr>
              <w:t>污水处理站</w:t>
            </w:r>
            <w:r>
              <w:rPr>
                <w:rFonts w:hint="default" w:ascii="Times New Roman" w:hAnsi="Times New Roman" w:eastAsia="宋体" w:cs="Times New Roman"/>
                <w:b w:val="0"/>
                <w:bCs w:val="0"/>
                <w:color w:val="auto"/>
                <w:sz w:val="24"/>
                <w:szCs w:val="24"/>
                <w:highlight w:val="none"/>
                <w:lang w:val="en-US" w:eastAsia="zh-CN"/>
              </w:rPr>
              <w:t>已于2012年完成竣工环境保护验收，项目废水进入可行。</w:t>
            </w:r>
            <w:r>
              <w:rPr>
                <w:rFonts w:hint="eastAsia" w:cs="Times New Roman"/>
                <w:b w:val="0"/>
                <w:bCs w:val="0"/>
                <w:color w:val="auto"/>
                <w:sz w:val="24"/>
                <w:szCs w:val="24"/>
                <w:highlight w:val="none"/>
                <w:lang w:val="en-US" w:eastAsia="zh-CN"/>
              </w:rPr>
              <w:t>本项目改建后废水水质与改建前水质基本一致，无变化，通过水洗水回用，实现外排废水减排。污水处理站处理工艺如下：</w:t>
            </w:r>
          </w:p>
          <w:p w14:paraId="71DC3A81">
            <w:pPr>
              <w:pStyle w:val="2"/>
              <w:rPr>
                <w:rFonts w:hint="eastAsia" w:cs="Times New Roman"/>
                <w:b w:val="0"/>
                <w:bCs w:val="0"/>
                <w:color w:val="auto"/>
                <w:sz w:val="24"/>
                <w:szCs w:val="24"/>
                <w:highlight w:val="none"/>
                <w:lang w:val="en-US" w:eastAsia="zh-CN"/>
              </w:rPr>
            </w:pPr>
          </w:p>
          <w:p w14:paraId="506CDC87">
            <w:pPr>
              <w:pStyle w:val="3"/>
              <w:rPr>
                <w:rFonts w:hint="eastAsia" w:cs="Times New Roman"/>
                <w:b w:val="0"/>
                <w:bCs w:val="0"/>
                <w:color w:val="auto"/>
                <w:sz w:val="24"/>
                <w:szCs w:val="24"/>
                <w:highlight w:val="none"/>
                <w:lang w:val="en-US" w:eastAsia="zh-CN"/>
              </w:rPr>
            </w:pPr>
          </w:p>
          <w:p w14:paraId="34737F00">
            <w:pPr>
              <w:rPr>
                <w:rFonts w:hint="eastAsia" w:cs="Times New Roman"/>
                <w:b w:val="0"/>
                <w:bCs w:val="0"/>
                <w:color w:val="auto"/>
                <w:sz w:val="24"/>
                <w:szCs w:val="24"/>
                <w:highlight w:val="none"/>
                <w:lang w:val="en-US" w:eastAsia="zh-CN"/>
              </w:rPr>
            </w:pPr>
          </w:p>
          <w:p w14:paraId="25B28BF9">
            <w:pPr>
              <w:pStyle w:val="2"/>
              <w:rPr>
                <w:rFonts w:hint="eastAsia" w:cs="Times New Roman"/>
                <w:b w:val="0"/>
                <w:bCs w:val="0"/>
                <w:color w:val="auto"/>
                <w:sz w:val="24"/>
                <w:szCs w:val="24"/>
                <w:highlight w:val="none"/>
                <w:lang w:val="en-US" w:eastAsia="zh-CN"/>
              </w:rPr>
            </w:pPr>
          </w:p>
          <w:p w14:paraId="15A1CEBD">
            <w:pPr>
              <w:pStyle w:val="3"/>
              <w:rPr>
                <w:rFonts w:hint="eastAsia" w:cs="Times New Roman"/>
                <w:b w:val="0"/>
                <w:bCs w:val="0"/>
                <w:color w:val="auto"/>
                <w:sz w:val="24"/>
                <w:szCs w:val="24"/>
                <w:highlight w:val="none"/>
                <w:lang w:val="en-US" w:eastAsia="zh-CN"/>
              </w:rPr>
            </w:pPr>
          </w:p>
          <w:p w14:paraId="56A93763">
            <w:pPr>
              <w:rPr>
                <w:rFonts w:hint="eastAsia" w:cs="Times New Roman"/>
                <w:b w:val="0"/>
                <w:bCs w:val="0"/>
                <w:color w:val="auto"/>
                <w:sz w:val="24"/>
                <w:szCs w:val="24"/>
                <w:highlight w:val="none"/>
                <w:lang w:val="en-US" w:eastAsia="zh-CN"/>
              </w:rPr>
            </w:pPr>
          </w:p>
          <w:p w14:paraId="71BACC67">
            <w:pPr>
              <w:pStyle w:val="2"/>
              <w:rPr>
                <w:rFonts w:hint="eastAsia" w:cs="Times New Roman"/>
                <w:b w:val="0"/>
                <w:bCs w:val="0"/>
                <w:color w:val="auto"/>
                <w:sz w:val="24"/>
                <w:szCs w:val="24"/>
                <w:highlight w:val="none"/>
                <w:lang w:val="en-US" w:eastAsia="zh-CN"/>
              </w:rPr>
            </w:pPr>
          </w:p>
          <w:p w14:paraId="197CA3AF">
            <w:pPr>
              <w:pStyle w:val="3"/>
              <w:rPr>
                <w:rFonts w:hint="eastAsia" w:cs="Times New Roman"/>
                <w:b w:val="0"/>
                <w:bCs w:val="0"/>
                <w:color w:val="auto"/>
                <w:sz w:val="24"/>
                <w:szCs w:val="24"/>
                <w:highlight w:val="none"/>
                <w:lang w:val="en-US" w:eastAsia="zh-CN"/>
              </w:rPr>
            </w:pPr>
          </w:p>
          <w:p w14:paraId="7972F873">
            <w:pPr>
              <w:rPr>
                <w:rFonts w:hint="eastAsia" w:cs="Times New Roman"/>
                <w:b w:val="0"/>
                <w:bCs w:val="0"/>
                <w:color w:val="auto"/>
                <w:sz w:val="24"/>
                <w:szCs w:val="24"/>
                <w:highlight w:val="none"/>
                <w:lang w:val="en-US" w:eastAsia="zh-CN"/>
              </w:rPr>
            </w:pPr>
          </w:p>
          <w:p w14:paraId="1774A47E">
            <w:pPr>
              <w:pStyle w:val="2"/>
              <w:rPr>
                <w:rFonts w:hint="eastAsia" w:cs="Times New Roman"/>
                <w:b w:val="0"/>
                <w:bCs w:val="0"/>
                <w:color w:val="auto"/>
                <w:sz w:val="24"/>
                <w:szCs w:val="24"/>
                <w:highlight w:val="none"/>
                <w:lang w:val="en-US" w:eastAsia="zh-CN"/>
              </w:rPr>
            </w:pPr>
          </w:p>
          <w:p w14:paraId="2A89ACA1">
            <w:pPr>
              <w:pStyle w:val="3"/>
              <w:rPr>
                <w:rFonts w:hint="eastAsia" w:cs="Times New Roman"/>
                <w:b w:val="0"/>
                <w:bCs w:val="0"/>
                <w:color w:val="auto"/>
                <w:sz w:val="24"/>
                <w:szCs w:val="24"/>
                <w:highlight w:val="none"/>
                <w:lang w:val="en-US" w:eastAsia="zh-CN"/>
              </w:rPr>
            </w:pPr>
          </w:p>
          <w:p w14:paraId="4468E2CB">
            <w:pPr>
              <w:rPr>
                <w:rFonts w:hint="default"/>
                <w:lang w:val="en-US" w:eastAsia="zh-CN"/>
              </w:rPr>
            </w:pPr>
          </w:p>
          <w:p w14:paraId="6FEA19A0">
            <w:pPr>
              <w:pStyle w:val="2"/>
              <w:jc w:val="center"/>
              <w:rPr>
                <w:rFonts w:hint="default" w:ascii="Times New Roman" w:hAnsi="Times New Roman" w:eastAsia="宋体" w:cs="Times New Roman"/>
                <w:b/>
                <w:bCs/>
                <w:snapToGrid w:val="0"/>
                <w:color w:val="auto"/>
                <w:sz w:val="22"/>
                <w:szCs w:val="22"/>
                <w:highlight w:val="none"/>
                <w:vertAlign w:val="baseline"/>
                <w:lang w:val="en-US" w:eastAsia="zh-CN"/>
              </w:rPr>
            </w:pPr>
            <w:r>
              <w:rPr>
                <w:rFonts w:hint="default" w:ascii="Times New Roman" w:hAnsi="Times New Roman" w:eastAsia="宋体" w:cs="Times New Roman"/>
                <w:b/>
                <w:bCs/>
                <w:snapToGrid w:val="0"/>
                <w:color w:val="auto"/>
                <w:sz w:val="22"/>
                <w:szCs w:val="22"/>
                <w:highlight w:val="none"/>
                <w:vertAlign w:val="baseline"/>
                <w:lang w:val="en-US" w:eastAsia="zh-CN"/>
              </w:rPr>
              <w:drawing>
                <wp:inline distT="0" distB="0" distL="114300" distR="114300">
                  <wp:extent cx="4238625" cy="7239000"/>
                  <wp:effectExtent l="0" t="0" r="9525" b="0"/>
                  <wp:docPr id="3" name="图片 3" descr="1c62f8e51e2062b65c3fae5c160ff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c62f8e51e2062b65c3fae5c160ff0b3"/>
                          <pic:cNvPicPr>
                            <a:picLocks noChangeAspect="1"/>
                          </pic:cNvPicPr>
                        </pic:nvPicPr>
                        <pic:blipFill>
                          <a:blip r:embed="rId23">
                            <a:lum contrast="12000"/>
                          </a:blip>
                          <a:stretch>
                            <a:fillRect/>
                          </a:stretch>
                        </pic:blipFill>
                        <pic:spPr>
                          <a:xfrm>
                            <a:off x="0" y="0"/>
                            <a:ext cx="4238625" cy="7239000"/>
                          </a:xfrm>
                          <a:prstGeom prst="rect">
                            <a:avLst/>
                          </a:prstGeom>
                        </pic:spPr>
                      </pic:pic>
                    </a:graphicData>
                  </a:graphic>
                </wp:inline>
              </w:drawing>
            </w:r>
          </w:p>
          <w:p w14:paraId="2402697D">
            <w:pPr>
              <w:pStyle w:val="12"/>
              <w:keepNext w:val="0"/>
              <w:keepLines w:val="0"/>
              <w:pageBreakBefore w:val="0"/>
              <w:kinsoku/>
              <w:wordWrap/>
              <w:overflowPunct/>
              <w:topLinePunct w:val="0"/>
              <w:autoSpaceDE/>
              <w:autoSpaceDN/>
              <w:bidi w:val="0"/>
              <w:adjustRightInd/>
              <w:spacing w:after="0" w:line="360" w:lineRule="auto"/>
              <w:ind w:left="0" w:leftChars="0" w:right="0" w:firstLine="442" w:firstLineChars="200"/>
              <w:textAlignment w:val="auto"/>
              <w:rPr>
                <w:rFonts w:hint="default"/>
                <w:color w:val="auto"/>
                <w:highlight w:val="none"/>
                <w:lang w:val="en-US" w:eastAsia="zh-CN"/>
              </w:rPr>
            </w:pPr>
            <w:r>
              <w:rPr>
                <w:rFonts w:hint="eastAsia" w:ascii="Times New Roman" w:hAnsi="Times New Roman" w:eastAsia="宋体" w:cs="Times New Roman"/>
                <w:b/>
                <w:bCs/>
                <w:snapToGrid w:val="0"/>
                <w:color w:val="auto"/>
                <w:sz w:val="22"/>
                <w:szCs w:val="22"/>
                <w:highlight w:val="none"/>
                <w:vertAlign w:val="baseline"/>
                <w:lang w:val="en-US" w:eastAsia="zh-CN"/>
              </w:rPr>
              <w:t>其处理工艺简述如下：</w:t>
            </w:r>
          </w:p>
          <w:p w14:paraId="1F4ABAA1">
            <w:pPr>
              <w:pStyle w:val="2"/>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ascii="Times New Roman" w:hAnsi="Times New Roman" w:cs="Times New Roman"/>
                <w:color w:val="auto"/>
                <w:sz w:val="24"/>
                <w:szCs w:val="24"/>
                <w:highlight w:val="none"/>
              </w:rPr>
              <w:t>调节池：在</w:t>
            </w:r>
            <w:r>
              <w:rPr>
                <w:rFonts w:hint="eastAsia" w:ascii="Times New Roman" w:hAnsi="Times New Roman" w:cs="Times New Roman"/>
                <w:color w:val="auto"/>
                <w:sz w:val="24"/>
                <w:szCs w:val="24"/>
                <w:highlight w:val="none"/>
                <w:lang w:val="en-US" w:eastAsia="zh-CN"/>
              </w:rPr>
              <w:t>废水</w:t>
            </w:r>
            <w:r>
              <w:rPr>
                <w:rFonts w:ascii="Times New Roman" w:hAnsi="Times New Roman" w:cs="Times New Roman"/>
                <w:color w:val="auto"/>
                <w:sz w:val="24"/>
                <w:szCs w:val="24"/>
                <w:highlight w:val="none"/>
              </w:rPr>
              <w:t>处理过程中，</w:t>
            </w:r>
            <w:r>
              <w:rPr>
                <w:rFonts w:hint="eastAsia" w:ascii="Times New Roman" w:hAnsi="Times New Roman" w:cs="Times New Roman"/>
                <w:color w:val="auto"/>
                <w:sz w:val="24"/>
                <w:szCs w:val="24"/>
                <w:highlight w:val="none"/>
                <w:lang w:val="en-US" w:eastAsia="zh-CN"/>
              </w:rPr>
              <w:t>废水</w:t>
            </w:r>
            <w:r>
              <w:rPr>
                <w:rFonts w:ascii="Times New Roman" w:hAnsi="Times New Roman" w:cs="Times New Roman"/>
                <w:color w:val="auto"/>
                <w:sz w:val="24"/>
                <w:szCs w:val="24"/>
                <w:highlight w:val="none"/>
              </w:rPr>
              <w:t>的流量和水质是非恒定的，要使</w:t>
            </w:r>
            <w:r>
              <w:rPr>
                <w:rFonts w:hint="eastAsia" w:ascii="Times New Roman" w:hAnsi="Times New Roman" w:cs="Times New Roman"/>
                <w:color w:val="auto"/>
                <w:sz w:val="24"/>
                <w:szCs w:val="24"/>
                <w:highlight w:val="none"/>
                <w:lang w:val="en-US" w:eastAsia="zh-CN"/>
              </w:rPr>
              <w:t>废水</w:t>
            </w:r>
            <w:r>
              <w:rPr>
                <w:rFonts w:ascii="Times New Roman" w:hAnsi="Times New Roman" w:cs="Times New Roman"/>
                <w:color w:val="auto"/>
                <w:sz w:val="24"/>
                <w:szCs w:val="24"/>
                <w:highlight w:val="none"/>
              </w:rPr>
              <w:t>流量恒定、波动小、水质均匀，必须采用足够容积的调节池进行调节预处理。</w:t>
            </w:r>
          </w:p>
          <w:p w14:paraId="3B0739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eastAsia"/>
                <w:color w:val="auto"/>
                <w:sz w:val="24"/>
                <w:szCs w:val="24"/>
                <w:highlight w:val="none"/>
                <w:lang w:val="en-US" w:eastAsia="zh-CN"/>
              </w:rPr>
              <w:t>多级隔油：本项目采用多级隔油方式，</w:t>
            </w:r>
            <w:r>
              <w:rPr>
                <w:rFonts w:hint="eastAsia" w:ascii="Arial" w:hAnsi="Arial" w:eastAsia="Arial" w:cs="Arial"/>
                <w:i w:val="0"/>
                <w:iCs w:val="0"/>
                <w:caps w:val="0"/>
                <w:color w:val="auto"/>
                <w:spacing w:val="0"/>
                <w:sz w:val="24"/>
                <w:szCs w:val="24"/>
                <w:highlight w:val="none"/>
                <w:shd w:val="clear" w:fill="FFFFFF"/>
              </w:rPr>
              <w:t>隔油池是一种专门用于分离</w:t>
            </w:r>
            <w:r>
              <w:rPr>
                <w:rFonts w:hint="eastAsia" w:ascii="Arial" w:hAnsi="Arial" w:eastAsia="宋体" w:cs="Arial"/>
                <w:i w:val="0"/>
                <w:iCs w:val="0"/>
                <w:caps w:val="0"/>
                <w:color w:val="auto"/>
                <w:spacing w:val="0"/>
                <w:sz w:val="24"/>
                <w:szCs w:val="24"/>
                <w:highlight w:val="none"/>
                <w:shd w:val="clear" w:fill="FFFFFF"/>
                <w:lang w:val="en-US" w:eastAsia="zh-CN"/>
              </w:rPr>
              <w:t>项目</w:t>
            </w:r>
            <w:r>
              <w:rPr>
                <w:rFonts w:hint="eastAsia" w:ascii="Arial" w:hAnsi="Arial" w:eastAsia="Arial" w:cs="Arial"/>
                <w:i w:val="0"/>
                <w:iCs w:val="0"/>
                <w:caps w:val="0"/>
                <w:color w:val="auto"/>
                <w:spacing w:val="0"/>
                <w:sz w:val="24"/>
                <w:szCs w:val="24"/>
                <w:highlight w:val="none"/>
                <w:shd w:val="clear" w:fill="FFFFFF"/>
              </w:rPr>
              <w:t>废水中动植物油的环保设备，</w:t>
            </w:r>
            <w:r>
              <w:rPr>
                <w:rFonts w:hint="default" w:ascii="Arial" w:hAnsi="Arial" w:eastAsia="Arial" w:cs="Arial"/>
                <w:i w:val="0"/>
                <w:iCs w:val="0"/>
                <w:caps w:val="0"/>
                <w:color w:val="auto"/>
                <w:spacing w:val="0"/>
                <w:sz w:val="24"/>
                <w:szCs w:val="24"/>
                <w:highlight w:val="none"/>
                <w:shd w:val="clear" w:fill="FFFFFF"/>
              </w:rPr>
              <w:t>通过物理分离技术，将油脂与水分离，减少油脂进入</w:t>
            </w:r>
            <w:r>
              <w:rPr>
                <w:rFonts w:hint="eastAsia" w:ascii="Arial" w:hAnsi="Arial" w:eastAsia="宋体" w:cs="Arial"/>
                <w:i w:val="0"/>
                <w:iCs w:val="0"/>
                <w:caps w:val="0"/>
                <w:color w:val="auto"/>
                <w:spacing w:val="0"/>
                <w:sz w:val="24"/>
                <w:szCs w:val="24"/>
                <w:highlight w:val="none"/>
                <w:shd w:val="clear" w:fill="FFFFFF"/>
                <w:lang w:val="en-US" w:eastAsia="zh-CN"/>
              </w:rPr>
              <w:t>后续处理环节</w:t>
            </w:r>
            <w:r>
              <w:rPr>
                <w:rFonts w:hint="default" w:ascii="Arial" w:hAnsi="Arial" w:eastAsia="Arial" w:cs="Arial"/>
                <w:i w:val="0"/>
                <w:iCs w:val="0"/>
                <w:caps w:val="0"/>
                <w:color w:val="auto"/>
                <w:spacing w:val="0"/>
                <w:sz w:val="24"/>
                <w:szCs w:val="24"/>
                <w:highlight w:val="none"/>
                <w:shd w:val="clear" w:fill="FFFFFF"/>
              </w:rPr>
              <w:t>的风险，避免管道堵塞和环境污染。</w:t>
            </w:r>
            <w:r>
              <w:rPr>
                <w:rFonts w:hint="default" w:ascii="Times New Roman" w:hAnsi="Times New Roman" w:eastAsia="宋体" w:cs="Times New Roman"/>
                <w:b w:val="0"/>
                <w:bCs/>
                <w:color w:val="auto"/>
                <w:sz w:val="24"/>
                <w:szCs w:val="24"/>
                <w:highlight w:val="none"/>
              </w:rPr>
              <w:t>利用废水中悬浮物和水的比重不同而达到分离的目的。隔油池的构造采用平流式，</w:t>
            </w:r>
            <w:r>
              <w:rPr>
                <w:rFonts w:hint="default" w:ascii="Times New Roman" w:hAnsi="Times New Roman" w:cs="Times New Roman"/>
                <w:b w:val="0"/>
                <w:bCs/>
                <w:color w:val="auto"/>
                <w:sz w:val="24"/>
                <w:szCs w:val="24"/>
                <w:highlight w:val="none"/>
                <w:lang w:eastAsia="zh-CN"/>
              </w:rPr>
              <w:t>三段式，</w:t>
            </w:r>
            <w:r>
              <w:rPr>
                <w:rFonts w:hint="default" w:ascii="Times New Roman" w:hAnsi="Times New Roman" w:eastAsia="宋体" w:cs="Times New Roman"/>
                <w:b w:val="0"/>
                <w:bCs/>
                <w:color w:val="auto"/>
                <w:sz w:val="24"/>
                <w:szCs w:val="24"/>
                <w:highlight w:val="none"/>
              </w:rPr>
              <w:t>含油废水通过配水槽进入平面为矩形的隔油池，沿水平方向缓慢流动，在流动中油品上浮水面，由集油管或设置在池面的刮油机推送到集油管中流入脱水罐。在隔油池中沉淀下来的重油及其他杂质，通过排泥管进入污泥管中。经过隔油处理的废水则溢流入排水渠排出池外，进行后续处理，以去除乳化油及其他污染物。</w:t>
            </w:r>
            <w:r>
              <w:rPr>
                <w:rFonts w:hint="default" w:ascii="Times New Roman" w:hAnsi="Times New Roman" w:cs="Times New Roman"/>
                <w:b w:val="0"/>
                <w:bCs/>
                <w:color w:val="auto"/>
                <w:sz w:val="24"/>
                <w:szCs w:val="24"/>
                <w:highlight w:val="none"/>
                <w:lang w:eastAsia="zh-CN"/>
              </w:rPr>
              <w:t>隔油池动植物油去除效率约为</w:t>
            </w:r>
            <w:r>
              <w:rPr>
                <w:rFonts w:hint="default" w:ascii="Times New Roman" w:hAnsi="Times New Roman" w:cs="Times New Roman"/>
                <w:b w:val="0"/>
                <w:bCs/>
                <w:color w:val="auto"/>
                <w:sz w:val="24"/>
                <w:szCs w:val="24"/>
                <w:highlight w:val="none"/>
                <w:lang w:val="en-US" w:eastAsia="zh-CN"/>
              </w:rPr>
              <w:t>85%。</w:t>
            </w:r>
          </w:p>
          <w:p w14:paraId="4A209DA4">
            <w:pPr>
              <w:keepNext w:val="0"/>
              <w:keepLines w:val="0"/>
              <w:pageBreakBefore w:val="0"/>
              <w:kinsoku/>
              <w:wordWrap/>
              <w:overflowPunct/>
              <w:topLinePunct w:val="0"/>
              <w:autoSpaceDE/>
              <w:autoSpaceDN/>
              <w:bidi w:val="0"/>
              <w:adjustRightInd/>
              <w:spacing w:line="360" w:lineRule="auto"/>
              <w:ind w:left="0" w:leftChars="0" w:right="0" w:firstLine="480" w:firstLineChars="200"/>
              <w:textAlignment w:val="auto"/>
              <w:rPr>
                <w:rFonts w:ascii="Times New Roman" w:hAnsi="Times New Roman" w:cs="Times New Roman"/>
                <w:color w:val="auto"/>
                <w:sz w:val="24"/>
                <w:szCs w:val="24"/>
                <w:highlight w:val="none"/>
              </w:rPr>
            </w:pPr>
            <w:r>
              <w:rPr>
                <w:rFonts w:hint="eastAsia" w:cs="Times New Roman"/>
                <w:b w:val="0"/>
                <w:bCs w:val="0"/>
                <w:color w:val="auto"/>
                <w:sz w:val="24"/>
                <w:szCs w:val="24"/>
                <w:highlight w:val="none"/>
                <w:lang w:val="en-US" w:eastAsia="zh-CN"/>
              </w:rPr>
              <w:t>气浮：</w:t>
            </w:r>
            <w:r>
              <w:rPr>
                <w:rFonts w:ascii="Times New Roman" w:hAnsi="Times New Roman" w:cs="Times New Roman"/>
                <w:color w:val="auto"/>
                <w:sz w:val="24"/>
                <w:szCs w:val="24"/>
                <w:highlight w:val="none"/>
              </w:rPr>
              <w:t>气浮水中通入或产生大量的微细气泡，使空气以高度分散的微小气泡形式附着在</w:t>
            </w:r>
            <w:r>
              <w:rPr>
                <w:color w:val="auto"/>
                <w:sz w:val="24"/>
                <w:szCs w:val="24"/>
                <w:highlight w:val="none"/>
              </w:rPr>
              <w:fldChar w:fldCharType="begin"/>
            </w:r>
            <w:r>
              <w:rPr>
                <w:color w:val="auto"/>
                <w:sz w:val="24"/>
                <w:szCs w:val="24"/>
                <w:highlight w:val="none"/>
              </w:rPr>
              <w:instrText xml:space="preserve"> HYPERLINK "https://baike.so.com/doc/6242919-6456316.html" \t "https://baike.so.com/doc/_blank" </w:instrText>
            </w:r>
            <w:r>
              <w:rPr>
                <w:color w:val="auto"/>
                <w:sz w:val="24"/>
                <w:szCs w:val="24"/>
                <w:highlight w:val="none"/>
              </w:rPr>
              <w:fldChar w:fldCharType="separate"/>
            </w:r>
            <w:r>
              <w:rPr>
                <w:rFonts w:ascii="Times New Roman" w:hAnsi="Times New Roman" w:cs="Times New Roman"/>
                <w:color w:val="auto"/>
                <w:sz w:val="24"/>
                <w:szCs w:val="24"/>
                <w:highlight w:val="none"/>
              </w:rPr>
              <w:t>悬浮物</w:t>
            </w:r>
            <w:r>
              <w:rPr>
                <w:rFonts w:ascii="Times New Roman" w:hAnsi="Times New Roman" w:cs="Times New Roman"/>
                <w:color w:val="auto"/>
                <w:sz w:val="24"/>
                <w:szCs w:val="24"/>
                <w:highlight w:val="none"/>
              </w:rPr>
              <w:fldChar w:fldCharType="end"/>
            </w:r>
            <w:r>
              <w:rPr>
                <w:rFonts w:ascii="Times New Roman" w:hAnsi="Times New Roman" w:cs="Times New Roman"/>
                <w:color w:val="auto"/>
                <w:sz w:val="24"/>
                <w:szCs w:val="24"/>
                <w:highlight w:val="none"/>
              </w:rPr>
              <w:t>颗粒上，造成密度小于水的状态，利用浮力原理使其浮在水面，从而实现固-液分离的水处理设备，主要去除废水中浮渣及油类。</w:t>
            </w:r>
          </w:p>
          <w:p w14:paraId="53B5FC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除磷沉淀池：</w:t>
            </w:r>
            <w:r>
              <w:rPr>
                <w:rFonts w:hint="eastAsia" w:ascii="Times New Roman" w:hAnsi="Times New Roman" w:cs="Times New Roman"/>
                <w:b w:val="0"/>
                <w:bCs w:val="0"/>
                <w:color w:val="auto"/>
                <w:sz w:val="24"/>
                <w:szCs w:val="24"/>
                <w:highlight w:val="none"/>
                <w:lang w:val="en-US" w:eastAsia="zh-CN"/>
              </w:rPr>
              <w:t>采用</w:t>
            </w:r>
            <w:r>
              <w:rPr>
                <w:rFonts w:ascii="Arial" w:hAnsi="Arial" w:eastAsia="宋体" w:cs="Arial"/>
                <w:b w:val="0"/>
                <w:bCs w:val="0"/>
                <w:caps w:val="0"/>
                <w:color w:val="auto"/>
                <w:spacing w:val="0"/>
                <w:sz w:val="24"/>
                <w:szCs w:val="24"/>
                <w:highlight w:val="none"/>
                <w:shd w:val="clear" w:fill="FFFFFF"/>
              </w:rPr>
              <w:t>化学除磷法</w:t>
            </w:r>
            <w:r>
              <w:rPr>
                <w:rFonts w:hint="eastAsia" w:ascii="Arial" w:hAnsi="Arial" w:cs="Arial"/>
                <w:b w:val="0"/>
                <w:bCs w:val="0"/>
                <w:caps w:val="0"/>
                <w:color w:val="auto"/>
                <w:spacing w:val="0"/>
                <w:sz w:val="24"/>
                <w:szCs w:val="24"/>
                <w:highlight w:val="none"/>
                <w:shd w:val="clear" w:fill="FFFFFF"/>
                <w:lang w:eastAsia="zh-CN"/>
              </w:rPr>
              <w:t>，尤</w:t>
            </w:r>
            <w:r>
              <w:rPr>
                <w:rFonts w:hint="eastAsia" w:ascii="Arial" w:hAnsi="Arial" w:eastAsia="宋体" w:cs="Arial"/>
                <w:b w:val="0"/>
                <w:bCs w:val="0"/>
                <w:caps w:val="0"/>
                <w:color w:val="auto"/>
                <w:spacing w:val="0"/>
                <w:sz w:val="24"/>
                <w:szCs w:val="24"/>
                <w:highlight w:val="none"/>
                <w:shd w:val="clear" w:fill="FFFFFF"/>
                <w:lang w:val="en-US" w:eastAsia="zh-CN"/>
              </w:rPr>
              <w:t>其</w:t>
            </w:r>
            <w:r>
              <w:rPr>
                <w:rFonts w:ascii="Arial" w:hAnsi="Arial" w:eastAsia="宋体" w:cs="Arial"/>
                <w:b w:val="0"/>
                <w:bCs w:val="0"/>
                <w:caps w:val="0"/>
                <w:color w:val="auto"/>
                <w:spacing w:val="0"/>
                <w:sz w:val="24"/>
                <w:szCs w:val="24"/>
                <w:highlight w:val="none"/>
                <w:shd w:val="clear" w:fill="FFFFFF"/>
              </w:rPr>
              <w:t>是利用铝盐、铁盐或石灰等化学药剂与污水中的磷酸盐反应生成难溶性沉淀物，再通过固液分离实现磷去除</w:t>
            </w:r>
            <w:r>
              <w:rPr>
                <w:rFonts w:ascii="Arial" w:hAnsi="Arial" w:eastAsia="宋体" w:cs="Arial"/>
                <w:b w:val="0"/>
                <w:bCs w:val="0"/>
                <w:i w:val="0"/>
                <w:iCs w:val="0"/>
                <w:caps w:val="0"/>
                <w:color w:val="auto"/>
                <w:spacing w:val="0"/>
                <w:sz w:val="24"/>
                <w:szCs w:val="24"/>
                <w:highlight w:val="none"/>
                <w:shd w:val="clear" w:fill="FFFFFF"/>
              </w:rPr>
              <w:t>的技术。</w:t>
            </w:r>
            <w:r>
              <w:rPr>
                <w:rFonts w:hint="default" w:ascii="Arial" w:hAnsi="Arial" w:eastAsia="宋体" w:cs="Arial"/>
                <w:b w:val="0"/>
                <w:bCs w:val="0"/>
                <w:i w:val="0"/>
                <w:iCs w:val="0"/>
                <w:caps w:val="0"/>
                <w:color w:val="auto"/>
                <w:spacing w:val="0"/>
                <w:sz w:val="24"/>
                <w:szCs w:val="24"/>
                <w:highlight w:val="none"/>
                <w:shd w:val="clear" w:fill="FFFFFF"/>
              </w:rPr>
              <w:t>该技术包含前沉淀、同步沉淀和后沉淀三种主要工艺类型，其中同步沉淀因对活性污泥系统影响较小而成为应用最广泛的工艺。化学除磷法处理效率可达</w:t>
            </w:r>
            <w:r>
              <w:rPr>
                <w:rFonts w:hint="default" w:ascii="Times New Roman" w:hAnsi="Times New Roman" w:eastAsia="宋体" w:cs="Times New Roman"/>
                <w:b w:val="0"/>
                <w:bCs w:val="0"/>
                <w:i w:val="0"/>
                <w:iCs w:val="0"/>
                <w:caps w:val="0"/>
                <w:color w:val="auto"/>
                <w:spacing w:val="0"/>
                <w:sz w:val="24"/>
                <w:szCs w:val="24"/>
                <w:highlight w:val="none"/>
                <w:shd w:val="clear" w:fill="FFFFFF"/>
              </w:rPr>
              <w:t>80%-90%</w:t>
            </w:r>
            <w:r>
              <w:rPr>
                <w:rFonts w:hint="default" w:ascii="Arial" w:hAnsi="Arial" w:eastAsia="宋体" w:cs="Arial"/>
                <w:b w:val="0"/>
                <w:bCs w:val="0"/>
                <w:i w:val="0"/>
                <w:iCs w:val="0"/>
                <w:caps w:val="0"/>
                <w:color w:val="auto"/>
                <w:spacing w:val="0"/>
                <w:sz w:val="24"/>
                <w:szCs w:val="24"/>
                <w:highlight w:val="none"/>
                <w:shd w:val="clear" w:fill="FFFFFF"/>
              </w:rPr>
              <w:t>。</w:t>
            </w:r>
          </w:p>
          <w:p w14:paraId="0458CC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水解酸化池：</w:t>
            </w:r>
            <w:r>
              <w:rPr>
                <w:rFonts w:hint="eastAsia" w:ascii="宋体" w:hAnsi="宋体" w:eastAsia="宋体" w:cs="宋体"/>
                <w:i w:val="0"/>
                <w:iCs w:val="0"/>
                <w:caps w:val="0"/>
                <w:color w:val="auto"/>
                <w:spacing w:val="0"/>
                <w:sz w:val="24"/>
                <w:szCs w:val="24"/>
                <w:highlight w:val="none"/>
                <w:shd w:val="clear" w:fill="FFFFFF"/>
              </w:rPr>
              <w:t>水解（酸化）处理方法是厌氧处理的前期阶段。有学者研究发现根据产甲烷菌与水解产酸菌生长条件的不同，将厌氧处理控制在含有大量水解细菌、酸化菌的条件下，利用水解菌、酸化菌将水中不溶性有机物水解为溶解性有机物，将难生物降解的大分子物质转化为易生物降解的小分子物质的过程，从而改善废水的可生化性，为后续生化处理提供良好的水质环境。</w:t>
            </w:r>
            <w:r>
              <w:rPr>
                <w:rFonts w:hint="eastAsia" w:ascii="宋体" w:hAnsi="宋体" w:eastAsia="宋体" w:cs="宋体"/>
                <w:i w:val="0"/>
                <w:iCs w:val="0"/>
                <w:caps w:val="0"/>
                <w:color w:val="auto"/>
                <w:spacing w:val="0"/>
                <w:sz w:val="24"/>
                <w:szCs w:val="24"/>
                <w:highlight w:val="none"/>
                <w:shd w:val="clear" w:fill="FFFFFF"/>
                <w:lang w:val="en-US" w:eastAsia="zh-CN"/>
              </w:rPr>
              <w:t>其去除效率为50%。</w:t>
            </w:r>
          </w:p>
          <w:p w14:paraId="153921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cs="Times New Roman"/>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缺氧池</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在</w:t>
            </w:r>
            <w:r>
              <w:rPr>
                <w:rFonts w:hint="default" w:ascii="Times New Roman" w:hAnsi="Times New Roman" w:eastAsia="宋体" w:cs="Times New Roman"/>
                <w:b w:val="0"/>
                <w:bCs/>
                <w:color w:val="auto"/>
                <w:sz w:val="24"/>
                <w:szCs w:val="24"/>
                <w:highlight w:val="none"/>
                <w:lang w:val="en-US" w:eastAsia="zh-CN"/>
              </w:rPr>
              <w:fldChar w:fldCharType="begin"/>
            </w:r>
            <w:r>
              <w:rPr>
                <w:rFonts w:hint="default" w:ascii="Times New Roman" w:hAnsi="Times New Roman" w:eastAsia="宋体" w:cs="Times New Roman"/>
                <w:b w:val="0"/>
                <w:bCs/>
                <w:color w:val="auto"/>
                <w:sz w:val="24"/>
                <w:szCs w:val="24"/>
                <w:highlight w:val="none"/>
                <w:lang w:val="en-US" w:eastAsia="zh-CN"/>
              </w:rPr>
              <w:instrText xml:space="preserve"> HYPERLINK "https://baike.baidu.com/item/%E5%8E%8C%E6%B0%A7/6729548" \t "https://baike.baidu.com/item/%E5%8E%8C%E6%B0%A7%E6%B1%A1%E6%B0%B4%E5%A4%84%E7%90%86/_blank" </w:instrText>
            </w:r>
            <w:r>
              <w:rPr>
                <w:rFonts w:hint="default" w:ascii="Times New Roman" w:hAnsi="Times New Roman" w:eastAsia="宋体" w:cs="Times New Roman"/>
                <w:b w:val="0"/>
                <w:bCs/>
                <w:color w:val="auto"/>
                <w:sz w:val="24"/>
                <w:szCs w:val="24"/>
                <w:highlight w:val="none"/>
                <w:lang w:val="en-US" w:eastAsia="zh-CN"/>
              </w:rPr>
              <w:fldChar w:fldCharType="separate"/>
            </w:r>
            <w:r>
              <w:rPr>
                <w:rFonts w:hint="default" w:ascii="Times New Roman" w:hAnsi="Times New Roman" w:eastAsia="宋体" w:cs="Times New Roman"/>
                <w:b w:val="0"/>
                <w:bCs/>
                <w:color w:val="auto"/>
                <w:sz w:val="24"/>
                <w:szCs w:val="24"/>
                <w:highlight w:val="none"/>
                <w:lang w:val="en-US" w:eastAsia="zh-CN"/>
              </w:rPr>
              <w:t>厌氧</w:t>
            </w:r>
            <w:r>
              <w:rPr>
                <w:rFonts w:hint="default" w:ascii="Times New Roman" w:hAnsi="Times New Roman" w:eastAsia="宋体" w:cs="Times New Roman"/>
                <w:b w:val="0"/>
                <w:bCs/>
                <w:color w:val="auto"/>
                <w:sz w:val="24"/>
                <w:szCs w:val="24"/>
                <w:highlight w:val="none"/>
                <w:lang w:val="en-US" w:eastAsia="zh-CN"/>
              </w:rPr>
              <w:fldChar w:fldCharType="end"/>
            </w:r>
            <w:r>
              <w:rPr>
                <w:rFonts w:hint="default" w:ascii="Times New Roman" w:hAnsi="Times New Roman" w:eastAsia="宋体" w:cs="Times New Roman"/>
                <w:b w:val="0"/>
                <w:bCs/>
                <w:color w:val="auto"/>
                <w:sz w:val="24"/>
                <w:szCs w:val="24"/>
                <w:highlight w:val="none"/>
                <w:lang w:val="en-US" w:eastAsia="zh-CN"/>
              </w:rPr>
              <w:t>处理过程中，废水中的有机物经大量微生物的共同作用，被最终转化为</w:t>
            </w:r>
            <w:r>
              <w:rPr>
                <w:rFonts w:hint="default" w:ascii="Times New Roman" w:hAnsi="Times New Roman" w:eastAsia="宋体" w:cs="Times New Roman"/>
                <w:b w:val="0"/>
                <w:bCs/>
                <w:color w:val="auto"/>
                <w:sz w:val="24"/>
                <w:szCs w:val="24"/>
                <w:highlight w:val="none"/>
                <w:lang w:val="en-US" w:eastAsia="zh-CN"/>
              </w:rPr>
              <w:fldChar w:fldCharType="begin"/>
            </w:r>
            <w:r>
              <w:rPr>
                <w:rFonts w:hint="default" w:ascii="Times New Roman" w:hAnsi="Times New Roman" w:eastAsia="宋体" w:cs="Times New Roman"/>
                <w:b w:val="0"/>
                <w:bCs/>
                <w:color w:val="auto"/>
                <w:sz w:val="24"/>
                <w:szCs w:val="24"/>
                <w:highlight w:val="none"/>
                <w:lang w:val="en-US" w:eastAsia="zh-CN"/>
              </w:rPr>
              <w:instrText xml:space="preserve"> HYPERLINK "https://baike.baidu.com/item/%E7%94%B2%E7%83%B7/634659" \t "https://baike.baidu.com/item/%E5%8E%8C%E6%B0%A7%E6%B1%A1%E6%B0%B4%E5%A4%84%E7%90%86/_blank" </w:instrText>
            </w:r>
            <w:r>
              <w:rPr>
                <w:rFonts w:hint="default" w:ascii="Times New Roman" w:hAnsi="Times New Roman" w:eastAsia="宋体" w:cs="Times New Roman"/>
                <w:b w:val="0"/>
                <w:bCs/>
                <w:color w:val="auto"/>
                <w:sz w:val="24"/>
                <w:szCs w:val="24"/>
                <w:highlight w:val="none"/>
                <w:lang w:val="en-US" w:eastAsia="zh-CN"/>
              </w:rPr>
              <w:fldChar w:fldCharType="separate"/>
            </w:r>
            <w:r>
              <w:rPr>
                <w:rFonts w:hint="default" w:ascii="Times New Roman" w:hAnsi="Times New Roman" w:eastAsia="宋体" w:cs="Times New Roman"/>
                <w:b w:val="0"/>
                <w:bCs/>
                <w:color w:val="auto"/>
                <w:sz w:val="24"/>
                <w:szCs w:val="24"/>
                <w:highlight w:val="none"/>
                <w:lang w:val="en-US" w:eastAsia="zh-CN"/>
              </w:rPr>
              <w:t>甲烷</w:t>
            </w:r>
            <w:r>
              <w:rPr>
                <w:rFonts w:hint="default" w:ascii="Times New Roman" w:hAnsi="Times New Roman" w:eastAsia="宋体" w:cs="Times New Roman"/>
                <w:b w:val="0"/>
                <w:bCs/>
                <w:color w:val="auto"/>
                <w:sz w:val="24"/>
                <w:szCs w:val="24"/>
                <w:highlight w:val="none"/>
                <w:lang w:val="en-US" w:eastAsia="zh-CN"/>
              </w:rPr>
              <w:fldChar w:fldCharType="end"/>
            </w:r>
            <w:r>
              <w:rPr>
                <w:rFonts w:hint="default" w:ascii="Times New Roman" w:hAnsi="Times New Roman" w:eastAsia="宋体" w:cs="Times New Roman"/>
                <w:b w:val="0"/>
                <w:bCs/>
                <w:color w:val="auto"/>
                <w:sz w:val="24"/>
                <w:szCs w:val="24"/>
                <w:highlight w:val="none"/>
                <w:lang w:val="en-US" w:eastAsia="zh-CN"/>
              </w:rPr>
              <w:t>、二氧化碳、水、</w:t>
            </w:r>
            <w:r>
              <w:rPr>
                <w:rFonts w:hint="default" w:ascii="Times New Roman" w:hAnsi="Times New Roman" w:eastAsia="宋体" w:cs="Times New Roman"/>
                <w:b w:val="0"/>
                <w:bCs/>
                <w:color w:val="auto"/>
                <w:sz w:val="24"/>
                <w:szCs w:val="24"/>
                <w:highlight w:val="none"/>
                <w:lang w:val="en-US" w:eastAsia="zh-CN"/>
              </w:rPr>
              <w:fldChar w:fldCharType="begin"/>
            </w:r>
            <w:r>
              <w:rPr>
                <w:rFonts w:hint="default" w:ascii="Times New Roman" w:hAnsi="Times New Roman" w:eastAsia="宋体" w:cs="Times New Roman"/>
                <w:b w:val="0"/>
                <w:bCs/>
                <w:color w:val="auto"/>
                <w:sz w:val="24"/>
                <w:szCs w:val="24"/>
                <w:highlight w:val="none"/>
                <w:lang w:val="en-US" w:eastAsia="zh-CN"/>
              </w:rPr>
              <w:instrText xml:space="preserve"> HYPERLINK "https://baike.baidu.com/item/%E7%A1%AB%E5%8C%96%E6%B0%A2/2692838" \t "https://baike.baidu.com/item/%E5%8E%8C%E6%B0%A7%E6%B1%A1%E6%B0%B4%E5%A4%84%E7%90%86/_blank" </w:instrText>
            </w:r>
            <w:r>
              <w:rPr>
                <w:rFonts w:hint="default" w:ascii="Times New Roman" w:hAnsi="Times New Roman" w:eastAsia="宋体" w:cs="Times New Roman"/>
                <w:b w:val="0"/>
                <w:bCs/>
                <w:color w:val="auto"/>
                <w:sz w:val="24"/>
                <w:szCs w:val="24"/>
                <w:highlight w:val="none"/>
                <w:lang w:val="en-US" w:eastAsia="zh-CN"/>
              </w:rPr>
              <w:fldChar w:fldCharType="separate"/>
            </w:r>
            <w:r>
              <w:rPr>
                <w:rFonts w:hint="default" w:ascii="Times New Roman" w:hAnsi="Times New Roman" w:eastAsia="宋体" w:cs="Times New Roman"/>
                <w:b w:val="0"/>
                <w:bCs/>
                <w:color w:val="auto"/>
                <w:sz w:val="24"/>
                <w:szCs w:val="24"/>
                <w:highlight w:val="none"/>
                <w:lang w:val="en-US" w:eastAsia="zh-CN"/>
              </w:rPr>
              <w:t>硫化氢</w:t>
            </w:r>
            <w:r>
              <w:rPr>
                <w:rFonts w:hint="default" w:ascii="Times New Roman" w:hAnsi="Times New Roman" w:eastAsia="宋体" w:cs="Times New Roman"/>
                <w:b w:val="0"/>
                <w:bCs/>
                <w:color w:val="auto"/>
                <w:sz w:val="24"/>
                <w:szCs w:val="24"/>
                <w:highlight w:val="none"/>
                <w:lang w:val="en-US" w:eastAsia="zh-CN"/>
              </w:rPr>
              <w:fldChar w:fldCharType="end"/>
            </w:r>
            <w:r>
              <w:rPr>
                <w:rFonts w:hint="default" w:ascii="Times New Roman" w:hAnsi="Times New Roman" w:eastAsia="宋体" w:cs="Times New Roman"/>
                <w:b w:val="0"/>
                <w:bCs/>
                <w:color w:val="auto"/>
                <w:sz w:val="24"/>
                <w:szCs w:val="24"/>
                <w:highlight w:val="none"/>
                <w:lang w:val="en-US" w:eastAsia="zh-CN"/>
              </w:rPr>
              <w:t>和氨等。</w:t>
            </w:r>
            <w:r>
              <w:rPr>
                <w:rFonts w:hint="default" w:ascii="Times New Roman" w:hAnsi="Times New Roman" w:cs="Times New Roman"/>
                <w:color w:val="auto"/>
                <w:sz w:val="24"/>
                <w:szCs w:val="24"/>
                <w:highlight w:val="none"/>
              </w:rPr>
              <w:t>温度为中温35℃。pH控制范围为6.8-7.2，COD容积负荷设计为7.5kg/m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·d，表面水力负荷为0.6-0.8m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·h，设计COD去除率为</w:t>
            </w:r>
            <w:r>
              <w:rPr>
                <w:rFonts w:hint="default" w:ascii="Times New Roman" w:hAnsi="Times New Roman"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w:t>
            </w:r>
          </w:p>
          <w:p w14:paraId="08D36A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好氧池</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好氧处理是指在微生物的参与下，在适宜碳氮比、含水率和氧气等条件下，将有机物降解、转化成腐殖质样物质的生化过程。好氧处理技术因可实现固体废弃物的减量化、无害化和资源化的处理目标，被认为是有机固体废弃物处理的有效方法。</w:t>
            </w:r>
          </w:p>
          <w:p w14:paraId="033042EB">
            <w:pPr>
              <w:adjustRightInd w:val="0"/>
              <w:snapToGrid w:val="0"/>
              <w:spacing w:line="360" w:lineRule="auto"/>
              <w:ind w:firstLine="480" w:firstLineChars="200"/>
              <w:jc w:val="both"/>
              <w:rPr>
                <w:rFonts w:hint="default" w:ascii="Times New Roman" w:hAnsi="Times New Roman" w:cs="Times New Roman"/>
                <w:color w:val="auto"/>
                <w:sz w:val="24"/>
                <w:highlight w:val="none"/>
                <w:lang w:val="en-US" w:eastAsia="zh-CN"/>
              </w:rPr>
            </w:pPr>
            <w:r>
              <w:rPr>
                <w:rFonts w:hint="eastAsia" w:cs="Times New Roman"/>
                <w:b w:val="0"/>
                <w:bCs w:val="0"/>
                <w:color w:val="auto"/>
                <w:sz w:val="24"/>
                <w:szCs w:val="24"/>
                <w:highlight w:val="none"/>
                <w:lang w:val="en-US" w:eastAsia="zh-CN"/>
              </w:rPr>
              <w:t>本项目改建前后生产工艺差别不大，仅增加脱蜡结晶工段，该工序不产生废水，项目精炼过程中废水产生环节一致，污染物类别一致，改建前后废水水质差别不大；根据企业提供污水处理站进出口检测报告，</w:t>
            </w:r>
            <w:r>
              <w:rPr>
                <w:rFonts w:hint="default" w:ascii="Times New Roman" w:hAnsi="Times New Roman" w:cs="Times New Roman"/>
                <w:color w:val="auto"/>
                <w:sz w:val="24"/>
                <w:highlight w:val="none"/>
                <w:lang w:eastAsia="zh-CN"/>
              </w:rPr>
              <w:t>项目污水处理工艺设计处理效率见表</w:t>
            </w:r>
            <w:r>
              <w:rPr>
                <w:rFonts w:hint="eastAsia" w:ascii="Times New Roman" w:hAnsi="Times New Roman" w:cs="Times New Roman"/>
                <w:color w:val="auto"/>
                <w:sz w:val="24"/>
                <w:highlight w:val="none"/>
                <w:lang w:val="en-US" w:eastAsia="zh-CN"/>
              </w:rPr>
              <w:t>4.2-10</w:t>
            </w:r>
            <w:r>
              <w:rPr>
                <w:rFonts w:hint="default" w:ascii="Times New Roman" w:hAnsi="Times New Roman" w:cs="Times New Roman"/>
                <w:color w:val="auto"/>
                <w:sz w:val="24"/>
                <w:highlight w:val="none"/>
                <w:lang w:val="en-US" w:eastAsia="zh-CN"/>
              </w:rPr>
              <w:t>。</w:t>
            </w:r>
          </w:p>
          <w:p w14:paraId="0E118459">
            <w:pPr>
              <w:spacing w:line="460" w:lineRule="exact"/>
              <w:jc w:val="center"/>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表</w:t>
            </w:r>
            <w:r>
              <w:rPr>
                <w:rFonts w:hint="eastAsia" w:ascii="Times New Roman" w:hAnsi="Times New Roman" w:cs="Times New Roman"/>
                <w:b/>
                <w:bCs/>
                <w:color w:val="auto"/>
                <w:sz w:val="24"/>
                <w:highlight w:val="none"/>
                <w:lang w:val="en-US" w:eastAsia="zh-CN"/>
              </w:rPr>
              <w:t>4.2-10</w:t>
            </w:r>
            <w:r>
              <w:rPr>
                <w:rFonts w:hint="default" w:ascii="Times New Roman" w:hAnsi="Times New Roman" w:cs="Times New Roman"/>
                <w:b/>
                <w:bCs/>
                <w:color w:val="auto"/>
                <w:sz w:val="24"/>
                <w:highlight w:val="none"/>
                <w:lang w:val="en-US" w:eastAsia="zh-CN"/>
              </w:rPr>
              <w:t>项目污水处理工艺设计处理效率一览表</w:t>
            </w:r>
          </w:p>
          <w:tbl>
            <w:tblPr>
              <w:tblStyle w:val="18"/>
              <w:tblW w:w="499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0"/>
              <w:gridCol w:w="737"/>
              <w:gridCol w:w="1001"/>
              <w:gridCol w:w="999"/>
              <w:gridCol w:w="999"/>
              <w:gridCol w:w="999"/>
              <w:gridCol w:w="1064"/>
              <w:gridCol w:w="999"/>
              <w:gridCol w:w="999"/>
            </w:tblGrid>
            <w:tr w14:paraId="6FF5C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77E54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vertAlign w:val="baseline"/>
                    </w:rPr>
                  </w:pPr>
                  <w:r>
                    <w:rPr>
                      <w:rStyle w:val="25"/>
                      <w:color w:val="auto"/>
                      <w:highlight w:val="none"/>
                      <w:vertAlign w:val="baseline"/>
                      <w:lang w:val="en-US" w:eastAsia="zh-CN" w:bidi="ar"/>
                    </w:rPr>
                    <w:t>名称</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56833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vertAlign w:val="baseline"/>
                    </w:rPr>
                  </w:pPr>
                  <w:r>
                    <w:rPr>
                      <w:rStyle w:val="25"/>
                      <w:color w:val="auto"/>
                      <w:highlight w:val="none"/>
                      <w:vertAlign w:val="baseline"/>
                      <w:lang w:val="en-US" w:eastAsia="zh-CN" w:bidi="ar"/>
                    </w:rPr>
                    <w:t>项目</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53F0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COD</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5078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BOD</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321A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SS</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6C3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NH</w:t>
                  </w:r>
                  <w:r>
                    <w:rPr>
                      <w:rStyle w:val="62"/>
                      <w:rFonts w:eastAsia="宋体"/>
                      <w:color w:val="auto"/>
                      <w:highlight w:val="none"/>
                      <w:lang w:val="en-US" w:eastAsia="zh-CN" w:bidi="ar"/>
                    </w:rPr>
                    <w:t>3</w:t>
                  </w:r>
                  <w:r>
                    <w:rPr>
                      <w:rStyle w:val="58"/>
                      <w:rFonts w:hint="default" w:ascii="Times New Roman" w:hAnsi="Times New Roman" w:eastAsia="宋体" w:cs="Times New Roman"/>
                      <w:color w:val="auto"/>
                      <w:highlight w:val="none"/>
                      <w:lang w:val="en-US" w:eastAsia="zh-CN" w:bidi="ar"/>
                    </w:rPr>
                    <w:t>-N</w:t>
                  </w:r>
                </w:p>
              </w:tc>
              <w:tc>
                <w:tcPr>
                  <w:tcW w:w="5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C256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Style w:val="26"/>
                      <w:rFonts w:hint="default" w:ascii="Times New Roman" w:hAnsi="Times New Roman" w:cs="Times New Roman"/>
                      <w:color w:val="auto"/>
                      <w:highlight w:val="none"/>
                      <w:lang w:val="en-US" w:eastAsia="zh-CN" w:bidi="ar"/>
                    </w:rPr>
                    <w:t>动植物油</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C84E9">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TP</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5CCC4">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TN</w:t>
                  </w:r>
                </w:p>
              </w:tc>
            </w:tr>
            <w:tr w14:paraId="4194E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8AEA64">
                  <w:pPr>
                    <w:jc w:val="center"/>
                    <w:rPr>
                      <w:rFonts w:hint="default" w:ascii="Times New Roman" w:hAnsi="Times New Roman" w:eastAsia="宋体" w:cs="Times New Roman"/>
                      <w:b/>
                      <w:bCs/>
                      <w:i w:val="0"/>
                      <w:iCs w:val="0"/>
                      <w:color w:val="auto"/>
                      <w:sz w:val="21"/>
                      <w:szCs w:val="21"/>
                      <w:highlight w:val="none"/>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37D434">
                  <w:pPr>
                    <w:jc w:val="center"/>
                    <w:rPr>
                      <w:rFonts w:hint="default" w:ascii="Times New Roman" w:hAnsi="Times New Roman" w:eastAsia="宋体" w:cs="Times New Roman"/>
                      <w:b/>
                      <w:bCs/>
                      <w:i w:val="0"/>
                      <w:iCs w:val="0"/>
                      <w:color w:val="auto"/>
                      <w:sz w:val="21"/>
                      <w:szCs w:val="21"/>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00C3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(mg/L)</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7EE4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(mg/L)</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5ABD8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(mg/L)</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B9B64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(mg/L)</w:t>
                  </w:r>
                </w:p>
              </w:tc>
              <w:tc>
                <w:tcPr>
                  <w:tcW w:w="5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9779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(mg/L)</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25E4F">
                  <w:pP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(mg/L)</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F1B4">
                  <w:pP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(mg/L)</w:t>
                  </w:r>
                </w:p>
              </w:tc>
            </w:tr>
            <w:tr w14:paraId="5741B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CB15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Style w:val="63"/>
                      <w:rFonts w:hint="eastAsia" w:ascii="Times New Roman" w:hAnsi="Times New Roman" w:cs="Times New Roman"/>
                      <w:color w:val="auto"/>
                      <w:highlight w:val="none"/>
                      <w:lang w:val="en-US" w:eastAsia="zh-CN" w:bidi="ar"/>
                    </w:rPr>
                    <w:t>污水处理站</w:t>
                  </w:r>
                </w:p>
              </w:tc>
              <w:tc>
                <w:tcPr>
                  <w:tcW w:w="3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A5DE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Style w:val="63"/>
                      <w:rFonts w:hint="eastAsia" w:ascii="Times New Roman" w:hAnsi="Times New Roman" w:cs="Times New Roman"/>
                      <w:color w:val="auto"/>
                      <w:highlight w:val="none"/>
                      <w:lang w:val="en-US" w:eastAsia="zh-CN" w:bidi="ar"/>
                    </w:rPr>
                    <w:t>进水口</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9C0D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sz w:val="21"/>
                      <w:szCs w:val="21"/>
                      <w:highlight w:val="none"/>
                      <w:u w:val="none"/>
                      <w:lang w:val="en-US" w:eastAsia="zh-CN"/>
                    </w:rPr>
                    <w:t>3017</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FB1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sz w:val="21"/>
                      <w:szCs w:val="21"/>
                      <w:highlight w:val="none"/>
                      <w:u w:val="none"/>
                      <w:lang w:val="en-US" w:eastAsia="zh-CN"/>
                    </w:rPr>
                    <w:t>1443</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E67E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sz w:val="21"/>
                      <w:szCs w:val="21"/>
                      <w:highlight w:val="none"/>
                      <w:u w:val="none"/>
                      <w:lang w:val="en-US" w:eastAsia="zh-CN"/>
                    </w:rPr>
                    <w:t>550</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6ECF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sz w:val="21"/>
                      <w:szCs w:val="21"/>
                      <w:highlight w:val="none"/>
                      <w:u w:val="none"/>
                      <w:lang w:val="en-US" w:eastAsia="zh-CN"/>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CAB77">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sz w:val="21"/>
                      <w:szCs w:val="21"/>
                      <w:highlight w:val="none"/>
                      <w:u w:val="none"/>
                      <w:lang w:val="en-US" w:eastAsia="zh-CN"/>
                    </w:rPr>
                    <w:t>9</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490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sz w:val="21"/>
                      <w:szCs w:val="21"/>
                      <w:highlight w:val="none"/>
                      <w:u w:val="none"/>
                      <w:lang w:val="en-US" w:eastAsia="zh-CN"/>
                    </w:rPr>
                    <w:t>140</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66E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i w:val="0"/>
                      <w:iCs w:val="0"/>
                      <w:color w:val="auto"/>
                      <w:sz w:val="21"/>
                      <w:szCs w:val="21"/>
                      <w:highlight w:val="none"/>
                      <w:u w:val="none"/>
                      <w:lang w:val="en-US" w:eastAsia="zh-CN"/>
                    </w:rPr>
                    <w:t>22</w:t>
                  </w:r>
                </w:p>
              </w:tc>
            </w:tr>
            <w:tr w14:paraId="550C3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4" w:type="pct"/>
                  <w:vMerge w:val="continue"/>
                  <w:tcBorders>
                    <w:left w:val="single" w:color="000000" w:sz="4" w:space="0"/>
                    <w:right w:val="single" w:color="000000" w:sz="4" w:space="0"/>
                  </w:tcBorders>
                  <w:shd w:val="clear" w:color="auto" w:fill="FFFFFF"/>
                  <w:vAlign w:val="center"/>
                </w:tcPr>
                <w:p w14:paraId="2A0D01D3">
                  <w:pPr>
                    <w:keepNext w:val="0"/>
                    <w:keepLines w:val="0"/>
                    <w:widowControl/>
                    <w:suppressLineNumbers w:val="0"/>
                    <w:jc w:val="center"/>
                    <w:textAlignment w:val="center"/>
                    <w:rPr>
                      <w:rStyle w:val="63"/>
                      <w:rFonts w:hint="default" w:ascii="Times New Roman" w:hAnsi="Times New Roman" w:cs="Times New Roman"/>
                      <w:color w:val="auto"/>
                      <w:highlight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3E922D">
                  <w:pPr>
                    <w:keepNext w:val="0"/>
                    <w:keepLines w:val="0"/>
                    <w:widowControl/>
                    <w:suppressLineNumbers w:val="0"/>
                    <w:jc w:val="center"/>
                    <w:textAlignment w:val="center"/>
                    <w:rPr>
                      <w:rStyle w:val="63"/>
                      <w:rFonts w:hint="default" w:ascii="Times New Roman" w:hAnsi="Times New Roman" w:cs="Times New Roman"/>
                      <w:color w:val="auto"/>
                      <w:highlight w:val="none"/>
                      <w:lang w:val="en-US" w:eastAsia="zh-CN" w:bidi="ar"/>
                    </w:rPr>
                  </w:pPr>
                  <w:r>
                    <w:rPr>
                      <w:rStyle w:val="63"/>
                      <w:rFonts w:hint="eastAsia" w:ascii="Times New Roman" w:hAnsi="Times New Roman" w:cs="Times New Roman"/>
                      <w:color w:val="auto"/>
                      <w:highlight w:val="none"/>
                      <w:lang w:val="en-US" w:eastAsia="zh-CN" w:bidi="ar"/>
                    </w:rPr>
                    <w:t>出水口</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BDB4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94</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9CA0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26</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F3324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18</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E399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0.978</w:t>
                  </w:r>
                </w:p>
              </w:tc>
              <w:tc>
                <w:tcPr>
                  <w:tcW w:w="5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4C076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2.59</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24A7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0.05</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4721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2.01</w:t>
                  </w:r>
                </w:p>
              </w:tc>
            </w:tr>
            <w:tr w14:paraId="4029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4" w:type="pct"/>
                  <w:vMerge w:val="continue"/>
                  <w:tcBorders>
                    <w:left w:val="single" w:color="000000" w:sz="4" w:space="0"/>
                    <w:right w:val="single" w:color="000000" w:sz="4" w:space="0"/>
                  </w:tcBorders>
                  <w:shd w:val="clear" w:color="auto" w:fill="FFFFFF"/>
                  <w:vAlign w:val="center"/>
                </w:tcPr>
                <w:p w14:paraId="477F0D0E">
                  <w:pPr>
                    <w:keepNext w:val="0"/>
                    <w:keepLines w:val="0"/>
                    <w:widowControl/>
                    <w:suppressLineNumbers w:val="0"/>
                    <w:jc w:val="center"/>
                    <w:textAlignment w:val="center"/>
                    <w:rPr>
                      <w:rStyle w:val="63"/>
                      <w:rFonts w:hint="default" w:ascii="Times New Roman" w:hAnsi="Times New Roman" w:cs="Times New Roman"/>
                      <w:color w:val="auto"/>
                      <w:highlight w:val="none"/>
                      <w:lang w:val="en-US" w:eastAsia="zh-CN" w:bidi="ar"/>
                    </w:rPr>
                  </w:pPr>
                </w:p>
              </w:tc>
              <w:tc>
                <w:tcPr>
                  <w:tcW w:w="3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085E8">
                  <w:pPr>
                    <w:keepNext w:val="0"/>
                    <w:keepLines w:val="0"/>
                    <w:widowControl/>
                    <w:suppressLineNumbers w:val="0"/>
                    <w:jc w:val="center"/>
                    <w:textAlignment w:val="center"/>
                    <w:rPr>
                      <w:rStyle w:val="63"/>
                      <w:rFonts w:hint="default" w:ascii="Times New Roman" w:hAnsi="Times New Roman" w:cs="Times New Roman"/>
                      <w:color w:val="auto"/>
                      <w:highlight w:val="none"/>
                      <w:lang w:val="en-US" w:eastAsia="zh-CN" w:bidi="ar"/>
                    </w:rPr>
                  </w:pPr>
                  <w:r>
                    <w:rPr>
                      <w:rStyle w:val="63"/>
                      <w:rFonts w:hint="eastAsia" w:ascii="Times New Roman" w:hAnsi="Times New Roman" w:cs="Times New Roman"/>
                      <w:color w:val="auto"/>
                      <w:highlight w:val="none"/>
                      <w:lang w:val="en-US" w:eastAsia="zh-CN" w:bidi="ar"/>
                    </w:rPr>
                    <w:t>去除效率</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567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96.8</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A1C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98.1</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9E4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96.7</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2B7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92.0</w:t>
                  </w:r>
                </w:p>
              </w:tc>
              <w:tc>
                <w:tcPr>
                  <w:tcW w:w="5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721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71.5</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E3A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98.5</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6FA2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91.0</w:t>
                  </w:r>
                </w:p>
              </w:tc>
            </w:tr>
            <w:tr w14:paraId="799EA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5526EE">
                  <w:pPr>
                    <w:jc w:val="center"/>
                    <w:rPr>
                      <w:rFonts w:hint="default" w:ascii="Times New Roman" w:hAnsi="Times New Roman" w:eastAsia="宋体" w:cs="Times New Roman"/>
                      <w:i w:val="0"/>
                      <w:iCs w:val="0"/>
                      <w:color w:val="auto"/>
                      <w:sz w:val="21"/>
                      <w:szCs w:val="21"/>
                      <w:highlight w:val="none"/>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FB1E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Style w:val="63"/>
                      <w:rFonts w:hint="default" w:ascii="Times New Roman" w:hAnsi="Times New Roman" w:cs="Times New Roman"/>
                      <w:color w:val="auto"/>
                      <w:highlight w:val="none"/>
                      <w:lang w:val="en-US" w:eastAsia="zh-CN" w:bidi="ar"/>
                    </w:rPr>
                    <w:t>排放标准</w:t>
                  </w:r>
                </w:p>
              </w:tc>
              <w:tc>
                <w:tcPr>
                  <w:tcW w:w="5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1A4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E8B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5EE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5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BE6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5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25CE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9355">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62E6">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w:t>
                  </w:r>
                </w:p>
              </w:tc>
            </w:tr>
          </w:tbl>
          <w:p w14:paraId="5610C773">
            <w:p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（4）污水处理厂依托可行性分析</w:t>
            </w:r>
          </w:p>
          <w:p w14:paraId="0F405524">
            <w:p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位于</w:t>
            </w:r>
            <w:r>
              <w:rPr>
                <w:rFonts w:hint="default" w:ascii="Times New Roman" w:hAnsi="Times New Roman" w:eastAsia="宋体" w:cs="Times New Roman"/>
                <w:color w:val="auto"/>
                <w:sz w:val="24"/>
                <w:szCs w:val="24"/>
                <w:highlight w:val="none"/>
                <w:lang w:val="en-US" w:eastAsia="zh-CN"/>
              </w:rPr>
              <w:t>九龙坡区铜罐驿镇砖瓦村167号</w:t>
            </w:r>
            <w:r>
              <w:rPr>
                <w:rFonts w:hint="default" w:ascii="Times New Roman" w:hAnsi="Times New Roman" w:eastAsia="宋体" w:cs="Times New Roman"/>
                <w:b w:val="0"/>
                <w:bCs w:val="0"/>
                <w:color w:val="auto"/>
                <w:sz w:val="24"/>
                <w:szCs w:val="24"/>
                <w:highlight w:val="none"/>
                <w:lang w:val="en-US" w:eastAsia="zh-CN"/>
              </w:rPr>
              <w:t>，属于铜罐驿污水处理厂的服务范围，区域污水管网已建成并接入铜罐驿污水处理厂。</w:t>
            </w:r>
          </w:p>
          <w:p w14:paraId="0FF9BB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所在区域市政污水管网现状及污水处理厂接纳情况分析：</w:t>
            </w:r>
            <w:r>
              <w:rPr>
                <w:rFonts w:hint="default" w:ascii="Times New Roman" w:hAnsi="Times New Roman" w:eastAsia="宋体" w:cs="Times New Roman"/>
                <w:b w:val="0"/>
                <w:bCs w:val="0"/>
                <w:color w:val="auto"/>
                <w:kern w:val="0"/>
                <w:sz w:val="24"/>
                <w:szCs w:val="24"/>
                <w:highlight w:val="none"/>
                <w:lang w:val="en-US" w:eastAsia="zh-CN" w:bidi="ar"/>
              </w:rPr>
              <w:t>铜罐驿污水处理厂</w:t>
            </w:r>
            <w:r>
              <w:rPr>
                <w:rFonts w:hint="default" w:ascii="Times New Roman" w:hAnsi="Times New Roman" w:eastAsia="宋体" w:cs="Times New Roman"/>
                <w:color w:val="auto"/>
                <w:kern w:val="0"/>
                <w:sz w:val="24"/>
                <w:szCs w:val="24"/>
                <w:highlight w:val="none"/>
                <w:lang w:val="en-US" w:eastAsia="zh-CN" w:bidi="ar"/>
              </w:rPr>
              <w:t>设计总处理规模为1.0万m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/d，分期建设，其中一期设计处理规模为0.5万m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/d，采用“细格栅+旋流沉砂池+精细格栅+A2O池+MBR池+紫外消毒渠”工艺，</w:t>
            </w:r>
            <w:r>
              <w:rPr>
                <w:rFonts w:hint="default" w:ascii="Times New Roman" w:hAnsi="Times New Roman" w:eastAsia="宋体" w:cs="Times New Roman"/>
                <w:b w:val="0"/>
                <w:bCs w:val="0"/>
                <w:color w:val="auto"/>
                <w:kern w:val="0"/>
                <w:sz w:val="24"/>
                <w:szCs w:val="24"/>
                <w:highlight w:val="none"/>
                <w:lang w:val="en-US" w:eastAsia="zh-CN" w:bidi="ar"/>
              </w:rPr>
              <w:t>服务范围为铜罐驿镇镇区及铜罐驿组团范围内除重庆和友实业股份有限公司以外企业，</w:t>
            </w:r>
            <w:r>
              <w:rPr>
                <w:rFonts w:hint="default" w:ascii="Times New Roman" w:hAnsi="Times New Roman" w:eastAsia="宋体" w:cs="Times New Roman"/>
                <w:color w:val="auto"/>
                <w:kern w:val="0"/>
                <w:sz w:val="24"/>
                <w:szCs w:val="24"/>
                <w:highlight w:val="none"/>
                <w:lang w:val="en-US" w:eastAsia="zh-CN" w:bidi="ar"/>
              </w:rPr>
              <w:t>出水水质执行《地表水环境质量标准》（GB3838-2002）IV类标准（其中TN、SS满足《城镇污水处理厂污染物排放标准》（GB18918-2002）一级A标准），尾水排入金竹沟，最终汇入长江。</w:t>
            </w:r>
          </w:p>
          <w:p w14:paraId="0D05B65D">
            <w:p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属于铜罐驿污水处理厂服务范围，且接入铜罐驿污水处理厂市政污水管网已建成，</w:t>
            </w:r>
            <w:r>
              <w:rPr>
                <w:rFonts w:hint="eastAsia" w:cs="Times New Roman"/>
                <w:b w:val="0"/>
                <w:bCs w:val="0"/>
                <w:color w:val="auto"/>
                <w:sz w:val="24"/>
                <w:szCs w:val="24"/>
                <w:highlight w:val="none"/>
                <w:lang w:val="en-US" w:eastAsia="zh-CN"/>
              </w:rPr>
              <w:t>本项目为减排项目，较改建前废水排放量减少，其废水</w:t>
            </w:r>
            <w:r>
              <w:rPr>
                <w:rFonts w:hint="default" w:ascii="Times New Roman" w:hAnsi="Times New Roman" w:eastAsia="宋体" w:cs="Times New Roman"/>
                <w:b w:val="0"/>
                <w:bCs w:val="0"/>
                <w:color w:val="auto"/>
                <w:sz w:val="24"/>
                <w:szCs w:val="24"/>
                <w:highlight w:val="none"/>
                <w:lang w:val="en-US" w:eastAsia="zh-CN"/>
              </w:rPr>
              <w:t>水质简单，对该污水处理厂处理负荷冲击不大。因此，</w:t>
            </w:r>
            <w:r>
              <w:rPr>
                <w:rFonts w:hint="eastAsia"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产生的废水预处理后再进入铜罐驿污水处理厂进行处理，是可行的。</w:t>
            </w:r>
          </w:p>
          <w:p w14:paraId="7EAF6EC6">
            <w:pPr>
              <w:pStyle w:val="24"/>
              <w:keepNext w:val="0"/>
              <w:keepLines w:val="0"/>
              <w:pageBreakBefore w:val="0"/>
              <w:widowControl w:val="0"/>
              <w:kinsoku/>
              <w:wordWrap/>
              <w:overflowPunct w:val="0"/>
              <w:topLinePunct/>
              <w:autoSpaceDE/>
              <w:autoSpaceDN/>
              <w:bidi w:val="0"/>
              <w:spacing w:line="460" w:lineRule="exact"/>
              <w:ind w:right="0" w:firstLine="482" w:firstLineChars="200"/>
              <w:jc w:val="both"/>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4.2.3噪声环境影响分析</w:t>
            </w:r>
          </w:p>
          <w:p w14:paraId="66E3C8E3">
            <w:pPr>
              <w:pStyle w:val="24"/>
              <w:keepNext w:val="0"/>
              <w:keepLines w:val="0"/>
              <w:pageBreakBefore w:val="0"/>
              <w:widowControl w:val="0"/>
              <w:kinsoku/>
              <w:wordWrap/>
              <w:overflowPunct w:val="0"/>
              <w:topLinePunct/>
              <w:autoSpaceDE/>
              <w:autoSpaceDN/>
              <w:bidi w:val="0"/>
              <w:spacing w:line="460" w:lineRule="exact"/>
              <w:ind w:right="0" w:firstLine="480" w:firstLineChars="200"/>
              <w:jc w:val="both"/>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（1）噪声源分析</w:t>
            </w:r>
          </w:p>
          <w:p w14:paraId="77EBED07">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Arial" w:cs="Times New Roman"/>
                <w:i w:val="0"/>
                <w:iCs w:val="0"/>
                <w:caps w:val="0"/>
                <w:color w:val="auto"/>
                <w:spacing w:val="0"/>
                <w:sz w:val="24"/>
                <w:szCs w:val="24"/>
                <w:highlight w:val="none"/>
                <w:shd w:val="clear" w:color="auto" w:fill="FFFFFF"/>
              </w:rPr>
              <w:t>根据</w:t>
            </w:r>
            <w:r>
              <w:rPr>
                <w:rFonts w:hint="default" w:ascii="Times New Roman" w:hAnsi="Times New Roman" w:cs="Times New Roman"/>
                <w:color w:val="auto"/>
                <w:kern w:val="0"/>
                <w:sz w:val="24"/>
                <w:szCs w:val="24"/>
                <w:highlight w:val="none"/>
              </w:rPr>
              <w:t>《环境影响评价技术导则声环境》（</w:t>
            </w:r>
            <w:r>
              <w:rPr>
                <w:rFonts w:hint="default" w:ascii="Times New Roman" w:hAnsi="Times New Roman" w:cs="Times New Roman"/>
                <w:color w:val="auto"/>
                <w:kern w:val="0"/>
                <w:sz w:val="24"/>
                <w:szCs w:val="24"/>
                <w:highlight w:val="none"/>
                <w:lang w:eastAsia="zh-CN"/>
              </w:rPr>
              <w:t>HJ</w:t>
            </w:r>
            <w:r>
              <w:rPr>
                <w:rFonts w:hint="default" w:ascii="Times New Roman" w:hAnsi="Times New Roman" w:cs="Times New Roman"/>
                <w:color w:val="auto"/>
                <w:kern w:val="0"/>
                <w:sz w:val="24"/>
                <w:szCs w:val="24"/>
                <w:highlight w:val="none"/>
              </w:rPr>
              <w:t>2.4</w:t>
            </w:r>
            <w:r>
              <w:rPr>
                <w:rFonts w:hint="default" w:ascii="Times New Roman" w:hAnsi="Times New Roman" w:eastAsia="宋体" w:cs="Times New Roman"/>
                <w:color w:val="auto"/>
                <w:spacing w:val="0"/>
                <w:kern w:val="2"/>
                <w:sz w:val="24"/>
                <w:szCs w:val="24"/>
                <w:highlight w:val="none"/>
                <w:lang w:val="en-US" w:eastAsia="zh-CN" w:bidi="ar"/>
              </w:rPr>
              <w:t>-</w:t>
            </w:r>
            <w:r>
              <w:rPr>
                <w:rFonts w:hint="default" w:ascii="Times New Roman" w:hAnsi="Times New Roman" w:cs="Times New Roman"/>
                <w:color w:val="auto"/>
                <w:kern w:val="0"/>
                <w:sz w:val="24"/>
                <w:szCs w:val="24"/>
                <w:highlight w:val="none"/>
              </w:rPr>
              <w:t>2021）</w:t>
            </w:r>
            <w:r>
              <w:rPr>
                <w:rFonts w:hint="default" w:ascii="Times New Roman" w:hAnsi="Times New Roman" w:cs="Times New Roman"/>
                <w:color w:val="auto"/>
                <w:kern w:val="0"/>
                <w:sz w:val="24"/>
                <w:szCs w:val="24"/>
                <w:highlight w:val="none"/>
                <w:lang w:eastAsia="zh-CN"/>
              </w:rPr>
              <w:t>，</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改建</w:t>
            </w:r>
            <w:r>
              <w:rPr>
                <w:rFonts w:hint="default" w:ascii="Times New Roman" w:hAnsi="Times New Roman" w:eastAsia="Arial" w:cs="Times New Roman"/>
                <w:i w:val="0"/>
                <w:iCs w:val="0"/>
                <w:caps w:val="0"/>
                <w:color w:val="auto"/>
                <w:spacing w:val="0"/>
                <w:sz w:val="24"/>
                <w:szCs w:val="24"/>
                <w:highlight w:val="none"/>
                <w:shd w:val="clear" w:color="auto" w:fill="FFFFFF"/>
              </w:rPr>
              <w:t>项目需以噪声贡献值与现有项目影响叠加后的预测值作为评价量，以确保厂界噪声达标。‌</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现有项目平面布置以及设备发生了变化</w:t>
            </w:r>
            <w:r>
              <w:rPr>
                <w:rFonts w:hint="default" w:ascii="Times New Roman" w:hAnsi="Times New Roman" w:eastAsia="宋体" w:cs="Times New Roman"/>
                <w:color w:val="auto"/>
                <w:spacing w:val="0"/>
                <w:position w:val="0"/>
                <w:sz w:val="24"/>
                <w:szCs w:val="24"/>
                <w:highlight w:val="none"/>
                <w:lang w:val="en-US" w:eastAsia="zh-CN"/>
              </w:rPr>
              <w:t>，因此本次评价将对</w:t>
            </w:r>
            <w:r>
              <w:rPr>
                <w:rFonts w:hint="eastAsia" w:ascii="Times New Roman" w:hAnsi="Times New Roman" w:cs="Times New Roman"/>
                <w:color w:val="auto"/>
                <w:spacing w:val="0"/>
                <w:position w:val="0"/>
                <w:sz w:val="24"/>
                <w:szCs w:val="24"/>
                <w:highlight w:val="none"/>
                <w:lang w:val="en-US" w:eastAsia="zh-CN"/>
              </w:rPr>
              <w:t>本项目</w:t>
            </w:r>
            <w:r>
              <w:rPr>
                <w:rFonts w:hint="default" w:ascii="Times New Roman" w:hAnsi="Times New Roman" w:eastAsia="宋体" w:cs="Times New Roman"/>
                <w:color w:val="auto"/>
                <w:spacing w:val="0"/>
                <w:position w:val="0"/>
                <w:sz w:val="24"/>
                <w:szCs w:val="24"/>
                <w:highlight w:val="none"/>
                <w:lang w:val="en-US" w:eastAsia="zh-CN"/>
              </w:rPr>
              <w:t>建成后全厂设备运行过程的噪声进行预测。全厂主要高噪声设备源强见表</w:t>
            </w:r>
            <w:r>
              <w:rPr>
                <w:rFonts w:hint="default" w:ascii="Times New Roman" w:hAnsi="Times New Roman" w:eastAsia="宋体" w:cs="Times New Roman"/>
                <w:color w:val="auto"/>
                <w:sz w:val="24"/>
                <w:szCs w:val="24"/>
                <w:highlight w:val="none"/>
              </w:rPr>
              <w:t>4.2-</w:t>
            </w:r>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、表4.2-</w:t>
            </w:r>
            <w:r>
              <w:rPr>
                <w:rFonts w:hint="eastAsia" w:ascii="Times New Roman" w:hAnsi="Times New Roman"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w:t>
            </w:r>
          </w:p>
          <w:p w14:paraId="7714D33C">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0953FBE8">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1A477F23">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1C75301D">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25378324">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3A749CCB">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36805776">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46F25F26">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6C36CE38">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5D20D8FE">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414A9C8D">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2AC5E473">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679D8343">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68D30A1C">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67770571">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07BFCD30">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457C2811">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0F50E784">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438EC03C">
            <w:pPr>
              <w:pStyle w:val="24"/>
              <w:keepNext w:val="0"/>
              <w:keepLines w:val="0"/>
              <w:pageBreakBefore w:val="0"/>
              <w:widowControl w:val="0"/>
              <w:kinsoku/>
              <w:wordWrap/>
              <w:overflowPunct w:val="0"/>
              <w:topLinePunct/>
              <w:autoSpaceDE/>
              <w:autoSpaceDN/>
              <w:bidi w:val="0"/>
              <w:adjustRightInd/>
              <w:snapToGrid/>
              <w:spacing w:line="460" w:lineRule="exact"/>
              <w:ind w:left="0" w:right="0" w:firstLine="480" w:firstLineChars="200"/>
              <w:jc w:val="both"/>
              <w:textAlignment w:val="auto"/>
              <w:rPr>
                <w:rFonts w:hint="default" w:ascii="Times New Roman" w:hAnsi="Times New Roman" w:eastAsia="宋体" w:cs="Times New Roman"/>
                <w:color w:val="auto"/>
                <w:sz w:val="24"/>
                <w:szCs w:val="24"/>
                <w:highlight w:val="none"/>
              </w:rPr>
            </w:pPr>
          </w:p>
          <w:p w14:paraId="0CC246CC">
            <w:pPr>
              <w:pStyle w:val="24"/>
              <w:keepNext w:val="0"/>
              <w:keepLines w:val="0"/>
              <w:pageBreakBefore w:val="0"/>
              <w:widowControl w:val="0"/>
              <w:kinsoku/>
              <w:wordWrap/>
              <w:overflowPunct w:val="0"/>
              <w:topLinePunct/>
              <w:autoSpaceDE/>
              <w:autoSpaceDN/>
              <w:bidi w:val="0"/>
              <w:adjustRightInd/>
              <w:snapToGrid/>
              <w:spacing w:line="460" w:lineRule="exact"/>
              <w:ind w:right="0"/>
              <w:jc w:val="both"/>
              <w:textAlignment w:val="auto"/>
              <w:rPr>
                <w:rFonts w:hint="default" w:ascii="Times New Roman" w:hAnsi="Times New Roman" w:eastAsia="宋体" w:cs="Times New Roman"/>
                <w:color w:val="auto"/>
                <w:sz w:val="24"/>
                <w:szCs w:val="24"/>
                <w:highlight w:val="none"/>
              </w:rPr>
            </w:pPr>
          </w:p>
        </w:tc>
      </w:tr>
    </w:tbl>
    <w:p w14:paraId="1BEC50C8">
      <w:pPr>
        <w:pStyle w:val="13"/>
        <w:pageBreakBefore w:val="0"/>
        <w:kinsoku/>
        <w:wordWrap/>
        <w:overflowPunct w:val="0"/>
        <w:topLinePunct/>
        <w:bidi w:val="0"/>
        <w:rPr>
          <w:rFonts w:hint="default" w:ascii="Times New Roman" w:hAnsi="Times New Roman" w:cs="Times New Roman"/>
          <w:color w:val="auto"/>
          <w:highlight w:val="none"/>
        </w:rPr>
      </w:pPr>
    </w:p>
    <w:p w14:paraId="2DA90CFF">
      <w:pPr>
        <w:pStyle w:val="13"/>
        <w:pageBreakBefore w:val="0"/>
        <w:kinsoku/>
        <w:wordWrap/>
        <w:overflowPunct w:val="0"/>
        <w:topLinePunct/>
        <w:bidi w:val="0"/>
        <w:rPr>
          <w:rFonts w:hint="default" w:ascii="Times New Roman" w:hAnsi="Times New Roman" w:cs="Times New Roman"/>
          <w:color w:val="auto"/>
          <w:highlight w:val="none"/>
        </w:rPr>
        <w:sectPr>
          <w:pgSz w:w="11907" w:h="16840"/>
          <w:pgMar w:top="1701" w:right="1531" w:bottom="2127" w:left="1531" w:header="851" w:footer="187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
        <w:gridCol w:w="12894"/>
      </w:tblGrid>
      <w:tr w14:paraId="1E00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2" w:hRule="atLeast"/>
        </w:trPr>
        <w:tc>
          <w:tcPr>
            <w:tcW w:w="334" w:type="dxa"/>
            <w:noWrap w:val="0"/>
            <w:vAlign w:val="top"/>
          </w:tcPr>
          <w:p w14:paraId="027BBCD2">
            <w:pPr>
              <w:pageBreakBefore w:val="0"/>
              <w:kinsoku/>
              <w:wordWrap/>
              <w:overflowPunct w:val="0"/>
              <w:topLinePunct/>
              <w:bidi w:val="0"/>
              <w:adjustRightInd w:val="0"/>
              <w:snapToGrid w:val="0"/>
              <w:spacing w:line="360" w:lineRule="auto"/>
              <w:rPr>
                <w:rFonts w:hint="default" w:ascii="Times New Roman" w:hAnsi="Times New Roman" w:eastAsia="宋体" w:cs="Times New Roman"/>
                <w:b/>
                <w:color w:val="auto"/>
                <w:kern w:val="0"/>
                <w:sz w:val="28"/>
                <w:szCs w:val="28"/>
                <w:highlight w:val="none"/>
                <w:vertAlign w:val="baseline"/>
              </w:rPr>
            </w:pPr>
          </w:p>
        </w:tc>
        <w:tc>
          <w:tcPr>
            <w:tcW w:w="12894" w:type="dxa"/>
            <w:noWrap w:val="0"/>
            <w:vAlign w:val="top"/>
          </w:tcPr>
          <w:p w14:paraId="56B3F95C">
            <w:pPr>
              <w:pStyle w:val="24"/>
              <w:keepNext w:val="0"/>
              <w:keepLines w:val="0"/>
              <w:pageBreakBefore w:val="0"/>
              <w:widowControl w:val="0"/>
              <w:kinsoku/>
              <w:wordWrap/>
              <w:overflowPunct w:val="0"/>
              <w:topLinePunct/>
              <w:autoSpaceDE/>
              <w:autoSpaceDN/>
              <w:bidi w:val="0"/>
              <w:adjustRightInd/>
              <w:snapToGrid/>
              <w:spacing w:line="460" w:lineRule="exact"/>
              <w:ind w:left="0" w:firstLine="0" w:firstLineChars="0"/>
              <w:jc w:val="center"/>
              <w:textAlignment w:val="auto"/>
              <w:rPr>
                <w:rFonts w:hint="default" w:ascii="Times New Roman" w:hAnsi="Times New Roman" w:eastAsia="宋体" w:cs="Times New Roman"/>
                <w:b/>
                <w:color w:val="auto"/>
                <w:kern w:val="0"/>
                <w:sz w:val="24"/>
                <w:szCs w:val="24"/>
                <w:highlight w:val="none"/>
                <w:vertAlign w:val="baseline"/>
                <w:lang w:val="en-US" w:eastAsia="zh-CN"/>
              </w:rPr>
            </w:pPr>
            <w:r>
              <w:rPr>
                <w:rFonts w:hint="default" w:ascii="Times New Roman" w:hAnsi="Times New Roman" w:eastAsia="宋体" w:cs="Times New Roman"/>
                <w:b/>
                <w:color w:val="auto"/>
                <w:kern w:val="0"/>
                <w:sz w:val="24"/>
                <w:szCs w:val="24"/>
                <w:highlight w:val="none"/>
                <w:vertAlign w:val="baseline"/>
                <w:lang w:val="en-US" w:eastAsia="zh-CN"/>
              </w:rPr>
              <w:t>表4.2-</w:t>
            </w:r>
            <w:r>
              <w:rPr>
                <w:rFonts w:hint="eastAsia" w:ascii="Times New Roman" w:hAnsi="Times New Roman" w:cs="Times New Roman"/>
                <w:b/>
                <w:color w:val="auto"/>
                <w:kern w:val="0"/>
                <w:sz w:val="24"/>
                <w:szCs w:val="24"/>
                <w:highlight w:val="none"/>
                <w:vertAlign w:val="baseline"/>
                <w:lang w:val="en-US" w:eastAsia="zh-CN"/>
              </w:rPr>
              <w:t>10 全厂</w:t>
            </w:r>
            <w:r>
              <w:rPr>
                <w:rFonts w:hint="default" w:ascii="Times New Roman" w:hAnsi="Times New Roman" w:eastAsia="宋体" w:cs="Times New Roman"/>
                <w:b/>
                <w:bCs/>
                <w:color w:val="auto"/>
                <w:spacing w:val="8"/>
                <w:sz w:val="24"/>
                <w:szCs w:val="24"/>
                <w:highlight w:val="none"/>
              </w:rPr>
              <w:t>噪声源强调查清单</w:t>
            </w:r>
            <w:r>
              <w:rPr>
                <w:rFonts w:hint="default" w:ascii="Times New Roman" w:hAnsi="Times New Roman" w:eastAsia="宋体" w:cs="Times New Roman"/>
                <w:b/>
                <w:color w:val="auto"/>
                <w:kern w:val="0"/>
                <w:sz w:val="24"/>
                <w:szCs w:val="24"/>
                <w:highlight w:val="none"/>
                <w:vertAlign w:val="baseline"/>
                <w:lang w:val="en-US" w:eastAsia="zh-CN"/>
              </w:rPr>
              <w:t>（室内声源）</w:t>
            </w:r>
            <w:r>
              <w:rPr>
                <w:rFonts w:hint="default" w:ascii="Times New Roman" w:hAnsi="Times New Roman" w:eastAsia="宋体" w:cs="Times New Roman"/>
                <w:b/>
                <w:bCs/>
                <w:color w:val="auto"/>
                <w:spacing w:val="8"/>
                <w:sz w:val="24"/>
                <w:szCs w:val="24"/>
                <w:highlight w:val="none"/>
              </w:rPr>
              <w:t>单位：源强</w:t>
            </w:r>
            <w:r>
              <w:rPr>
                <w:rFonts w:hint="default" w:ascii="Times New Roman" w:hAnsi="Times New Roman" w:eastAsia="宋体" w:cs="Times New Roman"/>
                <w:b/>
                <w:bCs/>
                <w:color w:val="auto"/>
                <w:sz w:val="24"/>
                <w:szCs w:val="24"/>
                <w:highlight w:val="none"/>
                <w:lang w:val="en-US" w:eastAsia="zh-CN"/>
              </w:rPr>
              <w:t>d</w:t>
            </w:r>
            <w:r>
              <w:rPr>
                <w:rFonts w:hint="default" w:ascii="Times New Roman" w:hAnsi="Times New Roman" w:eastAsia="宋体" w:cs="Times New Roman"/>
                <w:b/>
                <w:bCs/>
                <w:color w:val="auto"/>
                <w:sz w:val="24"/>
                <w:szCs w:val="24"/>
                <w:highlight w:val="none"/>
                <w:lang w:eastAsia="zh-CN"/>
              </w:rPr>
              <w:t>B</w:t>
            </w:r>
            <w:r>
              <w:rPr>
                <w:rFonts w:hint="default" w:ascii="Times New Roman" w:hAnsi="Times New Roman" w:cs="Times New Roman"/>
                <w:b/>
                <w:bCs/>
                <w:color w:val="auto"/>
                <w:spacing w:val="8"/>
                <w:sz w:val="24"/>
                <w:szCs w:val="24"/>
                <w:highlight w:val="none"/>
                <w:lang w:eastAsia="zh-CN"/>
              </w:rPr>
              <w:t>（</w:t>
            </w:r>
            <w:r>
              <w:rPr>
                <w:rFonts w:hint="default" w:ascii="Times New Roman" w:hAnsi="Times New Roman" w:eastAsia="宋体" w:cs="Times New Roman"/>
                <w:b/>
                <w:bCs/>
                <w:color w:val="auto"/>
                <w:spacing w:val="8"/>
                <w:sz w:val="24"/>
                <w:szCs w:val="24"/>
                <w:highlight w:val="none"/>
              </w:rPr>
              <w:t>A</w:t>
            </w:r>
            <w:r>
              <w:rPr>
                <w:rFonts w:hint="default" w:ascii="Times New Roman" w:hAnsi="Times New Roman" w:cs="Times New Roman"/>
                <w:b/>
                <w:bCs/>
                <w:color w:val="auto"/>
                <w:spacing w:val="8"/>
                <w:sz w:val="24"/>
                <w:szCs w:val="24"/>
                <w:highlight w:val="none"/>
                <w:lang w:eastAsia="zh-CN"/>
              </w:rPr>
              <w:t>）</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81"/>
              <w:gridCol w:w="890"/>
              <w:gridCol w:w="1087"/>
              <w:gridCol w:w="1146"/>
              <w:gridCol w:w="811"/>
              <w:gridCol w:w="775"/>
              <w:gridCol w:w="814"/>
              <w:gridCol w:w="590"/>
              <w:gridCol w:w="460"/>
              <w:gridCol w:w="890"/>
              <w:gridCol w:w="1071"/>
              <w:gridCol w:w="761"/>
              <w:gridCol w:w="1157"/>
              <w:gridCol w:w="868"/>
              <w:gridCol w:w="867"/>
            </w:tblGrid>
            <w:tr w14:paraId="362C1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30C36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351" w:type="pct"/>
                  <w:vMerge w:val="restart"/>
                  <w:tcBorders>
                    <w:tl2br w:val="nil"/>
                    <w:tr2bl w:val="nil"/>
                  </w:tcBorders>
                  <w:shd w:val="clear" w:color="auto" w:fill="auto"/>
                  <w:noWrap/>
                  <w:vAlign w:val="center"/>
                </w:tcPr>
                <w:p w14:paraId="0B59A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建筑物名称</w:t>
                  </w:r>
                </w:p>
              </w:tc>
              <w:tc>
                <w:tcPr>
                  <w:tcW w:w="429" w:type="pct"/>
                  <w:vMerge w:val="restart"/>
                  <w:tcBorders>
                    <w:tl2br w:val="nil"/>
                    <w:tr2bl w:val="nil"/>
                  </w:tcBorders>
                  <w:shd w:val="clear" w:color="auto" w:fill="auto"/>
                  <w:noWrap/>
                  <w:vAlign w:val="center"/>
                </w:tcPr>
                <w:p w14:paraId="71795C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声源名称</w:t>
                  </w:r>
                </w:p>
              </w:tc>
              <w:tc>
                <w:tcPr>
                  <w:tcW w:w="452" w:type="pct"/>
                  <w:tcBorders>
                    <w:tl2br w:val="nil"/>
                    <w:tr2bl w:val="nil"/>
                  </w:tcBorders>
                  <w:shd w:val="clear" w:color="auto" w:fill="auto"/>
                  <w:noWrap/>
                  <w:vAlign w:val="center"/>
                </w:tcPr>
                <w:p w14:paraId="4BD0DF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声</w:t>
                  </w:r>
                  <w:r>
                    <w:rPr>
                      <w:rFonts w:hint="eastAsia" w:cs="Times New Roman"/>
                      <w:i w:val="0"/>
                      <w:iCs w:val="0"/>
                      <w:color w:val="auto"/>
                      <w:kern w:val="0"/>
                      <w:sz w:val="21"/>
                      <w:szCs w:val="21"/>
                      <w:highlight w:val="none"/>
                      <w:u w:val="none"/>
                      <w:lang w:val="en-US" w:eastAsia="zh-CN" w:bidi="ar"/>
                    </w:rPr>
                    <w:t>源</w:t>
                  </w:r>
                  <w:r>
                    <w:rPr>
                      <w:rFonts w:hint="default" w:ascii="Times New Roman" w:hAnsi="Times New Roman" w:eastAsia="宋体" w:cs="Times New Roman"/>
                      <w:i w:val="0"/>
                      <w:iCs w:val="0"/>
                      <w:color w:val="auto"/>
                      <w:kern w:val="0"/>
                      <w:sz w:val="21"/>
                      <w:szCs w:val="21"/>
                      <w:highlight w:val="none"/>
                      <w:u w:val="none"/>
                      <w:lang w:val="en-US" w:eastAsia="zh-CN" w:bidi="ar"/>
                    </w:rPr>
                    <w:t>强</w:t>
                  </w:r>
                </w:p>
              </w:tc>
              <w:tc>
                <w:tcPr>
                  <w:tcW w:w="320" w:type="pct"/>
                  <w:vMerge w:val="restart"/>
                  <w:tcBorders>
                    <w:tl2br w:val="nil"/>
                    <w:tr2bl w:val="nil"/>
                  </w:tcBorders>
                  <w:shd w:val="clear" w:color="auto" w:fill="auto"/>
                  <w:noWrap/>
                  <w:vAlign w:val="center"/>
                </w:tcPr>
                <w:p w14:paraId="6D13CD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声源控制措施</w:t>
                  </w:r>
                </w:p>
              </w:tc>
              <w:tc>
                <w:tcPr>
                  <w:tcW w:w="860" w:type="pct"/>
                  <w:gridSpan w:val="3"/>
                  <w:tcBorders>
                    <w:tl2br w:val="nil"/>
                    <w:tr2bl w:val="nil"/>
                  </w:tcBorders>
                  <w:shd w:val="clear" w:color="auto" w:fill="auto"/>
                  <w:noWrap/>
                  <w:vAlign w:val="center"/>
                </w:tcPr>
                <w:p w14:paraId="581144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空间相对位置/m</w:t>
                  </w:r>
                </w:p>
              </w:tc>
              <w:tc>
                <w:tcPr>
                  <w:tcW w:w="532" w:type="pct"/>
                  <w:gridSpan w:val="2"/>
                  <w:vMerge w:val="restart"/>
                  <w:tcBorders>
                    <w:tl2br w:val="nil"/>
                    <w:tr2bl w:val="nil"/>
                  </w:tcBorders>
                  <w:shd w:val="clear" w:color="auto" w:fill="auto"/>
                  <w:vAlign w:val="center"/>
                </w:tcPr>
                <w:p w14:paraId="20723E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距室内边界距离/m</w:t>
                  </w:r>
                </w:p>
              </w:tc>
              <w:tc>
                <w:tcPr>
                  <w:tcW w:w="422" w:type="pct"/>
                  <w:vMerge w:val="restart"/>
                  <w:tcBorders>
                    <w:tl2br w:val="nil"/>
                    <w:tr2bl w:val="nil"/>
                  </w:tcBorders>
                  <w:shd w:val="clear" w:color="auto" w:fill="auto"/>
                  <w:noWrap/>
                  <w:vAlign w:val="center"/>
                </w:tcPr>
                <w:p w14:paraId="4D12AE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室内边界声级/dB(A)</w:t>
                  </w:r>
                </w:p>
              </w:tc>
              <w:tc>
                <w:tcPr>
                  <w:tcW w:w="300" w:type="pct"/>
                  <w:vMerge w:val="restart"/>
                  <w:tcBorders>
                    <w:tl2br w:val="nil"/>
                    <w:tr2bl w:val="nil"/>
                  </w:tcBorders>
                  <w:shd w:val="clear" w:color="auto" w:fill="auto"/>
                  <w:noWrap/>
                  <w:vAlign w:val="center"/>
                </w:tcPr>
                <w:p w14:paraId="3E8323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运行时段</w:t>
                  </w:r>
                </w:p>
              </w:tc>
              <w:tc>
                <w:tcPr>
                  <w:tcW w:w="456" w:type="pct"/>
                  <w:vMerge w:val="restart"/>
                  <w:tcBorders>
                    <w:tl2br w:val="nil"/>
                    <w:tr2bl w:val="nil"/>
                  </w:tcBorders>
                  <w:shd w:val="clear" w:color="auto" w:fill="auto"/>
                  <w:noWrap/>
                  <w:vAlign w:val="center"/>
                </w:tcPr>
                <w:p w14:paraId="2A16A6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建筑物插入损失/dB(A)</w:t>
                  </w:r>
                </w:p>
              </w:tc>
              <w:tc>
                <w:tcPr>
                  <w:tcW w:w="684" w:type="pct"/>
                  <w:gridSpan w:val="2"/>
                  <w:tcBorders>
                    <w:tl2br w:val="nil"/>
                    <w:tr2bl w:val="nil"/>
                  </w:tcBorders>
                  <w:shd w:val="clear" w:color="auto" w:fill="auto"/>
                  <w:noWrap/>
                  <w:vAlign w:val="center"/>
                </w:tcPr>
                <w:p w14:paraId="2AB546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建筑物外噪声</w:t>
                  </w:r>
                </w:p>
              </w:tc>
            </w:tr>
            <w:tr w14:paraId="51292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0980D5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86CB43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92FC867">
                  <w:pPr>
                    <w:jc w:val="center"/>
                    <w:rPr>
                      <w:rFonts w:hint="default" w:ascii="Times New Roman" w:hAnsi="Times New Roman" w:eastAsia="宋体" w:cs="Times New Roman"/>
                      <w:i w:val="0"/>
                      <w:iCs w:val="0"/>
                      <w:color w:val="auto"/>
                      <w:sz w:val="21"/>
                      <w:szCs w:val="21"/>
                      <w:highlight w:val="none"/>
                      <w:u w:val="none"/>
                    </w:rPr>
                  </w:pPr>
                </w:p>
              </w:tc>
              <w:tc>
                <w:tcPr>
                  <w:tcW w:w="452" w:type="pct"/>
                  <w:tcBorders>
                    <w:tl2br w:val="nil"/>
                    <w:tr2bl w:val="nil"/>
                  </w:tcBorders>
                  <w:shd w:val="clear" w:color="auto" w:fill="auto"/>
                  <w:vAlign w:val="center"/>
                </w:tcPr>
                <w:p w14:paraId="7E40E3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声功率级</w:t>
                  </w:r>
                  <w:r>
                    <w:rPr>
                      <w:rFonts w:hint="default" w:ascii="Times New Roman" w:hAnsi="Times New Roman" w:eastAsia="宋体" w:cs="Times New Roman"/>
                      <w:i w:val="0"/>
                      <w:iCs w:val="0"/>
                      <w:color w:val="auto"/>
                      <w:kern w:val="0"/>
                      <w:sz w:val="21"/>
                      <w:szCs w:val="21"/>
                      <w:highlight w:val="none"/>
                      <w:u w:val="none"/>
                      <w:lang w:val="en-US" w:eastAsia="zh-CN" w:bidi="ar"/>
                    </w:rPr>
                    <w:br w:type="textWrapping"/>
                  </w:r>
                  <w:r>
                    <w:rPr>
                      <w:rFonts w:hint="default" w:ascii="Times New Roman" w:hAnsi="Times New Roman" w:eastAsia="宋体" w:cs="Times New Roman"/>
                      <w:i w:val="0"/>
                      <w:iCs w:val="0"/>
                      <w:color w:val="auto"/>
                      <w:kern w:val="0"/>
                      <w:sz w:val="21"/>
                      <w:szCs w:val="21"/>
                      <w:highlight w:val="none"/>
                      <w:u w:val="none"/>
                      <w:lang w:val="en-US" w:eastAsia="zh-CN" w:bidi="ar"/>
                    </w:rPr>
                    <w:t>/dB(A</w:t>
                  </w:r>
                </w:p>
              </w:tc>
              <w:tc>
                <w:tcPr>
                  <w:tcW w:w="320" w:type="pct"/>
                  <w:vMerge w:val="continue"/>
                  <w:tcBorders>
                    <w:tl2br w:val="nil"/>
                    <w:tr2bl w:val="nil"/>
                  </w:tcBorders>
                  <w:shd w:val="clear" w:color="auto" w:fill="auto"/>
                  <w:noWrap/>
                  <w:vAlign w:val="center"/>
                </w:tcPr>
                <w:p w14:paraId="448E110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3C63E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X</w:t>
                  </w:r>
                </w:p>
              </w:tc>
              <w:tc>
                <w:tcPr>
                  <w:tcW w:w="321" w:type="pct"/>
                  <w:tcBorders>
                    <w:tl2br w:val="nil"/>
                    <w:tr2bl w:val="nil"/>
                  </w:tcBorders>
                  <w:shd w:val="clear" w:color="auto" w:fill="auto"/>
                  <w:noWrap/>
                  <w:vAlign w:val="center"/>
                </w:tcPr>
                <w:p w14:paraId="29898E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Y</w:t>
                  </w:r>
                </w:p>
              </w:tc>
              <w:tc>
                <w:tcPr>
                  <w:tcW w:w="232" w:type="pct"/>
                  <w:tcBorders>
                    <w:tl2br w:val="nil"/>
                    <w:tr2bl w:val="nil"/>
                  </w:tcBorders>
                  <w:shd w:val="clear" w:color="auto" w:fill="auto"/>
                  <w:noWrap/>
                  <w:vAlign w:val="center"/>
                </w:tcPr>
                <w:p w14:paraId="43FEF5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Z</w:t>
                  </w:r>
                </w:p>
              </w:tc>
              <w:tc>
                <w:tcPr>
                  <w:tcW w:w="532" w:type="pct"/>
                  <w:gridSpan w:val="2"/>
                  <w:vMerge w:val="continue"/>
                  <w:tcBorders>
                    <w:tl2br w:val="nil"/>
                    <w:tr2bl w:val="nil"/>
                  </w:tcBorders>
                  <w:shd w:val="clear" w:color="auto" w:fill="auto"/>
                  <w:vAlign w:val="center"/>
                </w:tcPr>
                <w:p w14:paraId="65AB0B75">
                  <w:pPr>
                    <w:jc w:val="center"/>
                    <w:rPr>
                      <w:rFonts w:hint="default" w:ascii="Times New Roman" w:hAnsi="Times New Roman" w:eastAsia="宋体" w:cs="Times New Roman"/>
                      <w:i w:val="0"/>
                      <w:iCs w:val="0"/>
                      <w:color w:val="auto"/>
                      <w:sz w:val="21"/>
                      <w:szCs w:val="21"/>
                      <w:highlight w:val="none"/>
                      <w:u w:val="none"/>
                    </w:rPr>
                  </w:pPr>
                </w:p>
              </w:tc>
              <w:tc>
                <w:tcPr>
                  <w:tcW w:w="422" w:type="pct"/>
                  <w:vMerge w:val="continue"/>
                  <w:tcBorders>
                    <w:tl2br w:val="nil"/>
                    <w:tr2bl w:val="nil"/>
                  </w:tcBorders>
                  <w:shd w:val="clear" w:color="auto" w:fill="auto"/>
                  <w:noWrap/>
                  <w:vAlign w:val="center"/>
                </w:tcPr>
                <w:p w14:paraId="3B3A2495">
                  <w:pPr>
                    <w:jc w:val="center"/>
                    <w:rPr>
                      <w:rFonts w:hint="default" w:ascii="Times New Roman" w:hAnsi="Times New Roman" w:eastAsia="宋体" w:cs="Times New Roman"/>
                      <w:i w:val="0"/>
                      <w:iCs w:val="0"/>
                      <w:color w:val="auto"/>
                      <w:sz w:val="21"/>
                      <w:szCs w:val="21"/>
                      <w:highlight w:val="none"/>
                      <w:u w:val="none"/>
                    </w:rPr>
                  </w:pPr>
                </w:p>
              </w:tc>
              <w:tc>
                <w:tcPr>
                  <w:tcW w:w="300" w:type="pct"/>
                  <w:vMerge w:val="continue"/>
                  <w:tcBorders>
                    <w:tl2br w:val="nil"/>
                    <w:tr2bl w:val="nil"/>
                  </w:tcBorders>
                  <w:shd w:val="clear" w:color="auto" w:fill="auto"/>
                  <w:noWrap/>
                  <w:vAlign w:val="center"/>
                </w:tcPr>
                <w:p w14:paraId="57166FD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403485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38E8A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声压级/dB(A)</w:t>
                  </w:r>
                </w:p>
              </w:tc>
              <w:tc>
                <w:tcPr>
                  <w:tcW w:w="342" w:type="pct"/>
                  <w:tcBorders>
                    <w:tl2br w:val="nil"/>
                    <w:tr2bl w:val="nil"/>
                  </w:tcBorders>
                  <w:shd w:val="clear" w:color="auto" w:fill="auto"/>
                  <w:noWrap/>
                  <w:vAlign w:val="center"/>
                </w:tcPr>
                <w:p w14:paraId="670054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建筑物外距离</w:t>
                  </w:r>
                </w:p>
              </w:tc>
            </w:tr>
            <w:tr w14:paraId="1AC92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403C0E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51" w:type="pct"/>
                  <w:vMerge w:val="restart"/>
                  <w:tcBorders>
                    <w:tl2br w:val="nil"/>
                    <w:tr2bl w:val="nil"/>
                  </w:tcBorders>
                  <w:shd w:val="clear" w:color="auto" w:fill="auto"/>
                  <w:noWrap/>
                  <w:vAlign w:val="center"/>
                </w:tcPr>
                <w:p w14:paraId="0520CF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精炼车间</w:t>
                  </w:r>
                </w:p>
              </w:tc>
              <w:tc>
                <w:tcPr>
                  <w:tcW w:w="429" w:type="pct"/>
                  <w:vMerge w:val="restart"/>
                  <w:tcBorders>
                    <w:tl2br w:val="nil"/>
                    <w:tr2bl w:val="nil"/>
                  </w:tcBorders>
                  <w:shd w:val="clear" w:color="auto" w:fill="auto"/>
                  <w:noWrap/>
                  <w:vAlign w:val="center"/>
                </w:tcPr>
                <w:p w14:paraId="584D52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废油泵</w:t>
                  </w:r>
                </w:p>
              </w:tc>
              <w:tc>
                <w:tcPr>
                  <w:tcW w:w="452" w:type="pct"/>
                  <w:vMerge w:val="restart"/>
                  <w:tcBorders>
                    <w:tl2br w:val="nil"/>
                    <w:tr2bl w:val="nil"/>
                  </w:tcBorders>
                  <w:shd w:val="clear" w:color="auto" w:fill="auto"/>
                  <w:noWrap/>
                  <w:vAlign w:val="center"/>
                </w:tcPr>
                <w:p w14:paraId="37C8B7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restart"/>
                  <w:tcBorders>
                    <w:tl2br w:val="nil"/>
                    <w:tr2bl w:val="nil"/>
                  </w:tcBorders>
                  <w:shd w:val="clear" w:color="auto" w:fill="auto"/>
                  <w:noWrap/>
                  <w:vAlign w:val="center"/>
                </w:tcPr>
                <w:p w14:paraId="5E70ED9D">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隔声、减振</w:t>
                  </w:r>
                </w:p>
              </w:tc>
              <w:tc>
                <w:tcPr>
                  <w:tcW w:w="305" w:type="pct"/>
                  <w:tcBorders>
                    <w:tl2br w:val="nil"/>
                    <w:tr2bl w:val="nil"/>
                  </w:tcBorders>
                  <w:shd w:val="clear" w:color="auto" w:fill="auto"/>
                  <w:noWrap/>
                  <w:vAlign w:val="center"/>
                </w:tcPr>
                <w:p w14:paraId="27FE81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-94.49</w:t>
                  </w:r>
                </w:p>
              </w:tc>
              <w:tc>
                <w:tcPr>
                  <w:tcW w:w="321" w:type="pct"/>
                  <w:tcBorders>
                    <w:tl2br w:val="nil"/>
                    <w:tr2bl w:val="nil"/>
                  </w:tcBorders>
                  <w:shd w:val="clear" w:color="auto" w:fill="auto"/>
                  <w:noWrap/>
                  <w:vAlign w:val="center"/>
                </w:tcPr>
                <w:p w14:paraId="0E9710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-16.39</w:t>
                  </w:r>
                </w:p>
              </w:tc>
              <w:tc>
                <w:tcPr>
                  <w:tcW w:w="232" w:type="pct"/>
                  <w:tcBorders>
                    <w:tl2br w:val="nil"/>
                    <w:tr2bl w:val="nil"/>
                  </w:tcBorders>
                  <w:shd w:val="clear" w:color="auto" w:fill="auto"/>
                  <w:noWrap/>
                  <w:vAlign w:val="center"/>
                </w:tcPr>
                <w:p w14:paraId="5658B6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9D4A9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8930B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20.19</w:t>
                  </w:r>
                </w:p>
              </w:tc>
              <w:tc>
                <w:tcPr>
                  <w:tcW w:w="422" w:type="pct"/>
                  <w:tcBorders>
                    <w:tl2br w:val="nil"/>
                    <w:tr2bl w:val="nil"/>
                  </w:tcBorders>
                  <w:shd w:val="clear" w:color="auto" w:fill="auto"/>
                  <w:noWrap/>
                  <w:vAlign w:val="center"/>
                </w:tcPr>
                <w:p w14:paraId="4CE063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55.44</w:t>
                  </w:r>
                </w:p>
              </w:tc>
              <w:tc>
                <w:tcPr>
                  <w:tcW w:w="300" w:type="pct"/>
                  <w:vMerge w:val="restart"/>
                  <w:tcBorders>
                    <w:tl2br w:val="nil"/>
                    <w:tr2bl w:val="nil"/>
                  </w:tcBorders>
                  <w:shd w:val="clear" w:color="auto" w:fill="auto"/>
                  <w:noWrap/>
                  <w:vAlign w:val="center"/>
                </w:tcPr>
                <w:p w14:paraId="1E360D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restart"/>
                  <w:tcBorders>
                    <w:tl2br w:val="nil"/>
                    <w:tr2bl w:val="nil"/>
                  </w:tcBorders>
                  <w:shd w:val="clear" w:color="auto" w:fill="auto"/>
                  <w:noWrap/>
                  <w:vAlign w:val="center"/>
                </w:tcPr>
                <w:p w14:paraId="15711D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42" w:type="pct"/>
                  <w:tcBorders>
                    <w:tl2br w:val="nil"/>
                    <w:tr2bl w:val="nil"/>
                  </w:tcBorders>
                  <w:shd w:val="clear" w:color="auto" w:fill="auto"/>
                  <w:noWrap/>
                  <w:vAlign w:val="center"/>
                </w:tcPr>
                <w:p w14:paraId="1431AD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29.44</w:t>
                  </w:r>
                </w:p>
              </w:tc>
              <w:tc>
                <w:tcPr>
                  <w:tcW w:w="342" w:type="pct"/>
                  <w:tcBorders>
                    <w:tl2br w:val="nil"/>
                    <w:tr2bl w:val="nil"/>
                  </w:tcBorders>
                  <w:shd w:val="clear" w:color="auto" w:fill="auto"/>
                  <w:noWrap/>
                  <w:vAlign w:val="center"/>
                </w:tcPr>
                <w:p w14:paraId="0DD755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A4B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75F83A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D2DB07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DB644D4">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94709F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384B58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A2892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-94.49</w:t>
                  </w:r>
                </w:p>
              </w:tc>
              <w:tc>
                <w:tcPr>
                  <w:tcW w:w="321" w:type="pct"/>
                  <w:tcBorders>
                    <w:tl2br w:val="nil"/>
                    <w:tr2bl w:val="nil"/>
                  </w:tcBorders>
                  <w:shd w:val="clear" w:color="auto" w:fill="auto"/>
                  <w:noWrap/>
                  <w:vAlign w:val="center"/>
                </w:tcPr>
                <w:p w14:paraId="6C122B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-16.39</w:t>
                  </w:r>
                </w:p>
              </w:tc>
              <w:tc>
                <w:tcPr>
                  <w:tcW w:w="232" w:type="pct"/>
                  <w:tcBorders>
                    <w:tl2br w:val="nil"/>
                    <w:tr2bl w:val="nil"/>
                  </w:tcBorders>
                  <w:shd w:val="clear" w:color="auto" w:fill="auto"/>
                  <w:noWrap/>
                  <w:vAlign w:val="center"/>
                </w:tcPr>
                <w:p w14:paraId="27EB85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4580F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44E638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29.28</w:t>
                  </w:r>
                </w:p>
              </w:tc>
              <w:tc>
                <w:tcPr>
                  <w:tcW w:w="422" w:type="pct"/>
                  <w:tcBorders>
                    <w:tl2br w:val="nil"/>
                    <w:tr2bl w:val="nil"/>
                  </w:tcBorders>
                  <w:shd w:val="clear" w:color="auto" w:fill="auto"/>
                  <w:noWrap/>
                  <w:vAlign w:val="center"/>
                </w:tcPr>
                <w:p w14:paraId="0A2D7F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55.39</w:t>
                  </w:r>
                </w:p>
              </w:tc>
              <w:tc>
                <w:tcPr>
                  <w:tcW w:w="300" w:type="pct"/>
                  <w:vMerge w:val="continue"/>
                  <w:tcBorders>
                    <w:tl2br w:val="nil"/>
                    <w:tr2bl w:val="nil"/>
                  </w:tcBorders>
                  <w:shd w:val="clear" w:color="auto" w:fill="auto"/>
                  <w:noWrap/>
                  <w:vAlign w:val="center"/>
                </w:tcPr>
                <w:p w14:paraId="2EA7267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6FCA75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D436A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29.39</w:t>
                  </w:r>
                </w:p>
              </w:tc>
              <w:tc>
                <w:tcPr>
                  <w:tcW w:w="342" w:type="pct"/>
                  <w:tcBorders>
                    <w:tl2br w:val="nil"/>
                    <w:tr2bl w:val="nil"/>
                  </w:tcBorders>
                  <w:shd w:val="clear" w:color="auto" w:fill="auto"/>
                  <w:noWrap/>
                  <w:vAlign w:val="center"/>
                </w:tcPr>
                <w:p w14:paraId="28FECA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8C79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982D97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76686F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F5BF38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78307E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0DE78F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DE1CA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-94.49</w:t>
                  </w:r>
                </w:p>
              </w:tc>
              <w:tc>
                <w:tcPr>
                  <w:tcW w:w="321" w:type="pct"/>
                  <w:tcBorders>
                    <w:tl2br w:val="nil"/>
                    <w:tr2bl w:val="nil"/>
                  </w:tcBorders>
                  <w:shd w:val="clear" w:color="auto" w:fill="auto"/>
                  <w:noWrap/>
                  <w:vAlign w:val="center"/>
                </w:tcPr>
                <w:p w14:paraId="7ED526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-16.39</w:t>
                  </w:r>
                </w:p>
              </w:tc>
              <w:tc>
                <w:tcPr>
                  <w:tcW w:w="232" w:type="pct"/>
                  <w:tcBorders>
                    <w:tl2br w:val="nil"/>
                    <w:tr2bl w:val="nil"/>
                  </w:tcBorders>
                  <w:shd w:val="clear" w:color="auto" w:fill="auto"/>
                  <w:noWrap/>
                  <w:vAlign w:val="center"/>
                </w:tcPr>
                <w:p w14:paraId="327F3C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3747FA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A7E23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61.12</w:t>
                  </w:r>
                </w:p>
              </w:tc>
              <w:tc>
                <w:tcPr>
                  <w:tcW w:w="422" w:type="pct"/>
                  <w:tcBorders>
                    <w:tl2br w:val="nil"/>
                    <w:tr2bl w:val="nil"/>
                  </w:tcBorders>
                  <w:shd w:val="clear" w:color="auto" w:fill="auto"/>
                  <w:noWrap/>
                  <w:vAlign w:val="center"/>
                </w:tcPr>
                <w:p w14:paraId="7645C5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7EB5392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126489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53A24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16CAED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27B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6C22C9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9BCA52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979057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D1F509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CA9454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A885D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-94.49</w:t>
                  </w:r>
                </w:p>
              </w:tc>
              <w:tc>
                <w:tcPr>
                  <w:tcW w:w="321" w:type="pct"/>
                  <w:tcBorders>
                    <w:tl2br w:val="nil"/>
                    <w:tr2bl w:val="nil"/>
                  </w:tcBorders>
                  <w:shd w:val="clear" w:color="auto" w:fill="auto"/>
                  <w:noWrap/>
                  <w:vAlign w:val="center"/>
                </w:tcPr>
                <w:p w14:paraId="143060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-16.39</w:t>
                  </w:r>
                </w:p>
              </w:tc>
              <w:tc>
                <w:tcPr>
                  <w:tcW w:w="232" w:type="pct"/>
                  <w:tcBorders>
                    <w:tl2br w:val="nil"/>
                    <w:tr2bl w:val="nil"/>
                  </w:tcBorders>
                  <w:shd w:val="clear" w:color="auto" w:fill="auto"/>
                  <w:noWrap/>
                  <w:vAlign w:val="center"/>
                </w:tcPr>
                <w:p w14:paraId="5CE679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ADC3F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3787D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7.37</w:t>
                  </w:r>
                </w:p>
              </w:tc>
              <w:tc>
                <w:tcPr>
                  <w:tcW w:w="422" w:type="pct"/>
                  <w:tcBorders>
                    <w:tl2br w:val="nil"/>
                    <w:tr2bl w:val="nil"/>
                  </w:tcBorders>
                  <w:shd w:val="clear" w:color="auto" w:fill="auto"/>
                  <w:noWrap/>
                  <w:vAlign w:val="center"/>
                </w:tcPr>
                <w:p w14:paraId="5DA96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56.03</w:t>
                  </w:r>
                </w:p>
              </w:tc>
              <w:tc>
                <w:tcPr>
                  <w:tcW w:w="300" w:type="pct"/>
                  <w:vMerge w:val="continue"/>
                  <w:tcBorders>
                    <w:tl2br w:val="nil"/>
                    <w:tr2bl w:val="nil"/>
                  </w:tcBorders>
                  <w:shd w:val="clear" w:color="auto" w:fill="auto"/>
                  <w:noWrap/>
                  <w:vAlign w:val="center"/>
                </w:tcPr>
                <w:p w14:paraId="2B53729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7E3F36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80C91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30.03</w:t>
                  </w:r>
                </w:p>
              </w:tc>
              <w:tc>
                <w:tcPr>
                  <w:tcW w:w="342" w:type="pct"/>
                  <w:tcBorders>
                    <w:tl2br w:val="nil"/>
                    <w:tr2bl w:val="nil"/>
                  </w:tcBorders>
                  <w:shd w:val="clear" w:color="auto" w:fill="auto"/>
                  <w:noWrap/>
                  <w:vAlign w:val="center"/>
                </w:tcPr>
                <w:p w14:paraId="2CF077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51A1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92F23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51" w:type="pct"/>
                  <w:vMerge w:val="continue"/>
                  <w:tcBorders>
                    <w:tl2br w:val="nil"/>
                    <w:tr2bl w:val="nil"/>
                  </w:tcBorders>
                  <w:shd w:val="clear" w:color="auto" w:fill="auto"/>
                  <w:noWrap/>
                  <w:vAlign w:val="center"/>
                </w:tcPr>
                <w:p w14:paraId="2D8F0A88">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DAA8E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回收水泵</w:t>
                  </w:r>
                </w:p>
              </w:tc>
              <w:tc>
                <w:tcPr>
                  <w:tcW w:w="452" w:type="pct"/>
                  <w:vMerge w:val="restart"/>
                  <w:tcBorders>
                    <w:tl2br w:val="nil"/>
                    <w:tr2bl w:val="nil"/>
                  </w:tcBorders>
                  <w:shd w:val="clear" w:color="auto" w:fill="auto"/>
                  <w:noWrap/>
                  <w:vAlign w:val="center"/>
                </w:tcPr>
                <w:p w14:paraId="51EB40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525BF09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30E6E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-93.4</w:t>
                  </w:r>
                </w:p>
              </w:tc>
              <w:tc>
                <w:tcPr>
                  <w:tcW w:w="321" w:type="pct"/>
                  <w:tcBorders>
                    <w:tl2br w:val="nil"/>
                    <w:tr2bl w:val="nil"/>
                  </w:tcBorders>
                  <w:shd w:val="clear" w:color="auto" w:fill="auto"/>
                  <w:noWrap/>
                  <w:vAlign w:val="center"/>
                </w:tcPr>
                <w:p w14:paraId="285060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w:t>
                  </w:r>
                </w:p>
              </w:tc>
              <w:tc>
                <w:tcPr>
                  <w:tcW w:w="232" w:type="pct"/>
                  <w:tcBorders>
                    <w:tl2br w:val="nil"/>
                    <w:tr2bl w:val="nil"/>
                  </w:tcBorders>
                  <w:shd w:val="clear" w:color="auto" w:fill="auto"/>
                  <w:noWrap/>
                  <w:vAlign w:val="center"/>
                </w:tcPr>
                <w:p w14:paraId="1E35A6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61AF08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72B103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22.37</w:t>
                  </w:r>
                </w:p>
              </w:tc>
              <w:tc>
                <w:tcPr>
                  <w:tcW w:w="422" w:type="pct"/>
                  <w:tcBorders>
                    <w:tl2br w:val="nil"/>
                    <w:tr2bl w:val="nil"/>
                  </w:tcBorders>
                  <w:shd w:val="clear" w:color="auto" w:fill="auto"/>
                  <w:noWrap/>
                  <w:vAlign w:val="center"/>
                </w:tcPr>
                <w:p w14:paraId="7485C1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55.43</w:t>
                  </w:r>
                </w:p>
              </w:tc>
              <w:tc>
                <w:tcPr>
                  <w:tcW w:w="300" w:type="pct"/>
                  <w:vMerge w:val="restart"/>
                  <w:tcBorders>
                    <w:tl2br w:val="nil"/>
                    <w:tr2bl w:val="nil"/>
                  </w:tcBorders>
                  <w:shd w:val="clear" w:color="auto" w:fill="auto"/>
                  <w:noWrap/>
                  <w:vAlign w:val="center"/>
                </w:tcPr>
                <w:p w14:paraId="663B8A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D492DB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E5938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29.43</w:t>
                  </w:r>
                </w:p>
              </w:tc>
              <w:tc>
                <w:tcPr>
                  <w:tcW w:w="342" w:type="pct"/>
                  <w:tcBorders>
                    <w:tl2br w:val="nil"/>
                    <w:tr2bl w:val="nil"/>
                  </w:tcBorders>
                  <w:shd w:val="clear" w:color="auto" w:fill="auto"/>
                  <w:noWrap/>
                  <w:vAlign w:val="center"/>
                </w:tcPr>
                <w:p w14:paraId="22C91A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D220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858A4B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F32EA7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A8BB47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A4D557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8E9987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1E414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-93.4</w:t>
                  </w:r>
                </w:p>
              </w:tc>
              <w:tc>
                <w:tcPr>
                  <w:tcW w:w="321" w:type="pct"/>
                  <w:tcBorders>
                    <w:tl2br w:val="nil"/>
                    <w:tr2bl w:val="nil"/>
                  </w:tcBorders>
                  <w:shd w:val="clear" w:color="auto" w:fill="auto"/>
                  <w:noWrap/>
                  <w:vAlign w:val="center"/>
                </w:tcPr>
                <w:p w14:paraId="7FDDB4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w:t>
                  </w:r>
                </w:p>
              </w:tc>
              <w:tc>
                <w:tcPr>
                  <w:tcW w:w="232" w:type="pct"/>
                  <w:tcBorders>
                    <w:tl2br w:val="nil"/>
                    <w:tr2bl w:val="nil"/>
                  </w:tcBorders>
                  <w:shd w:val="clear" w:color="auto" w:fill="auto"/>
                  <w:noWrap/>
                  <w:vAlign w:val="center"/>
                </w:tcPr>
                <w:p w14:paraId="663996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66BBCB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028484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28.98</w:t>
                  </w:r>
                </w:p>
              </w:tc>
              <w:tc>
                <w:tcPr>
                  <w:tcW w:w="422" w:type="pct"/>
                  <w:tcBorders>
                    <w:tl2br w:val="nil"/>
                    <w:tr2bl w:val="nil"/>
                  </w:tcBorders>
                  <w:shd w:val="clear" w:color="auto" w:fill="auto"/>
                  <w:noWrap/>
                  <w:vAlign w:val="center"/>
                </w:tcPr>
                <w:p w14:paraId="4AD836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55.39</w:t>
                  </w:r>
                </w:p>
              </w:tc>
              <w:tc>
                <w:tcPr>
                  <w:tcW w:w="300" w:type="pct"/>
                  <w:vMerge w:val="continue"/>
                  <w:tcBorders>
                    <w:tl2br w:val="nil"/>
                    <w:tr2bl w:val="nil"/>
                  </w:tcBorders>
                  <w:shd w:val="clear" w:color="auto" w:fill="auto"/>
                  <w:noWrap/>
                  <w:vAlign w:val="center"/>
                </w:tcPr>
                <w:p w14:paraId="1474A02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68A5E8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E63A8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29.39</w:t>
                  </w:r>
                </w:p>
              </w:tc>
              <w:tc>
                <w:tcPr>
                  <w:tcW w:w="342" w:type="pct"/>
                  <w:tcBorders>
                    <w:tl2br w:val="nil"/>
                    <w:tr2bl w:val="nil"/>
                  </w:tcBorders>
                  <w:shd w:val="clear" w:color="auto" w:fill="auto"/>
                  <w:noWrap/>
                  <w:vAlign w:val="center"/>
                </w:tcPr>
                <w:p w14:paraId="63C286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C4C3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BAEB5A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2BD15B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F4EC1A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54D985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BF1133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93030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-93.4</w:t>
                  </w:r>
                </w:p>
              </w:tc>
              <w:tc>
                <w:tcPr>
                  <w:tcW w:w="321" w:type="pct"/>
                  <w:tcBorders>
                    <w:tl2br w:val="nil"/>
                    <w:tr2bl w:val="nil"/>
                  </w:tcBorders>
                  <w:shd w:val="clear" w:color="auto" w:fill="auto"/>
                  <w:noWrap/>
                  <w:vAlign w:val="center"/>
                </w:tcPr>
                <w:p w14:paraId="74DAC0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w:t>
                  </w:r>
                </w:p>
              </w:tc>
              <w:tc>
                <w:tcPr>
                  <w:tcW w:w="232" w:type="pct"/>
                  <w:tcBorders>
                    <w:tl2br w:val="nil"/>
                    <w:tr2bl w:val="nil"/>
                  </w:tcBorders>
                  <w:shd w:val="clear" w:color="auto" w:fill="auto"/>
                  <w:noWrap/>
                  <w:vAlign w:val="center"/>
                </w:tcPr>
                <w:p w14:paraId="029D1F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0E04C4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5F5907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58.94</w:t>
                  </w:r>
                </w:p>
              </w:tc>
              <w:tc>
                <w:tcPr>
                  <w:tcW w:w="422" w:type="pct"/>
                  <w:tcBorders>
                    <w:tl2br w:val="nil"/>
                    <w:tr2bl w:val="nil"/>
                  </w:tcBorders>
                  <w:shd w:val="clear" w:color="auto" w:fill="auto"/>
                  <w:noWrap/>
                  <w:vAlign w:val="center"/>
                </w:tcPr>
                <w:p w14:paraId="06D543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6E8B71F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35FA15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0135A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7931B0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703C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561005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493732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928F5E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08C9A9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71D703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127A5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-93.4</w:t>
                  </w:r>
                </w:p>
              </w:tc>
              <w:tc>
                <w:tcPr>
                  <w:tcW w:w="321" w:type="pct"/>
                  <w:tcBorders>
                    <w:tl2br w:val="nil"/>
                    <w:tr2bl w:val="nil"/>
                  </w:tcBorders>
                  <w:shd w:val="clear" w:color="auto" w:fill="auto"/>
                  <w:noWrap/>
                  <w:vAlign w:val="center"/>
                </w:tcPr>
                <w:p w14:paraId="4D26E8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w:t>
                  </w:r>
                </w:p>
              </w:tc>
              <w:tc>
                <w:tcPr>
                  <w:tcW w:w="232" w:type="pct"/>
                  <w:tcBorders>
                    <w:tl2br w:val="nil"/>
                    <w:tr2bl w:val="nil"/>
                  </w:tcBorders>
                  <w:shd w:val="clear" w:color="auto" w:fill="auto"/>
                  <w:noWrap/>
                  <w:vAlign w:val="center"/>
                </w:tcPr>
                <w:p w14:paraId="1933A8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3A4930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36425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7.64</w:t>
                  </w:r>
                </w:p>
              </w:tc>
              <w:tc>
                <w:tcPr>
                  <w:tcW w:w="422" w:type="pct"/>
                  <w:tcBorders>
                    <w:tl2br w:val="nil"/>
                    <w:tr2bl w:val="nil"/>
                  </w:tcBorders>
                  <w:shd w:val="clear" w:color="auto" w:fill="auto"/>
                  <w:noWrap/>
                  <w:vAlign w:val="center"/>
                </w:tcPr>
                <w:p w14:paraId="41785B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55.99</w:t>
                  </w:r>
                </w:p>
              </w:tc>
              <w:tc>
                <w:tcPr>
                  <w:tcW w:w="300" w:type="pct"/>
                  <w:vMerge w:val="continue"/>
                  <w:tcBorders>
                    <w:tl2br w:val="nil"/>
                    <w:tr2bl w:val="nil"/>
                  </w:tcBorders>
                  <w:shd w:val="clear" w:color="auto" w:fill="auto"/>
                  <w:noWrap/>
                  <w:vAlign w:val="center"/>
                </w:tcPr>
                <w:p w14:paraId="3A0390B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5E5094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068F8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29.99</w:t>
                  </w:r>
                </w:p>
              </w:tc>
              <w:tc>
                <w:tcPr>
                  <w:tcW w:w="342" w:type="pct"/>
                  <w:tcBorders>
                    <w:tl2br w:val="nil"/>
                    <w:tr2bl w:val="nil"/>
                  </w:tcBorders>
                  <w:shd w:val="clear" w:color="auto" w:fill="auto"/>
                  <w:noWrap/>
                  <w:vAlign w:val="center"/>
                </w:tcPr>
                <w:p w14:paraId="30010E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0E03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0D2332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351" w:type="pct"/>
                  <w:vMerge w:val="continue"/>
                  <w:tcBorders>
                    <w:tl2br w:val="nil"/>
                    <w:tr2bl w:val="nil"/>
                  </w:tcBorders>
                  <w:shd w:val="clear" w:color="auto" w:fill="auto"/>
                  <w:noWrap/>
                  <w:vAlign w:val="center"/>
                </w:tcPr>
                <w:p w14:paraId="36057F25">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4D5D6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喷淋水泵</w:t>
                  </w:r>
                </w:p>
              </w:tc>
              <w:tc>
                <w:tcPr>
                  <w:tcW w:w="452" w:type="pct"/>
                  <w:vMerge w:val="restart"/>
                  <w:tcBorders>
                    <w:tl2br w:val="nil"/>
                    <w:tr2bl w:val="nil"/>
                  </w:tcBorders>
                  <w:shd w:val="clear" w:color="auto" w:fill="auto"/>
                  <w:noWrap/>
                  <w:vAlign w:val="center"/>
                </w:tcPr>
                <w:p w14:paraId="5A93D5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5B6399C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E6B20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-92.72</w:t>
                  </w:r>
                </w:p>
              </w:tc>
              <w:tc>
                <w:tcPr>
                  <w:tcW w:w="321" w:type="pct"/>
                  <w:tcBorders>
                    <w:tl2br w:val="nil"/>
                    <w:tr2bl w:val="nil"/>
                  </w:tcBorders>
                  <w:shd w:val="clear" w:color="auto" w:fill="auto"/>
                  <w:noWrap/>
                  <w:vAlign w:val="center"/>
                </w:tcPr>
                <w:p w14:paraId="5B835A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-20.48</w:t>
                  </w:r>
                </w:p>
              </w:tc>
              <w:tc>
                <w:tcPr>
                  <w:tcW w:w="232" w:type="pct"/>
                  <w:tcBorders>
                    <w:tl2br w:val="nil"/>
                    <w:tr2bl w:val="nil"/>
                  </w:tcBorders>
                  <w:shd w:val="clear" w:color="auto" w:fill="auto"/>
                  <w:noWrap/>
                  <w:vAlign w:val="center"/>
                </w:tcPr>
                <w:p w14:paraId="465A51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CC14F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8E622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24.65</w:t>
                  </w:r>
                </w:p>
              </w:tc>
              <w:tc>
                <w:tcPr>
                  <w:tcW w:w="422" w:type="pct"/>
                  <w:tcBorders>
                    <w:tl2br w:val="nil"/>
                    <w:tr2bl w:val="nil"/>
                  </w:tcBorders>
                  <w:shd w:val="clear" w:color="auto" w:fill="auto"/>
                  <w:noWrap/>
                  <w:vAlign w:val="center"/>
                </w:tcPr>
                <w:p w14:paraId="73BE40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55.41</w:t>
                  </w:r>
                </w:p>
              </w:tc>
              <w:tc>
                <w:tcPr>
                  <w:tcW w:w="300" w:type="pct"/>
                  <w:vMerge w:val="restart"/>
                  <w:tcBorders>
                    <w:tl2br w:val="nil"/>
                    <w:tr2bl w:val="nil"/>
                  </w:tcBorders>
                  <w:shd w:val="clear" w:color="auto" w:fill="auto"/>
                  <w:noWrap/>
                  <w:vAlign w:val="center"/>
                </w:tcPr>
                <w:p w14:paraId="54B47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4FA6652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A0415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29.41</w:t>
                  </w:r>
                </w:p>
              </w:tc>
              <w:tc>
                <w:tcPr>
                  <w:tcW w:w="342" w:type="pct"/>
                  <w:tcBorders>
                    <w:tl2br w:val="nil"/>
                    <w:tr2bl w:val="nil"/>
                  </w:tcBorders>
                  <w:shd w:val="clear" w:color="auto" w:fill="auto"/>
                  <w:noWrap/>
                  <w:vAlign w:val="center"/>
                </w:tcPr>
                <w:p w14:paraId="49C27B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F998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EA8762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78C66E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A8CC86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B7EBF7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BB8573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7896E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-92.72</w:t>
                  </w:r>
                </w:p>
              </w:tc>
              <w:tc>
                <w:tcPr>
                  <w:tcW w:w="321" w:type="pct"/>
                  <w:tcBorders>
                    <w:tl2br w:val="nil"/>
                    <w:tr2bl w:val="nil"/>
                  </w:tcBorders>
                  <w:shd w:val="clear" w:color="auto" w:fill="auto"/>
                  <w:noWrap/>
                  <w:vAlign w:val="center"/>
                </w:tcPr>
                <w:p w14:paraId="322280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-20.48</w:t>
                  </w:r>
                </w:p>
              </w:tc>
              <w:tc>
                <w:tcPr>
                  <w:tcW w:w="232" w:type="pct"/>
                  <w:tcBorders>
                    <w:tl2br w:val="nil"/>
                    <w:tr2bl w:val="nil"/>
                  </w:tcBorders>
                  <w:shd w:val="clear" w:color="auto" w:fill="auto"/>
                  <w:noWrap/>
                  <w:vAlign w:val="center"/>
                </w:tcPr>
                <w:p w14:paraId="2F96E4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A5C08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E1ACA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29.17</w:t>
                  </w:r>
                </w:p>
              </w:tc>
              <w:tc>
                <w:tcPr>
                  <w:tcW w:w="422" w:type="pct"/>
                  <w:tcBorders>
                    <w:tl2br w:val="nil"/>
                    <w:tr2bl w:val="nil"/>
                  </w:tcBorders>
                  <w:shd w:val="clear" w:color="auto" w:fill="auto"/>
                  <w:noWrap/>
                  <w:vAlign w:val="center"/>
                </w:tcPr>
                <w:p w14:paraId="4C3906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55.39</w:t>
                  </w:r>
                </w:p>
              </w:tc>
              <w:tc>
                <w:tcPr>
                  <w:tcW w:w="300" w:type="pct"/>
                  <w:vMerge w:val="continue"/>
                  <w:tcBorders>
                    <w:tl2br w:val="nil"/>
                    <w:tr2bl w:val="nil"/>
                  </w:tcBorders>
                  <w:shd w:val="clear" w:color="auto" w:fill="auto"/>
                  <w:noWrap/>
                  <w:vAlign w:val="center"/>
                </w:tcPr>
                <w:p w14:paraId="51BA388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EC4DCB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B0C89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29.39</w:t>
                  </w:r>
                </w:p>
              </w:tc>
              <w:tc>
                <w:tcPr>
                  <w:tcW w:w="342" w:type="pct"/>
                  <w:tcBorders>
                    <w:tl2br w:val="nil"/>
                    <w:tr2bl w:val="nil"/>
                  </w:tcBorders>
                  <w:shd w:val="clear" w:color="auto" w:fill="auto"/>
                  <w:noWrap/>
                  <w:vAlign w:val="center"/>
                </w:tcPr>
                <w:p w14:paraId="5BFB90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F988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BA52D0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6CCF32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7AB8FB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5388B2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96FF37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F5D8D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-92.72</w:t>
                  </w:r>
                </w:p>
              </w:tc>
              <w:tc>
                <w:tcPr>
                  <w:tcW w:w="321" w:type="pct"/>
                  <w:tcBorders>
                    <w:tl2br w:val="nil"/>
                    <w:tr2bl w:val="nil"/>
                  </w:tcBorders>
                  <w:shd w:val="clear" w:color="auto" w:fill="auto"/>
                  <w:noWrap/>
                  <w:vAlign w:val="center"/>
                </w:tcPr>
                <w:p w14:paraId="6893DC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-20.48</w:t>
                  </w:r>
                </w:p>
              </w:tc>
              <w:tc>
                <w:tcPr>
                  <w:tcW w:w="232" w:type="pct"/>
                  <w:tcBorders>
                    <w:tl2br w:val="nil"/>
                    <w:tr2bl w:val="nil"/>
                  </w:tcBorders>
                  <w:shd w:val="clear" w:color="auto" w:fill="auto"/>
                  <w:noWrap/>
                  <w:vAlign w:val="center"/>
                </w:tcPr>
                <w:p w14:paraId="01B974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30A042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574279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56.67</w:t>
                  </w:r>
                </w:p>
              </w:tc>
              <w:tc>
                <w:tcPr>
                  <w:tcW w:w="422" w:type="pct"/>
                  <w:tcBorders>
                    <w:tl2br w:val="nil"/>
                    <w:tr2bl w:val="nil"/>
                  </w:tcBorders>
                  <w:shd w:val="clear" w:color="auto" w:fill="auto"/>
                  <w:noWrap/>
                  <w:vAlign w:val="center"/>
                </w:tcPr>
                <w:p w14:paraId="4E28BF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084AB13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0B5A58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9AF04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357735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9F94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D7F1F9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9FAB19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9964DB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4A83F2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81B209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47FAD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-92.72</w:t>
                  </w:r>
                </w:p>
              </w:tc>
              <w:tc>
                <w:tcPr>
                  <w:tcW w:w="321" w:type="pct"/>
                  <w:tcBorders>
                    <w:tl2br w:val="nil"/>
                    <w:tr2bl w:val="nil"/>
                  </w:tcBorders>
                  <w:shd w:val="clear" w:color="auto" w:fill="auto"/>
                  <w:noWrap/>
                  <w:vAlign w:val="center"/>
                </w:tcPr>
                <w:p w14:paraId="6BF02C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-20.48</w:t>
                  </w:r>
                </w:p>
              </w:tc>
              <w:tc>
                <w:tcPr>
                  <w:tcW w:w="232" w:type="pct"/>
                  <w:tcBorders>
                    <w:tl2br w:val="nil"/>
                    <w:tr2bl w:val="nil"/>
                  </w:tcBorders>
                  <w:shd w:val="clear" w:color="auto" w:fill="auto"/>
                  <w:noWrap/>
                  <w:vAlign w:val="center"/>
                </w:tcPr>
                <w:p w14:paraId="40F8C1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14D89F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13C460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7.42</w:t>
                  </w:r>
                </w:p>
              </w:tc>
              <w:tc>
                <w:tcPr>
                  <w:tcW w:w="422" w:type="pct"/>
                  <w:tcBorders>
                    <w:tl2br w:val="nil"/>
                    <w:tr2bl w:val="nil"/>
                  </w:tcBorders>
                  <w:shd w:val="clear" w:color="auto" w:fill="auto"/>
                  <w:noWrap/>
                  <w:vAlign w:val="center"/>
                </w:tcPr>
                <w:p w14:paraId="2BA4E5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56.02</w:t>
                  </w:r>
                </w:p>
              </w:tc>
              <w:tc>
                <w:tcPr>
                  <w:tcW w:w="300" w:type="pct"/>
                  <w:vMerge w:val="continue"/>
                  <w:tcBorders>
                    <w:tl2br w:val="nil"/>
                    <w:tr2bl w:val="nil"/>
                  </w:tcBorders>
                  <w:shd w:val="clear" w:color="auto" w:fill="auto"/>
                  <w:noWrap/>
                  <w:vAlign w:val="center"/>
                </w:tcPr>
                <w:p w14:paraId="7B9CA00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926343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33D6B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30.02</w:t>
                  </w:r>
                </w:p>
              </w:tc>
              <w:tc>
                <w:tcPr>
                  <w:tcW w:w="342" w:type="pct"/>
                  <w:tcBorders>
                    <w:tl2br w:val="nil"/>
                    <w:tr2bl w:val="nil"/>
                  </w:tcBorders>
                  <w:shd w:val="clear" w:color="auto" w:fill="auto"/>
                  <w:noWrap/>
                  <w:vAlign w:val="center"/>
                </w:tcPr>
                <w:p w14:paraId="365E2A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200C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94071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51" w:type="pct"/>
                  <w:vMerge w:val="continue"/>
                  <w:tcBorders>
                    <w:tl2br w:val="nil"/>
                    <w:tr2bl w:val="nil"/>
                  </w:tcBorders>
                  <w:shd w:val="clear" w:color="auto" w:fill="auto"/>
                  <w:noWrap/>
                  <w:vAlign w:val="center"/>
                </w:tcPr>
                <w:p w14:paraId="1A3E3ADA">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CB1FB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预脱色油泵</w:t>
                  </w:r>
                </w:p>
              </w:tc>
              <w:tc>
                <w:tcPr>
                  <w:tcW w:w="452" w:type="pct"/>
                  <w:vMerge w:val="restart"/>
                  <w:tcBorders>
                    <w:tl2br w:val="nil"/>
                    <w:tr2bl w:val="nil"/>
                  </w:tcBorders>
                  <w:shd w:val="clear" w:color="auto" w:fill="auto"/>
                  <w:noWrap/>
                  <w:vAlign w:val="center"/>
                </w:tcPr>
                <w:p w14:paraId="7DB46A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099CB97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7E199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-91.9</w:t>
                  </w:r>
                </w:p>
              </w:tc>
              <w:tc>
                <w:tcPr>
                  <w:tcW w:w="321" w:type="pct"/>
                  <w:tcBorders>
                    <w:tl2br w:val="nil"/>
                    <w:tr2bl w:val="nil"/>
                  </w:tcBorders>
                  <w:shd w:val="clear" w:color="auto" w:fill="auto"/>
                  <w:noWrap/>
                  <w:vAlign w:val="center"/>
                </w:tcPr>
                <w:p w14:paraId="22981F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-23.21</w:t>
                  </w:r>
                </w:p>
              </w:tc>
              <w:tc>
                <w:tcPr>
                  <w:tcW w:w="232" w:type="pct"/>
                  <w:tcBorders>
                    <w:tl2br w:val="nil"/>
                    <w:tr2bl w:val="nil"/>
                  </w:tcBorders>
                  <w:shd w:val="clear" w:color="auto" w:fill="auto"/>
                  <w:noWrap/>
                  <w:vAlign w:val="center"/>
                </w:tcPr>
                <w:p w14:paraId="67D430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7FE546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A26AB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27.48</w:t>
                  </w:r>
                </w:p>
              </w:tc>
              <w:tc>
                <w:tcPr>
                  <w:tcW w:w="422" w:type="pct"/>
                  <w:tcBorders>
                    <w:tl2br w:val="nil"/>
                    <w:tr2bl w:val="nil"/>
                  </w:tcBorders>
                  <w:shd w:val="clear" w:color="auto" w:fill="auto"/>
                  <w:noWrap/>
                  <w:vAlign w:val="center"/>
                </w:tcPr>
                <w:p w14:paraId="418255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restart"/>
                  <w:tcBorders>
                    <w:tl2br w:val="nil"/>
                    <w:tr2bl w:val="nil"/>
                  </w:tcBorders>
                  <w:shd w:val="clear" w:color="auto" w:fill="auto"/>
                  <w:noWrap/>
                  <w:vAlign w:val="center"/>
                </w:tcPr>
                <w:p w14:paraId="6C5DEE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22F66A9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8A9B3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175046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9177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FD0294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776FF8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41CDCA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DDE3BF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200CC1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6E380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-91.9</w:t>
                  </w:r>
                </w:p>
              </w:tc>
              <w:tc>
                <w:tcPr>
                  <w:tcW w:w="321" w:type="pct"/>
                  <w:tcBorders>
                    <w:tl2br w:val="nil"/>
                    <w:tr2bl w:val="nil"/>
                  </w:tcBorders>
                  <w:shd w:val="clear" w:color="auto" w:fill="auto"/>
                  <w:noWrap/>
                  <w:vAlign w:val="center"/>
                </w:tcPr>
                <w:p w14:paraId="194290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-23.21</w:t>
                  </w:r>
                </w:p>
              </w:tc>
              <w:tc>
                <w:tcPr>
                  <w:tcW w:w="232" w:type="pct"/>
                  <w:tcBorders>
                    <w:tl2br w:val="nil"/>
                    <w:tr2bl w:val="nil"/>
                  </w:tcBorders>
                  <w:shd w:val="clear" w:color="auto" w:fill="auto"/>
                  <w:noWrap/>
                  <w:vAlign w:val="center"/>
                </w:tcPr>
                <w:p w14:paraId="54D259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ADAA2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AECBB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29.43</w:t>
                  </w:r>
                </w:p>
              </w:tc>
              <w:tc>
                <w:tcPr>
                  <w:tcW w:w="422" w:type="pct"/>
                  <w:tcBorders>
                    <w:tl2br w:val="nil"/>
                    <w:tr2bl w:val="nil"/>
                  </w:tcBorders>
                  <w:shd w:val="clear" w:color="auto" w:fill="auto"/>
                  <w:noWrap/>
                  <w:vAlign w:val="center"/>
                </w:tcPr>
                <w:p w14:paraId="6E2582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55.39</w:t>
                  </w:r>
                </w:p>
              </w:tc>
              <w:tc>
                <w:tcPr>
                  <w:tcW w:w="300" w:type="pct"/>
                  <w:vMerge w:val="continue"/>
                  <w:tcBorders>
                    <w:tl2br w:val="nil"/>
                    <w:tr2bl w:val="nil"/>
                  </w:tcBorders>
                  <w:shd w:val="clear" w:color="auto" w:fill="auto"/>
                  <w:noWrap/>
                  <w:vAlign w:val="center"/>
                </w:tcPr>
                <w:p w14:paraId="4CB3836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0757F1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4439A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29.39</w:t>
                  </w:r>
                </w:p>
              </w:tc>
              <w:tc>
                <w:tcPr>
                  <w:tcW w:w="342" w:type="pct"/>
                  <w:tcBorders>
                    <w:tl2br w:val="nil"/>
                    <w:tr2bl w:val="nil"/>
                  </w:tcBorders>
                  <w:shd w:val="clear" w:color="auto" w:fill="auto"/>
                  <w:noWrap/>
                  <w:vAlign w:val="center"/>
                </w:tcPr>
                <w:p w14:paraId="65DD15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7BC8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5B9FD2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B48E54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18AB99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AD845D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D282ED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75608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-91.9</w:t>
                  </w:r>
                </w:p>
              </w:tc>
              <w:tc>
                <w:tcPr>
                  <w:tcW w:w="321" w:type="pct"/>
                  <w:tcBorders>
                    <w:tl2br w:val="nil"/>
                    <w:tr2bl w:val="nil"/>
                  </w:tcBorders>
                  <w:shd w:val="clear" w:color="auto" w:fill="auto"/>
                  <w:noWrap/>
                  <w:vAlign w:val="center"/>
                </w:tcPr>
                <w:p w14:paraId="0198A8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-23.21</w:t>
                  </w:r>
                </w:p>
              </w:tc>
              <w:tc>
                <w:tcPr>
                  <w:tcW w:w="232" w:type="pct"/>
                  <w:tcBorders>
                    <w:tl2br w:val="nil"/>
                    <w:tr2bl w:val="nil"/>
                  </w:tcBorders>
                  <w:shd w:val="clear" w:color="auto" w:fill="auto"/>
                  <w:noWrap/>
                  <w:vAlign w:val="center"/>
                </w:tcPr>
                <w:p w14:paraId="3C8541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7DD06A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79EA7F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53.83</w:t>
                  </w:r>
                </w:p>
              </w:tc>
              <w:tc>
                <w:tcPr>
                  <w:tcW w:w="422" w:type="pct"/>
                  <w:tcBorders>
                    <w:tl2br w:val="nil"/>
                    <w:tr2bl w:val="nil"/>
                  </w:tcBorders>
                  <w:shd w:val="clear" w:color="auto" w:fill="auto"/>
                  <w:noWrap/>
                  <w:vAlign w:val="center"/>
                </w:tcPr>
                <w:p w14:paraId="0FC1F8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1B31F0E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1BBD0F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A92D5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1DECC8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B25B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7920CC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648295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8FD8AC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DD0B60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825530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F6613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-91.9</w:t>
                  </w:r>
                </w:p>
              </w:tc>
              <w:tc>
                <w:tcPr>
                  <w:tcW w:w="321" w:type="pct"/>
                  <w:tcBorders>
                    <w:tl2br w:val="nil"/>
                    <w:tr2bl w:val="nil"/>
                  </w:tcBorders>
                  <w:shd w:val="clear" w:color="auto" w:fill="auto"/>
                  <w:noWrap/>
                  <w:vAlign w:val="center"/>
                </w:tcPr>
                <w:p w14:paraId="5D3DE2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-23.21</w:t>
                  </w:r>
                </w:p>
              </w:tc>
              <w:tc>
                <w:tcPr>
                  <w:tcW w:w="232" w:type="pct"/>
                  <w:tcBorders>
                    <w:tl2br w:val="nil"/>
                    <w:tr2bl w:val="nil"/>
                  </w:tcBorders>
                  <w:shd w:val="clear" w:color="auto" w:fill="auto"/>
                  <w:noWrap/>
                  <w:vAlign w:val="center"/>
                </w:tcPr>
                <w:p w14:paraId="2EBC15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A53D0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B3444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7.12</w:t>
                  </w:r>
                </w:p>
              </w:tc>
              <w:tc>
                <w:tcPr>
                  <w:tcW w:w="422" w:type="pct"/>
                  <w:tcBorders>
                    <w:tl2br w:val="nil"/>
                    <w:tr2bl w:val="nil"/>
                  </w:tcBorders>
                  <w:shd w:val="clear" w:color="auto" w:fill="auto"/>
                  <w:noWrap/>
                  <w:vAlign w:val="center"/>
                </w:tcPr>
                <w:p w14:paraId="4120CE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56.08</w:t>
                  </w:r>
                </w:p>
              </w:tc>
              <w:tc>
                <w:tcPr>
                  <w:tcW w:w="300" w:type="pct"/>
                  <w:vMerge w:val="continue"/>
                  <w:tcBorders>
                    <w:tl2br w:val="nil"/>
                    <w:tr2bl w:val="nil"/>
                  </w:tcBorders>
                  <w:shd w:val="clear" w:color="auto" w:fill="auto"/>
                  <w:noWrap/>
                  <w:vAlign w:val="center"/>
                </w:tcPr>
                <w:p w14:paraId="233A7B1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2EF699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ED40F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30.08</w:t>
                  </w:r>
                </w:p>
              </w:tc>
              <w:tc>
                <w:tcPr>
                  <w:tcW w:w="342" w:type="pct"/>
                  <w:tcBorders>
                    <w:tl2br w:val="nil"/>
                    <w:tr2bl w:val="nil"/>
                  </w:tcBorders>
                  <w:shd w:val="clear" w:color="auto" w:fill="auto"/>
                  <w:noWrap/>
                  <w:vAlign w:val="center"/>
                </w:tcPr>
                <w:p w14:paraId="490D2D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1A0F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4291B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51" w:type="pct"/>
                  <w:vMerge w:val="continue"/>
                  <w:tcBorders>
                    <w:tl2br w:val="nil"/>
                    <w:tr2bl w:val="nil"/>
                  </w:tcBorders>
                  <w:shd w:val="clear" w:color="auto" w:fill="auto"/>
                  <w:noWrap/>
                  <w:vAlign w:val="center"/>
                </w:tcPr>
                <w:p w14:paraId="1625C5C9">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FF151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脱味油泵</w:t>
                  </w:r>
                </w:p>
              </w:tc>
              <w:tc>
                <w:tcPr>
                  <w:tcW w:w="452" w:type="pct"/>
                  <w:vMerge w:val="restart"/>
                  <w:tcBorders>
                    <w:tl2br w:val="nil"/>
                    <w:tr2bl w:val="nil"/>
                  </w:tcBorders>
                  <w:shd w:val="clear" w:color="auto" w:fill="auto"/>
                  <w:noWrap/>
                  <w:vAlign w:val="center"/>
                </w:tcPr>
                <w:p w14:paraId="67D2E9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7009FC2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FA544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-89.85</w:t>
                  </w:r>
                </w:p>
              </w:tc>
              <w:tc>
                <w:tcPr>
                  <w:tcW w:w="321" w:type="pct"/>
                  <w:tcBorders>
                    <w:tl2br w:val="nil"/>
                    <w:tr2bl w:val="nil"/>
                  </w:tcBorders>
                  <w:shd w:val="clear" w:color="auto" w:fill="auto"/>
                  <w:noWrap/>
                  <w:vAlign w:val="center"/>
                </w:tcPr>
                <w:p w14:paraId="61FA41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-25.94</w:t>
                  </w:r>
                </w:p>
              </w:tc>
              <w:tc>
                <w:tcPr>
                  <w:tcW w:w="232" w:type="pct"/>
                  <w:tcBorders>
                    <w:tl2br w:val="nil"/>
                    <w:tr2bl w:val="nil"/>
                  </w:tcBorders>
                  <w:shd w:val="clear" w:color="auto" w:fill="auto"/>
                  <w:noWrap/>
                  <w:vAlign w:val="center"/>
                </w:tcPr>
                <w:p w14:paraId="5E3DC7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9DC21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55F8C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30.79</w:t>
                  </w:r>
                </w:p>
              </w:tc>
              <w:tc>
                <w:tcPr>
                  <w:tcW w:w="422" w:type="pct"/>
                  <w:tcBorders>
                    <w:tl2br w:val="nil"/>
                    <w:tr2bl w:val="nil"/>
                  </w:tcBorders>
                  <w:shd w:val="clear" w:color="auto" w:fill="auto"/>
                  <w:noWrap/>
                  <w:vAlign w:val="center"/>
                </w:tcPr>
                <w:p w14:paraId="68DE78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55.39</w:t>
                  </w:r>
                </w:p>
              </w:tc>
              <w:tc>
                <w:tcPr>
                  <w:tcW w:w="300" w:type="pct"/>
                  <w:vMerge w:val="restart"/>
                  <w:tcBorders>
                    <w:tl2br w:val="nil"/>
                    <w:tr2bl w:val="nil"/>
                  </w:tcBorders>
                  <w:shd w:val="clear" w:color="auto" w:fill="auto"/>
                  <w:noWrap/>
                  <w:vAlign w:val="center"/>
                </w:tcPr>
                <w:p w14:paraId="6D435A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DD5130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92B41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29.39</w:t>
                  </w:r>
                </w:p>
              </w:tc>
              <w:tc>
                <w:tcPr>
                  <w:tcW w:w="342" w:type="pct"/>
                  <w:tcBorders>
                    <w:tl2br w:val="nil"/>
                    <w:tr2bl w:val="nil"/>
                  </w:tcBorders>
                  <w:shd w:val="clear" w:color="auto" w:fill="auto"/>
                  <w:noWrap/>
                  <w:vAlign w:val="center"/>
                </w:tcPr>
                <w:p w14:paraId="07FCF1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F45B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664269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C31F34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41EA67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444FD4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FFD212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CA598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-89.85</w:t>
                  </w:r>
                </w:p>
              </w:tc>
              <w:tc>
                <w:tcPr>
                  <w:tcW w:w="321" w:type="pct"/>
                  <w:tcBorders>
                    <w:tl2br w:val="nil"/>
                    <w:tr2bl w:val="nil"/>
                  </w:tcBorders>
                  <w:shd w:val="clear" w:color="auto" w:fill="auto"/>
                  <w:noWrap/>
                  <w:vAlign w:val="center"/>
                </w:tcPr>
                <w:p w14:paraId="54C378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-25.94</w:t>
                  </w:r>
                </w:p>
              </w:tc>
              <w:tc>
                <w:tcPr>
                  <w:tcW w:w="232" w:type="pct"/>
                  <w:tcBorders>
                    <w:tl2br w:val="nil"/>
                    <w:tr2bl w:val="nil"/>
                  </w:tcBorders>
                  <w:shd w:val="clear" w:color="auto" w:fill="auto"/>
                  <w:noWrap/>
                  <w:vAlign w:val="center"/>
                </w:tcPr>
                <w:p w14:paraId="120738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77216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6AAEE7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422" w:type="pct"/>
                  <w:tcBorders>
                    <w:tl2br w:val="nil"/>
                    <w:tr2bl w:val="nil"/>
                  </w:tcBorders>
                  <w:shd w:val="clear" w:color="auto" w:fill="auto"/>
                  <w:noWrap/>
                  <w:vAlign w:val="center"/>
                </w:tcPr>
                <w:p w14:paraId="1C6CC6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40F5BFE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48E403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5C113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7C175D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9538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7B39E9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FF200B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0CE83D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6E2C7D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EEBDFC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FF813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-89.85</w:t>
                  </w:r>
                </w:p>
              </w:tc>
              <w:tc>
                <w:tcPr>
                  <w:tcW w:w="321" w:type="pct"/>
                  <w:tcBorders>
                    <w:tl2br w:val="nil"/>
                    <w:tr2bl w:val="nil"/>
                  </w:tcBorders>
                  <w:shd w:val="clear" w:color="auto" w:fill="auto"/>
                  <w:noWrap/>
                  <w:vAlign w:val="center"/>
                </w:tcPr>
                <w:p w14:paraId="433F03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-25.94</w:t>
                  </w:r>
                </w:p>
              </w:tc>
              <w:tc>
                <w:tcPr>
                  <w:tcW w:w="232" w:type="pct"/>
                  <w:tcBorders>
                    <w:tl2br w:val="nil"/>
                    <w:tr2bl w:val="nil"/>
                  </w:tcBorders>
                  <w:shd w:val="clear" w:color="auto" w:fill="auto"/>
                  <w:noWrap/>
                  <w:vAlign w:val="center"/>
                </w:tcPr>
                <w:p w14:paraId="1B44AA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1A69CA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1E077C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50.52</w:t>
                  </w:r>
                </w:p>
              </w:tc>
              <w:tc>
                <w:tcPr>
                  <w:tcW w:w="422" w:type="pct"/>
                  <w:tcBorders>
                    <w:tl2br w:val="nil"/>
                    <w:tr2bl w:val="nil"/>
                  </w:tcBorders>
                  <w:shd w:val="clear" w:color="auto" w:fill="auto"/>
                  <w:noWrap/>
                  <w:vAlign w:val="center"/>
                </w:tcPr>
                <w:p w14:paraId="25DC4A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7FFFA85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2377EB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D525B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03F370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1F25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2D99857">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1893A7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2058B1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3A2BAD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316C17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5D818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-89.85</w:t>
                  </w:r>
                </w:p>
              </w:tc>
              <w:tc>
                <w:tcPr>
                  <w:tcW w:w="321" w:type="pct"/>
                  <w:tcBorders>
                    <w:tl2br w:val="nil"/>
                    <w:tr2bl w:val="nil"/>
                  </w:tcBorders>
                  <w:shd w:val="clear" w:color="auto" w:fill="auto"/>
                  <w:noWrap/>
                  <w:vAlign w:val="center"/>
                </w:tcPr>
                <w:p w14:paraId="57441D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-25.94</w:t>
                  </w:r>
                </w:p>
              </w:tc>
              <w:tc>
                <w:tcPr>
                  <w:tcW w:w="232" w:type="pct"/>
                  <w:tcBorders>
                    <w:tl2br w:val="nil"/>
                    <w:tr2bl w:val="nil"/>
                  </w:tcBorders>
                  <w:shd w:val="clear" w:color="auto" w:fill="auto"/>
                  <w:noWrap/>
                  <w:vAlign w:val="center"/>
                </w:tcPr>
                <w:p w14:paraId="46302E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58121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7138A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7.96</w:t>
                  </w:r>
                </w:p>
              </w:tc>
              <w:tc>
                <w:tcPr>
                  <w:tcW w:w="422" w:type="pct"/>
                  <w:tcBorders>
                    <w:tl2br w:val="nil"/>
                    <w:tr2bl w:val="nil"/>
                  </w:tcBorders>
                  <w:shd w:val="clear" w:color="auto" w:fill="auto"/>
                  <w:noWrap/>
                  <w:vAlign w:val="center"/>
                </w:tcPr>
                <w:p w14:paraId="37C49C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55.94</w:t>
                  </w:r>
                </w:p>
              </w:tc>
              <w:tc>
                <w:tcPr>
                  <w:tcW w:w="300" w:type="pct"/>
                  <w:vMerge w:val="continue"/>
                  <w:tcBorders>
                    <w:tl2br w:val="nil"/>
                    <w:tr2bl w:val="nil"/>
                  </w:tcBorders>
                  <w:shd w:val="clear" w:color="auto" w:fill="auto"/>
                  <w:noWrap/>
                  <w:vAlign w:val="center"/>
                </w:tcPr>
                <w:p w14:paraId="77ABD54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7A939F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4D43A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29.94</w:t>
                  </w:r>
                </w:p>
              </w:tc>
              <w:tc>
                <w:tcPr>
                  <w:tcW w:w="342" w:type="pct"/>
                  <w:tcBorders>
                    <w:tl2br w:val="nil"/>
                    <w:tr2bl w:val="nil"/>
                  </w:tcBorders>
                  <w:shd w:val="clear" w:color="auto" w:fill="auto"/>
                  <w:noWrap/>
                  <w:vAlign w:val="center"/>
                </w:tcPr>
                <w:p w14:paraId="79B77C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EBDB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31B99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351" w:type="pct"/>
                  <w:vMerge w:val="continue"/>
                  <w:tcBorders>
                    <w:tl2br w:val="nil"/>
                    <w:tr2bl w:val="nil"/>
                  </w:tcBorders>
                  <w:shd w:val="clear" w:color="auto" w:fill="auto"/>
                  <w:noWrap/>
                  <w:vAlign w:val="center"/>
                </w:tcPr>
                <w:p w14:paraId="0B480E9F">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43CC7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脱色油泵</w:t>
                  </w:r>
                </w:p>
              </w:tc>
              <w:tc>
                <w:tcPr>
                  <w:tcW w:w="452" w:type="pct"/>
                  <w:vMerge w:val="restart"/>
                  <w:tcBorders>
                    <w:tl2br w:val="nil"/>
                    <w:tr2bl w:val="nil"/>
                  </w:tcBorders>
                  <w:shd w:val="clear" w:color="auto" w:fill="auto"/>
                  <w:noWrap/>
                  <w:vAlign w:val="center"/>
                </w:tcPr>
                <w:p w14:paraId="6662E0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3505316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A54F5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-88.49</w:t>
                  </w:r>
                </w:p>
              </w:tc>
              <w:tc>
                <w:tcPr>
                  <w:tcW w:w="321" w:type="pct"/>
                  <w:tcBorders>
                    <w:tl2br w:val="nil"/>
                    <w:tr2bl w:val="nil"/>
                  </w:tcBorders>
                  <w:shd w:val="clear" w:color="auto" w:fill="auto"/>
                  <w:noWrap/>
                  <w:vAlign w:val="center"/>
                </w:tcPr>
                <w:p w14:paraId="162A0B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232" w:type="pct"/>
                  <w:tcBorders>
                    <w:tl2br w:val="nil"/>
                    <w:tr2bl w:val="nil"/>
                  </w:tcBorders>
                  <w:shd w:val="clear" w:color="auto" w:fill="auto"/>
                  <w:noWrap/>
                  <w:vAlign w:val="center"/>
                </w:tcPr>
                <w:p w14:paraId="45B739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69FA33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2E848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34.46</w:t>
                  </w:r>
                </w:p>
              </w:tc>
              <w:tc>
                <w:tcPr>
                  <w:tcW w:w="422" w:type="pct"/>
                  <w:tcBorders>
                    <w:tl2br w:val="nil"/>
                    <w:tr2bl w:val="nil"/>
                  </w:tcBorders>
                  <w:shd w:val="clear" w:color="auto" w:fill="auto"/>
                  <w:noWrap/>
                  <w:vAlign w:val="center"/>
                </w:tcPr>
                <w:p w14:paraId="4584BD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restart"/>
                  <w:tcBorders>
                    <w:tl2br w:val="nil"/>
                    <w:tr2bl w:val="nil"/>
                  </w:tcBorders>
                  <w:shd w:val="clear" w:color="auto" w:fill="auto"/>
                  <w:noWrap/>
                  <w:vAlign w:val="center"/>
                </w:tcPr>
                <w:p w14:paraId="7EC8EE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4DA5EA4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07A7E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1CF1C2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E9BE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8B6A4F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8200A7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C803CE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9137CD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8658B5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EA19F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-88.49</w:t>
                  </w:r>
                </w:p>
              </w:tc>
              <w:tc>
                <w:tcPr>
                  <w:tcW w:w="321" w:type="pct"/>
                  <w:tcBorders>
                    <w:tl2br w:val="nil"/>
                    <w:tr2bl w:val="nil"/>
                  </w:tcBorders>
                  <w:shd w:val="clear" w:color="auto" w:fill="auto"/>
                  <w:noWrap/>
                  <w:vAlign w:val="center"/>
                </w:tcPr>
                <w:p w14:paraId="5D5FB3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232" w:type="pct"/>
                  <w:tcBorders>
                    <w:tl2br w:val="nil"/>
                    <w:tr2bl w:val="nil"/>
                  </w:tcBorders>
                  <w:shd w:val="clear" w:color="auto" w:fill="auto"/>
                  <w:noWrap/>
                  <w:vAlign w:val="center"/>
                </w:tcPr>
                <w:p w14:paraId="22F2B3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6151AA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5D9DD3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28.57</w:t>
                  </w:r>
                </w:p>
              </w:tc>
              <w:tc>
                <w:tcPr>
                  <w:tcW w:w="422" w:type="pct"/>
                  <w:tcBorders>
                    <w:tl2br w:val="nil"/>
                    <w:tr2bl w:val="nil"/>
                  </w:tcBorders>
                  <w:shd w:val="clear" w:color="auto" w:fill="auto"/>
                  <w:noWrap/>
                  <w:vAlign w:val="center"/>
                </w:tcPr>
                <w:p w14:paraId="210BCA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7A48ACE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EC8549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40E33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253ACF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2C17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0A7344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0CC7C7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44CF68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B371E2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47A407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ACD28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-88.49</w:t>
                  </w:r>
                </w:p>
              </w:tc>
              <w:tc>
                <w:tcPr>
                  <w:tcW w:w="321" w:type="pct"/>
                  <w:tcBorders>
                    <w:tl2br w:val="nil"/>
                    <w:tr2bl w:val="nil"/>
                  </w:tcBorders>
                  <w:shd w:val="clear" w:color="auto" w:fill="auto"/>
                  <w:noWrap/>
                  <w:vAlign w:val="center"/>
                </w:tcPr>
                <w:p w14:paraId="497A3D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232" w:type="pct"/>
                  <w:tcBorders>
                    <w:tl2br w:val="nil"/>
                    <w:tr2bl w:val="nil"/>
                  </w:tcBorders>
                  <w:shd w:val="clear" w:color="auto" w:fill="auto"/>
                  <w:noWrap/>
                  <w:vAlign w:val="center"/>
                </w:tcPr>
                <w:p w14:paraId="682CC9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0B17EB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5BFFDB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46.85</w:t>
                  </w:r>
                </w:p>
              </w:tc>
              <w:tc>
                <w:tcPr>
                  <w:tcW w:w="422" w:type="pct"/>
                  <w:tcBorders>
                    <w:tl2br w:val="nil"/>
                    <w:tr2bl w:val="nil"/>
                  </w:tcBorders>
                  <w:shd w:val="clear" w:color="auto" w:fill="auto"/>
                  <w:noWrap/>
                  <w:vAlign w:val="center"/>
                </w:tcPr>
                <w:p w14:paraId="13A67E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186E60A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1B5DBF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05E9A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42A28B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6B4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62EA40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C648C7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FD2DF5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D55C8B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762617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E3ED3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-88.49</w:t>
                  </w:r>
                </w:p>
              </w:tc>
              <w:tc>
                <w:tcPr>
                  <w:tcW w:w="321" w:type="pct"/>
                  <w:tcBorders>
                    <w:tl2br w:val="nil"/>
                    <w:tr2bl w:val="nil"/>
                  </w:tcBorders>
                  <w:shd w:val="clear" w:color="auto" w:fill="auto"/>
                  <w:noWrap/>
                  <w:vAlign w:val="center"/>
                </w:tcPr>
                <w:p w14:paraId="48F13F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232" w:type="pct"/>
                  <w:tcBorders>
                    <w:tl2br w:val="nil"/>
                    <w:tr2bl w:val="nil"/>
                  </w:tcBorders>
                  <w:shd w:val="clear" w:color="auto" w:fill="auto"/>
                  <w:noWrap/>
                  <w:vAlign w:val="center"/>
                </w:tcPr>
                <w:p w14:paraId="0815EF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66776F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5F10C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7.90</w:t>
                  </w:r>
                </w:p>
              </w:tc>
              <w:tc>
                <w:tcPr>
                  <w:tcW w:w="422" w:type="pct"/>
                  <w:tcBorders>
                    <w:tl2br w:val="nil"/>
                    <w:tr2bl w:val="nil"/>
                  </w:tcBorders>
                  <w:shd w:val="clear" w:color="auto" w:fill="auto"/>
                  <w:noWrap/>
                  <w:vAlign w:val="center"/>
                </w:tcPr>
                <w:p w14:paraId="20BEF0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55.95</w:t>
                  </w:r>
                </w:p>
              </w:tc>
              <w:tc>
                <w:tcPr>
                  <w:tcW w:w="300" w:type="pct"/>
                  <w:vMerge w:val="continue"/>
                  <w:tcBorders>
                    <w:tl2br w:val="nil"/>
                    <w:tr2bl w:val="nil"/>
                  </w:tcBorders>
                  <w:shd w:val="clear" w:color="auto" w:fill="auto"/>
                  <w:noWrap/>
                  <w:vAlign w:val="center"/>
                </w:tcPr>
                <w:p w14:paraId="4BABBBC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D2D3E5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6F543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29.95</w:t>
                  </w:r>
                </w:p>
              </w:tc>
              <w:tc>
                <w:tcPr>
                  <w:tcW w:w="342" w:type="pct"/>
                  <w:tcBorders>
                    <w:tl2br w:val="nil"/>
                    <w:tr2bl w:val="nil"/>
                  </w:tcBorders>
                  <w:shd w:val="clear" w:color="auto" w:fill="auto"/>
                  <w:noWrap/>
                  <w:vAlign w:val="center"/>
                </w:tcPr>
                <w:p w14:paraId="2B9325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3D9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694E6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351" w:type="pct"/>
                  <w:vMerge w:val="continue"/>
                  <w:tcBorders>
                    <w:tl2br w:val="nil"/>
                    <w:tr2bl w:val="nil"/>
                  </w:tcBorders>
                  <w:shd w:val="clear" w:color="auto" w:fill="auto"/>
                  <w:noWrap/>
                  <w:vAlign w:val="center"/>
                </w:tcPr>
                <w:p w14:paraId="78DA2049">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4F3137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酸反应泵</w:t>
                  </w:r>
                </w:p>
              </w:tc>
              <w:tc>
                <w:tcPr>
                  <w:tcW w:w="452" w:type="pct"/>
                  <w:vMerge w:val="restart"/>
                  <w:tcBorders>
                    <w:tl2br w:val="nil"/>
                    <w:tr2bl w:val="nil"/>
                  </w:tcBorders>
                  <w:shd w:val="clear" w:color="auto" w:fill="auto"/>
                  <w:noWrap/>
                  <w:vAlign w:val="center"/>
                </w:tcPr>
                <w:p w14:paraId="2B27E8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EFEC24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7DC61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-86.58</w:t>
                  </w:r>
                </w:p>
              </w:tc>
              <w:tc>
                <w:tcPr>
                  <w:tcW w:w="321" w:type="pct"/>
                  <w:tcBorders>
                    <w:tl2br w:val="nil"/>
                    <w:tr2bl w:val="nil"/>
                  </w:tcBorders>
                  <w:shd w:val="clear" w:color="auto" w:fill="auto"/>
                  <w:noWrap/>
                  <w:vAlign w:val="center"/>
                </w:tcPr>
                <w:p w14:paraId="550CAB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-33.44</w:t>
                  </w:r>
                </w:p>
              </w:tc>
              <w:tc>
                <w:tcPr>
                  <w:tcW w:w="232" w:type="pct"/>
                  <w:tcBorders>
                    <w:tl2br w:val="nil"/>
                    <w:tr2bl w:val="nil"/>
                  </w:tcBorders>
                  <w:shd w:val="clear" w:color="auto" w:fill="auto"/>
                  <w:noWrap/>
                  <w:vAlign w:val="center"/>
                </w:tcPr>
                <w:p w14:paraId="21E99E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B64E3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08C189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38.97</w:t>
                  </w:r>
                </w:p>
              </w:tc>
              <w:tc>
                <w:tcPr>
                  <w:tcW w:w="422" w:type="pct"/>
                  <w:tcBorders>
                    <w:tl2br w:val="nil"/>
                    <w:tr2bl w:val="nil"/>
                  </w:tcBorders>
                  <w:shd w:val="clear" w:color="auto" w:fill="auto"/>
                  <w:noWrap/>
                  <w:vAlign w:val="center"/>
                </w:tcPr>
                <w:p w14:paraId="31A9CA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restart"/>
                  <w:tcBorders>
                    <w:tl2br w:val="nil"/>
                    <w:tr2bl w:val="nil"/>
                  </w:tcBorders>
                  <w:shd w:val="clear" w:color="auto" w:fill="auto"/>
                  <w:noWrap/>
                  <w:vAlign w:val="center"/>
                </w:tcPr>
                <w:p w14:paraId="5EC43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7E55E17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CF531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37BB42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0056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B91B50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1DC471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E0C7FA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A63218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330B12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78F2D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-86.58</w:t>
                  </w:r>
                </w:p>
              </w:tc>
              <w:tc>
                <w:tcPr>
                  <w:tcW w:w="321" w:type="pct"/>
                  <w:tcBorders>
                    <w:tl2br w:val="nil"/>
                    <w:tr2bl w:val="nil"/>
                  </w:tcBorders>
                  <w:shd w:val="clear" w:color="auto" w:fill="auto"/>
                  <w:noWrap/>
                  <w:vAlign w:val="center"/>
                </w:tcPr>
                <w:p w14:paraId="5C4943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-33.44</w:t>
                  </w:r>
                </w:p>
              </w:tc>
              <w:tc>
                <w:tcPr>
                  <w:tcW w:w="232" w:type="pct"/>
                  <w:tcBorders>
                    <w:tl2br w:val="nil"/>
                    <w:tr2bl w:val="nil"/>
                  </w:tcBorders>
                  <w:shd w:val="clear" w:color="auto" w:fill="auto"/>
                  <w:noWrap/>
                  <w:vAlign w:val="center"/>
                </w:tcPr>
                <w:p w14:paraId="1D0DEB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41AD0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9DF18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28.33</w:t>
                  </w:r>
                </w:p>
              </w:tc>
              <w:tc>
                <w:tcPr>
                  <w:tcW w:w="422" w:type="pct"/>
                  <w:tcBorders>
                    <w:tl2br w:val="nil"/>
                    <w:tr2bl w:val="nil"/>
                  </w:tcBorders>
                  <w:shd w:val="clear" w:color="auto" w:fill="auto"/>
                  <w:noWrap/>
                  <w:vAlign w:val="center"/>
                </w:tcPr>
                <w:p w14:paraId="5E0739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681C913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D0B9A6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20D8D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717AD6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B64A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A4F9E4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84E2C0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0A5C29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D68085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45C840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C4425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-86.58</w:t>
                  </w:r>
                </w:p>
              </w:tc>
              <w:tc>
                <w:tcPr>
                  <w:tcW w:w="321" w:type="pct"/>
                  <w:tcBorders>
                    <w:tl2br w:val="nil"/>
                    <w:tr2bl w:val="nil"/>
                  </w:tcBorders>
                  <w:shd w:val="clear" w:color="auto" w:fill="auto"/>
                  <w:noWrap/>
                  <w:vAlign w:val="center"/>
                </w:tcPr>
                <w:p w14:paraId="367443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-33.44</w:t>
                  </w:r>
                </w:p>
              </w:tc>
              <w:tc>
                <w:tcPr>
                  <w:tcW w:w="232" w:type="pct"/>
                  <w:tcBorders>
                    <w:tl2br w:val="nil"/>
                    <w:tr2bl w:val="nil"/>
                  </w:tcBorders>
                  <w:shd w:val="clear" w:color="auto" w:fill="auto"/>
                  <w:noWrap/>
                  <w:vAlign w:val="center"/>
                </w:tcPr>
                <w:p w14:paraId="51D31A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7A491C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F1382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42.34</w:t>
                  </w:r>
                </w:p>
              </w:tc>
              <w:tc>
                <w:tcPr>
                  <w:tcW w:w="422" w:type="pct"/>
                  <w:tcBorders>
                    <w:tl2br w:val="nil"/>
                    <w:tr2bl w:val="nil"/>
                  </w:tcBorders>
                  <w:shd w:val="clear" w:color="auto" w:fill="auto"/>
                  <w:noWrap/>
                  <w:vAlign w:val="center"/>
                </w:tcPr>
                <w:p w14:paraId="2FF710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1CCA290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E9880E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E0D83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7A5CBB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F9A6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339CC9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AB85EA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84D0414">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BCBAB0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4CC1DE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C47B1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-86.58</w:t>
                  </w:r>
                </w:p>
              </w:tc>
              <w:tc>
                <w:tcPr>
                  <w:tcW w:w="321" w:type="pct"/>
                  <w:tcBorders>
                    <w:tl2br w:val="nil"/>
                    <w:tr2bl w:val="nil"/>
                  </w:tcBorders>
                  <w:shd w:val="clear" w:color="auto" w:fill="auto"/>
                  <w:noWrap/>
                  <w:vAlign w:val="center"/>
                </w:tcPr>
                <w:p w14:paraId="6736E1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-33.44</w:t>
                  </w:r>
                </w:p>
              </w:tc>
              <w:tc>
                <w:tcPr>
                  <w:tcW w:w="232" w:type="pct"/>
                  <w:tcBorders>
                    <w:tl2br w:val="nil"/>
                    <w:tr2bl w:val="nil"/>
                  </w:tcBorders>
                  <w:shd w:val="clear" w:color="auto" w:fill="auto"/>
                  <w:noWrap/>
                  <w:vAlign w:val="center"/>
                </w:tcPr>
                <w:p w14:paraId="06BB98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3C11DE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12BB6C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8.08</w:t>
                  </w:r>
                </w:p>
              </w:tc>
              <w:tc>
                <w:tcPr>
                  <w:tcW w:w="422" w:type="pct"/>
                  <w:tcBorders>
                    <w:tl2br w:val="nil"/>
                    <w:tr2bl w:val="nil"/>
                  </w:tcBorders>
                  <w:shd w:val="clear" w:color="auto" w:fill="auto"/>
                  <w:noWrap/>
                  <w:vAlign w:val="center"/>
                </w:tcPr>
                <w:p w14:paraId="33B7B8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55.92</w:t>
                  </w:r>
                </w:p>
              </w:tc>
              <w:tc>
                <w:tcPr>
                  <w:tcW w:w="300" w:type="pct"/>
                  <w:vMerge w:val="continue"/>
                  <w:tcBorders>
                    <w:tl2br w:val="nil"/>
                    <w:tr2bl w:val="nil"/>
                  </w:tcBorders>
                  <w:shd w:val="clear" w:color="auto" w:fill="auto"/>
                  <w:noWrap/>
                  <w:vAlign w:val="center"/>
                </w:tcPr>
                <w:p w14:paraId="6C0BAF2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C20D82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0179E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29.92</w:t>
                  </w:r>
                </w:p>
              </w:tc>
              <w:tc>
                <w:tcPr>
                  <w:tcW w:w="342" w:type="pct"/>
                  <w:tcBorders>
                    <w:tl2br w:val="nil"/>
                    <w:tr2bl w:val="nil"/>
                  </w:tcBorders>
                  <w:shd w:val="clear" w:color="auto" w:fill="auto"/>
                  <w:noWrap/>
                  <w:vAlign w:val="center"/>
                </w:tcPr>
                <w:p w14:paraId="7EED24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32C2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24459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351" w:type="pct"/>
                  <w:vMerge w:val="continue"/>
                  <w:tcBorders>
                    <w:tl2br w:val="nil"/>
                    <w:tr2bl w:val="nil"/>
                  </w:tcBorders>
                  <w:shd w:val="clear" w:color="auto" w:fill="auto"/>
                  <w:noWrap/>
                  <w:vAlign w:val="center"/>
                </w:tcPr>
                <w:p w14:paraId="2C12124B">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39573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碱反应泵</w:t>
                  </w:r>
                </w:p>
              </w:tc>
              <w:tc>
                <w:tcPr>
                  <w:tcW w:w="452" w:type="pct"/>
                  <w:vMerge w:val="restart"/>
                  <w:tcBorders>
                    <w:tl2br w:val="nil"/>
                    <w:tr2bl w:val="nil"/>
                  </w:tcBorders>
                  <w:shd w:val="clear" w:color="auto" w:fill="auto"/>
                  <w:noWrap/>
                  <w:vAlign w:val="center"/>
                </w:tcPr>
                <w:p w14:paraId="41BC13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1CB510E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E6B80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-85.22</w:t>
                  </w:r>
                </w:p>
              </w:tc>
              <w:tc>
                <w:tcPr>
                  <w:tcW w:w="321" w:type="pct"/>
                  <w:tcBorders>
                    <w:tl2br w:val="nil"/>
                    <w:tr2bl w:val="nil"/>
                  </w:tcBorders>
                  <w:shd w:val="clear" w:color="auto" w:fill="auto"/>
                  <w:noWrap/>
                  <w:vAlign w:val="center"/>
                </w:tcPr>
                <w:p w14:paraId="489F24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-35.62</w:t>
                  </w:r>
                </w:p>
              </w:tc>
              <w:tc>
                <w:tcPr>
                  <w:tcW w:w="232" w:type="pct"/>
                  <w:tcBorders>
                    <w:tl2br w:val="nil"/>
                    <w:tr2bl w:val="nil"/>
                  </w:tcBorders>
                  <w:shd w:val="clear" w:color="auto" w:fill="auto"/>
                  <w:noWrap/>
                  <w:vAlign w:val="center"/>
                </w:tcPr>
                <w:p w14:paraId="385554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0610D1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52ADA0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41.51</w:t>
                  </w:r>
                </w:p>
              </w:tc>
              <w:tc>
                <w:tcPr>
                  <w:tcW w:w="422" w:type="pct"/>
                  <w:tcBorders>
                    <w:tl2br w:val="nil"/>
                    <w:tr2bl w:val="nil"/>
                  </w:tcBorders>
                  <w:shd w:val="clear" w:color="auto" w:fill="auto"/>
                  <w:noWrap/>
                  <w:vAlign w:val="center"/>
                </w:tcPr>
                <w:p w14:paraId="4FF660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restart"/>
                  <w:tcBorders>
                    <w:tl2br w:val="nil"/>
                    <w:tr2bl w:val="nil"/>
                  </w:tcBorders>
                  <w:shd w:val="clear" w:color="auto" w:fill="auto"/>
                  <w:noWrap/>
                  <w:vAlign w:val="center"/>
                </w:tcPr>
                <w:p w14:paraId="04DEF0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7CE9B6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9ED79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093E23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2777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B8DC65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E9F9D0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1C8C6D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0F45E4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3C28B0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E60D7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-85.22</w:t>
                  </w:r>
                </w:p>
              </w:tc>
              <w:tc>
                <w:tcPr>
                  <w:tcW w:w="321" w:type="pct"/>
                  <w:tcBorders>
                    <w:tl2br w:val="nil"/>
                    <w:tr2bl w:val="nil"/>
                  </w:tcBorders>
                  <w:shd w:val="clear" w:color="auto" w:fill="auto"/>
                  <w:noWrap/>
                  <w:vAlign w:val="center"/>
                </w:tcPr>
                <w:p w14:paraId="688A4A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-35.62</w:t>
                  </w:r>
                </w:p>
              </w:tc>
              <w:tc>
                <w:tcPr>
                  <w:tcW w:w="232" w:type="pct"/>
                  <w:tcBorders>
                    <w:tl2br w:val="nil"/>
                    <w:tr2bl w:val="nil"/>
                  </w:tcBorders>
                  <w:shd w:val="clear" w:color="auto" w:fill="auto"/>
                  <w:noWrap/>
                  <w:vAlign w:val="center"/>
                </w:tcPr>
                <w:p w14:paraId="0A025F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578B7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083F8C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27.89</w:t>
                  </w:r>
                </w:p>
              </w:tc>
              <w:tc>
                <w:tcPr>
                  <w:tcW w:w="422" w:type="pct"/>
                  <w:tcBorders>
                    <w:tl2br w:val="nil"/>
                    <w:tr2bl w:val="nil"/>
                  </w:tcBorders>
                  <w:shd w:val="clear" w:color="auto" w:fill="auto"/>
                  <w:noWrap/>
                  <w:vAlign w:val="center"/>
                </w:tcPr>
                <w:p w14:paraId="314BE3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3027109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4C0DF7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E0BC2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208069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8895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0774F4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F3609B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949F8E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9F26E9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B8CE02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C9D9E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-85.22</w:t>
                  </w:r>
                </w:p>
              </w:tc>
              <w:tc>
                <w:tcPr>
                  <w:tcW w:w="321" w:type="pct"/>
                  <w:tcBorders>
                    <w:tl2br w:val="nil"/>
                    <w:tr2bl w:val="nil"/>
                  </w:tcBorders>
                  <w:shd w:val="clear" w:color="auto" w:fill="auto"/>
                  <w:noWrap/>
                  <w:vAlign w:val="center"/>
                </w:tcPr>
                <w:p w14:paraId="6D00AA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-35.62</w:t>
                  </w:r>
                </w:p>
              </w:tc>
              <w:tc>
                <w:tcPr>
                  <w:tcW w:w="232" w:type="pct"/>
                  <w:tcBorders>
                    <w:tl2br w:val="nil"/>
                    <w:tr2bl w:val="nil"/>
                  </w:tcBorders>
                  <w:shd w:val="clear" w:color="auto" w:fill="auto"/>
                  <w:noWrap/>
                  <w:vAlign w:val="center"/>
                </w:tcPr>
                <w:p w14:paraId="71EDBD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657B93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62132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39.80</w:t>
                  </w:r>
                </w:p>
              </w:tc>
              <w:tc>
                <w:tcPr>
                  <w:tcW w:w="422" w:type="pct"/>
                  <w:tcBorders>
                    <w:tl2br w:val="nil"/>
                    <w:tr2bl w:val="nil"/>
                  </w:tcBorders>
                  <w:shd w:val="clear" w:color="auto" w:fill="auto"/>
                  <w:noWrap/>
                  <w:vAlign w:val="center"/>
                </w:tcPr>
                <w:p w14:paraId="231ED7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4076BD5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801EB9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37ABF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03C5C5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FC42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B837D2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2B1B9C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4D8B1F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1D5D0D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5D6078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C3DA3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-85.22</w:t>
                  </w:r>
                </w:p>
              </w:tc>
              <w:tc>
                <w:tcPr>
                  <w:tcW w:w="321" w:type="pct"/>
                  <w:tcBorders>
                    <w:tl2br w:val="nil"/>
                    <w:tr2bl w:val="nil"/>
                  </w:tcBorders>
                  <w:shd w:val="clear" w:color="auto" w:fill="auto"/>
                  <w:noWrap/>
                  <w:vAlign w:val="center"/>
                </w:tcPr>
                <w:p w14:paraId="4A34E4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-35.62</w:t>
                  </w:r>
                </w:p>
              </w:tc>
              <w:tc>
                <w:tcPr>
                  <w:tcW w:w="232" w:type="pct"/>
                  <w:tcBorders>
                    <w:tl2br w:val="nil"/>
                    <w:tr2bl w:val="nil"/>
                  </w:tcBorders>
                  <w:shd w:val="clear" w:color="auto" w:fill="auto"/>
                  <w:noWrap/>
                  <w:vAlign w:val="center"/>
                </w:tcPr>
                <w:p w14:paraId="15C481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1714F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CD1B9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8.50</w:t>
                  </w:r>
                </w:p>
              </w:tc>
              <w:tc>
                <w:tcPr>
                  <w:tcW w:w="422" w:type="pct"/>
                  <w:tcBorders>
                    <w:tl2br w:val="nil"/>
                    <w:tr2bl w:val="nil"/>
                  </w:tcBorders>
                  <w:shd w:val="clear" w:color="auto" w:fill="auto"/>
                  <w:noWrap/>
                  <w:vAlign w:val="center"/>
                </w:tcPr>
                <w:p w14:paraId="5348CD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55.87</w:t>
                  </w:r>
                </w:p>
              </w:tc>
              <w:tc>
                <w:tcPr>
                  <w:tcW w:w="300" w:type="pct"/>
                  <w:vMerge w:val="continue"/>
                  <w:tcBorders>
                    <w:tl2br w:val="nil"/>
                    <w:tr2bl w:val="nil"/>
                  </w:tcBorders>
                  <w:shd w:val="clear" w:color="auto" w:fill="auto"/>
                  <w:noWrap/>
                  <w:vAlign w:val="center"/>
                </w:tcPr>
                <w:p w14:paraId="1CC01E8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3045A8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BA2C3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29.87</w:t>
                  </w:r>
                </w:p>
              </w:tc>
              <w:tc>
                <w:tcPr>
                  <w:tcW w:w="342" w:type="pct"/>
                  <w:tcBorders>
                    <w:tl2br w:val="nil"/>
                    <w:tr2bl w:val="nil"/>
                  </w:tcBorders>
                  <w:shd w:val="clear" w:color="auto" w:fill="auto"/>
                  <w:noWrap/>
                  <w:vAlign w:val="center"/>
                </w:tcPr>
                <w:p w14:paraId="033233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1871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74E53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351" w:type="pct"/>
                  <w:vMerge w:val="continue"/>
                  <w:tcBorders>
                    <w:tl2br w:val="nil"/>
                    <w:tr2bl w:val="nil"/>
                  </w:tcBorders>
                  <w:shd w:val="clear" w:color="auto" w:fill="auto"/>
                  <w:noWrap/>
                  <w:vAlign w:val="center"/>
                </w:tcPr>
                <w:p w14:paraId="007F1E72">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63B92C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析气油泵</w:t>
                  </w:r>
                </w:p>
              </w:tc>
              <w:tc>
                <w:tcPr>
                  <w:tcW w:w="452" w:type="pct"/>
                  <w:vMerge w:val="restart"/>
                  <w:tcBorders>
                    <w:tl2br w:val="nil"/>
                    <w:tr2bl w:val="nil"/>
                  </w:tcBorders>
                  <w:shd w:val="clear" w:color="auto" w:fill="auto"/>
                  <w:noWrap/>
                  <w:vAlign w:val="center"/>
                </w:tcPr>
                <w:p w14:paraId="3F936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2802331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3CCDC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-83.99</w:t>
                  </w:r>
                </w:p>
              </w:tc>
              <w:tc>
                <w:tcPr>
                  <w:tcW w:w="321" w:type="pct"/>
                  <w:tcBorders>
                    <w:tl2br w:val="nil"/>
                    <w:tr2bl w:val="nil"/>
                  </w:tcBorders>
                  <w:shd w:val="clear" w:color="auto" w:fill="auto"/>
                  <w:noWrap/>
                  <w:vAlign w:val="center"/>
                </w:tcPr>
                <w:p w14:paraId="643EED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-38.08</w:t>
                  </w:r>
                </w:p>
              </w:tc>
              <w:tc>
                <w:tcPr>
                  <w:tcW w:w="232" w:type="pct"/>
                  <w:tcBorders>
                    <w:tl2br w:val="nil"/>
                    <w:tr2bl w:val="nil"/>
                  </w:tcBorders>
                  <w:shd w:val="clear" w:color="auto" w:fill="auto"/>
                  <w:noWrap/>
                  <w:vAlign w:val="center"/>
                </w:tcPr>
                <w:p w14:paraId="54211C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197942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50A40A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44.25</w:t>
                  </w:r>
                </w:p>
              </w:tc>
              <w:tc>
                <w:tcPr>
                  <w:tcW w:w="422" w:type="pct"/>
                  <w:tcBorders>
                    <w:tl2br w:val="nil"/>
                    <w:tr2bl w:val="nil"/>
                  </w:tcBorders>
                  <w:shd w:val="clear" w:color="auto" w:fill="auto"/>
                  <w:noWrap/>
                  <w:vAlign w:val="center"/>
                </w:tcPr>
                <w:p w14:paraId="320103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restart"/>
                  <w:tcBorders>
                    <w:tl2br w:val="nil"/>
                    <w:tr2bl w:val="nil"/>
                  </w:tcBorders>
                  <w:shd w:val="clear" w:color="auto" w:fill="auto"/>
                  <w:noWrap/>
                  <w:vAlign w:val="center"/>
                </w:tcPr>
                <w:p w14:paraId="18F49C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2AD0019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A34E5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52CB07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9E76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D2D4B3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C31FE3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72EA34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FED64B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3C3963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B7A0E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-83.99</w:t>
                  </w:r>
                </w:p>
              </w:tc>
              <w:tc>
                <w:tcPr>
                  <w:tcW w:w="321" w:type="pct"/>
                  <w:tcBorders>
                    <w:tl2br w:val="nil"/>
                    <w:tr2bl w:val="nil"/>
                  </w:tcBorders>
                  <w:shd w:val="clear" w:color="auto" w:fill="auto"/>
                  <w:noWrap/>
                  <w:vAlign w:val="center"/>
                </w:tcPr>
                <w:p w14:paraId="5D64A4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-38.08</w:t>
                  </w:r>
                </w:p>
              </w:tc>
              <w:tc>
                <w:tcPr>
                  <w:tcW w:w="232" w:type="pct"/>
                  <w:tcBorders>
                    <w:tl2br w:val="nil"/>
                    <w:tr2bl w:val="nil"/>
                  </w:tcBorders>
                  <w:shd w:val="clear" w:color="auto" w:fill="auto"/>
                  <w:noWrap/>
                  <w:vAlign w:val="center"/>
                </w:tcPr>
                <w:p w14:paraId="68BB51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35643B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BADB5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27.67</w:t>
                  </w:r>
                </w:p>
              </w:tc>
              <w:tc>
                <w:tcPr>
                  <w:tcW w:w="422" w:type="pct"/>
                  <w:tcBorders>
                    <w:tl2br w:val="nil"/>
                    <w:tr2bl w:val="nil"/>
                  </w:tcBorders>
                  <w:shd w:val="clear" w:color="auto" w:fill="auto"/>
                  <w:noWrap/>
                  <w:vAlign w:val="center"/>
                </w:tcPr>
                <w:p w14:paraId="4763BA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27E35D4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DE5EF4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F9A00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5837E5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D1D1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B65CB9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21884C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72E539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0DB9FD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AE7A80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C20F7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-83.99</w:t>
                  </w:r>
                </w:p>
              </w:tc>
              <w:tc>
                <w:tcPr>
                  <w:tcW w:w="321" w:type="pct"/>
                  <w:tcBorders>
                    <w:tl2br w:val="nil"/>
                    <w:tr2bl w:val="nil"/>
                  </w:tcBorders>
                  <w:shd w:val="clear" w:color="auto" w:fill="auto"/>
                  <w:noWrap/>
                  <w:vAlign w:val="center"/>
                </w:tcPr>
                <w:p w14:paraId="02D7F9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-38.08</w:t>
                  </w:r>
                </w:p>
              </w:tc>
              <w:tc>
                <w:tcPr>
                  <w:tcW w:w="232" w:type="pct"/>
                  <w:tcBorders>
                    <w:tl2br w:val="nil"/>
                    <w:tr2bl w:val="nil"/>
                  </w:tcBorders>
                  <w:shd w:val="clear" w:color="auto" w:fill="auto"/>
                  <w:noWrap/>
                  <w:vAlign w:val="center"/>
                </w:tcPr>
                <w:p w14:paraId="3F92BB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75069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2B6088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37.06</w:t>
                  </w:r>
                </w:p>
              </w:tc>
              <w:tc>
                <w:tcPr>
                  <w:tcW w:w="422" w:type="pct"/>
                  <w:tcBorders>
                    <w:tl2br w:val="nil"/>
                    <w:tr2bl w:val="nil"/>
                  </w:tcBorders>
                  <w:shd w:val="clear" w:color="auto" w:fill="auto"/>
                  <w:noWrap/>
                  <w:vAlign w:val="center"/>
                </w:tcPr>
                <w:p w14:paraId="40286E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00B1B8E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98E7CF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2A34D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2D2BC5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B160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DCFCA4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98A86C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4DF0654">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CDA84C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2D12BD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09951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-83.99</w:t>
                  </w:r>
                </w:p>
              </w:tc>
              <w:tc>
                <w:tcPr>
                  <w:tcW w:w="321" w:type="pct"/>
                  <w:tcBorders>
                    <w:tl2br w:val="nil"/>
                    <w:tr2bl w:val="nil"/>
                  </w:tcBorders>
                  <w:shd w:val="clear" w:color="auto" w:fill="auto"/>
                  <w:noWrap/>
                  <w:vAlign w:val="center"/>
                </w:tcPr>
                <w:p w14:paraId="2D3A26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-38.08</w:t>
                  </w:r>
                </w:p>
              </w:tc>
              <w:tc>
                <w:tcPr>
                  <w:tcW w:w="232" w:type="pct"/>
                  <w:tcBorders>
                    <w:tl2br w:val="nil"/>
                    <w:tr2bl w:val="nil"/>
                  </w:tcBorders>
                  <w:shd w:val="clear" w:color="auto" w:fill="auto"/>
                  <w:noWrap/>
                  <w:vAlign w:val="center"/>
                </w:tcPr>
                <w:p w14:paraId="34508E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739AE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82958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8.68</w:t>
                  </w:r>
                </w:p>
              </w:tc>
              <w:tc>
                <w:tcPr>
                  <w:tcW w:w="422" w:type="pct"/>
                  <w:tcBorders>
                    <w:tl2br w:val="nil"/>
                    <w:tr2bl w:val="nil"/>
                  </w:tcBorders>
                  <w:shd w:val="clear" w:color="auto" w:fill="auto"/>
                  <w:noWrap/>
                  <w:vAlign w:val="center"/>
                </w:tcPr>
                <w:p w14:paraId="1FC6B4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55.85</w:t>
                  </w:r>
                </w:p>
              </w:tc>
              <w:tc>
                <w:tcPr>
                  <w:tcW w:w="300" w:type="pct"/>
                  <w:vMerge w:val="continue"/>
                  <w:tcBorders>
                    <w:tl2br w:val="nil"/>
                    <w:tr2bl w:val="nil"/>
                  </w:tcBorders>
                  <w:shd w:val="clear" w:color="auto" w:fill="auto"/>
                  <w:noWrap/>
                  <w:vAlign w:val="center"/>
                </w:tcPr>
                <w:p w14:paraId="2CFE8D7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ADEFD5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6BCA7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29.85</w:t>
                  </w:r>
                </w:p>
              </w:tc>
              <w:tc>
                <w:tcPr>
                  <w:tcW w:w="342" w:type="pct"/>
                  <w:tcBorders>
                    <w:tl2br w:val="nil"/>
                    <w:tr2bl w:val="nil"/>
                  </w:tcBorders>
                  <w:shd w:val="clear" w:color="auto" w:fill="auto"/>
                  <w:noWrap/>
                  <w:vAlign w:val="center"/>
                </w:tcPr>
                <w:p w14:paraId="7245E7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842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3D814B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351" w:type="pct"/>
                  <w:vMerge w:val="continue"/>
                  <w:tcBorders>
                    <w:tl2br w:val="nil"/>
                    <w:tr2bl w:val="nil"/>
                  </w:tcBorders>
                  <w:shd w:val="clear" w:color="auto" w:fill="auto"/>
                  <w:noWrap/>
                  <w:vAlign w:val="center"/>
                </w:tcPr>
                <w:p w14:paraId="01891E70">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DBFB9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后气提出油泵</w:t>
                  </w:r>
                </w:p>
              </w:tc>
              <w:tc>
                <w:tcPr>
                  <w:tcW w:w="452" w:type="pct"/>
                  <w:vMerge w:val="restart"/>
                  <w:tcBorders>
                    <w:tl2br w:val="nil"/>
                    <w:tr2bl w:val="nil"/>
                  </w:tcBorders>
                  <w:shd w:val="clear" w:color="auto" w:fill="auto"/>
                  <w:noWrap/>
                  <w:vAlign w:val="center"/>
                </w:tcPr>
                <w:p w14:paraId="47B154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791031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FE165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-81.26</w:t>
                  </w:r>
                </w:p>
              </w:tc>
              <w:tc>
                <w:tcPr>
                  <w:tcW w:w="321" w:type="pct"/>
                  <w:tcBorders>
                    <w:tl2br w:val="nil"/>
                    <w:tr2bl w:val="nil"/>
                  </w:tcBorders>
                  <w:shd w:val="clear" w:color="auto" w:fill="auto"/>
                  <w:noWrap/>
                  <w:vAlign w:val="center"/>
                </w:tcPr>
                <w:p w14:paraId="7D50E5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-43.26</w:t>
                  </w:r>
                </w:p>
              </w:tc>
              <w:tc>
                <w:tcPr>
                  <w:tcW w:w="232" w:type="pct"/>
                  <w:tcBorders>
                    <w:tl2br w:val="nil"/>
                    <w:tr2bl w:val="nil"/>
                  </w:tcBorders>
                  <w:shd w:val="clear" w:color="auto" w:fill="auto"/>
                  <w:noWrap/>
                  <w:vAlign w:val="center"/>
                </w:tcPr>
                <w:p w14:paraId="311AD1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317934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81271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50.08</w:t>
                  </w:r>
                </w:p>
              </w:tc>
              <w:tc>
                <w:tcPr>
                  <w:tcW w:w="422" w:type="pct"/>
                  <w:tcBorders>
                    <w:tl2br w:val="nil"/>
                    <w:tr2bl w:val="nil"/>
                  </w:tcBorders>
                  <w:shd w:val="clear" w:color="auto" w:fill="auto"/>
                  <w:noWrap/>
                  <w:vAlign w:val="center"/>
                </w:tcPr>
                <w:p w14:paraId="488E7B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restart"/>
                  <w:tcBorders>
                    <w:tl2br w:val="nil"/>
                    <w:tr2bl w:val="nil"/>
                  </w:tcBorders>
                  <w:shd w:val="clear" w:color="auto" w:fill="auto"/>
                  <w:noWrap/>
                  <w:vAlign w:val="center"/>
                </w:tcPr>
                <w:p w14:paraId="021083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77EC30E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62087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5D447E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6768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C0E1C9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58F596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035AE6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F805E0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0AE6DA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03CC5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-81.26</w:t>
                  </w:r>
                </w:p>
              </w:tc>
              <w:tc>
                <w:tcPr>
                  <w:tcW w:w="321" w:type="pct"/>
                  <w:tcBorders>
                    <w:tl2br w:val="nil"/>
                    <w:tr2bl w:val="nil"/>
                  </w:tcBorders>
                  <w:shd w:val="clear" w:color="auto" w:fill="auto"/>
                  <w:noWrap/>
                  <w:vAlign w:val="center"/>
                </w:tcPr>
                <w:p w14:paraId="0A8FCC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-43.26</w:t>
                  </w:r>
                </w:p>
              </w:tc>
              <w:tc>
                <w:tcPr>
                  <w:tcW w:w="232" w:type="pct"/>
                  <w:tcBorders>
                    <w:tl2br w:val="nil"/>
                    <w:tr2bl w:val="nil"/>
                  </w:tcBorders>
                  <w:shd w:val="clear" w:color="auto" w:fill="auto"/>
                  <w:noWrap/>
                  <w:vAlign w:val="center"/>
                </w:tcPr>
                <w:p w14:paraId="44A41D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533EB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393BF4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27.08</w:t>
                  </w:r>
                </w:p>
              </w:tc>
              <w:tc>
                <w:tcPr>
                  <w:tcW w:w="422" w:type="pct"/>
                  <w:tcBorders>
                    <w:tl2br w:val="nil"/>
                    <w:tr2bl w:val="nil"/>
                  </w:tcBorders>
                  <w:shd w:val="clear" w:color="auto" w:fill="auto"/>
                  <w:noWrap/>
                  <w:vAlign w:val="center"/>
                </w:tcPr>
                <w:p w14:paraId="314804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67A37AA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037BE6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7752D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3A258A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B58C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0A2A07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186755B">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E74A79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399416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19E547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A1FAA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-81.26</w:t>
                  </w:r>
                </w:p>
              </w:tc>
              <w:tc>
                <w:tcPr>
                  <w:tcW w:w="321" w:type="pct"/>
                  <w:tcBorders>
                    <w:tl2br w:val="nil"/>
                    <w:tr2bl w:val="nil"/>
                  </w:tcBorders>
                  <w:shd w:val="clear" w:color="auto" w:fill="auto"/>
                  <w:noWrap/>
                  <w:vAlign w:val="center"/>
                </w:tcPr>
                <w:p w14:paraId="628150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-43.26</w:t>
                  </w:r>
                </w:p>
              </w:tc>
              <w:tc>
                <w:tcPr>
                  <w:tcW w:w="232" w:type="pct"/>
                  <w:tcBorders>
                    <w:tl2br w:val="nil"/>
                    <w:tr2bl w:val="nil"/>
                  </w:tcBorders>
                  <w:shd w:val="clear" w:color="auto" w:fill="auto"/>
                  <w:noWrap/>
                  <w:vAlign w:val="center"/>
                </w:tcPr>
                <w:p w14:paraId="1CDE4E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194EA6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EE461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31.23</w:t>
                  </w:r>
                </w:p>
              </w:tc>
              <w:tc>
                <w:tcPr>
                  <w:tcW w:w="422" w:type="pct"/>
                  <w:tcBorders>
                    <w:tl2br w:val="nil"/>
                    <w:tr2bl w:val="nil"/>
                  </w:tcBorders>
                  <w:shd w:val="clear" w:color="auto" w:fill="auto"/>
                  <w:noWrap/>
                  <w:vAlign w:val="center"/>
                </w:tcPr>
                <w:p w14:paraId="302AA2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55.39</w:t>
                  </w:r>
                </w:p>
              </w:tc>
              <w:tc>
                <w:tcPr>
                  <w:tcW w:w="300" w:type="pct"/>
                  <w:vMerge w:val="continue"/>
                  <w:tcBorders>
                    <w:tl2br w:val="nil"/>
                    <w:tr2bl w:val="nil"/>
                  </w:tcBorders>
                  <w:shd w:val="clear" w:color="auto" w:fill="auto"/>
                  <w:noWrap/>
                  <w:vAlign w:val="center"/>
                </w:tcPr>
                <w:p w14:paraId="6E46C02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E79EC9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EB161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29.39</w:t>
                  </w:r>
                </w:p>
              </w:tc>
              <w:tc>
                <w:tcPr>
                  <w:tcW w:w="342" w:type="pct"/>
                  <w:tcBorders>
                    <w:tl2br w:val="nil"/>
                    <w:tr2bl w:val="nil"/>
                  </w:tcBorders>
                  <w:shd w:val="clear" w:color="auto" w:fill="auto"/>
                  <w:noWrap/>
                  <w:vAlign w:val="center"/>
                </w:tcPr>
                <w:p w14:paraId="638360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BC24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6925A2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7644BA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C2F70A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EA4B91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A16BA6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C65E4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-81.26</w:t>
                  </w:r>
                </w:p>
              </w:tc>
              <w:tc>
                <w:tcPr>
                  <w:tcW w:w="321" w:type="pct"/>
                  <w:tcBorders>
                    <w:tl2br w:val="nil"/>
                    <w:tr2bl w:val="nil"/>
                  </w:tcBorders>
                  <w:shd w:val="clear" w:color="auto" w:fill="auto"/>
                  <w:noWrap/>
                  <w:vAlign w:val="center"/>
                </w:tcPr>
                <w:p w14:paraId="2AC2F2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-43.26</w:t>
                  </w:r>
                </w:p>
              </w:tc>
              <w:tc>
                <w:tcPr>
                  <w:tcW w:w="232" w:type="pct"/>
                  <w:tcBorders>
                    <w:tl2br w:val="nil"/>
                    <w:tr2bl w:val="nil"/>
                  </w:tcBorders>
                  <w:shd w:val="clear" w:color="auto" w:fill="auto"/>
                  <w:noWrap/>
                  <w:vAlign w:val="center"/>
                </w:tcPr>
                <w:p w14:paraId="0E257A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582C6F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1182C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9.20</w:t>
                  </w:r>
                </w:p>
              </w:tc>
              <w:tc>
                <w:tcPr>
                  <w:tcW w:w="422" w:type="pct"/>
                  <w:tcBorders>
                    <w:tl2br w:val="nil"/>
                    <w:tr2bl w:val="nil"/>
                  </w:tcBorders>
                  <w:shd w:val="clear" w:color="auto" w:fill="auto"/>
                  <w:noWrap/>
                  <w:vAlign w:val="center"/>
                </w:tcPr>
                <w:p w14:paraId="33E8C0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55.80</w:t>
                  </w:r>
                </w:p>
              </w:tc>
              <w:tc>
                <w:tcPr>
                  <w:tcW w:w="300" w:type="pct"/>
                  <w:vMerge w:val="continue"/>
                  <w:tcBorders>
                    <w:tl2br w:val="nil"/>
                    <w:tr2bl w:val="nil"/>
                  </w:tcBorders>
                  <w:shd w:val="clear" w:color="auto" w:fill="auto"/>
                  <w:noWrap/>
                  <w:vAlign w:val="center"/>
                </w:tcPr>
                <w:p w14:paraId="4D07F8C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B77938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6E378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29.80</w:t>
                  </w:r>
                </w:p>
              </w:tc>
              <w:tc>
                <w:tcPr>
                  <w:tcW w:w="342" w:type="pct"/>
                  <w:tcBorders>
                    <w:tl2br w:val="nil"/>
                    <w:tr2bl w:val="nil"/>
                  </w:tcBorders>
                  <w:shd w:val="clear" w:color="auto" w:fill="auto"/>
                  <w:noWrap/>
                  <w:vAlign w:val="center"/>
                </w:tcPr>
                <w:p w14:paraId="111BF6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C1EB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40A498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351" w:type="pct"/>
                  <w:vMerge w:val="continue"/>
                  <w:tcBorders>
                    <w:tl2br w:val="nil"/>
                    <w:tr2bl w:val="nil"/>
                  </w:tcBorders>
                  <w:shd w:val="clear" w:color="auto" w:fill="auto"/>
                  <w:noWrap/>
                  <w:vAlign w:val="center"/>
                </w:tcPr>
                <w:p w14:paraId="292490B1">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285F29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脱酸油泵</w:t>
                  </w:r>
                </w:p>
              </w:tc>
              <w:tc>
                <w:tcPr>
                  <w:tcW w:w="452" w:type="pct"/>
                  <w:vMerge w:val="restart"/>
                  <w:tcBorders>
                    <w:tl2br w:val="nil"/>
                    <w:tr2bl w:val="nil"/>
                  </w:tcBorders>
                  <w:shd w:val="clear" w:color="auto" w:fill="auto"/>
                  <w:noWrap/>
                  <w:vAlign w:val="center"/>
                </w:tcPr>
                <w:p w14:paraId="4AEAE3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B01829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94CCB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-79.9</w:t>
                  </w:r>
                </w:p>
              </w:tc>
              <w:tc>
                <w:tcPr>
                  <w:tcW w:w="321" w:type="pct"/>
                  <w:tcBorders>
                    <w:tl2br w:val="nil"/>
                    <w:tr2bl w:val="nil"/>
                  </w:tcBorders>
                  <w:shd w:val="clear" w:color="auto" w:fill="auto"/>
                  <w:noWrap/>
                  <w:vAlign w:val="center"/>
                </w:tcPr>
                <w:p w14:paraId="020F21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-45.99</w:t>
                  </w:r>
                </w:p>
              </w:tc>
              <w:tc>
                <w:tcPr>
                  <w:tcW w:w="232" w:type="pct"/>
                  <w:tcBorders>
                    <w:tl2br w:val="nil"/>
                    <w:tr2bl w:val="nil"/>
                  </w:tcBorders>
                  <w:shd w:val="clear" w:color="auto" w:fill="auto"/>
                  <w:noWrap/>
                  <w:vAlign w:val="center"/>
                </w:tcPr>
                <w:p w14:paraId="06CF4A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3B6449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DEEC9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53.12</w:t>
                  </w:r>
                </w:p>
              </w:tc>
              <w:tc>
                <w:tcPr>
                  <w:tcW w:w="422" w:type="pct"/>
                  <w:tcBorders>
                    <w:tl2br w:val="nil"/>
                    <w:tr2bl w:val="nil"/>
                  </w:tcBorders>
                  <w:shd w:val="clear" w:color="auto" w:fill="auto"/>
                  <w:noWrap/>
                  <w:vAlign w:val="center"/>
                </w:tcPr>
                <w:p w14:paraId="584300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restart"/>
                  <w:tcBorders>
                    <w:tl2br w:val="nil"/>
                    <w:tr2bl w:val="nil"/>
                  </w:tcBorders>
                  <w:shd w:val="clear" w:color="auto" w:fill="auto"/>
                  <w:noWrap/>
                  <w:vAlign w:val="center"/>
                </w:tcPr>
                <w:p w14:paraId="0B81BA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77936E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02A12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5926EE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948B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8EF4D4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490D67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9817FF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A16320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AC2EB9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9F1AB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-79.9</w:t>
                  </w:r>
                </w:p>
              </w:tc>
              <w:tc>
                <w:tcPr>
                  <w:tcW w:w="321" w:type="pct"/>
                  <w:tcBorders>
                    <w:tl2br w:val="nil"/>
                    <w:tr2bl w:val="nil"/>
                  </w:tcBorders>
                  <w:shd w:val="clear" w:color="auto" w:fill="auto"/>
                  <w:noWrap/>
                  <w:vAlign w:val="center"/>
                </w:tcPr>
                <w:p w14:paraId="4450F2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-45.99</w:t>
                  </w:r>
                </w:p>
              </w:tc>
              <w:tc>
                <w:tcPr>
                  <w:tcW w:w="232" w:type="pct"/>
                  <w:tcBorders>
                    <w:tl2br w:val="nil"/>
                    <w:tr2bl w:val="nil"/>
                  </w:tcBorders>
                  <w:shd w:val="clear" w:color="auto" w:fill="auto"/>
                  <w:noWrap/>
                  <w:vAlign w:val="center"/>
                </w:tcPr>
                <w:p w14:paraId="7B43C8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95B70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07A2CD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26.84</w:t>
                  </w:r>
                </w:p>
              </w:tc>
              <w:tc>
                <w:tcPr>
                  <w:tcW w:w="422" w:type="pct"/>
                  <w:tcBorders>
                    <w:tl2br w:val="nil"/>
                    <w:tr2bl w:val="nil"/>
                  </w:tcBorders>
                  <w:shd w:val="clear" w:color="auto" w:fill="auto"/>
                  <w:noWrap/>
                  <w:vAlign w:val="center"/>
                </w:tcPr>
                <w:p w14:paraId="765C72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6193BE9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EFF7D6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2CAEC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5ACE68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DDD9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5066F6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752BA5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6BEFCE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7E6F61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20154E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19A30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-79.9</w:t>
                  </w:r>
                </w:p>
              </w:tc>
              <w:tc>
                <w:tcPr>
                  <w:tcW w:w="321" w:type="pct"/>
                  <w:tcBorders>
                    <w:tl2br w:val="nil"/>
                    <w:tr2bl w:val="nil"/>
                  </w:tcBorders>
                  <w:shd w:val="clear" w:color="auto" w:fill="auto"/>
                  <w:noWrap/>
                  <w:vAlign w:val="center"/>
                </w:tcPr>
                <w:p w14:paraId="362A3B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-45.99</w:t>
                  </w:r>
                </w:p>
              </w:tc>
              <w:tc>
                <w:tcPr>
                  <w:tcW w:w="232" w:type="pct"/>
                  <w:tcBorders>
                    <w:tl2br w:val="nil"/>
                    <w:tr2bl w:val="nil"/>
                  </w:tcBorders>
                  <w:shd w:val="clear" w:color="auto" w:fill="auto"/>
                  <w:noWrap/>
                  <w:vAlign w:val="center"/>
                </w:tcPr>
                <w:p w14:paraId="393577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2E9E60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357E33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28.18</w:t>
                  </w:r>
                </w:p>
              </w:tc>
              <w:tc>
                <w:tcPr>
                  <w:tcW w:w="422" w:type="pct"/>
                  <w:tcBorders>
                    <w:tl2br w:val="nil"/>
                    <w:tr2bl w:val="nil"/>
                  </w:tcBorders>
                  <w:shd w:val="clear" w:color="auto" w:fill="auto"/>
                  <w:noWrap/>
                  <w:vAlign w:val="center"/>
                </w:tcPr>
                <w:p w14:paraId="0631D1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7429D23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4F6B64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052D0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2CC0AC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108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BF51BF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3B6A48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33FAB3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87EDA1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8814B2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31529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-79.9</w:t>
                  </w:r>
                </w:p>
              </w:tc>
              <w:tc>
                <w:tcPr>
                  <w:tcW w:w="321" w:type="pct"/>
                  <w:tcBorders>
                    <w:tl2br w:val="nil"/>
                    <w:tr2bl w:val="nil"/>
                  </w:tcBorders>
                  <w:shd w:val="clear" w:color="auto" w:fill="auto"/>
                  <w:noWrap/>
                  <w:vAlign w:val="center"/>
                </w:tcPr>
                <w:p w14:paraId="5A3F2B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-45.99</w:t>
                  </w:r>
                </w:p>
              </w:tc>
              <w:tc>
                <w:tcPr>
                  <w:tcW w:w="232" w:type="pct"/>
                  <w:tcBorders>
                    <w:tl2br w:val="nil"/>
                    <w:tr2bl w:val="nil"/>
                  </w:tcBorders>
                  <w:shd w:val="clear" w:color="auto" w:fill="auto"/>
                  <w:noWrap/>
                  <w:vAlign w:val="center"/>
                </w:tcPr>
                <w:p w14:paraId="147E82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6C2A92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EBC80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9.40</w:t>
                  </w:r>
                </w:p>
              </w:tc>
              <w:tc>
                <w:tcPr>
                  <w:tcW w:w="422" w:type="pct"/>
                  <w:tcBorders>
                    <w:tl2br w:val="nil"/>
                    <w:tr2bl w:val="nil"/>
                  </w:tcBorders>
                  <w:shd w:val="clear" w:color="auto" w:fill="auto"/>
                  <w:noWrap/>
                  <w:vAlign w:val="center"/>
                </w:tcPr>
                <w:p w14:paraId="3E265A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55.78</w:t>
                  </w:r>
                </w:p>
              </w:tc>
              <w:tc>
                <w:tcPr>
                  <w:tcW w:w="300" w:type="pct"/>
                  <w:vMerge w:val="continue"/>
                  <w:tcBorders>
                    <w:tl2br w:val="nil"/>
                    <w:tr2bl w:val="nil"/>
                  </w:tcBorders>
                  <w:shd w:val="clear" w:color="auto" w:fill="auto"/>
                  <w:noWrap/>
                  <w:vAlign w:val="center"/>
                </w:tcPr>
                <w:p w14:paraId="222C7346">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DE1066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3DD9B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29.78</w:t>
                  </w:r>
                </w:p>
              </w:tc>
              <w:tc>
                <w:tcPr>
                  <w:tcW w:w="342" w:type="pct"/>
                  <w:tcBorders>
                    <w:tl2br w:val="nil"/>
                    <w:tr2bl w:val="nil"/>
                  </w:tcBorders>
                  <w:shd w:val="clear" w:color="auto" w:fill="auto"/>
                  <w:noWrap/>
                  <w:vAlign w:val="center"/>
                </w:tcPr>
                <w:p w14:paraId="6F8F0A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4023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41273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351" w:type="pct"/>
                  <w:vMerge w:val="continue"/>
                  <w:tcBorders>
                    <w:tl2br w:val="nil"/>
                    <w:tr2bl w:val="nil"/>
                  </w:tcBorders>
                  <w:shd w:val="clear" w:color="auto" w:fill="auto"/>
                  <w:noWrap/>
                  <w:vAlign w:val="center"/>
                </w:tcPr>
                <w:p w14:paraId="3B1AA862">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BFB08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脱臭油泵</w:t>
                  </w:r>
                </w:p>
              </w:tc>
              <w:tc>
                <w:tcPr>
                  <w:tcW w:w="452" w:type="pct"/>
                  <w:vMerge w:val="restart"/>
                  <w:tcBorders>
                    <w:tl2br w:val="nil"/>
                    <w:tr2bl w:val="nil"/>
                  </w:tcBorders>
                  <w:shd w:val="clear" w:color="auto" w:fill="auto"/>
                  <w:noWrap/>
                  <w:vAlign w:val="center"/>
                </w:tcPr>
                <w:p w14:paraId="534C83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33B22D8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B5FAF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-78.8</w:t>
                  </w:r>
                </w:p>
              </w:tc>
              <w:tc>
                <w:tcPr>
                  <w:tcW w:w="321" w:type="pct"/>
                  <w:tcBorders>
                    <w:tl2br w:val="nil"/>
                    <w:tr2bl w:val="nil"/>
                  </w:tcBorders>
                  <w:shd w:val="clear" w:color="auto" w:fill="auto"/>
                  <w:noWrap/>
                  <w:vAlign w:val="center"/>
                </w:tcPr>
                <w:p w14:paraId="4ECB34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-48.45</w:t>
                  </w:r>
                </w:p>
              </w:tc>
              <w:tc>
                <w:tcPr>
                  <w:tcW w:w="232" w:type="pct"/>
                  <w:tcBorders>
                    <w:tl2br w:val="nil"/>
                    <w:tr2bl w:val="nil"/>
                  </w:tcBorders>
                  <w:shd w:val="clear" w:color="auto" w:fill="auto"/>
                  <w:noWrap/>
                  <w:vAlign w:val="center"/>
                </w:tcPr>
                <w:p w14:paraId="162301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71659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7D8A68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55.82</w:t>
                  </w:r>
                </w:p>
              </w:tc>
              <w:tc>
                <w:tcPr>
                  <w:tcW w:w="422" w:type="pct"/>
                  <w:tcBorders>
                    <w:tl2br w:val="nil"/>
                    <w:tr2bl w:val="nil"/>
                  </w:tcBorders>
                  <w:shd w:val="clear" w:color="auto" w:fill="auto"/>
                  <w:noWrap/>
                  <w:vAlign w:val="center"/>
                </w:tcPr>
                <w:p w14:paraId="473EE6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restart"/>
                  <w:tcBorders>
                    <w:tl2br w:val="nil"/>
                    <w:tr2bl w:val="nil"/>
                  </w:tcBorders>
                  <w:shd w:val="clear" w:color="auto" w:fill="auto"/>
                  <w:noWrap/>
                  <w:vAlign w:val="center"/>
                </w:tcPr>
                <w:p w14:paraId="76638F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ABE1F9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1285F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578F06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5AE2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9F67C4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808A3A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86905E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E4B334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33C982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4066D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-78.8</w:t>
                  </w:r>
                </w:p>
              </w:tc>
              <w:tc>
                <w:tcPr>
                  <w:tcW w:w="321" w:type="pct"/>
                  <w:tcBorders>
                    <w:tl2br w:val="nil"/>
                    <w:tr2bl w:val="nil"/>
                  </w:tcBorders>
                  <w:shd w:val="clear" w:color="auto" w:fill="auto"/>
                  <w:noWrap/>
                  <w:vAlign w:val="center"/>
                </w:tcPr>
                <w:p w14:paraId="30A5A2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-48.45</w:t>
                  </w:r>
                </w:p>
              </w:tc>
              <w:tc>
                <w:tcPr>
                  <w:tcW w:w="232" w:type="pct"/>
                  <w:tcBorders>
                    <w:tl2br w:val="nil"/>
                    <w:tr2bl w:val="nil"/>
                  </w:tcBorders>
                  <w:shd w:val="clear" w:color="auto" w:fill="auto"/>
                  <w:noWrap/>
                  <w:vAlign w:val="center"/>
                </w:tcPr>
                <w:p w14:paraId="4B91E6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550347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C8E45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26.74</w:t>
                  </w:r>
                </w:p>
              </w:tc>
              <w:tc>
                <w:tcPr>
                  <w:tcW w:w="422" w:type="pct"/>
                  <w:tcBorders>
                    <w:tl2br w:val="nil"/>
                    <w:tr2bl w:val="nil"/>
                  </w:tcBorders>
                  <w:shd w:val="clear" w:color="auto" w:fill="auto"/>
                  <w:noWrap/>
                  <w:vAlign w:val="center"/>
                </w:tcPr>
                <w:p w14:paraId="48B7F8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24F629E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58D498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97E29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0E668F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8635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158633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EB901C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EE8DE5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23EE97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B3E6A8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57011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-78.8</w:t>
                  </w:r>
                </w:p>
              </w:tc>
              <w:tc>
                <w:tcPr>
                  <w:tcW w:w="321" w:type="pct"/>
                  <w:tcBorders>
                    <w:tl2br w:val="nil"/>
                    <w:tr2bl w:val="nil"/>
                  </w:tcBorders>
                  <w:shd w:val="clear" w:color="auto" w:fill="auto"/>
                  <w:noWrap/>
                  <w:vAlign w:val="center"/>
                </w:tcPr>
                <w:p w14:paraId="4F4FEF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-48.45</w:t>
                  </w:r>
                </w:p>
              </w:tc>
              <w:tc>
                <w:tcPr>
                  <w:tcW w:w="232" w:type="pct"/>
                  <w:tcBorders>
                    <w:tl2br w:val="nil"/>
                    <w:tr2bl w:val="nil"/>
                  </w:tcBorders>
                  <w:shd w:val="clear" w:color="auto" w:fill="auto"/>
                  <w:noWrap/>
                  <w:vAlign w:val="center"/>
                </w:tcPr>
                <w:p w14:paraId="36D1B7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02AED1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92672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25.49</w:t>
                  </w:r>
                </w:p>
              </w:tc>
              <w:tc>
                <w:tcPr>
                  <w:tcW w:w="422" w:type="pct"/>
                  <w:tcBorders>
                    <w:tl2br w:val="nil"/>
                    <w:tr2bl w:val="nil"/>
                  </w:tcBorders>
                  <w:shd w:val="clear" w:color="auto" w:fill="auto"/>
                  <w:noWrap/>
                  <w:vAlign w:val="center"/>
                </w:tcPr>
                <w:p w14:paraId="003449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55.41</w:t>
                  </w:r>
                </w:p>
              </w:tc>
              <w:tc>
                <w:tcPr>
                  <w:tcW w:w="300" w:type="pct"/>
                  <w:vMerge w:val="continue"/>
                  <w:tcBorders>
                    <w:tl2br w:val="nil"/>
                    <w:tr2bl w:val="nil"/>
                  </w:tcBorders>
                  <w:shd w:val="clear" w:color="auto" w:fill="auto"/>
                  <w:noWrap/>
                  <w:vAlign w:val="center"/>
                </w:tcPr>
                <w:p w14:paraId="13ACFF6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38B4E3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95469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29.41</w:t>
                  </w:r>
                </w:p>
              </w:tc>
              <w:tc>
                <w:tcPr>
                  <w:tcW w:w="342" w:type="pct"/>
                  <w:tcBorders>
                    <w:tl2br w:val="nil"/>
                    <w:tr2bl w:val="nil"/>
                  </w:tcBorders>
                  <w:shd w:val="clear" w:color="auto" w:fill="auto"/>
                  <w:noWrap/>
                  <w:vAlign w:val="center"/>
                </w:tcPr>
                <w:p w14:paraId="4B900A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40AA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42B999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FA9A68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242CDE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019E11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80F410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1D793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-78.8</w:t>
                  </w:r>
                </w:p>
              </w:tc>
              <w:tc>
                <w:tcPr>
                  <w:tcW w:w="321" w:type="pct"/>
                  <w:tcBorders>
                    <w:tl2br w:val="nil"/>
                    <w:tr2bl w:val="nil"/>
                  </w:tcBorders>
                  <w:shd w:val="clear" w:color="auto" w:fill="auto"/>
                  <w:noWrap/>
                  <w:vAlign w:val="center"/>
                </w:tcPr>
                <w:p w14:paraId="143849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-48.45</w:t>
                  </w:r>
                </w:p>
              </w:tc>
              <w:tc>
                <w:tcPr>
                  <w:tcW w:w="232" w:type="pct"/>
                  <w:tcBorders>
                    <w:tl2br w:val="nil"/>
                    <w:tr2bl w:val="nil"/>
                  </w:tcBorders>
                  <w:shd w:val="clear" w:color="auto" w:fill="auto"/>
                  <w:noWrap/>
                  <w:vAlign w:val="center"/>
                </w:tcPr>
                <w:p w14:paraId="0B6A41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4430E1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9DA9E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9.47</w:t>
                  </w:r>
                </w:p>
              </w:tc>
              <w:tc>
                <w:tcPr>
                  <w:tcW w:w="422" w:type="pct"/>
                  <w:tcBorders>
                    <w:tl2br w:val="nil"/>
                    <w:tr2bl w:val="nil"/>
                  </w:tcBorders>
                  <w:shd w:val="clear" w:color="auto" w:fill="auto"/>
                  <w:noWrap/>
                  <w:vAlign w:val="center"/>
                </w:tcPr>
                <w:p w14:paraId="0DE856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55.78</w:t>
                  </w:r>
                </w:p>
              </w:tc>
              <w:tc>
                <w:tcPr>
                  <w:tcW w:w="300" w:type="pct"/>
                  <w:vMerge w:val="continue"/>
                  <w:tcBorders>
                    <w:tl2br w:val="nil"/>
                    <w:tr2bl w:val="nil"/>
                  </w:tcBorders>
                  <w:shd w:val="clear" w:color="auto" w:fill="auto"/>
                  <w:noWrap/>
                  <w:vAlign w:val="center"/>
                </w:tcPr>
                <w:p w14:paraId="4484DF2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F5A139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10C4D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29.78</w:t>
                  </w:r>
                </w:p>
              </w:tc>
              <w:tc>
                <w:tcPr>
                  <w:tcW w:w="342" w:type="pct"/>
                  <w:tcBorders>
                    <w:tl2br w:val="nil"/>
                    <w:tr2bl w:val="nil"/>
                  </w:tcBorders>
                  <w:shd w:val="clear" w:color="auto" w:fill="auto"/>
                  <w:noWrap/>
                  <w:vAlign w:val="center"/>
                </w:tcPr>
                <w:p w14:paraId="74FE8D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3326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9020C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351" w:type="pct"/>
                  <w:vMerge w:val="continue"/>
                  <w:tcBorders>
                    <w:tl2br w:val="nil"/>
                    <w:tr2bl w:val="nil"/>
                  </w:tcBorders>
                  <w:shd w:val="clear" w:color="auto" w:fill="auto"/>
                  <w:noWrap/>
                  <w:vAlign w:val="center"/>
                </w:tcPr>
                <w:p w14:paraId="20CA3A59">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63FFE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高压锅炉</w:t>
                  </w:r>
                </w:p>
              </w:tc>
              <w:tc>
                <w:tcPr>
                  <w:tcW w:w="452" w:type="pct"/>
                  <w:vMerge w:val="restart"/>
                  <w:tcBorders>
                    <w:tl2br w:val="nil"/>
                    <w:tr2bl w:val="nil"/>
                  </w:tcBorders>
                  <w:shd w:val="clear" w:color="auto" w:fill="auto"/>
                  <w:noWrap/>
                  <w:vAlign w:val="center"/>
                </w:tcPr>
                <w:p w14:paraId="7417D5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7F935D3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78A60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-77.85</w:t>
                  </w:r>
                </w:p>
              </w:tc>
              <w:tc>
                <w:tcPr>
                  <w:tcW w:w="321" w:type="pct"/>
                  <w:tcBorders>
                    <w:tl2br w:val="nil"/>
                    <w:tr2bl w:val="nil"/>
                  </w:tcBorders>
                  <w:shd w:val="clear" w:color="auto" w:fill="auto"/>
                  <w:noWrap/>
                  <w:vAlign w:val="center"/>
                </w:tcPr>
                <w:p w14:paraId="7854A6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-50.08</w:t>
                  </w:r>
                </w:p>
              </w:tc>
              <w:tc>
                <w:tcPr>
                  <w:tcW w:w="232" w:type="pct"/>
                  <w:tcBorders>
                    <w:tl2br w:val="nil"/>
                    <w:tr2bl w:val="nil"/>
                  </w:tcBorders>
                  <w:shd w:val="clear" w:color="auto" w:fill="auto"/>
                  <w:noWrap/>
                  <w:vAlign w:val="center"/>
                </w:tcPr>
                <w:p w14:paraId="7D5823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5CD698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A559B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57.68</w:t>
                  </w:r>
                </w:p>
              </w:tc>
              <w:tc>
                <w:tcPr>
                  <w:tcW w:w="422" w:type="pct"/>
                  <w:tcBorders>
                    <w:tl2br w:val="nil"/>
                    <w:tr2bl w:val="nil"/>
                  </w:tcBorders>
                  <w:shd w:val="clear" w:color="auto" w:fill="auto"/>
                  <w:noWrap/>
                  <w:vAlign w:val="center"/>
                </w:tcPr>
                <w:p w14:paraId="02B477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restart"/>
                  <w:tcBorders>
                    <w:tl2br w:val="nil"/>
                    <w:tr2bl w:val="nil"/>
                  </w:tcBorders>
                  <w:shd w:val="clear" w:color="auto" w:fill="auto"/>
                  <w:noWrap/>
                  <w:vAlign w:val="center"/>
                </w:tcPr>
                <w:p w14:paraId="3A8343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B5FF8F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16CCB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5F0901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DCEA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092614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11E6D1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3CD327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C8D035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D2F812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BA923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-77.85</w:t>
                  </w:r>
                </w:p>
              </w:tc>
              <w:tc>
                <w:tcPr>
                  <w:tcW w:w="321" w:type="pct"/>
                  <w:tcBorders>
                    <w:tl2br w:val="nil"/>
                    <w:tr2bl w:val="nil"/>
                  </w:tcBorders>
                  <w:shd w:val="clear" w:color="auto" w:fill="auto"/>
                  <w:noWrap/>
                  <w:vAlign w:val="center"/>
                </w:tcPr>
                <w:p w14:paraId="130A63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-50.08</w:t>
                  </w:r>
                </w:p>
              </w:tc>
              <w:tc>
                <w:tcPr>
                  <w:tcW w:w="232" w:type="pct"/>
                  <w:tcBorders>
                    <w:tl2br w:val="nil"/>
                    <w:tr2bl w:val="nil"/>
                  </w:tcBorders>
                  <w:shd w:val="clear" w:color="auto" w:fill="auto"/>
                  <w:noWrap/>
                  <w:vAlign w:val="center"/>
                </w:tcPr>
                <w:p w14:paraId="00364E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29FAD9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66EA83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26.47</w:t>
                  </w:r>
                </w:p>
              </w:tc>
              <w:tc>
                <w:tcPr>
                  <w:tcW w:w="422" w:type="pct"/>
                  <w:tcBorders>
                    <w:tl2br w:val="nil"/>
                    <w:tr2bl w:val="nil"/>
                  </w:tcBorders>
                  <w:shd w:val="clear" w:color="auto" w:fill="auto"/>
                  <w:noWrap/>
                  <w:vAlign w:val="center"/>
                </w:tcPr>
                <w:p w14:paraId="54C1B9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60.36</w:t>
                  </w:r>
                </w:p>
              </w:tc>
              <w:tc>
                <w:tcPr>
                  <w:tcW w:w="300" w:type="pct"/>
                  <w:vMerge w:val="continue"/>
                  <w:tcBorders>
                    <w:tl2br w:val="nil"/>
                    <w:tr2bl w:val="nil"/>
                  </w:tcBorders>
                  <w:shd w:val="clear" w:color="auto" w:fill="auto"/>
                  <w:noWrap/>
                  <w:vAlign w:val="center"/>
                </w:tcPr>
                <w:p w14:paraId="4B2CC2A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28088B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16588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34.36</w:t>
                  </w:r>
                </w:p>
              </w:tc>
              <w:tc>
                <w:tcPr>
                  <w:tcW w:w="342" w:type="pct"/>
                  <w:tcBorders>
                    <w:tl2br w:val="nil"/>
                    <w:tr2bl w:val="nil"/>
                  </w:tcBorders>
                  <w:shd w:val="clear" w:color="auto" w:fill="auto"/>
                  <w:noWrap/>
                  <w:vAlign w:val="center"/>
                </w:tcPr>
                <w:p w14:paraId="54C146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46C6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06F4B0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9E94DB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A15630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F1DE70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A799DE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B37AC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-77.85</w:t>
                  </w:r>
                </w:p>
              </w:tc>
              <w:tc>
                <w:tcPr>
                  <w:tcW w:w="321" w:type="pct"/>
                  <w:tcBorders>
                    <w:tl2br w:val="nil"/>
                    <w:tr2bl w:val="nil"/>
                  </w:tcBorders>
                  <w:shd w:val="clear" w:color="auto" w:fill="auto"/>
                  <w:noWrap/>
                  <w:vAlign w:val="center"/>
                </w:tcPr>
                <w:p w14:paraId="4D9238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-50.08</w:t>
                  </w:r>
                </w:p>
              </w:tc>
              <w:tc>
                <w:tcPr>
                  <w:tcW w:w="232" w:type="pct"/>
                  <w:tcBorders>
                    <w:tl2br w:val="nil"/>
                    <w:tr2bl w:val="nil"/>
                  </w:tcBorders>
                  <w:shd w:val="clear" w:color="auto" w:fill="auto"/>
                  <w:noWrap/>
                  <w:vAlign w:val="center"/>
                </w:tcPr>
                <w:p w14:paraId="292F7D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0AF1DB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1A3AB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23.62</w:t>
                  </w:r>
                </w:p>
              </w:tc>
              <w:tc>
                <w:tcPr>
                  <w:tcW w:w="422" w:type="pct"/>
                  <w:tcBorders>
                    <w:tl2br w:val="nil"/>
                    <w:tr2bl w:val="nil"/>
                  </w:tcBorders>
                  <w:shd w:val="clear" w:color="auto" w:fill="auto"/>
                  <w:noWrap/>
                  <w:vAlign w:val="center"/>
                </w:tcPr>
                <w:p w14:paraId="147792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continue"/>
                  <w:tcBorders>
                    <w:tl2br w:val="nil"/>
                    <w:tr2bl w:val="nil"/>
                  </w:tcBorders>
                  <w:shd w:val="clear" w:color="auto" w:fill="auto"/>
                  <w:noWrap/>
                  <w:vAlign w:val="center"/>
                </w:tcPr>
                <w:p w14:paraId="79C7FB6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D81CE3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E7525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4E2DCA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898A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28CAED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41BB8C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32B636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F2E708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8E1D3A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15743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-77.85</w:t>
                  </w:r>
                </w:p>
              </w:tc>
              <w:tc>
                <w:tcPr>
                  <w:tcW w:w="321" w:type="pct"/>
                  <w:tcBorders>
                    <w:tl2br w:val="nil"/>
                    <w:tr2bl w:val="nil"/>
                  </w:tcBorders>
                  <w:shd w:val="clear" w:color="auto" w:fill="auto"/>
                  <w:noWrap/>
                  <w:vAlign w:val="center"/>
                </w:tcPr>
                <w:p w14:paraId="32E079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-50.08</w:t>
                  </w:r>
                </w:p>
              </w:tc>
              <w:tc>
                <w:tcPr>
                  <w:tcW w:w="232" w:type="pct"/>
                  <w:tcBorders>
                    <w:tl2br w:val="nil"/>
                    <w:tr2bl w:val="nil"/>
                  </w:tcBorders>
                  <w:shd w:val="clear" w:color="auto" w:fill="auto"/>
                  <w:noWrap/>
                  <w:vAlign w:val="center"/>
                </w:tcPr>
                <w:p w14:paraId="29AF2B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68D17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C0929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9.72</w:t>
                  </w:r>
                </w:p>
              </w:tc>
              <w:tc>
                <w:tcPr>
                  <w:tcW w:w="422" w:type="pct"/>
                  <w:tcBorders>
                    <w:tl2br w:val="nil"/>
                    <w:tr2bl w:val="nil"/>
                  </w:tcBorders>
                  <w:shd w:val="clear" w:color="auto" w:fill="auto"/>
                  <w:noWrap/>
                  <w:vAlign w:val="center"/>
                </w:tcPr>
                <w:p w14:paraId="08453B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60.45</w:t>
                  </w:r>
                </w:p>
              </w:tc>
              <w:tc>
                <w:tcPr>
                  <w:tcW w:w="300" w:type="pct"/>
                  <w:vMerge w:val="continue"/>
                  <w:tcBorders>
                    <w:tl2br w:val="nil"/>
                    <w:tr2bl w:val="nil"/>
                  </w:tcBorders>
                  <w:shd w:val="clear" w:color="auto" w:fill="auto"/>
                  <w:noWrap/>
                  <w:vAlign w:val="center"/>
                </w:tcPr>
                <w:p w14:paraId="47D0435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47418A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34245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34.45</w:t>
                  </w:r>
                </w:p>
              </w:tc>
              <w:tc>
                <w:tcPr>
                  <w:tcW w:w="342" w:type="pct"/>
                  <w:tcBorders>
                    <w:tl2br w:val="nil"/>
                    <w:tr2bl w:val="nil"/>
                  </w:tcBorders>
                  <w:shd w:val="clear" w:color="auto" w:fill="auto"/>
                  <w:noWrap/>
                  <w:vAlign w:val="center"/>
                </w:tcPr>
                <w:p w14:paraId="39B914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FEB4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2F165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351" w:type="pct"/>
                  <w:vMerge w:val="continue"/>
                  <w:tcBorders>
                    <w:tl2br w:val="nil"/>
                    <w:tr2bl w:val="nil"/>
                  </w:tcBorders>
                  <w:shd w:val="clear" w:color="auto" w:fill="auto"/>
                  <w:noWrap/>
                  <w:vAlign w:val="center"/>
                </w:tcPr>
                <w:p w14:paraId="3ED35994">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DD843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蒸汽发生器</w:t>
                  </w:r>
                </w:p>
              </w:tc>
              <w:tc>
                <w:tcPr>
                  <w:tcW w:w="452" w:type="pct"/>
                  <w:vMerge w:val="restart"/>
                  <w:tcBorders>
                    <w:tl2br w:val="nil"/>
                    <w:tr2bl w:val="nil"/>
                  </w:tcBorders>
                  <w:shd w:val="clear" w:color="auto" w:fill="auto"/>
                  <w:noWrap/>
                  <w:vAlign w:val="center"/>
                </w:tcPr>
                <w:p w14:paraId="5D8F05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39B29B2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A4829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-76.89</w:t>
                  </w:r>
                </w:p>
              </w:tc>
              <w:tc>
                <w:tcPr>
                  <w:tcW w:w="321" w:type="pct"/>
                  <w:tcBorders>
                    <w:tl2br w:val="nil"/>
                    <w:tr2bl w:val="nil"/>
                  </w:tcBorders>
                  <w:shd w:val="clear" w:color="auto" w:fill="auto"/>
                  <w:noWrap/>
                  <w:vAlign w:val="center"/>
                </w:tcPr>
                <w:p w14:paraId="731C13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-51.99</w:t>
                  </w:r>
                </w:p>
              </w:tc>
              <w:tc>
                <w:tcPr>
                  <w:tcW w:w="232" w:type="pct"/>
                  <w:tcBorders>
                    <w:tl2br w:val="nil"/>
                    <w:tr2bl w:val="nil"/>
                  </w:tcBorders>
                  <w:shd w:val="clear" w:color="auto" w:fill="auto"/>
                  <w:noWrap/>
                  <w:vAlign w:val="center"/>
                </w:tcPr>
                <w:p w14:paraId="3C1A67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196949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55EAB9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59.82</w:t>
                  </w:r>
                </w:p>
              </w:tc>
              <w:tc>
                <w:tcPr>
                  <w:tcW w:w="422" w:type="pct"/>
                  <w:tcBorders>
                    <w:tl2br w:val="nil"/>
                    <w:tr2bl w:val="nil"/>
                  </w:tcBorders>
                  <w:shd w:val="clear" w:color="auto" w:fill="auto"/>
                  <w:noWrap/>
                  <w:vAlign w:val="center"/>
                </w:tcPr>
                <w:p w14:paraId="30C6C7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restart"/>
                  <w:tcBorders>
                    <w:tl2br w:val="nil"/>
                    <w:tr2bl w:val="nil"/>
                  </w:tcBorders>
                  <w:shd w:val="clear" w:color="auto" w:fill="auto"/>
                  <w:noWrap/>
                  <w:vAlign w:val="center"/>
                </w:tcPr>
                <w:p w14:paraId="79B3C2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F16187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F96D8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37BABC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55D4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50DE0F7">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5C98F9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AEE229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AC91EE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7D215C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F913E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-76.89</w:t>
                  </w:r>
                </w:p>
              </w:tc>
              <w:tc>
                <w:tcPr>
                  <w:tcW w:w="321" w:type="pct"/>
                  <w:tcBorders>
                    <w:tl2br w:val="nil"/>
                    <w:tr2bl w:val="nil"/>
                  </w:tcBorders>
                  <w:shd w:val="clear" w:color="auto" w:fill="auto"/>
                  <w:noWrap/>
                  <w:vAlign w:val="center"/>
                </w:tcPr>
                <w:p w14:paraId="574064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-51.99</w:t>
                  </w:r>
                </w:p>
              </w:tc>
              <w:tc>
                <w:tcPr>
                  <w:tcW w:w="232" w:type="pct"/>
                  <w:tcBorders>
                    <w:tl2br w:val="nil"/>
                    <w:tr2bl w:val="nil"/>
                  </w:tcBorders>
                  <w:shd w:val="clear" w:color="auto" w:fill="auto"/>
                  <w:noWrap/>
                  <w:vAlign w:val="center"/>
                </w:tcPr>
                <w:p w14:paraId="4C0CBC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FA0D4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6B5C3C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26.29</w:t>
                  </w:r>
                </w:p>
              </w:tc>
              <w:tc>
                <w:tcPr>
                  <w:tcW w:w="422" w:type="pct"/>
                  <w:tcBorders>
                    <w:tl2br w:val="nil"/>
                    <w:tr2bl w:val="nil"/>
                  </w:tcBorders>
                  <w:shd w:val="clear" w:color="auto" w:fill="auto"/>
                  <w:noWrap/>
                  <w:vAlign w:val="center"/>
                </w:tcPr>
                <w:p w14:paraId="60CED4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60.36</w:t>
                  </w:r>
                </w:p>
              </w:tc>
              <w:tc>
                <w:tcPr>
                  <w:tcW w:w="300" w:type="pct"/>
                  <w:vMerge w:val="continue"/>
                  <w:tcBorders>
                    <w:tl2br w:val="nil"/>
                    <w:tr2bl w:val="nil"/>
                  </w:tcBorders>
                  <w:shd w:val="clear" w:color="auto" w:fill="auto"/>
                  <w:noWrap/>
                  <w:vAlign w:val="center"/>
                </w:tcPr>
                <w:p w14:paraId="2DC9D12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CF6B17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3FB7F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34.36</w:t>
                  </w:r>
                </w:p>
              </w:tc>
              <w:tc>
                <w:tcPr>
                  <w:tcW w:w="342" w:type="pct"/>
                  <w:tcBorders>
                    <w:tl2br w:val="nil"/>
                    <w:tr2bl w:val="nil"/>
                  </w:tcBorders>
                  <w:shd w:val="clear" w:color="auto" w:fill="auto"/>
                  <w:noWrap/>
                  <w:vAlign w:val="center"/>
                </w:tcPr>
                <w:p w14:paraId="43FA1F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0E35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DFF69D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84A19F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D57D08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F434FF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9B6D2A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62862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-76.89</w:t>
                  </w:r>
                </w:p>
              </w:tc>
              <w:tc>
                <w:tcPr>
                  <w:tcW w:w="321" w:type="pct"/>
                  <w:tcBorders>
                    <w:tl2br w:val="nil"/>
                    <w:tr2bl w:val="nil"/>
                  </w:tcBorders>
                  <w:shd w:val="clear" w:color="auto" w:fill="auto"/>
                  <w:noWrap/>
                  <w:vAlign w:val="center"/>
                </w:tcPr>
                <w:p w14:paraId="28EA80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-51.99</w:t>
                  </w:r>
                </w:p>
              </w:tc>
              <w:tc>
                <w:tcPr>
                  <w:tcW w:w="232" w:type="pct"/>
                  <w:tcBorders>
                    <w:tl2br w:val="nil"/>
                    <w:tr2bl w:val="nil"/>
                  </w:tcBorders>
                  <w:shd w:val="clear" w:color="auto" w:fill="auto"/>
                  <w:noWrap/>
                  <w:vAlign w:val="center"/>
                </w:tcPr>
                <w:p w14:paraId="18A8BB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62C363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13366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21.48</w:t>
                  </w:r>
                </w:p>
              </w:tc>
              <w:tc>
                <w:tcPr>
                  <w:tcW w:w="422" w:type="pct"/>
                  <w:tcBorders>
                    <w:tl2br w:val="nil"/>
                    <w:tr2bl w:val="nil"/>
                  </w:tcBorders>
                  <w:shd w:val="clear" w:color="auto" w:fill="auto"/>
                  <w:noWrap/>
                  <w:vAlign w:val="center"/>
                </w:tcPr>
                <w:p w14:paraId="61310F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continue"/>
                  <w:tcBorders>
                    <w:tl2br w:val="nil"/>
                    <w:tr2bl w:val="nil"/>
                  </w:tcBorders>
                  <w:shd w:val="clear" w:color="auto" w:fill="auto"/>
                  <w:noWrap/>
                  <w:vAlign w:val="center"/>
                </w:tcPr>
                <w:p w14:paraId="565AC9A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8A1DDE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B5DD0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1B6839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58F1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4D1C17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6A4E6E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FAD5CD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490894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314B17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82BBE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-76.89</w:t>
                  </w:r>
                </w:p>
              </w:tc>
              <w:tc>
                <w:tcPr>
                  <w:tcW w:w="321" w:type="pct"/>
                  <w:tcBorders>
                    <w:tl2br w:val="nil"/>
                    <w:tr2bl w:val="nil"/>
                  </w:tcBorders>
                  <w:shd w:val="clear" w:color="auto" w:fill="auto"/>
                  <w:noWrap/>
                  <w:vAlign w:val="center"/>
                </w:tcPr>
                <w:p w14:paraId="70559E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-51.99</w:t>
                  </w:r>
                </w:p>
              </w:tc>
              <w:tc>
                <w:tcPr>
                  <w:tcW w:w="232" w:type="pct"/>
                  <w:tcBorders>
                    <w:tl2br w:val="nil"/>
                    <w:tr2bl w:val="nil"/>
                  </w:tcBorders>
                  <w:shd w:val="clear" w:color="auto" w:fill="auto"/>
                  <w:noWrap/>
                  <w:vAlign w:val="center"/>
                </w:tcPr>
                <w:p w14:paraId="52DDC3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F2CE2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320B59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9.87</w:t>
                  </w:r>
                </w:p>
              </w:tc>
              <w:tc>
                <w:tcPr>
                  <w:tcW w:w="422" w:type="pct"/>
                  <w:tcBorders>
                    <w:tl2br w:val="nil"/>
                    <w:tr2bl w:val="nil"/>
                  </w:tcBorders>
                  <w:shd w:val="clear" w:color="auto" w:fill="auto"/>
                  <w:noWrap/>
                  <w:vAlign w:val="center"/>
                </w:tcPr>
                <w:p w14:paraId="223E71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60.45</w:t>
                  </w:r>
                </w:p>
              </w:tc>
              <w:tc>
                <w:tcPr>
                  <w:tcW w:w="300" w:type="pct"/>
                  <w:vMerge w:val="continue"/>
                  <w:tcBorders>
                    <w:tl2br w:val="nil"/>
                    <w:tr2bl w:val="nil"/>
                  </w:tcBorders>
                  <w:shd w:val="clear" w:color="auto" w:fill="auto"/>
                  <w:noWrap/>
                  <w:vAlign w:val="center"/>
                </w:tcPr>
                <w:p w14:paraId="55CCBFD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C1CE06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8096F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34.45</w:t>
                  </w:r>
                </w:p>
              </w:tc>
              <w:tc>
                <w:tcPr>
                  <w:tcW w:w="342" w:type="pct"/>
                  <w:tcBorders>
                    <w:tl2br w:val="nil"/>
                    <w:tr2bl w:val="nil"/>
                  </w:tcBorders>
                  <w:shd w:val="clear" w:color="auto" w:fill="auto"/>
                  <w:noWrap/>
                  <w:vAlign w:val="center"/>
                </w:tcPr>
                <w:p w14:paraId="158BD0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D02C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46CAD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351" w:type="pct"/>
                  <w:vMerge w:val="continue"/>
                  <w:tcBorders>
                    <w:tl2br w:val="nil"/>
                    <w:tr2bl w:val="nil"/>
                  </w:tcBorders>
                  <w:shd w:val="clear" w:color="auto" w:fill="auto"/>
                  <w:noWrap/>
                  <w:vAlign w:val="center"/>
                </w:tcPr>
                <w:p w14:paraId="23FDB5A5">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99B31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蒸汽锅炉</w:t>
                  </w:r>
                </w:p>
              </w:tc>
              <w:tc>
                <w:tcPr>
                  <w:tcW w:w="452" w:type="pct"/>
                  <w:vMerge w:val="restart"/>
                  <w:tcBorders>
                    <w:tl2br w:val="nil"/>
                    <w:tr2bl w:val="nil"/>
                  </w:tcBorders>
                  <w:shd w:val="clear" w:color="auto" w:fill="auto"/>
                  <w:noWrap/>
                  <w:vAlign w:val="center"/>
                </w:tcPr>
                <w:p w14:paraId="2CFE62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18419EB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53BCC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-76.08</w:t>
                  </w:r>
                </w:p>
              </w:tc>
              <w:tc>
                <w:tcPr>
                  <w:tcW w:w="321" w:type="pct"/>
                  <w:tcBorders>
                    <w:tl2br w:val="nil"/>
                    <w:tr2bl w:val="nil"/>
                  </w:tcBorders>
                  <w:shd w:val="clear" w:color="auto" w:fill="auto"/>
                  <w:noWrap/>
                  <w:vAlign w:val="center"/>
                </w:tcPr>
                <w:p w14:paraId="50729D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-53.9</w:t>
                  </w:r>
                </w:p>
              </w:tc>
              <w:tc>
                <w:tcPr>
                  <w:tcW w:w="232" w:type="pct"/>
                  <w:tcBorders>
                    <w:tl2br w:val="nil"/>
                    <w:tr2bl w:val="nil"/>
                  </w:tcBorders>
                  <w:shd w:val="clear" w:color="auto" w:fill="auto"/>
                  <w:noWrap/>
                  <w:vAlign w:val="center"/>
                </w:tcPr>
                <w:p w14:paraId="7E8439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81" w:type="pct"/>
                  <w:tcBorders>
                    <w:tl2br w:val="nil"/>
                    <w:tr2bl w:val="nil"/>
                  </w:tcBorders>
                  <w:shd w:val="clear" w:color="auto" w:fill="auto"/>
                  <w:noWrap/>
                  <w:vAlign w:val="center"/>
                </w:tcPr>
                <w:p w14:paraId="14E685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97774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61.89</w:t>
                  </w:r>
                </w:p>
              </w:tc>
              <w:tc>
                <w:tcPr>
                  <w:tcW w:w="422" w:type="pct"/>
                  <w:tcBorders>
                    <w:tl2br w:val="nil"/>
                    <w:tr2bl w:val="nil"/>
                  </w:tcBorders>
                  <w:shd w:val="clear" w:color="auto" w:fill="auto"/>
                  <w:noWrap/>
                  <w:vAlign w:val="center"/>
                </w:tcPr>
                <w:p w14:paraId="7B1FE4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restart"/>
                  <w:tcBorders>
                    <w:tl2br w:val="nil"/>
                    <w:tr2bl w:val="nil"/>
                  </w:tcBorders>
                  <w:shd w:val="clear" w:color="auto" w:fill="auto"/>
                  <w:noWrap/>
                  <w:vAlign w:val="center"/>
                </w:tcPr>
                <w:p w14:paraId="57954A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7A76FA0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25929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748548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2EED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7C71B6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F448FE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487162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770C6A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A310B1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7664A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-76.08</w:t>
                  </w:r>
                </w:p>
              </w:tc>
              <w:tc>
                <w:tcPr>
                  <w:tcW w:w="321" w:type="pct"/>
                  <w:tcBorders>
                    <w:tl2br w:val="nil"/>
                    <w:tr2bl w:val="nil"/>
                  </w:tcBorders>
                  <w:shd w:val="clear" w:color="auto" w:fill="auto"/>
                  <w:noWrap/>
                  <w:vAlign w:val="center"/>
                </w:tcPr>
                <w:p w14:paraId="7E2475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-53.9</w:t>
                  </w:r>
                </w:p>
              </w:tc>
              <w:tc>
                <w:tcPr>
                  <w:tcW w:w="232" w:type="pct"/>
                  <w:tcBorders>
                    <w:tl2br w:val="nil"/>
                    <w:tr2bl w:val="nil"/>
                  </w:tcBorders>
                  <w:shd w:val="clear" w:color="auto" w:fill="auto"/>
                  <w:noWrap/>
                  <w:vAlign w:val="center"/>
                </w:tcPr>
                <w:p w14:paraId="3F97F6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81" w:type="pct"/>
                  <w:tcBorders>
                    <w:tl2br w:val="nil"/>
                    <w:tr2bl w:val="nil"/>
                  </w:tcBorders>
                  <w:shd w:val="clear" w:color="auto" w:fill="auto"/>
                  <w:noWrap/>
                  <w:vAlign w:val="center"/>
                </w:tcPr>
                <w:p w14:paraId="0C0308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B60ED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26.26</w:t>
                  </w:r>
                </w:p>
              </w:tc>
              <w:tc>
                <w:tcPr>
                  <w:tcW w:w="422" w:type="pct"/>
                  <w:tcBorders>
                    <w:tl2br w:val="nil"/>
                    <w:tr2bl w:val="nil"/>
                  </w:tcBorders>
                  <w:shd w:val="clear" w:color="auto" w:fill="auto"/>
                  <w:noWrap/>
                  <w:vAlign w:val="center"/>
                </w:tcPr>
                <w:p w14:paraId="2E9859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60.36</w:t>
                  </w:r>
                </w:p>
              </w:tc>
              <w:tc>
                <w:tcPr>
                  <w:tcW w:w="300" w:type="pct"/>
                  <w:vMerge w:val="continue"/>
                  <w:tcBorders>
                    <w:tl2br w:val="nil"/>
                    <w:tr2bl w:val="nil"/>
                  </w:tcBorders>
                  <w:shd w:val="clear" w:color="auto" w:fill="auto"/>
                  <w:noWrap/>
                  <w:vAlign w:val="center"/>
                </w:tcPr>
                <w:p w14:paraId="5A62404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678114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33D2E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34.36</w:t>
                  </w:r>
                </w:p>
              </w:tc>
              <w:tc>
                <w:tcPr>
                  <w:tcW w:w="342" w:type="pct"/>
                  <w:tcBorders>
                    <w:tl2br w:val="nil"/>
                    <w:tr2bl w:val="nil"/>
                  </w:tcBorders>
                  <w:shd w:val="clear" w:color="auto" w:fill="auto"/>
                  <w:noWrap/>
                  <w:vAlign w:val="center"/>
                </w:tcPr>
                <w:p w14:paraId="06D40A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7015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830339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3FA6C8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8A5266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B7DEDF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5607DC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5EE77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-76.08</w:t>
                  </w:r>
                </w:p>
              </w:tc>
              <w:tc>
                <w:tcPr>
                  <w:tcW w:w="321" w:type="pct"/>
                  <w:tcBorders>
                    <w:tl2br w:val="nil"/>
                    <w:tr2bl w:val="nil"/>
                  </w:tcBorders>
                  <w:shd w:val="clear" w:color="auto" w:fill="auto"/>
                  <w:noWrap/>
                  <w:vAlign w:val="center"/>
                </w:tcPr>
                <w:p w14:paraId="3141A6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-53.9</w:t>
                  </w:r>
                </w:p>
              </w:tc>
              <w:tc>
                <w:tcPr>
                  <w:tcW w:w="232" w:type="pct"/>
                  <w:tcBorders>
                    <w:tl2br w:val="nil"/>
                    <w:tr2bl w:val="nil"/>
                  </w:tcBorders>
                  <w:shd w:val="clear" w:color="auto" w:fill="auto"/>
                  <w:noWrap/>
                  <w:vAlign w:val="center"/>
                </w:tcPr>
                <w:p w14:paraId="47410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81" w:type="pct"/>
                  <w:tcBorders>
                    <w:tl2br w:val="nil"/>
                    <w:tr2bl w:val="nil"/>
                  </w:tcBorders>
                  <w:shd w:val="clear" w:color="auto" w:fill="auto"/>
                  <w:noWrap/>
                  <w:vAlign w:val="center"/>
                </w:tcPr>
                <w:p w14:paraId="02FA3F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2726EE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19.41</w:t>
                  </w:r>
                </w:p>
              </w:tc>
              <w:tc>
                <w:tcPr>
                  <w:tcW w:w="422" w:type="pct"/>
                  <w:tcBorders>
                    <w:tl2br w:val="nil"/>
                    <w:tr2bl w:val="nil"/>
                  </w:tcBorders>
                  <w:shd w:val="clear" w:color="auto" w:fill="auto"/>
                  <w:noWrap/>
                  <w:vAlign w:val="center"/>
                </w:tcPr>
                <w:p w14:paraId="6A9FF9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continue"/>
                  <w:tcBorders>
                    <w:tl2br w:val="nil"/>
                    <w:tr2bl w:val="nil"/>
                  </w:tcBorders>
                  <w:shd w:val="clear" w:color="auto" w:fill="auto"/>
                  <w:noWrap/>
                  <w:vAlign w:val="center"/>
                </w:tcPr>
                <w:p w14:paraId="3909ECD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0F588B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7701A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39F9A3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4A34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538E69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DE15FC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94C6D8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549CDB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BF8155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4873D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-76.08</w:t>
                  </w:r>
                </w:p>
              </w:tc>
              <w:tc>
                <w:tcPr>
                  <w:tcW w:w="321" w:type="pct"/>
                  <w:tcBorders>
                    <w:tl2br w:val="nil"/>
                    <w:tr2bl w:val="nil"/>
                  </w:tcBorders>
                  <w:shd w:val="clear" w:color="auto" w:fill="auto"/>
                  <w:noWrap/>
                  <w:vAlign w:val="center"/>
                </w:tcPr>
                <w:p w14:paraId="1D1117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-53.9</w:t>
                  </w:r>
                </w:p>
              </w:tc>
              <w:tc>
                <w:tcPr>
                  <w:tcW w:w="232" w:type="pct"/>
                  <w:tcBorders>
                    <w:tl2br w:val="nil"/>
                    <w:tr2bl w:val="nil"/>
                  </w:tcBorders>
                  <w:shd w:val="clear" w:color="auto" w:fill="auto"/>
                  <w:noWrap/>
                  <w:vAlign w:val="center"/>
                </w:tcPr>
                <w:p w14:paraId="295AD1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81" w:type="pct"/>
                  <w:tcBorders>
                    <w:tl2br w:val="nil"/>
                    <w:tr2bl w:val="nil"/>
                  </w:tcBorders>
                  <w:shd w:val="clear" w:color="auto" w:fill="auto"/>
                  <w:noWrap/>
                  <w:vAlign w:val="center"/>
                </w:tcPr>
                <w:p w14:paraId="2D705E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3D26BA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9.88</w:t>
                  </w:r>
                </w:p>
              </w:tc>
              <w:tc>
                <w:tcPr>
                  <w:tcW w:w="422" w:type="pct"/>
                  <w:tcBorders>
                    <w:tl2br w:val="nil"/>
                    <w:tr2bl w:val="nil"/>
                  </w:tcBorders>
                  <w:shd w:val="clear" w:color="auto" w:fill="auto"/>
                  <w:noWrap/>
                  <w:vAlign w:val="center"/>
                </w:tcPr>
                <w:p w14:paraId="37AA56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60.45</w:t>
                  </w:r>
                </w:p>
              </w:tc>
              <w:tc>
                <w:tcPr>
                  <w:tcW w:w="300" w:type="pct"/>
                  <w:vMerge w:val="continue"/>
                  <w:tcBorders>
                    <w:tl2br w:val="nil"/>
                    <w:tr2bl w:val="nil"/>
                  </w:tcBorders>
                  <w:shd w:val="clear" w:color="auto" w:fill="auto"/>
                  <w:noWrap/>
                  <w:vAlign w:val="center"/>
                </w:tcPr>
                <w:p w14:paraId="3686050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373C51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10500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34.45</w:t>
                  </w:r>
                </w:p>
              </w:tc>
              <w:tc>
                <w:tcPr>
                  <w:tcW w:w="342" w:type="pct"/>
                  <w:tcBorders>
                    <w:tl2br w:val="nil"/>
                    <w:tr2bl w:val="nil"/>
                  </w:tcBorders>
                  <w:shd w:val="clear" w:color="auto" w:fill="auto"/>
                  <w:noWrap/>
                  <w:vAlign w:val="center"/>
                </w:tcPr>
                <w:p w14:paraId="18B94D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09DC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FD1DD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351" w:type="pct"/>
                  <w:vMerge w:val="continue"/>
                  <w:tcBorders>
                    <w:tl2br w:val="nil"/>
                    <w:tr2bl w:val="nil"/>
                  </w:tcBorders>
                  <w:shd w:val="clear" w:color="auto" w:fill="auto"/>
                  <w:noWrap/>
                  <w:vAlign w:val="center"/>
                </w:tcPr>
                <w:p w14:paraId="6BB22E38">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4BB32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预脱色塔</w:t>
                  </w:r>
                </w:p>
              </w:tc>
              <w:tc>
                <w:tcPr>
                  <w:tcW w:w="452" w:type="pct"/>
                  <w:vMerge w:val="restart"/>
                  <w:tcBorders>
                    <w:tl2br w:val="nil"/>
                    <w:tr2bl w:val="nil"/>
                  </w:tcBorders>
                  <w:shd w:val="clear" w:color="auto" w:fill="auto"/>
                  <w:noWrap/>
                  <w:vAlign w:val="center"/>
                </w:tcPr>
                <w:p w14:paraId="4D3D63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08CD278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53A17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-71.71</w:t>
                  </w:r>
                </w:p>
              </w:tc>
              <w:tc>
                <w:tcPr>
                  <w:tcW w:w="321" w:type="pct"/>
                  <w:tcBorders>
                    <w:tl2br w:val="nil"/>
                    <w:tr2bl w:val="nil"/>
                  </w:tcBorders>
                  <w:shd w:val="clear" w:color="auto" w:fill="auto"/>
                  <w:noWrap/>
                  <w:vAlign w:val="center"/>
                </w:tcPr>
                <w:p w14:paraId="5D6C94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-64.27</w:t>
                  </w:r>
                </w:p>
              </w:tc>
              <w:tc>
                <w:tcPr>
                  <w:tcW w:w="232" w:type="pct"/>
                  <w:tcBorders>
                    <w:tl2br w:val="nil"/>
                    <w:tr2bl w:val="nil"/>
                  </w:tcBorders>
                  <w:shd w:val="clear" w:color="auto" w:fill="auto"/>
                  <w:noWrap/>
                  <w:vAlign w:val="center"/>
                </w:tcPr>
                <w:p w14:paraId="236425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222FF5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49405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73.14</w:t>
                  </w:r>
                </w:p>
              </w:tc>
              <w:tc>
                <w:tcPr>
                  <w:tcW w:w="422" w:type="pct"/>
                  <w:tcBorders>
                    <w:tl2br w:val="nil"/>
                    <w:tr2bl w:val="nil"/>
                  </w:tcBorders>
                  <w:shd w:val="clear" w:color="auto" w:fill="auto"/>
                  <w:noWrap/>
                  <w:vAlign w:val="center"/>
                </w:tcPr>
                <w:p w14:paraId="5E7BCA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3AE39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700BA28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A9E53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46EA76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999C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57A2E2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FD055A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B90588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BFAB44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4073AC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2D17D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-71.71</w:t>
                  </w:r>
                </w:p>
              </w:tc>
              <w:tc>
                <w:tcPr>
                  <w:tcW w:w="321" w:type="pct"/>
                  <w:tcBorders>
                    <w:tl2br w:val="nil"/>
                    <w:tr2bl w:val="nil"/>
                  </w:tcBorders>
                  <w:shd w:val="clear" w:color="auto" w:fill="auto"/>
                  <w:noWrap/>
                  <w:vAlign w:val="center"/>
                </w:tcPr>
                <w:p w14:paraId="1BD146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-64.27</w:t>
                  </w:r>
                </w:p>
              </w:tc>
              <w:tc>
                <w:tcPr>
                  <w:tcW w:w="232" w:type="pct"/>
                  <w:tcBorders>
                    <w:tl2br w:val="nil"/>
                    <w:tr2bl w:val="nil"/>
                  </w:tcBorders>
                  <w:shd w:val="clear" w:color="auto" w:fill="auto"/>
                  <w:noWrap/>
                  <w:vAlign w:val="center"/>
                </w:tcPr>
                <w:p w14:paraId="20A5F2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29A7E5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60F7A9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26.09</w:t>
                  </w:r>
                </w:p>
              </w:tc>
              <w:tc>
                <w:tcPr>
                  <w:tcW w:w="422" w:type="pct"/>
                  <w:tcBorders>
                    <w:tl2br w:val="nil"/>
                    <w:tr2bl w:val="nil"/>
                  </w:tcBorders>
                  <w:shd w:val="clear" w:color="auto" w:fill="auto"/>
                  <w:noWrap/>
                  <w:vAlign w:val="center"/>
                </w:tcPr>
                <w:p w14:paraId="30BE67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1C46DF4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89C717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C8C48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717132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21CB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A062E9D">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ECE2E0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B7615D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940E7B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D95E86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E28E8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-71.71</w:t>
                  </w:r>
                </w:p>
              </w:tc>
              <w:tc>
                <w:tcPr>
                  <w:tcW w:w="321" w:type="pct"/>
                  <w:tcBorders>
                    <w:tl2br w:val="nil"/>
                    <w:tr2bl w:val="nil"/>
                  </w:tcBorders>
                  <w:shd w:val="clear" w:color="auto" w:fill="auto"/>
                  <w:noWrap/>
                  <w:vAlign w:val="center"/>
                </w:tcPr>
                <w:p w14:paraId="6E5A5B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-64.27</w:t>
                  </w:r>
                </w:p>
              </w:tc>
              <w:tc>
                <w:tcPr>
                  <w:tcW w:w="232" w:type="pct"/>
                  <w:tcBorders>
                    <w:tl2br w:val="nil"/>
                    <w:tr2bl w:val="nil"/>
                  </w:tcBorders>
                  <w:shd w:val="clear" w:color="auto" w:fill="auto"/>
                  <w:noWrap/>
                  <w:vAlign w:val="center"/>
                </w:tcPr>
                <w:p w14:paraId="20DEF8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50B906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3D9A6C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8.16</w:t>
                  </w:r>
                </w:p>
              </w:tc>
              <w:tc>
                <w:tcPr>
                  <w:tcW w:w="422" w:type="pct"/>
                  <w:tcBorders>
                    <w:tl2br w:val="nil"/>
                    <w:tr2bl w:val="nil"/>
                  </w:tcBorders>
                  <w:shd w:val="clear" w:color="auto" w:fill="auto"/>
                  <w:noWrap/>
                  <w:vAlign w:val="center"/>
                </w:tcPr>
                <w:p w14:paraId="45EC5C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55.50</w:t>
                  </w:r>
                </w:p>
              </w:tc>
              <w:tc>
                <w:tcPr>
                  <w:tcW w:w="300" w:type="pct"/>
                  <w:vMerge w:val="continue"/>
                  <w:tcBorders>
                    <w:tl2br w:val="nil"/>
                    <w:tr2bl w:val="nil"/>
                  </w:tcBorders>
                  <w:shd w:val="clear" w:color="auto" w:fill="auto"/>
                  <w:noWrap/>
                  <w:vAlign w:val="center"/>
                </w:tcPr>
                <w:p w14:paraId="1C92DC5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048F80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79770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29.50</w:t>
                  </w:r>
                </w:p>
              </w:tc>
              <w:tc>
                <w:tcPr>
                  <w:tcW w:w="342" w:type="pct"/>
                  <w:tcBorders>
                    <w:tl2br w:val="nil"/>
                    <w:tr2bl w:val="nil"/>
                  </w:tcBorders>
                  <w:shd w:val="clear" w:color="auto" w:fill="auto"/>
                  <w:noWrap/>
                  <w:vAlign w:val="center"/>
                </w:tcPr>
                <w:p w14:paraId="4563C4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9688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897765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BD992D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5553D5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01BE30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47FEC8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A5F92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-71.71</w:t>
                  </w:r>
                </w:p>
              </w:tc>
              <w:tc>
                <w:tcPr>
                  <w:tcW w:w="321" w:type="pct"/>
                  <w:tcBorders>
                    <w:tl2br w:val="nil"/>
                    <w:tr2bl w:val="nil"/>
                  </w:tcBorders>
                  <w:shd w:val="clear" w:color="auto" w:fill="auto"/>
                  <w:noWrap/>
                  <w:vAlign w:val="center"/>
                </w:tcPr>
                <w:p w14:paraId="48D6C5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-64.27</w:t>
                  </w:r>
                </w:p>
              </w:tc>
              <w:tc>
                <w:tcPr>
                  <w:tcW w:w="232" w:type="pct"/>
                  <w:tcBorders>
                    <w:tl2br w:val="nil"/>
                    <w:tr2bl w:val="nil"/>
                  </w:tcBorders>
                  <w:shd w:val="clear" w:color="auto" w:fill="auto"/>
                  <w:noWrap/>
                  <w:vAlign w:val="center"/>
                </w:tcPr>
                <w:p w14:paraId="373B8E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3214A3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99FB8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9.90</w:t>
                  </w:r>
                </w:p>
              </w:tc>
              <w:tc>
                <w:tcPr>
                  <w:tcW w:w="422" w:type="pct"/>
                  <w:tcBorders>
                    <w:tl2br w:val="nil"/>
                    <w:tr2bl w:val="nil"/>
                  </w:tcBorders>
                  <w:shd w:val="clear" w:color="auto" w:fill="auto"/>
                  <w:noWrap/>
                  <w:vAlign w:val="center"/>
                </w:tcPr>
                <w:p w14:paraId="11EE11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55.45</w:t>
                  </w:r>
                </w:p>
              </w:tc>
              <w:tc>
                <w:tcPr>
                  <w:tcW w:w="300" w:type="pct"/>
                  <w:vMerge w:val="continue"/>
                  <w:tcBorders>
                    <w:tl2br w:val="nil"/>
                    <w:tr2bl w:val="nil"/>
                  </w:tcBorders>
                  <w:shd w:val="clear" w:color="auto" w:fill="auto"/>
                  <w:noWrap/>
                  <w:vAlign w:val="center"/>
                </w:tcPr>
                <w:p w14:paraId="1EE0FD9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725E2C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8C0DF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29.45</w:t>
                  </w:r>
                </w:p>
              </w:tc>
              <w:tc>
                <w:tcPr>
                  <w:tcW w:w="342" w:type="pct"/>
                  <w:tcBorders>
                    <w:tl2br w:val="nil"/>
                    <w:tr2bl w:val="nil"/>
                  </w:tcBorders>
                  <w:shd w:val="clear" w:color="auto" w:fill="auto"/>
                  <w:noWrap/>
                  <w:vAlign w:val="center"/>
                </w:tcPr>
                <w:p w14:paraId="051360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A36C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0E483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351" w:type="pct"/>
                  <w:vMerge w:val="continue"/>
                  <w:tcBorders>
                    <w:tl2br w:val="nil"/>
                    <w:tr2bl w:val="nil"/>
                  </w:tcBorders>
                  <w:shd w:val="clear" w:color="auto" w:fill="auto"/>
                  <w:noWrap/>
                  <w:vAlign w:val="center"/>
                </w:tcPr>
                <w:p w14:paraId="7EA9E5D4">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AE036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真空脱味塔</w:t>
                  </w:r>
                </w:p>
              </w:tc>
              <w:tc>
                <w:tcPr>
                  <w:tcW w:w="452" w:type="pct"/>
                  <w:vMerge w:val="restart"/>
                  <w:tcBorders>
                    <w:tl2br w:val="nil"/>
                    <w:tr2bl w:val="nil"/>
                  </w:tcBorders>
                  <w:shd w:val="clear" w:color="auto" w:fill="auto"/>
                  <w:vAlign w:val="center"/>
                </w:tcPr>
                <w:p w14:paraId="66B1DF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C54845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EA442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-93.81</w:t>
                  </w:r>
                </w:p>
              </w:tc>
              <w:tc>
                <w:tcPr>
                  <w:tcW w:w="321" w:type="pct"/>
                  <w:tcBorders>
                    <w:tl2br w:val="nil"/>
                    <w:tr2bl w:val="nil"/>
                  </w:tcBorders>
                  <w:shd w:val="clear" w:color="auto" w:fill="auto"/>
                  <w:noWrap/>
                  <w:vAlign w:val="center"/>
                </w:tcPr>
                <w:p w14:paraId="3DF7B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-1.66</w:t>
                  </w:r>
                </w:p>
              </w:tc>
              <w:tc>
                <w:tcPr>
                  <w:tcW w:w="232" w:type="pct"/>
                  <w:tcBorders>
                    <w:tl2br w:val="nil"/>
                    <w:tr2bl w:val="nil"/>
                  </w:tcBorders>
                  <w:shd w:val="clear" w:color="auto" w:fill="auto"/>
                  <w:noWrap/>
                  <w:vAlign w:val="center"/>
                </w:tcPr>
                <w:p w14:paraId="31E41B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7F83C0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79ABFD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6.84</w:t>
                  </w:r>
                </w:p>
              </w:tc>
              <w:tc>
                <w:tcPr>
                  <w:tcW w:w="422" w:type="pct"/>
                  <w:tcBorders>
                    <w:tl2br w:val="nil"/>
                    <w:tr2bl w:val="nil"/>
                  </w:tcBorders>
                  <w:shd w:val="clear" w:color="auto" w:fill="auto"/>
                  <w:noWrap/>
                  <w:vAlign w:val="center"/>
                </w:tcPr>
                <w:p w14:paraId="3C7E8D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55.56</w:t>
                  </w:r>
                </w:p>
              </w:tc>
              <w:tc>
                <w:tcPr>
                  <w:tcW w:w="300" w:type="pct"/>
                  <w:vMerge w:val="restart"/>
                  <w:tcBorders>
                    <w:tl2br w:val="nil"/>
                    <w:tr2bl w:val="nil"/>
                  </w:tcBorders>
                  <w:shd w:val="clear" w:color="auto" w:fill="auto"/>
                  <w:noWrap/>
                  <w:vAlign w:val="center"/>
                </w:tcPr>
                <w:p w14:paraId="7532EF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794FD76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4242C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29.56</w:t>
                  </w:r>
                </w:p>
              </w:tc>
              <w:tc>
                <w:tcPr>
                  <w:tcW w:w="342" w:type="pct"/>
                  <w:tcBorders>
                    <w:tl2br w:val="nil"/>
                    <w:tr2bl w:val="nil"/>
                  </w:tcBorders>
                  <w:shd w:val="clear" w:color="auto" w:fill="auto"/>
                  <w:noWrap/>
                  <w:vAlign w:val="center"/>
                </w:tcPr>
                <w:p w14:paraId="300808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D9B6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5085BE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B8CCA8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8D6A43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vAlign w:val="center"/>
                </w:tcPr>
                <w:p w14:paraId="6947E23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38C9E9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4FC58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-93.81</w:t>
                  </w:r>
                </w:p>
              </w:tc>
              <w:tc>
                <w:tcPr>
                  <w:tcW w:w="321" w:type="pct"/>
                  <w:tcBorders>
                    <w:tl2br w:val="nil"/>
                    <w:tr2bl w:val="nil"/>
                  </w:tcBorders>
                  <w:shd w:val="clear" w:color="auto" w:fill="auto"/>
                  <w:noWrap/>
                  <w:vAlign w:val="center"/>
                </w:tcPr>
                <w:p w14:paraId="61BFBB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-1.66</w:t>
                  </w:r>
                </w:p>
              </w:tc>
              <w:tc>
                <w:tcPr>
                  <w:tcW w:w="232" w:type="pct"/>
                  <w:tcBorders>
                    <w:tl2br w:val="nil"/>
                    <w:tr2bl w:val="nil"/>
                  </w:tcBorders>
                  <w:shd w:val="clear" w:color="auto" w:fill="auto"/>
                  <w:noWrap/>
                  <w:vAlign w:val="center"/>
                </w:tcPr>
                <w:p w14:paraId="04E821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1248FD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1422E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23.13</w:t>
                  </w:r>
                </w:p>
              </w:tc>
              <w:tc>
                <w:tcPr>
                  <w:tcW w:w="422" w:type="pct"/>
                  <w:tcBorders>
                    <w:tl2br w:val="nil"/>
                    <w:tr2bl w:val="nil"/>
                  </w:tcBorders>
                  <w:shd w:val="clear" w:color="auto" w:fill="auto"/>
                  <w:noWrap/>
                  <w:vAlign w:val="center"/>
                </w:tcPr>
                <w:p w14:paraId="0CF4B7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6E8EF7B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B4CC67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47FD4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00D987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68B9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CF9665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DEEC2F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E4B89C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vAlign w:val="center"/>
                </w:tcPr>
                <w:p w14:paraId="7CC6654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22E6ED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61398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-93.81</w:t>
                  </w:r>
                </w:p>
              </w:tc>
              <w:tc>
                <w:tcPr>
                  <w:tcW w:w="321" w:type="pct"/>
                  <w:tcBorders>
                    <w:tl2br w:val="nil"/>
                    <w:tr2bl w:val="nil"/>
                  </w:tcBorders>
                  <w:shd w:val="clear" w:color="auto" w:fill="auto"/>
                  <w:noWrap/>
                  <w:vAlign w:val="center"/>
                </w:tcPr>
                <w:p w14:paraId="03068D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-1.66</w:t>
                  </w:r>
                </w:p>
              </w:tc>
              <w:tc>
                <w:tcPr>
                  <w:tcW w:w="232" w:type="pct"/>
                  <w:tcBorders>
                    <w:tl2br w:val="nil"/>
                    <w:tr2bl w:val="nil"/>
                  </w:tcBorders>
                  <w:shd w:val="clear" w:color="auto" w:fill="auto"/>
                  <w:noWrap/>
                  <w:vAlign w:val="center"/>
                </w:tcPr>
                <w:p w14:paraId="61426F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1EEDC8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10DF76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74.43</w:t>
                  </w:r>
                </w:p>
              </w:tc>
              <w:tc>
                <w:tcPr>
                  <w:tcW w:w="422" w:type="pct"/>
                  <w:tcBorders>
                    <w:tl2br w:val="nil"/>
                    <w:tr2bl w:val="nil"/>
                  </w:tcBorders>
                  <w:shd w:val="clear" w:color="auto" w:fill="auto"/>
                  <w:noWrap/>
                  <w:vAlign w:val="center"/>
                </w:tcPr>
                <w:p w14:paraId="64BE88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4299F1A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3C57F1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272D5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1DDEBD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02E5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33AC54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C0E426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CAF9FF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vAlign w:val="center"/>
                </w:tcPr>
                <w:p w14:paraId="312F887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47505B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D0318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-93.81</w:t>
                  </w:r>
                </w:p>
              </w:tc>
              <w:tc>
                <w:tcPr>
                  <w:tcW w:w="321" w:type="pct"/>
                  <w:tcBorders>
                    <w:tl2br w:val="nil"/>
                    <w:tr2bl w:val="nil"/>
                  </w:tcBorders>
                  <w:shd w:val="clear" w:color="auto" w:fill="auto"/>
                  <w:noWrap/>
                  <w:vAlign w:val="center"/>
                </w:tcPr>
                <w:p w14:paraId="609042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-1.66</w:t>
                  </w:r>
                </w:p>
              </w:tc>
              <w:tc>
                <w:tcPr>
                  <w:tcW w:w="232" w:type="pct"/>
                  <w:tcBorders>
                    <w:tl2br w:val="nil"/>
                    <w:tr2bl w:val="nil"/>
                  </w:tcBorders>
                  <w:shd w:val="clear" w:color="auto" w:fill="auto"/>
                  <w:noWrap/>
                  <w:vAlign w:val="center"/>
                </w:tcPr>
                <w:p w14:paraId="580C6D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729E5A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60E12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13.68</w:t>
                  </w:r>
                </w:p>
              </w:tc>
              <w:tc>
                <w:tcPr>
                  <w:tcW w:w="422" w:type="pct"/>
                  <w:tcBorders>
                    <w:tl2br w:val="nil"/>
                    <w:tr2bl w:val="nil"/>
                  </w:tcBorders>
                  <w:shd w:val="clear" w:color="auto" w:fill="auto"/>
                  <w:noWrap/>
                  <w:vAlign w:val="center"/>
                </w:tcPr>
                <w:p w14:paraId="451BEC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3414A80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BDEAEC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D47B6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78EC82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3C18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0D342B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351" w:type="pct"/>
                  <w:vMerge w:val="continue"/>
                  <w:tcBorders>
                    <w:tl2br w:val="nil"/>
                    <w:tr2bl w:val="nil"/>
                  </w:tcBorders>
                  <w:shd w:val="clear" w:color="auto" w:fill="auto"/>
                  <w:noWrap/>
                  <w:vAlign w:val="center"/>
                </w:tcPr>
                <w:p w14:paraId="0F5AA19A">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BFCFE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水洗离心机</w:t>
                  </w:r>
                </w:p>
              </w:tc>
              <w:tc>
                <w:tcPr>
                  <w:tcW w:w="452" w:type="pct"/>
                  <w:vMerge w:val="restart"/>
                  <w:tcBorders>
                    <w:tl2br w:val="nil"/>
                    <w:tr2bl w:val="nil"/>
                  </w:tcBorders>
                  <w:shd w:val="clear" w:color="auto" w:fill="auto"/>
                  <w:noWrap/>
                  <w:vAlign w:val="center"/>
                </w:tcPr>
                <w:p w14:paraId="0E651D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5E1CD9A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3C072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-92.86</w:t>
                  </w:r>
                </w:p>
              </w:tc>
              <w:tc>
                <w:tcPr>
                  <w:tcW w:w="321" w:type="pct"/>
                  <w:tcBorders>
                    <w:tl2br w:val="nil"/>
                    <w:tr2bl w:val="nil"/>
                  </w:tcBorders>
                  <w:shd w:val="clear" w:color="auto" w:fill="auto"/>
                  <w:noWrap/>
                  <w:vAlign w:val="center"/>
                </w:tcPr>
                <w:p w14:paraId="3D53A9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-3.97</w:t>
                  </w:r>
                </w:p>
              </w:tc>
              <w:tc>
                <w:tcPr>
                  <w:tcW w:w="232" w:type="pct"/>
                  <w:tcBorders>
                    <w:tl2br w:val="nil"/>
                    <w:tr2bl w:val="nil"/>
                  </w:tcBorders>
                  <w:shd w:val="clear" w:color="auto" w:fill="auto"/>
                  <w:noWrap/>
                  <w:vAlign w:val="center"/>
                </w:tcPr>
                <w:p w14:paraId="17620E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5103E3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FD323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9.34</w:t>
                  </w:r>
                </w:p>
              </w:tc>
              <w:tc>
                <w:tcPr>
                  <w:tcW w:w="422" w:type="pct"/>
                  <w:tcBorders>
                    <w:tl2br w:val="nil"/>
                    <w:tr2bl w:val="nil"/>
                  </w:tcBorders>
                  <w:shd w:val="clear" w:color="auto" w:fill="auto"/>
                  <w:noWrap/>
                  <w:vAlign w:val="center"/>
                </w:tcPr>
                <w:p w14:paraId="3EAEF0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60.46</w:t>
                  </w:r>
                </w:p>
              </w:tc>
              <w:tc>
                <w:tcPr>
                  <w:tcW w:w="300" w:type="pct"/>
                  <w:vMerge w:val="restart"/>
                  <w:tcBorders>
                    <w:tl2br w:val="nil"/>
                    <w:tr2bl w:val="nil"/>
                  </w:tcBorders>
                  <w:shd w:val="clear" w:color="auto" w:fill="auto"/>
                  <w:noWrap/>
                  <w:vAlign w:val="center"/>
                </w:tcPr>
                <w:p w14:paraId="158556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4F36F07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87432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34.46</w:t>
                  </w:r>
                </w:p>
              </w:tc>
              <w:tc>
                <w:tcPr>
                  <w:tcW w:w="342" w:type="pct"/>
                  <w:tcBorders>
                    <w:tl2br w:val="nil"/>
                    <w:tr2bl w:val="nil"/>
                  </w:tcBorders>
                  <w:shd w:val="clear" w:color="auto" w:fill="auto"/>
                  <w:noWrap/>
                  <w:vAlign w:val="center"/>
                </w:tcPr>
                <w:p w14:paraId="2FB552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8E32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E67AFA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DEE302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16969C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B940E0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D38EBB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AF0B3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-92.86</w:t>
                  </w:r>
                </w:p>
              </w:tc>
              <w:tc>
                <w:tcPr>
                  <w:tcW w:w="321" w:type="pct"/>
                  <w:tcBorders>
                    <w:tl2br w:val="nil"/>
                    <w:tr2bl w:val="nil"/>
                  </w:tcBorders>
                  <w:shd w:val="clear" w:color="auto" w:fill="auto"/>
                  <w:noWrap/>
                  <w:vAlign w:val="center"/>
                </w:tcPr>
                <w:p w14:paraId="0CAA34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-3.97</w:t>
                  </w:r>
                </w:p>
              </w:tc>
              <w:tc>
                <w:tcPr>
                  <w:tcW w:w="232" w:type="pct"/>
                  <w:tcBorders>
                    <w:tl2br w:val="nil"/>
                    <w:tr2bl w:val="nil"/>
                  </w:tcBorders>
                  <w:shd w:val="clear" w:color="auto" w:fill="auto"/>
                  <w:noWrap/>
                  <w:vAlign w:val="center"/>
                </w:tcPr>
                <w:p w14:paraId="7E1726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62EA6B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A2F03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23.11</w:t>
                  </w:r>
                </w:p>
              </w:tc>
              <w:tc>
                <w:tcPr>
                  <w:tcW w:w="422" w:type="pct"/>
                  <w:tcBorders>
                    <w:tl2br w:val="nil"/>
                    <w:tr2bl w:val="nil"/>
                  </w:tcBorders>
                  <w:shd w:val="clear" w:color="auto" w:fill="auto"/>
                  <w:noWrap/>
                  <w:vAlign w:val="center"/>
                </w:tcPr>
                <w:p w14:paraId="3A2DD3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continue"/>
                  <w:tcBorders>
                    <w:tl2br w:val="nil"/>
                    <w:tr2bl w:val="nil"/>
                  </w:tcBorders>
                  <w:shd w:val="clear" w:color="auto" w:fill="auto"/>
                  <w:noWrap/>
                  <w:vAlign w:val="center"/>
                </w:tcPr>
                <w:p w14:paraId="4D56E85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81E6A0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D4BD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1A6C03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C5F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E78CF2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D75E18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93D7DA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727B62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191721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7790B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-92.86</w:t>
                  </w:r>
                </w:p>
              </w:tc>
              <w:tc>
                <w:tcPr>
                  <w:tcW w:w="321" w:type="pct"/>
                  <w:tcBorders>
                    <w:tl2br w:val="nil"/>
                    <w:tr2bl w:val="nil"/>
                  </w:tcBorders>
                  <w:shd w:val="clear" w:color="auto" w:fill="auto"/>
                  <w:noWrap/>
                  <w:vAlign w:val="center"/>
                </w:tcPr>
                <w:p w14:paraId="773614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-3.97</w:t>
                  </w:r>
                </w:p>
              </w:tc>
              <w:tc>
                <w:tcPr>
                  <w:tcW w:w="232" w:type="pct"/>
                  <w:tcBorders>
                    <w:tl2br w:val="nil"/>
                    <w:tr2bl w:val="nil"/>
                  </w:tcBorders>
                  <w:shd w:val="clear" w:color="auto" w:fill="auto"/>
                  <w:noWrap/>
                  <w:vAlign w:val="center"/>
                </w:tcPr>
                <w:p w14:paraId="764EA0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2FDF1A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77C354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71.94</w:t>
                  </w:r>
                </w:p>
              </w:tc>
              <w:tc>
                <w:tcPr>
                  <w:tcW w:w="422" w:type="pct"/>
                  <w:tcBorders>
                    <w:tl2br w:val="nil"/>
                    <w:tr2bl w:val="nil"/>
                  </w:tcBorders>
                  <w:shd w:val="clear" w:color="auto" w:fill="auto"/>
                  <w:noWrap/>
                  <w:vAlign w:val="center"/>
                </w:tcPr>
                <w:p w14:paraId="0B9E25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4C242FE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FE7875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00845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5008E5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CECB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F0B817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4698A2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767DA4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E0A3DF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A2ABF1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958CC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-92.86</w:t>
                  </w:r>
                </w:p>
              </w:tc>
              <w:tc>
                <w:tcPr>
                  <w:tcW w:w="321" w:type="pct"/>
                  <w:tcBorders>
                    <w:tl2br w:val="nil"/>
                    <w:tr2bl w:val="nil"/>
                  </w:tcBorders>
                  <w:shd w:val="clear" w:color="auto" w:fill="auto"/>
                  <w:noWrap/>
                  <w:vAlign w:val="center"/>
                </w:tcPr>
                <w:p w14:paraId="1CB69A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-3.97</w:t>
                  </w:r>
                </w:p>
              </w:tc>
              <w:tc>
                <w:tcPr>
                  <w:tcW w:w="232" w:type="pct"/>
                  <w:tcBorders>
                    <w:tl2br w:val="nil"/>
                    <w:tr2bl w:val="nil"/>
                  </w:tcBorders>
                  <w:shd w:val="clear" w:color="auto" w:fill="auto"/>
                  <w:noWrap/>
                  <w:vAlign w:val="center"/>
                </w:tcPr>
                <w:p w14:paraId="403B84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339671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A7C56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13.66</w:t>
                  </w:r>
                </w:p>
              </w:tc>
              <w:tc>
                <w:tcPr>
                  <w:tcW w:w="422" w:type="pct"/>
                  <w:tcBorders>
                    <w:tl2br w:val="nil"/>
                    <w:tr2bl w:val="nil"/>
                  </w:tcBorders>
                  <w:shd w:val="clear" w:color="auto" w:fill="auto"/>
                  <w:noWrap/>
                  <w:vAlign w:val="center"/>
                </w:tcPr>
                <w:p w14:paraId="339967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60.40</w:t>
                  </w:r>
                </w:p>
              </w:tc>
              <w:tc>
                <w:tcPr>
                  <w:tcW w:w="300" w:type="pct"/>
                  <w:vMerge w:val="continue"/>
                  <w:tcBorders>
                    <w:tl2br w:val="nil"/>
                    <w:tr2bl w:val="nil"/>
                  </w:tcBorders>
                  <w:shd w:val="clear" w:color="auto" w:fill="auto"/>
                  <w:noWrap/>
                  <w:vAlign w:val="center"/>
                </w:tcPr>
                <w:p w14:paraId="57E335B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D7AEDB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29C13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34.40</w:t>
                  </w:r>
                </w:p>
              </w:tc>
              <w:tc>
                <w:tcPr>
                  <w:tcW w:w="342" w:type="pct"/>
                  <w:tcBorders>
                    <w:tl2br w:val="nil"/>
                    <w:tr2bl w:val="nil"/>
                  </w:tcBorders>
                  <w:shd w:val="clear" w:color="auto" w:fill="auto"/>
                  <w:noWrap/>
                  <w:vAlign w:val="center"/>
                </w:tcPr>
                <w:p w14:paraId="77FAB3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722A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5721D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351" w:type="pct"/>
                  <w:vMerge w:val="continue"/>
                  <w:tcBorders>
                    <w:tl2br w:val="nil"/>
                    <w:tr2bl w:val="nil"/>
                  </w:tcBorders>
                  <w:shd w:val="clear" w:color="auto" w:fill="auto"/>
                  <w:noWrap/>
                  <w:vAlign w:val="center"/>
                </w:tcPr>
                <w:p w14:paraId="25BF3A23">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A426C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脱皂离心机</w:t>
                  </w:r>
                </w:p>
              </w:tc>
              <w:tc>
                <w:tcPr>
                  <w:tcW w:w="452" w:type="pct"/>
                  <w:vMerge w:val="restart"/>
                  <w:tcBorders>
                    <w:tl2br w:val="nil"/>
                    <w:tr2bl w:val="nil"/>
                  </w:tcBorders>
                  <w:shd w:val="clear" w:color="auto" w:fill="auto"/>
                  <w:noWrap/>
                  <w:vAlign w:val="center"/>
                </w:tcPr>
                <w:p w14:paraId="6B17C0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06F8578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2407E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-91.9</w:t>
                  </w:r>
                </w:p>
              </w:tc>
              <w:tc>
                <w:tcPr>
                  <w:tcW w:w="321" w:type="pct"/>
                  <w:tcBorders>
                    <w:tl2br w:val="nil"/>
                    <w:tr2bl w:val="nil"/>
                  </w:tcBorders>
                  <w:shd w:val="clear" w:color="auto" w:fill="auto"/>
                  <w:noWrap/>
                  <w:vAlign w:val="center"/>
                </w:tcPr>
                <w:p w14:paraId="4EAEEE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-6.57</w:t>
                  </w:r>
                </w:p>
              </w:tc>
              <w:tc>
                <w:tcPr>
                  <w:tcW w:w="232" w:type="pct"/>
                  <w:tcBorders>
                    <w:tl2br w:val="nil"/>
                    <w:tr2bl w:val="nil"/>
                  </w:tcBorders>
                  <w:shd w:val="clear" w:color="auto" w:fill="auto"/>
                  <w:noWrap/>
                  <w:vAlign w:val="center"/>
                </w:tcPr>
                <w:p w14:paraId="1D81AB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324EB7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5EA13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12.11</w:t>
                  </w:r>
                </w:p>
              </w:tc>
              <w:tc>
                <w:tcPr>
                  <w:tcW w:w="422" w:type="pct"/>
                  <w:tcBorders>
                    <w:tl2br w:val="nil"/>
                    <w:tr2bl w:val="nil"/>
                  </w:tcBorders>
                  <w:shd w:val="clear" w:color="auto" w:fill="auto"/>
                  <w:noWrap/>
                  <w:vAlign w:val="center"/>
                </w:tcPr>
                <w:p w14:paraId="0E4AB6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60.42</w:t>
                  </w:r>
                </w:p>
              </w:tc>
              <w:tc>
                <w:tcPr>
                  <w:tcW w:w="300" w:type="pct"/>
                  <w:vMerge w:val="restart"/>
                  <w:tcBorders>
                    <w:tl2br w:val="nil"/>
                    <w:tr2bl w:val="nil"/>
                  </w:tcBorders>
                  <w:shd w:val="clear" w:color="auto" w:fill="auto"/>
                  <w:noWrap/>
                  <w:vAlign w:val="center"/>
                </w:tcPr>
                <w:p w14:paraId="2B787D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0114208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9E49D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34.42</w:t>
                  </w:r>
                </w:p>
              </w:tc>
              <w:tc>
                <w:tcPr>
                  <w:tcW w:w="342" w:type="pct"/>
                  <w:tcBorders>
                    <w:tl2br w:val="nil"/>
                    <w:tr2bl w:val="nil"/>
                  </w:tcBorders>
                  <w:shd w:val="clear" w:color="auto" w:fill="auto"/>
                  <w:noWrap/>
                  <w:vAlign w:val="center"/>
                </w:tcPr>
                <w:p w14:paraId="54DD41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F309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5CB4A9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B49F19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03E5B8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87D947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182FD6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D2401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-91.9</w:t>
                  </w:r>
                </w:p>
              </w:tc>
              <w:tc>
                <w:tcPr>
                  <w:tcW w:w="321" w:type="pct"/>
                  <w:tcBorders>
                    <w:tl2br w:val="nil"/>
                    <w:tr2bl w:val="nil"/>
                  </w:tcBorders>
                  <w:shd w:val="clear" w:color="auto" w:fill="auto"/>
                  <w:noWrap/>
                  <w:vAlign w:val="center"/>
                </w:tcPr>
                <w:p w14:paraId="750710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-6.57</w:t>
                  </w:r>
                </w:p>
              </w:tc>
              <w:tc>
                <w:tcPr>
                  <w:tcW w:w="232" w:type="pct"/>
                  <w:tcBorders>
                    <w:tl2br w:val="nil"/>
                    <w:tr2bl w:val="nil"/>
                  </w:tcBorders>
                  <w:shd w:val="clear" w:color="auto" w:fill="auto"/>
                  <w:noWrap/>
                  <w:vAlign w:val="center"/>
                </w:tcPr>
                <w:p w14:paraId="1EDFFF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0133F7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412022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23.20</w:t>
                  </w:r>
                </w:p>
              </w:tc>
              <w:tc>
                <w:tcPr>
                  <w:tcW w:w="422" w:type="pct"/>
                  <w:tcBorders>
                    <w:tl2br w:val="nil"/>
                    <w:tr2bl w:val="nil"/>
                  </w:tcBorders>
                  <w:shd w:val="clear" w:color="auto" w:fill="auto"/>
                  <w:noWrap/>
                  <w:vAlign w:val="center"/>
                </w:tcPr>
                <w:p w14:paraId="0FC335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continue"/>
                  <w:tcBorders>
                    <w:tl2br w:val="nil"/>
                    <w:tr2bl w:val="nil"/>
                  </w:tcBorders>
                  <w:shd w:val="clear" w:color="auto" w:fill="auto"/>
                  <w:noWrap/>
                  <w:vAlign w:val="center"/>
                </w:tcPr>
                <w:p w14:paraId="5CD589CD">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6DD82B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B337B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57C1B0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E505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480D7B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44F4A5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B6E43A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6969C8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E070EB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95277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-91.9</w:t>
                  </w:r>
                </w:p>
              </w:tc>
              <w:tc>
                <w:tcPr>
                  <w:tcW w:w="321" w:type="pct"/>
                  <w:tcBorders>
                    <w:tl2br w:val="nil"/>
                    <w:tr2bl w:val="nil"/>
                  </w:tcBorders>
                  <w:shd w:val="clear" w:color="auto" w:fill="auto"/>
                  <w:noWrap/>
                  <w:vAlign w:val="center"/>
                </w:tcPr>
                <w:p w14:paraId="322297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-6.57</w:t>
                  </w:r>
                </w:p>
              </w:tc>
              <w:tc>
                <w:tcPr>
                  <w:tcW w:w="232" w:type="pct"/>
                  <w:tcBorders>
                    <w:tl2br w:val="nil"/>
                    <w:tr2bl w:val="nil"/>
                  </w:tcBorders>
                  <w:shd w:val="clear" w:color="auto" w:fill="auto"/>
                  <w:noWrap/>
                  <w:vAlign w:val="center"/>
                </w:tcPr>
                <w:p w14:paraId="771585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12CC71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73B62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69.17</w:t>
                  </w:r>
                </w:p>
              </w:tc>
              <w:tc>
                <w:tcPr>
                  <w:tcW w:w="422" w:type="pct"/>
                  <w:tcBorders>
                    <w:tl2br w:val="nil"/>
                    <w:tr2bl w:val="nil"/>
                  </w:tcBorders>
                  <w:shd w:val="clear" w:color="auto" w:fill="auto"/>
                  <w:noWrap/>
                  <w:vAlign w:val="center"/>
                </w:tcPr>
                <w:p w14:paraId="2A7826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242601B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DC2A2F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FBDB0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40DCCC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7E6D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98BE0B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985B47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7CCB5E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406385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B2AA2B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81F46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-91.9</w:t>
                  </w:r>
                </w:p>
              </w:tc>
              <w:tc>
                <w:tcPr>
                  <w:tcW w:w="321" w:type="pct"/>
                  <w:tcBorders>
                    <w:tl2br w:val="nil"/>
                    <w:tr2bl w:val="nil"/>
                  </w:tcBorders>
                  <w:shd w:val="clear" w:color="auto" w:fill="auto"/>
                  <w:noWrap/>
                  <w:vAlign w:val="center"/>
                </w:tcPr>
                <w:p w14:paraId="78E1BF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-6.57</w:t>
                  </w:r>
                </w:p>
              </w:tc>
              <w:tc>
                <w:tcPr>
                  <w:tcW w:w="232" w:type="pct"/>
                  <w:tcBorders>
                    <w:tl2br w:val="nil"/>
                    <w:tr2bl w:val="nil"/>
                  </w:tcBorders>
                  <w:shd w:val="clear" w:color="auto" w:fill="auto"/>
                  <w:noWrap/>
                  <w:vAlign w:val="center"/>
                </w:tcPr>
                <w:p w14:paraId="69FC3D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39F5EE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A2B6C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13.55</w:t>
                  </w:r>
                </w:p>
              </w:tc>
              <w:tc>
                <w:tcPr>
                  <w:tcW w:w="422" w:type="pct"/>
                  <w:tcBorders>
                    <w:tl2br w:val="nil"/>
                    <w:tr2bl w:val="nil"/>
                  </w:tcBorders>
                  <w:shd w:val="clear" w:color="auto" w:fill="auto"/>
                  <w:noWrap/>
                  <w:vAlign w:val="center"/>
                </w:tcPr>
                <w:p w14:paraId="5928D0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60.40</w:t>
                  </w:r>
                </w:p>
              </w:tc>
              <w:tc>
                <w:tcPr>
                  <w:tcW w:w="300" w:type="pct"/>
                  <w:vMerge w:val="continue"/>
                  <w:tcBorders>
                    <w:tl2br w:val="nil"/>
                    <w:tr2bl w:val="nil"/>
                  </w:tcBorders>
                  <w:shd w:val="clear" w:color="auto" w:fill="auto"/>
                  <w:noWrap/>
                  <w:vAlign w:val="center"/>
                </w:tcPr>
                <w:p w14:paraId="2B3E6E4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B75D7F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BBE52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34.40</w:t>
                  </w:r>
                </w:p>
              </w:tc>
              <w:tc>
                <w:tcPr>
                  <w:tcW w:w="342" w:type="pct"/>
                  <w:tcBorders>
                    <w:tl2br w:val="nil"/>
                    <w:tr2bl w:val="nil"/>
                  </w:tcBorders>
                  <w:shd w:val="clear" w:color="auto" w:fill="auto"/>
                  <w:noWrap/>
                  <w:vAlign w:val="center"/>
                </w:tcPr>
                <w:p w14:paraId="75AD0D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B8AA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0FA772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51" w:type="pct"/>
                  <w:vMerge w:val="continue"/>
                  <w:tcBorders>
                    <w:tl2br w:val="nil"/>
                    <w:tr2bl w:val="nil"/>
                  </w:tcBorders>
                  <w:shd w:val="clear" w:color="auto" w:fill="auto"/>
                  <w:noWrap/>
                  <w:vAlign w:val="center"/>
                </w:tcPr>
                <w:p w14:paraId="65C2E536">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8173F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脱色塔</w:t>
                  </w:r>
                </w:p>
              </w:tc>
              <w:tc>
                <w:tcPr>
                  <w:tcW w:w="452" w:type="pct"/>
                  <w:vMerge w:val="restart"/>
                  <w:tcBorders>
                    <w:tl2br w:val="nil"/>
                    <w:tr2bl w:val="nil"/>
                  </w:tcBorders>
                  <w:shd w:val="clear" w:color="auto" w:fill="auto"/>
                  <w:noWrap/>
                  <w:vAlign w:val="center"/>
                </w:tcPr>
                <w:p w14:paraId="4D83F4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5950CBC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A0EE1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-90.81</w:t>
                  </w:r>
                </w:p>
              </w:tc>
              <w:tc>
                <w:tcPr>
                  <w:tcW w:w="321" w:type="pct"/>
                  <w:tcBorders>
                    <w:tl2br w:val="nil"/>
                    <w:tr2bl w:val="nil"/>
                  </w:tcBorders>
                  <w:shd w:val="clear" w:color="auto" w:fill="auto"/>
                  <w:noWrap/>
                  <w:vAlign w:val="center"/>
                </w:tcPr>
                <w:p w14:paraId="3BAF0B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-9.57</w:t>
                  </w:r>
                </w:p>
              </w:tc>
              <w:tc>
                <w:tcPr>
                  <w:tcW w:w="232" w:type="pct"/>
                  <w:tcBorders>
                    <w:tl2br w:val="nil"/>
                    <w:tr2bl w:val="nil"/>
                  </w:tcBorders>
                  <w:shd w:val="clear" w:color="auto" w:fill="auto"/>
                  <w:noWrap/>
                  <w:vAlign w:val="center"/>
                </w:tcPr>
                <w:p w14:paraId="4ED742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20F7E4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D031F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15.30</w:t>
                  </w:r>
                </w:p>
              </w:tc>
              <w:tc>
                <w:tcPr>
                  <w:tcW w:w="422" w:type="pct"/>
                  <w:tcBorders>
                    <w:tl2br w:val="nil"/>
                    <w:tr2bl w:val="nil"/>
                  </w:tcBorders>
                  <w:shd w:val="clear" w:color="auto" w:fill="auto"/>
                  <w:noWrap/>
                  <w:vAlign w:val="center"/>
                </w:tcPr>
                <w:p w14:paraId="06CDA7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55.39</w:t>
                  </w:r>
                </w:p>
              </w:tc>
              <w:tc>
                <w:tcPr>
                  <w:tcW w:w="300" w:type="pct"/>
                  <w:vMerge w:val="restart"/>
                  <w:tcBorders>
                    <w:tl2br w:val="nil"/>
                    <w:tr2bl w:val="nil"/>
                  </w:tcBorders>
                  <w:shd w:val="clear" w:color="auto" w:fill="auto"/>
                  <w:noWrap/>
                  <w:vAlign w:val="center"/>
                </w:tcPr>
                <w:p w14:paraId="6A4D30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66303D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9CF1F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29.39</w:t>
                  </w:r>
                </w:p>
              </w:tc>
              <w:tc>
                <w:tcPr>
                  <w:tcW w:w="342" w:type="pct"/>
                  <w:tcBorders>
                    <w:tl2br w:val="nil"/>
                    <w:tr2bl w:val="nil"/>
                  </w:tcBorders>
                  <w:shd w:val="clear" w:color="auto" w:fill="auto"/>
                  <w:noWrap/>
                  <w:vAlign w:val="center"/>
                </w:tcPr>
                <w:p w14:paraId="3A5531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2F09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743938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40950C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AFFC3D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B712A5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5A5198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12AD9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-90.81</w:t>
                  </w:r>
                </w:p>
              </w:tc>
              <w:tc>
                <w:tcPr>
                  <w:tcW w:w="321" w:type="pct"/>
                  <w:tcBorders>
                    <w:tl2br w:val="nil"/>
                    <w:tr2bl w:val="nil"/>
                  </w:tcBorders>
                  <w:shd w:val="clear" w:color="auto" w:fill="auto"/>
                  <w:noWrap/>
                  <w:vAlign w:val="center"/>
                </w:tcPr>
                <w:p w14:paraId="08D3EF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-9.57</w:t>
                  </w:r>
                </w:p>
              </w:tc>
              <w:tc>
                <w:tcPr>
                  <w:tcW w:w="232" w:type="pct"/>
                  <w:tcBorders>
                    <w:tl2br w:val="nil"/>
                    <w:tr2bl w:val="nil"/>
                  </w:tcBorders>
                  <w:shd w:val="clear" w:color="auto" w:fill="auto"/>
                  <w:noWrap/>
                  <w:vAlign w:val="center"/>
                </w:tcPr>
                <w:p w14:paraId="403BE4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5DF652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6DA83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23.31</w:t>
                  </w:r>
                </w:p>
              </w:tc>
              <w:tc>
                <w:tcPr>
                  <w:tcW w:w="422" w:type="pct"/>
                  <w:tcBorders>
                    <w:tl2br w:val="nil"/>
                    <w:tr2bl w:val="nil"/>
                  </w:tcBorders>
                  <w:shd w:val="clear" w:color="auto" w:fill="auto"/>
                  <w:noWrap/>
                  <w:vAlign w:val="center"/>
                </w:tcPr>
                <w:p w14:paraId="6EDBA3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7013A5F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6BF79B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FD954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5069D2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A045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B72DA6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3CC99C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223047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DC77AD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C8D479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50F9E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-90.81</w:t>
                  </w:r>
                </w:p>
              </w:tc>
              <w:tc>
                <w:tcPr>
                  <w:tcW w:w="321" w:type="pct"/>
                  <w:tcBorders>
                    <w:tl2br w:val="nil"/>
                    <w:tr2bl w:val="nil"/>
                  </w:tcBorders>
                  <w:shd w:val="clear" w:color="auto" w:fill="auto"/>
                  <w:noWrap/>
                  <w:vAlign w:val="center"/>
                </w:tcPr>
                <w:p w14:paraId="637D6B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-9.57</w:t>
                  </w:r>
                </w:p>
              </w:tc>
              <w:tc>
                <w:tcPr>
                  <w:tcW w:w="232" w:type="pct"/>
                  <w:tcBorders>
                    <w:tl2br w:val="nil"/>
                    <w:tr2bl w:val="nil"/>
                  </w:tcBorders>
                  <w:shd w:val="clear" w:color="auto" w:fill="auto"/>
                  <w:noWrap/>
                  <w:vAlign w:val="center"/>
                </w:tcPr>
                <w:p w14:paraId="76C002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55A716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573702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65.98</w:t>
                  </w:r>
                </w:p>
              </w:tc>
              <w:tc>
                <w:tcPr>
                  <w:tcW w:w="422" w:type="pct"/>
                  <w:tcBorders>
                    <w:tl2br w:val="nil"/>
                    <w:tr2bl w:val="nil"/>
                  </w:tcBorders>
                  <w:shd w:val="clear" w:color="auto" w:fill="auto"/>
                  <w:noWrap/>
                  <w:vAlign w:val="center"/>
                </w:tcPr>
                <w:p w14:paraId="478CF0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3F6F39C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724BC6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AEE39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45CD20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8E83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B73FDD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64A680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1A9430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FAF52E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1F675C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570EB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-90.81</w:t>
                  </w:r>
                </w:p>
              </w:tc>
              <w:tc>
                <w:tcPr>
                  <w:tcW w:w="321" w:type="pct"/>
                  <w:tcBorders>
                    <w:tl2br w:val="nil"/>
                    <w:tr2bl w:val="nil"/>
                  </w:tcBorders>
                  <w:shd w:val="clear" w:color="auto" w:fill="auto"/>
                  <w:noWrap/>
                  <w:vAlign w:val="center"/>
                </w:tcPr>
                <w:p w14:paraId="28AE8B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-9.57</w:t>
                  </w:r>
                </w:p>
              </w:tc>
              <w:tc>
                <w:tcPr>
                  <w:tcW w:w="232" w:type="pct"/>
                  <w:tcBorders>
                    <w:tl2br w:val="nil"/>
                    <w:tr2bl w:val="nil"/>
                  </w:tcBorders>
                  <w:shd w:val="clear" w:color="auto" w:fill="auto"/>
                  <w:noWrap/>
                  <w:vAlign w:val="center"/>
                </w:tcPr>
                <w:p w14:paraId="04B123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576D4D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DAE91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13.39</w:t>
                  </w:r>
                </w:p>
              </w:tc>
              <w:tc>
                <w:tcPr>
                  <w:tcW w:w="422" w:type="pct"/>
                  <w:tcBorders>
                    <w:tl2br w:val="nil"/>
                    <w:tr2bl w:val="nil"/>
                  </w:tcBorders>
                  <w:shd w:val="clear" w:color="auto" w:fill="auto"/>
                  <w:noWrap/>
                  <w:vAlign w:val="center"/>
                </w:tcPr>
                <w:p w14:paraId="011C20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7A5D07B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D4E86E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B7D22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249A49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BBA2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C1255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351" w:type="pct"/>
                  <w:vMerge w:val="continue"/>
                  <w:tcBorders>
                    <w:tl2br w:val="nil"/>
                    <w:tr2bl w:val="nil"/>
                  </w:tcBorders>
                  <w:shd w:val="clear" w:color="auto" w:fill="auto"/>
                  <w:noWrap/>
                  <w:vAlign w:val="center"/>
                </w:tcPr>
                <w:p w14:paraId="032533E3">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4E7A37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预混油泵</w:t>
                  </w:r>
                </w:p>
              </w:tc>
              <w:tc>
                <w:tcPr>
                  <w:tcW w:w="452" w:type="pct"/>
                  <w:vMerge w:val="restart"/>
                  <w:tcBorders>
                    <w:tl2br w:val="nil"/>
                    <w:tr2bl w:val="nil"/>
                  </w:tcBorders>
                  <w:shd w:val="clear" w:color="auto" w:fill="auto"/>
                  <w:noWrap/>
                  <w:vAlign w:val="center"/>
                </w:tcPr>
                <w:p w14:paraId="31EB78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354E1A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86D8C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-87.81</w:t>
                  </w:r>
                </w:p>
              </w:tc>
              <w:tc>
                <w:tcPr>
                  <w:tcW w:w="321" w:type="pct"/>
                  <w:tcBorders>
                    <w:tl2br w:val="nil"/>
                    <w:tr2bl w:val="nil"/>
                  </w:tcBorders>
                  <w:shd w:val="clear" w:color="auto" w:fill="auto"/>
                  <w:noWrap/>
                  <w:vAlign w:val="center"/>
                </w:tcPr>
                <w:p w14:paraId="1A3A74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-15.43</w:t>
                  </w:r>
                </w:p>
              </w:tc>
              <w:tc>
                <w:tcPr>
                  <w:tcW w:w="232" w:type="pct"/>
                  <w:tcBorders>
                    <w:tl2br w:val="nil"/>
                    <w:tr2bl w:val="nil"/>
                  </w:tcBorders>
                  <w:shd w:val="clear" w:color="auto" w:fill="auto"/>
                  <w:noWrap/>
                  <w:vAlign w:val="center"/>
                </w:tcPr>
                <w:p w14:paraId="73537D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41040C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A1202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21.86</w:t>
                  </w:r>
                </w:p>
              </w:tc>
              <w:tc>
                <w:tcPr>
                  <w:tcW w:w="422" w:type="pct"/>
                  <w:tcBorders>
                    <w:tl2br w:val="nil"/>
                    <w:tr2bl w:val="nil"/>
                  </w:tcBorders>
                  <w:shd w:val="clear" w:color="auto" w:fill="auto"/>
                  <w:noWrap/>
                  <w:vAlign w:val="center"/>
                </w:tcPr>
                <w:p w14:paraId="5410BA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restart"/>
                  <w:tcBorders>
                    <w:tl2br w:val="nil"/>
                    <w:tr2bl w:val="nil"/>
                  </w:tcBorders>
                  <w:shd w:val="clear" w:color="auto" w:fill="auto"/>
                  <w:noWrap/>
                  <w:vAlign w:val="center"/>
                </w:tcPr>
                <w:p w14:paraId="173B2F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71C265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10EFF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29EB0D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0AD4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50122A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1DA4B9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F10E4E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1FC477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F6995B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DF45A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-87.81</w:t>
                  </w:r>
                </w:p>
              </w:tc>
              <w:tc>
                <w:tcPr>
                  <w:tcW w:w="321" w:type="pct"/>
                  <w:tcBorders>
                    <w:tl2br w:val="nil"/>
                    <w:tr2bl w:val="nil"/>
                  </w:tcBorders>
                  <w:shd w:val="clear" w:color="auto" w:fill="auto"/>
                  <w:noWrap/>
                  <w:vAlign w:val="center"/>
                </w:tcPr>
                <w:p w14:paraId="672F4F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-15.43</w:t>
                  </w:r>
                </w:p>
              </w:tc>
              <w:tc>
                <w:tcPr>
                  <w:tcW w:w="232" w:type="pct"/>
                  <w:tcBorders>
                    <w:tl2br w:val="nil"/>
                    <w:tr2bl w:val="nil"/>
                  </w:tcBorders>
                  <w:shd w:val="clear" w:color="auto" w:fill="auto"/>
                  <w:noWrap/>
                  <w:vAlign w:val="center"/>
                </w:tcPr>
                <w:p w14:paraId="53BEB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16CA80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26C1A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22.72</w:t>
                  </w:r>
                </w:p>
              </w:tc>
              <w:tc>
                <w:tcPr>
                  <w:tcW w:w="422" w:type="pct"/>
                  <w:tcBorders>
                    <w:tl2br w:val="nil"/>
                    <w:tr2bl w:val="nil"/>
                  </w:tcBorders>
                  <w:shd w:val="clear" w:color="auto" w:fill="auto"/>
                  <w:noWrap/>
                  <w:vAlign w:val="center"/>
                </w:tcPr>
                <w:p w14:paraId="70503D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2D8DAEE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BEEF03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270C8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2E778F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15CE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A8CAFD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1D115E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CEE36A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9887B7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5B76D6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703C8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-87.81</w:t>
                  </w:r>
                </w:p>
              </w:tc>
              <w:tc>
                <w:tcPr>
                  <w:tcW w:w="321" w:type="pct"/>
                  <w:tcBorders>
                    <w:tl2br w:val="nil"/>
                    <w:tr2bl w:val="nil"/>
                  </w:tcBorders>
                  <w:shd w:val="clear" w:color="auto" w:fill="auto"/>
                  <w:noWrap/>
                  <w:vAlign w:val="center"/>
                </w:tcPr>
                <w:p w14:paraId="62B959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-15.43</w:t>
                  </w:r>
                </w:p>
              </w:tc>
              <w:tc>
                <w:tcPr>
                  <w:tcW w:w="232" w:type="pct"/>
                  <w:tcBorders>
                    <w:tl2br w:val="nil"/>
                    <w:tr2bl w:val="nil"/>
                  </w:tcBorders>
                  <w:shd w:val="clear" w:color="auto" w:fill="auto"/>
                  <w:noWrap/>
                  <w:vAlign w:val="center"/>
                </w:tcPr>
                <w:p w14:paraId="6B7430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070B36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72C094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59.41</w:t>
                  </w:r>
                </w:p>
              </w:tc>
              <w:tc>
                <w:tcPr>
                  <w:tcW w:w="422" w:type="pct"/>
                  <w:tcBorders>
                    <w:tl2br w:val="nil"/>
                    <w:tr2bl w:val="nil"/>
                  </w:tcBorders>
                  <w:shd w:val="clear" w:color="auto" w:fill="auto"/>
                  <w:noWrap/>
                  <w:vAlign w:val="center"/>
                </w:tcPr>
                <w:p w14:paraId="2EB7C4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0078C77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37D2B3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C9943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797845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3CC8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F1F7B1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81A272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775972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87FB43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530CFF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1C702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-87.81</w:t>
                  </w:r>
                </w:p>
              </w:tc>
              <w:tc>
                <w:tcPr>
                  <w:tcW w:w="321" w:type="pct"/>
                  <w:tcBorders>
                    <w:tl2br w:val="nil"/>
                    <w:tr2bl w:val="nil"/>
                  </w:tcBorders>
                  <w:shd w:val="clear" w:color="auto" w:fill="auto"/>
                  <w:noWrap/>
                  <w:vAlign w:val="center"/>
                </w:tcPr>
                <w:p w14:paraId="1A6FCE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-15.43</w:t>
                  </w:r>
                </w:p>
              </w:tc>
              <w:tc>
                <w:tcPr>
                  <w:tcW w:w="232" w:type="pct"/>
                  <w:tcBorders>
                    <w:tl2br w:val="nil"/>
                    <w:tr2bl w:val="nil"/>
                  </w:tcBorders>
                  <w:shd w:val="clear" w:color="auto" w:fill="auto"/>
                  <w:noWrap/>
                  <w:vAlign w:val="center"/>
                </w:tcPr>
                <w:p w14:paraId="50B4EF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23BC5D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21C1C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13.90</w:t>
                  </w:r>
                </w:p>
              </w:tc>
              <w:tc>
                <w:tcPr>
                  <w:tcW w:w="422" w:type="pct"/>
                  <w:tcBorders>
                    <w:tl2br w:val="nil"/>
                    <w:tr2bl w:val="nil"/>
                  </w:tcBorders>
                  <w:shd w:val="clear" w:color="auto" w:fill="auto"/>
                  <w:noWrap/>
                  <w:vAlign w:val="center"/>
                </w:tcPr>
                <w:p w14:paraId="681F20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0F41B79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DC0E34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EC35A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35D45A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AA82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154CF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351" w:type="pct"/>
                  <w:vMerge w:val="continue"/>
                  <w:tcBorders>
                    <w:tl2br w:val="nil"/>
                    <w:tr2bl w:val="nil"/>
                  </w:tcBorders>
                  <w:shd w:val="clear" w:color="auto" w:fill="auto"/>
                  <w:noWrap/>
                  <w:vAlign w:val="center"/>
                </w:tcPr>
                <w:p w14:paraId="3E916C64">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A0619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FA循环泵</w:t>
                  </w:r>
                </w:p>
              </w:tc>
              <w:tc>
                <w:tcPr>
                  <w:tcW w:w="452" w:type="pct"/>
                  <w:vMerge w:val="restart"/>
                  <w:tcBorders>
                    <w:tl2br w:val="nil"/>
                    <w:tr2bl w:val="nil"/>
                  </w:tcBorders>
                  <w:shd w:val="clear" w:color="auto" w:fill="auto"/>
                  <w:noWrap/>
                  <w:vAlign w:val="center"/>
                </w:tcPr>
                <w:p w14:paraId="47B7EB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37146E7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E5741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-86.58</w:t>
                  </w:r>
                </w:p>
              </w:tc>
              <w:tc>
                <w:tcPr>
                  <w:tcW w:w="321" w:type="pct"/>
                  <w:tcBorders>
                    <w:tl2br w:val="nil"/>
                    <w:tr2bl w:val="nil"/>
                  </w:tcBorders>
                  <w:shd w:val="clear" w:color="auto" w:fill="auto"/>
                  <w:noWrap/>
                  <w:vAlign w:val="center"/>
                </w:tcPr>
                <w:p w14:paraId="456F46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-18.57</w:t>
                  </w:r>
                </w:p>
              </w:tc>
              <w:tc>
                <w:tcPr>
                  <w:tcW w:w="232" w:type="pct"/>
                  <w:tcBorders>
                    <w:tl2br w:val="nil"/>
                    <w:tr2bl w:val="nil"/>
                  </w:tcBorders>
                  <w:shd w:val="clear" w:color="auto" w:fill="auto"/>
                  <w:noWrap/>
                  <w:vAlign w:val="center"/>
                </w:tcPr>
                <w:p w14:paraId="23E66C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7E1111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517A56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25.23</w:t>
                  </w:r>
                </w:p>
              </w:tc>
              <w:tc>
                <w:tcPr>
                  <w:tcW w:w="422" w:type="pct"/>
                  <w:tcBorders>
                    <w:tl2br w:val="nil"/>
                    <w:tr2bl w:val="nil"/>
                  </w:tcBorders>
                  <w:shd w:val="clear" w:color="auto" w:fill="auto"/>
                  <w:noWrap/>
                  <w:vAlign w:val="center"/>
                </w:tcPr>
                <w:p w14:paraId="7336E3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restart"/>
                  <w:tcBorders>
                    <w:tl2br w:val="nil"/>
                    <w:tr2bl w:val="nil"/>
                  </w:tcBorders>
                  <w:shd w:val="clear" w:color="auto" w:fill="auto"/>
                  <w:noWrap/>
                  <w:vAlign w:val="center"/>
                </w:tcPr>
                <w:p w14:paraId="05A6A4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076A384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33454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4432CD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813E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B4761B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D3D66D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2BB9C0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376922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D38402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C6121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-86.58</w:t>
                  </w:r>
                </w:p>
              </w:tc>
              <w:tc>
                <w:tcPr>
                  <w:tcW w:w="321" w:type="pct"/>
                  <w:tcBorders>
                    <w:tl2br w:val="nil"/>
                    <w:tr2bl w:val="nil"/>
                  </w:tcBorders>
                  <w:shd w:val="clear" w:color="auto" w:fill="auto"/>
                  <w:noWrap/>
                  <w:vAlign w:val="center"/>
                </w:tcPr>
                <w:p w14:paraId="3BE497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-18.57</w:t>
                  </w:r>
                </w:p>
              </w:tc>
              <w:tc>
                <w:tcPr>
                  <w:tcW w:w="232" w:type="pct"/>
                  <w:tcBorders>
                    <w:tl2br w:val="nil"/>
                    <w:tr2bl w:val="nil"/>
                  </w:tcBorders>
                  <w:shd w:val="clear" w:color="auto" w:fill="auto"/>
                  <w:noWrap/>
                  <w:vAlign w:val="center"/>
                </w:tcPr>
                <w:p w14:paraId="590190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186ED9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57503D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22.76</w:t>
                  </w:r>
                </w:p>
              </w:tc>
              <w:tc>
                <w:tcPr>
                  <w:tcW w:w="422" w:type="pct"/>
                  <w:tcBorders>
                    <w:tl2br w:val="nil"/>
                    <w:tr2bl w:val="nil"/>
                  </w:tcBorders>
                  <w:shd w:val="clear" w:color="auto" w:fill="auto"/>
                  <w:noWrap/>
                  <w:vAlign w:val="center"/>
                </w:tcPr>
                <w:p w14:paraId="114DF0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5235C10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963F8F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E1D26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653C81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88A3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8F29ED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9AD3C0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DD80F4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2B7603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974B46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B41EC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-86.58</w:t>
                  </w:r>
                </w:p>
              </w:tc>
              <w:tc>
                <w:tcPr>
                  <w:tcW w:w="321" w:type="pct"/>
                  <w:tcBorders>
                    <w:tl2br w:val="nil"/>
                    <w:tr2bl w:val="nil"/>
                  </w:tcBorders>
                  <w:shd w:val="clear" w:color="auto" w:fill="auto"/>
                  <w:noWrap/>
                  <w:vAlign w:val="center"/>
                </w:tcPr>
                <w:p w14:paraId="36F53F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-18.57</w:t>
                  </w:r>
                </w:p>
              </w:tc>
              <w:tc>
                <w:tcPr>
                  <w:tcW w:w="232" w:type="pct"/>
                  <w:tcBorders>
                    <w:tl2br w:val="nil"/>
                    <w:tr2bl w:val="nil"/>
                  </w:tcBorders>
                  <w:shd w:val="clear" w:color="auto" w:fill="auto"/>
                  <w:noWrap/>
                  <w:vAlign w:val="center"/>
                </w:tcPr>
                <w:p w14:paraId="3F9CDA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73D4B9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EB4C9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56.04</w:t>
                  </w:r>
                </w:p>
              </w:tc>
              <w:tc>
                <w:tcPr>
                  <w:tcW w:w="422" w:type="pct"/>
                  <w:tcBorders>
                    <w:tl2br w:val="nil"/>
                    <w:tr2bl w:val="nil"/>
                  </w:tcBorders>
                  <w:shd w:val="clear" w:color="auto" w:fill="auto"/>
                  <w:noWrap/>
                  <w:vAlign w:val="center"/>
                </w:tcPr>
                <w:p w14:paraId="0131D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218A0B1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78CD9F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51FF1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3423B1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2661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FC6152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63FC7D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F39EDD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CDB075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D0B7C0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107A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-86.58</w:t>
                  </w:r>
                </w:p>
              </w:tc>
              <w:tc>
                <w:tcPr>
                  <w:tcW w:w="321" w:type="pct"/>
                  <w:tcBorders>
                    <w:tl2br w:val="nil"/>
                    <w:tr2bl w:val="nil"/>
                  </w:tcBorders>
                  <w:shd w:val="clear" w:color="auto" w:fill="auto"/>
                  <w:noWrap/>
                  <w:vAlign w:val="center"/>
                </w:tcPr>
                <w:p w14:paraId="191F3B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-18.57</w:t>
                  </w:r>
                </w:p>
              </w:tc>
              <w:tc>
                <w:tcPr>
                  <w:tcW w:w="232" w:type="pct"/>
                  <w:tcBorders>
                    <w:tl2br w:val="nil"/>
                    <w:tr2bl w:val="nil"/>
                  </w:tcBorders>
                  <w:shd w:val="clear" w:color="auto" w:fill="auto"/>
                  <w:noWrap/>
                  <w:vAlign w:val="center"/>
                </w:tcPr>
                <w:p w14:paraId="2A5ADA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466202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66943D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13.82</w:t>
                  </w:r>
                </w:p>
              </w:tc>
              <w:tc>
                <w:tcPr>
                  <w:tcW w:w="422" w:type="pct"/>
                  <w:tcBorders>
                    <w:tl2br w:val="nil"/>
                    <w:tr2bl w:val="nil"/>
                  </w:tcBorders>
                  <w:shd w:val="clear" w:color="auto" w:fill="auto"/>
                  <w:noWrap/>
                  <w:vAlign w:val="center"/>
                </w:tcPr>
                <w:p w14:paraId="5C562C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71D5B65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89B07C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7FC73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7DF92A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EA24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029AA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351" w:type="pct"/>
                  <w:vMerge w:val="continue"/>
                  <w:tcBorders>
                    <w:tl2br w:val="nil"/>
                    <w:tr2bl w:val="nil"/>
                  </w:tcBorders>
                  <w:shd w:val="clear" w:color="auto" w:fill="auto"/>
                  <w:noWrap/>
                  <w:vAlign w:val="center"/>
                </w:tcPr>
                <w:p w14:paraId="3EFDF8EE">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9D900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VE循环泵</w:t>
                  </w:r>
                </w:p>
              </w:tc>
              <w:tc>
                <w:tcPr>
                  <w:tcW w:w="452" w:type="pct"/>
                  <w:vMerge w:val="restart"/>
                  <w:tcBorders>
                    <w:tl2br w:val="nil"/>
                    <w:tr2bl w:val="nil"/>
                  </w:tcBorders>
                  <w:shd w:val="clear" w:color="auto" w:fill="auto"/>
                  <w:noWrap/>
                  <w:vAlign w:val="center"/>
                </w:tcPr>
                <w:p w14:paraId="120662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A259DA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0A7BF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-85.76</w:t>
                  </w:r>
                </w:p>
              </w:tc>
              <w:tc>
                <w:tcPr>
                  <w:tcW w:w="321" w:type="pct"/>
                  <w:tcBorders>
                    <w:tl2br w:val="nil"/>
                    <w:tr2bl w:val="nil"/>
                  </w:tcBorders>
                  <w:shd w:val="clear" w:color="auto" w:fill="auto"/>
                  <w:noWrap/>
                  <w:vAlign w:val="center"/>
                </w:tcPr>
                <w:p w14:paraId="7B7A3C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-21.03</w:t>
                  </w:r>
                </w:p>
              </w:tc>
              <w:tc>
                <w:tcPr>
                  <w:tcW w:w="232" w:type="pct"/>
                  <w:tcBorders>
                    <w:tl2br w:val="nil"/>
                    <w:tr2bl w:val="nil"/>
                  </w:tcBorders>
                  <w:shd w:val="clear" w:color="auto" w:fill="auto"/>
                  <w:noWrap/>
                  <w:vAlign w:val="center"/>
                </w:tcPr>
                <w:p w14:paraId="582E0D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6E0F97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9875C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27.82</w:t>
                  </w:r>
                </w:p>
              </w:tc>
              <w:tc>
                <w:tcPr>
                  <w:tcW w:w="422" w:type="pct"/>
                  <w:tcBorders>
                    <w:tl2br w:val="nil"/>
                    <w:tr2bl w:val="nil"/>
                  </w:tcBorders>
                  <w:shd w:val="clear" w:color="auto" w:fill="auto"/>
                  <w:noWrap/>
                  <w:vAlign w:val="center"/>
                </w:tcPr>
                <w:p w14:paraId="1D8051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restart"/>
                  <w:tcBorders>
                    <w:tl2br w:val="nil"/>
                    <w:tr2bl w:val="nil"/>
                  </w:tcBorders>
                  <w:shd w:val="clear" w:color="auto" w:fill="auto"/>
                  <w:noWrap/>
                  <w:vAlign w:val="center"/>
                </w:tcPr>
                <w:p w14:paraId="62B561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7AF82E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B650D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121210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3B4F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110668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3953D1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F21190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F5D658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B0B2CC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B7D22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-85.76</w:t>
                  </w:r>
                </w:p>
              </w:tc>
              <w:tc>
                <w:tcPr>
                  <w:tcW w:w="321" w:type="pct"/>
                  <w:tcBorders>
                    <w:tl2br w:val="nil"/>
                    <w:tr2bl w:val="nil"/>
                  </w:tcBorders>
                  <w:shd w:val="clear" w:color="auto" w:fill="auto"/>
                  <w:noWrap/>
                  <w:vAlign w:val="center"/>
                </w:tcPr>
                <w:p w14:paraId="487F7A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-21.03</w:t>
                  </w:r>
                </w:p>
              </w:tc>
              <w:tc>
                <w:tcPr>
                  <w:tcW w:w="232" w:type="pct"/>
                  <w:tcBorders>
                    <w:tl2br w:val="nil"/>
                    <w:tr2bl w:val="nil"/>
                  </w:tcBorders>
                  <w:shd w:val="clear" w:color="auto" w:fill="auto"/>
                  <w:noWrap/>
                  <w:vAlign w:val="center"/>
                </w:tcPr>
                <w:p w14:paraId="30FBBA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66DE19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413D5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22.92</w:t>
                  </w:r>
                </w:p>
              </w:tc>
              <w:tc>
                <w:tcPr>
                  <w:tcW w:w="422" w:type="pct"/>
                  <w:tcBorders>
                    <w:tl2br w:val="nil"/>
                    <w:tr2bl w:val="nil"/>
                  </w:tcBorders>
                  <w:shd w:val="clear" w:color="auto" w:fill="auto"/>
                  <w:noWrap/>
                  <w:vAlign w:val="center"/>
                </w:tcPr>
                <w:p w14:paraId="73134C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0BE0E6E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ECC149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94D2B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382E07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D0DF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804F43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AB6F6B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25AA76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BF5CCD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D51B98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62DD3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-85.76</w:t>
                  </w:r>
                </w:p>
              </w:tc>
              <w:tc>
                <w:tcPr>
                  <w:tcW w:w="321" w:type="pct"/>
                  <w:tcBorders>
                    <w:tl2br w:val="nil"/>
                    <w:tr2bl w:val="nil"/>
                  </w:tcBorders>
                  <w:shd w:val="clear" w:color="auto" w:fill="auto"/>
                  <w:noWrap/>
                  <w:vAlign w:val="center"/>
                </w:tcPr>
                <w:p w14:paraId="61082C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-21.03</w:t>
                  </w:r>
                </w:p>
              </w:tc>
              <w:tc>
                <w:tcPr>
                  <w:tcW w:w="232" w:type="pct"/>
                  <w:tcBorders>
                    <w:tl2br w:val="nil"/>
                    <w:tr2bl w:val="nil"/>
                  </w:tcBorders>
                  <w:shd w:val="clear" w:color="auto" w:fill="auto"/>
                  <w:noWrap/>
                  <w:vAlign w:val="center"/>
                </w:tcPr>
                <w:p w14:paraId="738984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4BE430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E91B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53.46</w:t>
                  </w:r>
                </w:p>
              </w:tc>
              <w:tc>
                <w:tcPr>
                  <w:tcW w:w="422" w:type="pct"/>
                  <w:tcBorders>
                    <w:tl2br w:val="nil"/>
                    <w:tr2bl w:val="nil"/>
                  </w:tcBorders>
                  <w:shd w:val="clear" w:color="auto" w:fill="auto"/>
                  <w:noWrap/>
                  <w:vAlign w:val="center"/>
                </w:tcPr>
                <w:p w14:paraId="5D807B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1003A70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6FC829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FA5E2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2C02AB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8C73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89353E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95F786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FAA397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158F38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6E67CC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0AE66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-85.76</w:t>
                  </w:r>
                </w:p>
              </w:tc>
              <w:tc>
                <w:tcPr>
                  <w:tcW w:w="321" w:type="pct"/>
                  <w:tcBorders>
                    <w:tl2br w:val="nil"/>
                    <w:tr2bl w:val="nil"/>
                  </w:tcBorders>
                  <w:shd w:val="clear" w:color="auto" w:fill="auto"/>
                  <w:noWrap/>
                  <w:vAlign w:val="center"/>
                </w:tcPr>
                <w:p w14:paraId="3FE6D5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-21.03</w:t>
                  </w:r>
                </w:p>
              </w:tc>
              <w:tc>
                <w:tcPr>
                  <w:tcW w:w="232" w:type="pct"/>
                  <w:tcBorders>
                    <w:tl2br w:val="nil"/>
                    <w:tr2bl w:val="nil"/>
                  </w:tcBorders>
                  <w:shd w:val="clear" w:color="auto" w:fill="auto"/>
                  <w:noWrap/>
                  <w:vAlign w:val="center"/>
                </w:tcPr>
                <w:p w14:paraId="751A87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59234C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34A75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13.63</w:t>
                  </w:r>
                </w:p>
              </w:tc>
              <w:tc>
                <w:tcPr>
                  <w:tcW w:w="422" w:type="pct"/>
                  <w:tcBorders>
                    <w:tl2br w:val="nil"/>
                    <w:tr2bl w:val="nil"/>
                  </w:tcBorders>
                  <w:shd w:val="clear" w:color="auto" w:fill="auto"/>
                  <w:noWrap/>
                  <w:vAlign w:val="center"/>
                </w:tcPr>
                <w:p w14:paraId="1C79A1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2D65B48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BC7391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93B9D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114454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4BCE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C654B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351" w:type="pct"/>
                  <w:vMerge w:val="continue"/>
                  <w:tcBorders>
                    <w:tl2br w:val="nil"/>
                    <w:tr2bl w:val="nil"/>
                  </w:tcBorders>
                  <w:shd w:val="clear" w:color="auto" w:fill="auto"/>
                  <w:noWrap/>
                  <w:vAlign w:val="center"/>
                </w:tcPr>
                <w:p w14:paraId="0757D051">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F0E9A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脱酸塔</w:t>
                  </w:r>
                </w:p>
              </w:tc>
              <w:tc>
                <w:tcPr>
                  <w:tcW w:w="452" w:type="pct"/>
                  <w:vMerge w:val="restart"/>
                  <w:tcBorders>
                    <w:tl2br w:val="nil"/>
                    <w:tr2bl w:val="nil"/>
                  </w:tcBorders>
                  <w:shd w:val="clear" w:color="auto" w:fill="auto"/>
                  <w:noWrap/>
                  <w:vAlign w:val="center"/>
                </w:tcPr>
                <w:p w14:paraId="7B791D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3957A67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A916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-84.4</w:t>
                  </w:r>
                </w:p>
              </w:tc>
              <w:tc>
                <w:tcPr>
                  <w:tcW w:w="321" w:type="pct"/>
                  <w:tcBorders>
                    <w:tl2br w:val="nil"/>
                    <w:tr2bl w:val="nil"/>
                  </w:tcBorders>
                  <w:shd w:val="clear" w:color="auto" w:fill="auto"/>
                  <w:noWrap/>
                  <w:vAlign w:val="center"/>
                </w:tcPr>
                <w:p w14:paraId="58711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-24.16</w:t>
                  </w:r>
                </w:p>
              </w:tc>
              <w:tc>
                <w:tcPr>
                  <w:tcW w:w="232" w:type="pct"/>
                  <w:tcBorders>
                    <w:tl2br w:val="nil"/>
                    <w:tr2bl w:val="nil"/>
                  </w:tcBorders>
                  <w:shd w:val="clear" w:color="auto" w:fill="auto"/>
                  <w:noWrap/>
                  <w:vAlign w:val="center"/>
                </w:tcPr>
                <w:p w14:paraId="20A0DA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79872A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C4BF4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31.23</w:t>
                  </w:r>
                </w:p>
              </w:tc>
              <w:tc>
                <w:tcPr>
                  <w:tcW w:w="422" w:type="pct"/>
                  <w:tcBorders>
                    <w:tl2br w:val="nil"/>
                    <w:tr2bl w:val="nil"/>
                  </w:tcBorders>
                  <w:shd w:val="clear" w:color="auto" w:fill="auto"/>
                  <w:noWrap/>
                  <w:vAlign w:val="center"/>
                </w:tcPr>
                <w:p w14:paraId="499377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60.36</w:t>
                  </w:r>
                </w:p>
              </w:tc>
              <w:tc>
                <w:tcPr>
                  <w:tcW w:w="300" w:type="pct"/>
                  <w:vMerge w:val="restart"/>
                  <w:tcBorders>
                    <w:tl2br w:val="nil"/>
                    <w:tr2bl w:val="nil"/>
                  </w:tcBorders>
                  <w:shd w:val="clear" w:color="auto" w:fill="auto"/>
                  <w:noWrap/>
                  <w:vAlign w:val="center"/>
                </w:tcPr>
                <w:p w14:paraId="727259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D5941C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9FF7D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34.36</w:t>
                  </w:r>
                </w:p>
              </w:tc>
              <w:tc>
                <w:tcPr>
                  <w:tcW w:w="342" w:type="pct"/>
                  <w:tcBorders>
                    <w:tl2br w:val="nil"/>
                    <w:tr2bl w:val="nil"/>
                  </w:tcBorders>
                  <w:shd w:val="clear" w:color="auto" w:fill="auto"/>
                  <w:noWrap/>
                  <w:vAlign w:val="center"/>
                </w:tcPr>
                <w:p w14:paraId="592498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68A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943EB5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34E84C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FF93AD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7B10C1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41A618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2A6D2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-84.4</w:t>
                  </w:r>
                </w:p>
              </w:tc>
              <w:tc>
                <w:tcPr>
                  <w:tcW w:w="321" w:type="pct"/>
                  <w:tcBorders>
                    <w:tl2br w:val="nil"/>
                    <w:tr2bl w:val="nil"/>
                  </w:tcBorders>
                  <w:shd w:val="clear" w:color="auto" w:fill="auto"/>
                  <w:noWrap/>
                  <w:vAlign w:val="center"/>
                </w:tcPr>
                <w:p w14:paraId="09B1FA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-24.16</w:t>
                  </w:r>
                </w:p>
              </w:tc>
              <w:tc>
                <w:tcPr>
                  <w:tcW w:w="232" w:type="pct"/>
                  <w:tcBorders>
                    <w:tl2br w:val="nil"/>
                    <w:tr2bl w:val="nil"/>
                  </w:tcBorders>
                  <w:shd w:val="clear" w:color="auto" w:fill="auto"/>
                  <w:noWrap/>
                  <w:vAlign w:val="center"/>
                </w:tcPr>
                <w:p w14:paraId="2865D2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422323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1A603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22.83</w:t>
                  </w:r>
                </w:p>
              </w:tc>
              <w:tc>
                <w:tcPr>
                  <w:tcW w:w="422" w:type="pct"/>
                  <w:tcBorders>
                    <w:tl2br w:val="nil"/>
                    <w:tr2bl w:val="nil"/>
                  </w:tcBorders>
                  <w:shd w:val="clear" w:color="auto" w:fill="auto"/>
                  <w:noWrap/>
                  <w:vAlign w:val="center"/>
                </w:tcPr>
                <w:p w14:paraId="50D5C7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continue"/>
                  <w:tcBorders>
                    <w:tl2br w:val="nil"/>
                    <w:tr2bl w:val="nil"/>
                  </w:tcBorders>
                  <w:shd w:val="clear" w:color="auto" w:fill="auto"/>
                  <w:noWrap/>
                  <w:vAlign w:val="center"/>
                </w:tcPr>
                <w:p w14:paraId="363405D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0895DC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E8206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302D12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252C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994D2D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C59173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430779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07DD88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2B32E7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4332A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-84.4</w:t>
                  </w:r>
                </w:p>
              </w:tc>
              <w:tc>
                <w:tcPr>
                  <w:tcW w:w="321" w:type="pct"/>
                  <w:tcBorders>
                    <w:tl2br w:val="nil"/>
                    <w:tr2bl w:val="nil"/>
                  </w:tcBorders>
                  <w:shd w:val="clear" w:color="auto" w:fill="auto"/>
                  <w:noWrap/>
                  <w:vAlign w:val="center"/>
                </w:tcPr>
                <w:p w14:paraId="0647A0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-24.16</w:t>
                  </w:r>
                </w:p>
              </w:tc>
              <w:tc>
                <w:tcPr>
                  <w:tcW w:w="232" w:type="pct"/>
                  <w:tcBorders>
                    <w:tl2br w:val="nil"/>
                    <w:tr2bl w:val="nil"/>
                  </w:tcBorders>
                  <w:shd w:val="clear" w:color="auto" w:fill="auto"/>
                  <w:noWrap/>
                  <w:vAlign w:val="center"/>
                </w:tcPr>
                <w:p w14:paraId="654A7A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07891E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3B4E8D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50.05</w:t>
                  </w:r>
                </w:p>
              </w:tc>
              <w:tc>
                <w:tcPr>
                  <w:tcW w:w="422" w:type="pct"/>
                  <w:tcBorders>
                    <w:tl2br w:val="nil"/>
                    <w:tr2bl w:val="nil"/>
                  </w:tcBorders>
                  <w:shd w:val="clear" w:color="auto" w:fill="auto"/>
                  <w:noWrap/>
                  <w:vAlign w:val="center"/>
                </w:tcPr>
                <w:p w14:paraId="14EC88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09F969B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28CB77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B6D46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034208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7A30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E9DAC5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82676D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210D65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47CCFE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54655F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7B3AF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-84.4</w:t>
                  </w:r>
                </w:p>
              </w:tc>
              <w:tc>
                <w:tcPr>
                  <w:tcW w:w="321" w:type="pct"/>
                  <w:tcBorders>
                    <w:tl2br w:val="nil"/>
                    <w:tr2bl w:val="nil"/>
                  </w:tcBorders>
                  <w:shd w:val="clear" w:color="auto" w:fill="auto"/>
                  <w:noWrap/>
                  <w:vAlign w:val="center"/>
                </w:tcPr>
                <w:p w14:paraId="0E6089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-24.16</w:t>
                  </w:r>
                </w:p>
              </w:tc>
              <w:tc>
                <w:tcPr>
                  <w:tcW w:w="232" w:type="pct"/>
                  <w:tcBorders>
                    <w:tl2br w:val="nil"/>
                    <w:tr2bl w:val="nil"/>
                  </w:tcBorders>
                  <w:shd w:val="clear" w:color="auto" w:fill="auto"/>
                  <w:noWrap/>
                  <w:vAlign w:val="center"/>
                </w:tcPr>
                <w:p w14:paraId="3059DB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2B558B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84924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13.68</w:t>
                  </w:r>
                </w:p>
              </w:tc>
              <w:tc>
                <w:tcPr>
                  <w:tcW w:w="422" w:type="pct"/>
                  <w:tcBorders>
                    <w:tl2br w:val="nil"/>
                    <w:tr2bl w:val="nil"/>
                  </w:tcBorders>
                  <w:shd w:val="clear" w:color="auto" w:fill="auto"/>
                  <w:noWrap/>
                  <w:vAlign w:val="center"/>
                </w:tcPr>
                <w:p w14:paraId="057769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60.40</w:t>
                  </w:r>
                </w:p>
              </w:tc>
              <w:tc>
                <w:tcPr>
                  <w:tcW w:w="300" w:type="pct"/>
                  <w:vMerge w:val="continue"/>
                  <w:tcBorders>
                    <w:tl2br w:val="nil"/>
                    <w:tr2bl w:val="nil"/>
                  </w:tcBorders>
                  <w:shd w:val="clear" w:color="auto" w:fill="auto"/>
                  <w:noWrap/>
                  <w:vAlign w:val="center"/>
                </w:tcPr>
                <w:p w14:paraId="75FD54C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AAF9EA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5DFB6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34.40</w:t>
                  </w:r>
                </w:p>
              </w:tc>
              <w:tc>
                <w:tcPr>
                  <w:tcW w:w="342" w:type="pct"/>
                  <w:tcBorders>
                    <w:tl2br w:val="nil"/>
                    <w:tr2bl w:val="nil"/>
                  </w:tcBorders>
                  <w:shd w:val="clear" w:color="auto" w:fill="auto"/>
                  <w:noWrap/>
                  <w:vAlign w:val="center"/>
                </w:tcPr>
                <w:p w14:paraId="5C7A5E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2602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3CE86C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351" w:type="pct"/>
                  <w:vMerge w:val="continue"/>
                  <w:tcBorders>
                    <w:tl2br w:val="nil"/>
                    <w:tr2bl w:val="nil"/>
                  </w:tcBorders>
                  <w:shd w:val="clear" w:color="auto" w:fill="auto"/>
                  <w:noWrap/>
                  <w:vAlign w:val="center"/>
                </w:tcPr>
                <w:p w14:paraId="0FE4AD14">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8F705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脱臭塔</w:t>
                  </w:r>
                </w:p>
              </w:tc>
              <w:tc>
                <w:tcPr>
                  <w:tcW w:w="452" w:type="pct"/>
                  <w:vMerge w:val="restart"/>
                  <w:tcBorders>
                    <w:tl2br w:val="nil"/>
                    <w:tr2bl w:val="nil"/>
                  </w:tcBorders>
                  <w:shd w:val="clear" w:color="auto" w:fill="auto"/>
                  <w:noWrap/>
                  <w:vAlign w:val="center"/>
                </w:tcPr>
                <w:p w14:paraId="3501DD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2ABBC10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6CF0C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-79.62</w:t>
                  </w:r>
                </w:p>
              </w:tc>
              <w:tc>
                <w:tcPr>
                  <w:tcW w:w="321" w:type="pct"/>
                  <w:tcBorders>
                    <w:tl2br w:val="nil"/>
                    <w:tr2bl w:val="nil"/>
                  </w:tcBorders>
                  <w:shd w:val="clear" w:color="auto" w:fill="auto"/>
                  <w:noWrap/>
                  <w:vAlign w:val="center"/>
                </w:tcPr>
                <w:p w14:paraId="460478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-33.99</w:t>
                  </w:r>
                </w:p>
              </w:tc>
              <w:tc>
                <w:tcPr>
                  <w:tcW w:w="232" w:type="pct"/>
                  <w:tcBorders>
                    <w:tl2br w:val="nil"/>
                    <w:tr2bl w:val="nil"/>
                  </w:tcBorders>
                  <w:shd w:val="clear" w:color="auto" w:fill="auto"/>
                  <w:noWrap/>
                  <w:vAlign w:val="center"/>
                </w:tcPr>
                <w:p w14:paraId="552693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0020D6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FEE5F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42.14</w:t>
                  </w:r>
                </w:p>
              </w:tc>
              <w:tc>
                <w:tcPr>
                  <w:tcW w:w="422" w:type="pct"/>
                  <w:tcBorders>
                    <w:tl2br w:val="nil"/>
                    <w:tr2bl w:val="nil"/>
                  </w:tcBorders>
                  <w:shd w:val="clear" w:color="auto" w:fill="auto"/>
                  <w:noWrap/>
                  <w:vAlign w:val="center"/>
                </w:tcPr>
                <w:p w14:paraId="325FCD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restart"/>
                  <w:tcBorders>
                    <w:tl2br w:val="nil"/>
                    <w:tr2bl w:val="nil"/>
                  </w:tcBorders>
                  <w:shd w:val="clear" w:color="auto" w:fill="auto"/>
                  <w:noWrap/>
                  <w:vAlign w:val="center"/>
                </w:tcPr>
                <w:p w14:paraId="04FC44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F3DB51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AB544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478D14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C2AD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576F33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E5EF6F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BB42E4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FDFB0B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96BDF3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16977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-79.62</w:t>
                  </w:r>
                </w:p>
              </w:tc>
              <w:tc>
                <w:tcPr>
                  <w:tcW w:w="321" w:type="pct"/>
                  <w:tcBorders>
                    <w:tl2br w:val="nil"/>
                    <w:tr2bl w:val="nil"/>
                  </w:tcBorders>
                  <w:shd w:val="clear" w:color="auto" w:fill="auto"/>
                  <w:noWrap/>
                  <w:vAlign w:val="center"/>
                </w:tcPr>
                <w:p w14:paraId="169055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-33.99</w:t>
                  </w:r>
                </w:p>
              </w:tc>
              <w:tc>
                <w:tcPr>
                  <w:tcW w:w="232" w:type="pct"/>
                  <w:tcBorders>
                    <w:tl2br w:val="nil"/>
                    <w:tr2bl w:val="nil"/>
                  </w:tcBorders>
                  <w:shd w:val="clear" w:color="auto" w:fill="auto"/>
                  <w:noWrap/>
                  <w:vAlign w:val="center"/>
                </w:tcPr>
                <w:p w14:paraId="2339F1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645E47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444068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22.08</w:t>
                  </w:r>
                </w:p>
              </w:tc>
              <w:tc>
                <w:tcPr>
                  <w:tcW w:w="422" w:type="pct"/>
                  <w:tcBorders>
                    <w:tl2br w:val="nil"/>
                    <w:tr2bl w:val="nil"/>
                  </w:tcBorders>
                  <w:shd w:val="clear" w:color="auto" w:fill="auto"/>
                  <w:noWrap/>
                  <w:vAlign w:val="center"/>
                </w:tcPr>
                <w:p w14:paraId="551097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continue"/>
                  <w:tcBorders>
                    <w:tl2br w:val="nil"/>
                    <w:tr2bl w:val="nil"/>
                  </w:tcBorders>
                  <w:shd w:val="clear" w:color="auto" w:fill="auto"/>
                  <w:noWrap/>
                  <w:vAlign w:val="center"/>
                </w:tcPr>
                <w:p w14:paraId="35C318A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2C5006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D9AF7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555544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1241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DAD7F5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A34140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BC423C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0CEDE6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519003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01FE1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-79.62</w:t>
                  </w:r>
                </w:p>
              </w:tc>
              <w:tc>
                <w:tcPr>
                  <w:tcW w:w="321" w:type="pct"/>
                  <w:tcBorders>
                    <w:tl2br w:val="nil"/>
                    <w:tr2bl w:val="nil"/>
                  </w:tcBorders>
                  <w:shd w:val="clear" w:color="auto" w:fill="auto"/>
                  <w:noWrap/>
                  <w:vAlign w:val="center"/>
                </w:tcPr>
                <w:p w14:paraId="14A923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-33.99</w:t>
                  </w:r>
                </w:p>
              </w:tc>
              <w:tc>
                <w:tcPr>
                  <w:tcW w:w="232" w:type="pct"/>
                  <w:tcBorders>
                    <w:tl2br w:val="nil"/>
                    <w:tr2bl w:val="nil"/>
                  </w:tcBorders>
                  <w:shd w:val="clear" w:color="auto" w:fill="auto"/>
                  <w:noWrap/>
                  <w:vAlign w:val="center"/>
                </w:tcPr>
                <w:p w14:paraId="4CE9A4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444FCF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97609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39.13</w:t>
                  </w:r>
                </w:p>
              </w:tc>
              <w:tc>
                <w:tcPr>
                  <w:tcW w:w="422" w:type="pct"/>
                  <w:tcBorders>
                    <w:tl2br w:val="nil"/>
                    <w:tr2bl w:val="nil"/>
                  </w:tcBorders>
                  <w:shd w:val="clear" w:color="auto" w:fill="auto"/>
                  <w:noWrap/>
                  <w:vAlign w:val="center"/>
                </w:tcPr>
                <w:p w14:paraId="568E83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17E5801D">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6D6AFA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B5016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6A1A37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29A0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56EA07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E4E132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DC7C27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BD2F4D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9908EE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54223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-79.62</w:t>
                  </w:r>
                </w:p>
              </w:tc>
              <w:tc>
                <w:tcPr>
                  <w:tcW w:w="321" w:type="pct"/>
                  <w:tcBorders>
                    <w:tl2br w:val="nil"/>
                    <w:tr2bl w:val="nil"/>
                  </w:tcBorders>
                  <w:shd w:val="clear" w:color="auto" w:fill="auto"/>
                  <w:noWrap/>
                  <w:vAlign w:val="center"/>
                </w:tcPr>
                <w:p w14:paraId="596491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-33.99</w:t>
                  </w:r>
                </w:p>
              </w:tc>
              <w:tc>
                <w:tcPr>
                  <w:tcW w:w="232" w:type="pct"/>
                  <w:tcBorders>
                    <w:tl2br w:val="nil"/>
                    <w:tr2bl w:val="nil"/>
                  </w:tcBorders>
                  <w:shd w:val="clear" w:color="auto" w:fill="auto"/>
                  <w:noWrap/>
                  <w:vAlign w:val="center"/>
                </w:tcPr>
                <w:p w14:paraId="355438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1" w:type="pct"/>
                  <w:tcBorders>
                    <w:tl2br w:val="nil"/>
                    <w:tr2bl w:val="nil"/>
                  </w:tcBorders>
                  <w:shd w:val="clear" w:color="auto" w:fill="auto"/>
                  <w:noWrap/>
                  <w:vAlign w:val="center"/>
                </w:tcPr>
                <w:p w14:paraId="70999E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3B78F9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14.29</w:t>
                  </w:r>
                </w:p>
              </w:tc>
              <w:tc>
                <w:tcPr>
                  <w:tcW w:w="422" w:type="pct"/>
                  <w:tcBorders>
                    <w:tl2br w:val="nil"/>
                    <w:tr2bl w:val="nil"/>
                  </w:tcBorders>
                  <w:shd w:val="clear" w:color="auto" w:fill="auto"/>
                  <w:noWrap/>
                  <w:vAlign w:val="center"/>
                </w:tcPr>
                <w:p w14:paraId="307137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60.40</w:t>
                  </w:r>
                </w:p>
              </w:tc>
              <w:tc>
                <w:tcPr>
                  <w:tcW w:w="300" w:type="pct"/>
                  <w:vMerge w:val="continue"/>
                  <w:tcBorders>
                    <w:tl2br w:val="nil"/>
                    <w:tr2bl w:val="nil"/>
                  </w:tcBorders>
                  <w:shd w:val="clear" w:color="auto" w:fill="auto"/>
                  <w:noWrap/>
                  <w:vAlign w:val="center"/>
                </w:tcPr>
                <w:p w14:paraId="32F6E45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E93A70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27BA8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34.40</w:t>
                  </w:r>
                </w:p>
              </w:tc>
              <w:tc>
                <w:tcPr>
                  <w:tcW w:w="342" w:type="pct"/>
                  <w:tcBorders>
                    <w:tl2br w:val="nil"/>
                    <w:tr2bl w:val="nil"/>
                  </w:tcBorders>
                  <w:shd w:val="clear" w:color="auto" w:fill="auto"/>
                  <w:noWrap/>
                  <w:vAlign w:val="center"/>
                </w:tcPr>
                <w:p w14:paraId="120773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895D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56EE3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351" w:type="pct"/>
                  <w:vMerge w:val="continue"/>
                  <w:tcBorders>
                    <w:tl2br w:val="nil"/>
                    <w:tr2bl w:val="nil"/>
                  </w:tcBorders>
                  <w:shd w:val="clear" w:color="auto" w:fill="auto"/>
                  <w:noWrap/>
                  <w:vAlign w:val="center"/>
                </w:tcPr>
                <w:p w14:paraId="0B2402CE">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43071D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冷冻机</w:t>
                  </w:r>
                </w:p>
              </w:tc>
              <w:tc>
                <w:tcPr>
                  <w:tcW w:w="452" w:type="pct"/>
                  <w:vMerge w:val="restart"/>
                  <w:tcBorders>
                    <w:tl2br w:val="nil"/>
                    <w:tr2bl w:val="nil"/>
                  </w:tcBorders>
                  <w:shd w:val="clear" w:color="auto" w:fill="auto"/>
                  <w:noWrap/>
                  <w:vAlign w:val="center"/>
                </w:tcPr>
                <w:p w14:paraId="723EE5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21ECDB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B3DDE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-78.8</w:t>
                  </w:r>
                </w:p>
              </w:tc>
              <w:tc>
                <w:tcPr>
                  <w:tcW w:w="321" w:type="pct"/>
                  <w:tcBorders>
                    <w:tl2br w:val="nil"/>
                    <w:tr2bl w:val="nil"/>
                  </w:tcBorders>
                  <w:shd w:val="clear" w:color="auto" w:fill="auto"/>
                  <w:noWrap/>
                  <w:vAlign w:val="center"/>
                </w:tcPr>
                <w:p w14:paraId="6F59F8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-36.71</w:t>
                  </w:r>
                </w:p>
              </w:tc>
              <w:tc>
                <w:tcPr>
                  <w:tcW w:w="232" w:type="pct"/>
                  <w:tcBorders>
                    <w:tl2br w:val="nil"/>
                    <w:tr2bl w:val="nil"/>
                  </w:tcBorders>
                  <w:shd w:val="clear" w:color="auto" w:fill="auto"/>
                  <w:noWrap/>
                  <w:vAlign w:val="center"/>
                </w:tcPr>
                <w:p w14:paraId="7F6042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6FB79C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C480E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44.97</w:t>
                  </w:r>
                </w:p>
              </w:tc>
              <w:tc>
                <w:tcPr>
                  <w:tcW w:w="422" w:type="pct"/>
                  <w:tcBorders>
                    <w:tl2br w:val="nil"/>
                    <w:tr2bl w:val="nil"/>
                  </w:tcBorders>
                  <w:shd w:val="clear" w:color="auto" w:fill="auto"/>
                  <w:noWrap/>
                  <w:vAlign w:val="center"/>
                </w:tcPr>
                <w:p w14:paraId="0E8D8F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719E7F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07BDC56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C7861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7F3845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BBB2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0D3241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1252DE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CEF528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EF9CFA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A53016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448DD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-78.8</w:t>
                  </w:r>
                </w:p>
              </w:tc>
              <w:tc>
                <w:tcPr>
                  <w:tcW w:w="321" w:type="pct"/>
                  <w:tcBorders>
                    <w:tl2br w:val="nil"/>
                    <w:tr2bl w:val="nil"/>
                  </w:tcBorders>
                  <w:shd w:val="clear" w:color="auto" w:fill="auto"/>
                  <w:noWrap/>
                  <w:vAlign w:val="center"/>
                </w:tcPr>
                <w:p w14:paraId="48B4A0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-36.71</w:t>
                  </w:r>
                </w:p>
              </w:tc>
              <w:tc>
                <w:tcPr>
                  <w:tcW w:w="232" w:type="pct"/>
                  <w:tcBorders>
                    <w:tl2br w:val="nil"/>
                    <w:tr2bl w:val="nil"/>
                  </w:tcBorders>
                  <w:shd w:val="clear" w:color="auto" w:fill="auto"/>
                  <w:noWrap/>
                  <w:vAlign w:val="center"/>
                </w:tcPr>
                <w:p w14:paraId="1A01ED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5A0B3A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A8D3E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22.34</w:t>
                  </w:r>
                </w:p>
              </w:tc>
              <w:tc>
                <w:tcPr>
                  <w:tcW w:w="422" w:type="pct"/>
                  <w:tcBorders>
                    <w:tl2br w:val="nil"/>
                    <w:tr2bl w:val="nil"/>
                  </w:tcBorders>
                  <w:shd w:val="clear" w:color="auto" w:fill="auto"/>
                  <w:noWrap/>
                  <w:vAlign w:val="center"/>
                </w:tcPr>
                <w:p w14:paraId="289B15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6D42807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8A2E6E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C2745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40A17B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0A0E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2178BC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465110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DD5D5E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8303F2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99196E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1BFFB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-78.8</w:t>
                  </w:r>
                </w:p>
              </w:tc>
              <w:tc>
                <w:tcPr>
                  <w:tcW w:w="321" w:type="pct"/>
                  <w:tcBorders>
                    <w:tl2br w:val="nil"/>
                    <w:tr2bl w:val="nil"/>
                  </w:tcBorders>
                  <w:shd w:val="clear" w:color="auto" w:fill="auto"/>
                  <w:noWrap/>
                  <w:vAlign w:val="center"/>
                </w:tcPr>
                <w:p w14:paraId="7C554D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-36.71</w:t>
                  </w:r>
                </w:p>
              </w:tc>
              <w:tc>
                <w:tcPr>
                  <w:tcW w:w="232" w:type="pct"/>
                  <w:tcBorders>
                    <w:tl2br w:val="nil"/>
                    <w:tr2bl w:val="nil"/>
                  </w:tcBorders>
                  <w:shd w:val="clear" w:color="auto" w:fill="auto"/>
                  <w:noWrap/>
                  <w:vAlign w:val="center"/>
                </w:tcPr>
                <w:p w14:paraId="63CDA3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7B79DC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7D858E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36.31</w:t>
                  </w:r>
                </w:p>
              </w:tc>
              <w:tc>
                <w:tcPr>
                  <w:tcW w:w="422" w:type="pct"/>
                  <w:tcBorders>
                    <w:tl2br w:val="nil"/>
                    <w:tr2bl w:val="nil"/>
                  </w:tcBorders>
                  <w:shd w:val="clear" w:color="auto" w:fill="auto"/>
                  <w:noWrap/>
                  <w:vAlign w:val="center"/>
                </w:tcPr>
                <w:p w14:paraId="70F60E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3EC1EF0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608285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3D550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0D07AD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2A21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79CB75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8EBCED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C71193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97CDD7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C90F69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81D18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-78.8</w:t>
                  </w:r>
                </w:p>
              </w:tc>
              <w:tc>
                <w:tcPr>
                  <w:tcW w:w="321" w:type="pct"/>
                  <w:tcBorders>
                    <w:tl2br w:val="nil"/>
                    <w:tr2bl w:val="nil"/>
                  </w:tcBorders>
                  <w:shd w:val="clear" w:color="auto" w:fill="auto"/>
                  <w:noWrap/>
                  <w:vAlign w:val="center"/>
                </w:tcPr>
                <w:p w14:paraId="16CDB5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-36.71</w:t>
                  </w:r>
                </w:p>
              </w:tc>
              <w:tc>
                <w:tcPr>
                  <w:tcW w:w="232" w:type="pct"/>
                  <w:tcBorders>
                    <w:tl2br w:val="nil"/>
                    <w:tr2bl w:val="nil"/>
                  </w:tcBorders>
                  <w:shd w:val="clear" w:color="auto" w:fill="auto"/>
                  <w:noWrap/>
                  <w:vAlign w:val="center"/>
                </w:tcPr>
                <w:p w14:paraId="7EEB2E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1" w:type="pct"/>
                  <w:tcBorders>
                    <w:tl2br w:val="nil"/>
                    <w:tr2bl w:val="nil"/>
                  </w:tcBorders>
                  <w:shd w:val="clear" w:color="auto" w:fill="auto"/>
                  <w:noWrap/>
                  <w:vAlign w:val="center"/>
                </w:tcPr>
                <w:p w14:paraId="6DFD40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17D394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14.00</w:t>
                  </w:r>
                </w:p>
              </w:tc>
              <w:tc>
                <w:tcPr>
                  <w:tcW w:w="422" w:type="pct"/>
                  <w:tcBorders>
                    <w:tl2br w:val="nil"/>
                    <w:tr2bl w:val="nil"/>
                  </w:tcBorders>
                  <w:shd w:val="clear" w:color="auto" w:fill="auto"/>
                  <w:noWrap/>
                  <w:vAlign w:val="center"/>
                </w:tcPr>
                <w:p w14:paraId="29B818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4A7415E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47138A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7BC07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3BA64F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4B5F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6FCEF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351" w:type="pct"/>
                  <w:vMerge w:val="continue"/>
                  <w:tcBorders>
                    <w:tl2br w:val="nil"/>
                    <w:tr2bl w:val="nil"/>
                  </w:tcBorders>
                  <w:shd w:val="clear" w:color="auto" w:fill="auto"/>
                  <w:noWrap/>
                  <w:vAlign w:val="center"/>
                </w:tcPr>
                <w:p w14:paraId="2037B74A">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4EE893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冷冻水泵</w:t>
                  </w:r>
                </w:p>
              </w:tc>
              <w:tc>
                <w:tcPr>
                  <w:tcW w:w="452" w:type="pct"/>
                  <w:vMerge w:val="restart"/>
                  <w:tcBorders>
                    <w:tl2br w:val="nil"/>
                    <w:tr2bl w:val="nil"/>
                  </w:tcBorders>
                  <w:shd w:val="clear" w:color="auto" w:fill="auto"/>
                  <w:noWrap/>
                  <w:vAlign w:val="center"/>
                </w:tcPr>
                <w:p w14:paraId="19A6F7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5CC1607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84DCE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-77.71</w:t>
                  </w:r>
                </w:p>
              </w:tc>
              <w:tc>
                <w:tcPr>
                  <w:tcW w:w="321" w:type="pct"/>
                  <w:tcBorders>
                    <w:tl2br w:val="nil"/>
                    <w:tr2bl w:val="nil"/>
                  </w:tcBorders>
                  <w:shd w:val="clear" w:color="auto" w:fill="auto"/>
                  <w:noWrap/>
                  <w:vAlign w:val="center"/>
                </w:tcPr>
                <w:p w14:paraId="3B5303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w:t>
                  </w:r>
                </w:p>
              </w:tc>
              <w:tc>
                <w:tcPr>
                  <w:tcW w:w="232" w:type="pct"/>
                  <w:tcBorders>
                    <w:tl2br w:val="nil"/>
                    <w:tr2bl w:val="nil"/>
                  </w:tcBorders>
                  <w:shd w:val="clear" w:color="auto" w:fill="auto"/>
                  <w:noWrap/>
                  <w:vAlign w:val="center"/>
                </w:tcPr>
                <w:p w14:paraId="1C1211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409757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75CE8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47.41</w:t>
                  </w:r>
                </w:p>
              </w:tc>
              <w:tc>
                <w:tcPr>
                  <w:tcW w:w="422" w:type="pct"/>
                  <w:tcBorders>
                    <w:tl2br w:val="nil"/>
                    <w:tr2bl w:val="nil"/>
                  </w:tcBorders>
                  <w:shd w:val="clear" w:color="auto" w:fill="auto"/>
                  <w:noWrap/>
                  <w:vAlign w:val="center"/>
                </w:tcPr>
                <w:p w14:paraId="7235E9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740364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5CEFBD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4B6D7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1EF5BB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50A4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FF93B1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C1A24C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D75839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B3C01D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50920C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AD4EF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-77.71</w:t>
                  </w:r>
                </w:p>
              </w:tc>
              <w:tc>
                <w:tcPr>
                  <w:tcW w:w="321" w:type="pct"/>
                  <w:tcBorders>
                    <w:tl2br w:val="nil"/>
                    <w:tr2bl w:val="nil"/>
                  </w:tcBorders>
                  <w:shd w:val="clear" w:color="auto" w:fill="auto"/>
                  <w:noWrap/>
                  <w:vAlign w:val="center"/>
                </w:tcPr>
                <w:p w14:paraId="4E79A4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w:t>
                  </w:r>
                </w:p>
              </w:tc>
              <w:tc>
                <w:tcPr>
                  <w:tcW w:w="232" w:type="pct"/>
                  <w:tcBorders>
                    <w:tl2br w:val="nil"/>
                    <w:tr2bl w:val="nil"/>
                  </w:tcBorders>
                  <w:shd w:val="clear" w:color="auto" w:fill="auto"/>
                  <w:noWrap/>
                  <w:vAlign w:val="center"/>
                </w:tcPr>
                <w:p w14:paraId="248132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558CF8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8932F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22.15</w:t>
                  </w:r>
                </w:p>
              </w:tc>
              <w:tc>
                <w:tcPr>
                  <w:tcW w:w="422" w:type="pct"/>
                  <w:tcBorders>
                    <w:tl2br w:val="nil"/>
                    <w:tr2bl w:val="nil"/>
                  </w:tcBorders>
                  <w:shd w:val="clear" w:color="auto" w:fill="auto"/>
                  <w:noWrap/>
                  <w:vAlign w:val="center"/>
                </w:tcPr>
                <w:p w14:paraId="57BC1A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1A27FC6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F87323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EBC17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00553A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842B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86BE88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9A75B9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D7A1E8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A09FFF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01FCBC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3F700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-77.71</w:t>
                  </w:r>
                </w:p>
              </w:tc>
              <w:tc>
                <w:tcPr>
                  <w:tcW w:w="321" w:type="pct"/>
                  <w:tcBorders>
                    <w:tl2br w:val="nil"/>
                    <w:tr2bl w:val="nil"/>
                  </w:tcBorders>
                  <w:shd w:val="clear" w:color="auto" w:fill="auto"/>
                  <w:noWrap/>
                  <w:vAlign w:val="center"/>
                </w:tcPr>
                <w:p w14:paraId="5B1B91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w:t>
                  </w:r>
                </w:p>
              </w:tc>
              <w:tc>
                <w:tcPr>
                  <w:tcW w:w="232" w:type="pct"/>
                  <w:tcBorders>
                    <w:tl2br w:val="nil"/>
                    <w:tr2bl w:val="nil"/>
                  </w:tcBorders>
                  <w:shd w:val="clear" w:color="auto" w:fill="auto"/>
                  <w:noWrap/>
                  <w:vAlign w:val="center"/>
                </w:tcPr>
                <w:p w14:paraId="13BFFA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7EF7F5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14BF25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33.86</w:t>
                  </w:r>
                </w:p>
              </w:tc>
              <w:tc>
                <w:tcPr>
                  <w:tcW w:w="422" w:type="pct"/>
                  <w:tcBorders>
                    <w:tl2br w:val="nil"/>
                    <w:tr2bl w:val="nil"/>
                  </w:tcBorders>
                  <w:shd w:val="clear" w:color="auto" w:fill="auto"/>
                  <w:noWrap/>
                  <w:vAlign w:val="center"/>
                </w:tcPr>
                <w:p w14:paraId="3FC3B6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458C79B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BC3552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3D995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541BDC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C508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44D6C4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9E13F2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58BC82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AB45B4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B54B32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5C302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-77.71</w:t>
                  </w:r>
                </w:p>
              </w:tc>
              <w:tc>
                <w:tcPr>
                  <w:tcW w:w="321" w:type="pct"/>
                  <w:tcBorders>
                    <w:tl2br w:val="nil"/>
                    <w:tr2bl w:val="nil"/>
                  </w:tcBorders>
                  <w:shd w:val="clear" w:color="auto" w:fill="auto"/>
                  <w:noWrap/>
                  <w:vAlign w:val="center"/>
                </w:tcPr>
                <w:p w14:paraId="16766D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w:t>
                  </w:r>
                </w:p>
              </w:tc>
              <w:tc>
                <w:tcPr>
                  <w:tcW w:w="232" w:type="pct"/>
                  <w:tcBorders>
                    <w:tl2br w:val="nil"/>
                    <w:tr2bl w:val="nil"/>
                  </w:tcBorders>
                  <w:shd w:val="clear" w:color="auto" w:fill="auto"/>
                  <w:noWrap/>
                  <w:vAlign w:val="center"/>
                </w:tcPr>
                <w:p w14:paraId="257C5E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1327D2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86939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14.16</w:t>
                  </w:r>
                </w:p>
              </w:tc>
              <w:tc>
                <w:tcPr>
                  <w:tcW w:w="422" w:type="pct"/>
                  <w:tcBorders>
                    <w:tl2br w:val="nil"/>
                    <w:tr2bl w:val="nil"/>
                  </w:tcBorders>
                  <w:shd w:val="clear" w:color="auto" w:fill="auto"/>
                  <w:noWrap/>
                  <w:vAlign w:val="center"/>
                </w:tcPr>
                <w:p w14:paraId="7D77D9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5018B08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2A3175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1E98B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1B3F4B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CC55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0111C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351" w:type="pct"/>
                  <w:vMerge w:val="continue"/>
                  <w:tcBorders>
                    <w:tl2br w:val="nil"/>
                    <w:tr2bl w:val="nil"/>
                  </w:tcBorders>
                  <w:shd w:val="clear" w:color="auto" w:fill="auto"/>
                  <w:noWrap/>
                  <w:vAlign w:val="center"/>
                </w:tcPr>
                <w:p w14:paraId="5AA8E5AE">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D140A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w:t>
                  </w:r>
                </w:p>
              </w:tc>
              <w:tc>
                <w:tcPr>
                  <w:tcW w:w="452" w:type="pct"/>
                  <w:vMerge w:val="restart"/>
                  <w:tcBorders>
                    <w:tl2br w:val="nil"/>
                    <w:tr2bl w:val="nil"/>
                  </w:tcBorders>
                  <w:shd w:val="clear" w:color="auto" w:fill="auto"/>
                  <w:noWrap/>
                  <w:vAlign w:val="center"/>
                </w:tcPr>
                <w:p w14:paraId="554184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20" w:type="pct"/>
                  <w:vMerge w:val="continue"/>
                  <w:tcBorders>
                    <w:tl2br w:val="nil"/>
                    <w:tr2bl w:val="nil"/>
                  </w:tcBorders>
                  <w:shd w:val="clear" w:color="auto" w:fill="auto"/>
                  <w:noWrap/>
                  <w:vAlign w:val="center"/>
                </w:tcPr>
                <w:p w14:paraId="52F2E85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0FC58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-76.49</w:t>
                  </w:r>
                </w:p>
              </w:tc>
              <w:tc>
                <w:tcPr>
                  <w:tcW w:w="321" w:type="pct"/>
                  <w:tcBorders>
                    <w:tl2br w:val="nil"/>
                    <w:tr2bl w:val="nil"/>
                  </w:tcBorders>
                  <w:shd w:val="clear" w:color="auto" w:fill="auto"/>
                  <w:noWrap/>
                  <w:vAlign w:val="center"/>
                </w:tcPr>
                <w:p w14:paraId="03B9E1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-42.17</w:t>
                  </w:r>
                </w:p>
              </w:tc>
              <w:tc>
                <w:tcPr>
                  <w:tcW w:w="232" w:type="pct"/>
                  <w:tcBorders>
                    <w:tl2br w:val="nil"/>
                    <w:tr2bl w:val="nil"/>
                  </w:tcBorders>
                  <w:shd w:val="clear" w:color="auto" w:fill="auto"/>
                  <w:noWrap/>
                  <w:vAlign w:val="center"/>
                </w:tcPr>
                <w:p w14:paraId="08F8FC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4E5FD1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1DF0B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50.90</w:t>
                  </w:r>
                </w:p>
              </w:tc>
              <w:tc>
                <w:tcPr>
                  <w:tcW w:w="422" w:type="pct"/>
                  <w:tcBorders>
                    <w:tl2br w:val="nil"/>
                    <w:tr2bl w:val="nil"/>
                  </w:tcBorders>
                  <w:shd w:val="clear" w:color="auto" w:fill="auto"/>
                  <w:noWrap/>
                  <w:vAlign w:val="center"/>
                </w:tcPr>
                <w:p w14:paraId="52072A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65.35</w:t>
                  </w:r>
                </w:p>
              </w:tc>
              <w:tc>
                <w:tcPr>
                  <w:tcW w:w="300" w:type="pct"/>
                  <w:vMerge w:val="restart"/>
                  <w:tcBorders>
                    <w:tl2br w:val="nil"/>
                    <w:tr2bl w:val="nil"/>
                  </w:tcBorders>
                  <w:shd w:val="clear" w:color="auto" w:fill="auto"/>
                  <w:noWrap/>
                  <w:vAlign w:val="center"/>
                </w:tcPr>
                <w:p w14:paraId="01A148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BB049B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B0920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39.35</w:t>
                  </w:r>
                </w:p>
              </w:tc>
              <w:tc>
                <w:tcPr>
                  <w:tcW w:w="342" w:type="pct"/>
                  <w:tcBorders>
                    <w:tl2br w:val="nil"/>
                    <w:tr2bl w:val="nil"/>
                  </w:tcBorders>
                  <w:shd w:val="clear" w:color="auto" w:fill="auto"/>
                  <w:noWrap/>
                  <w:vAlign w:val="center"/>
                </w:tcPr>
                <w:p w14:paraId="608401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0BF6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5E8230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9DA8C4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221948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B2CC71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0C0F03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35298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-76.49</w:t>
                  </w:r>
                </w:p>
              </w:tc>
              <w:tc>
                <w:tcPr>
                  <w:tcW w:w="321" w:type="pct"/>
                  <w:tcBorders>
                    <w:tl2br w:val="nil"/>
                    <w:tr2bl w:val="nil"/>
                  </w:tcBorders>
                  <w:shd w:val="clear" w:color="auto" w:fill="auto"/>
                  <w:noWrap/>
                  <w:vAlign w:val="center"/>
                </w:tcPr>
                <w:p w14:paraId="794DE8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-42.17</w:t>
                  </w:r>
                </w:p>
              </w:tc>
              <w:tc>
                <w:tcPr>
                  <w:tcW w:w="232" w:type="pct"/>
                  <w:tcBorders>
                    <w:tl2br w:val="nil"/>
                    <w:tr2bl w:val="nil"/>
                  </w:tcBorders>
                  <w:shd w:val="clear" w:color="auto" w:fill="auto"/>
                  <w:noWrap/>
                  <w:vAlign w:val="center"/>
                </w:tcPr>
                <w:p w14:paraId="00D581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195513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2FCB8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22.24</w:t>
                  </w:r>
                </w:p>
              </w:tc>
              <w:tc>
                <w:tcPr>
                  <w:tcW w:w="422" w:type="pct"/>
                  <w:tcBorders>
                    <w:tl2br w:val="nil"/>
                    <w:tr2bl w:val="nil"/>
                  </w:tcBorders>
                  <w:shd w:val="clear" w:color="auto" w:fill="auto"/>
                  <w:noWrap/>
                  <w:vAlign w:val="center"/>
                </w:tcPr>
                <w:p w14:paraId="63A6AE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65.37</w:t>
                  </w:r>
                </w:p>
              </w:tc>
              <w:tc>
                <w:tcPr>
                  <w:tcW w:w="300" w:type="pct"/>
                  <w:vMerge w:val="continue"/>
                  <w:tcBorders>
                    <w:tl2br w:val="nil"/>
                    <w:tr2bl w:val="nil"/>
                  </w:tcBorders>
                  <w:shd w:val="clear" w:color="auto" w:fill="auto"/>
                  <w:noWrap/>
                  <w:vAlign w:val="center"/>
                </w:tcPr>
                <w:p w14:paraId="5DCA5FE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EF1F61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3181E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39.37</w:t>
                  </w:r>
                </w:p>
              </w:tc>
              <w:tc>
                <w:tcPr>
                  <w:tcW w:w="342" w:type="pct"/>
                  <w:tcBorders>
                    <w:tl2br w:val="nil"/>
                    <w:tr2bl w:val="nil"/>
                  </w:tcBorders>
                  <w:shd w:val="clear" w:color="auto" w:fill="auto"/>
                  <w:noWrap/>
                  <w:vAlign w:val="center"/>
                </w:tcPr>
                <w:p w14:paraId="7F062C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1DFB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701DFE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D294C8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F01016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745DC3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7C336D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7C19D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-76.49</w:t>
                  </w:r>
                </w:p>
              </w:tc>
              <w:tc>
                <w:tcPr>
                  <w:tcW w:w="321" w:type="pct"/>
                  <w:tcBorders>
                    <w:tl2br w:val="nil"/>
                    <w:tr2bl w:val="nil"/>
                  </w:tcBorders>
                  <w:shd w:val="clear" w:color="auto" w:fill="auto"/>
                  <w:noWrap/>
                  <w:vAlign w:val="center"/>
                </w:tcPr>
                <w:p w14:paraId="512EC2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-42.17</w:t>
                  </w:r>
                </w:p>
              </w:tc>
              <w:tc>
                <w:tcPr>
                  <w:tcW w:w="232" w:type="pct"/>
                  <w:tcBorders>
                    <w:tl2br w:val="nil"/>
                    <w:tr2bl w:val="nil"/>
                  </w:tcBorders>
                  <w:shd w:val="clear" w:color="auto" w:fill="auto"/>
                  <w:noWrap/>
                  <w:vAlign w:val="center"/>
                </w:tcPr>
                <w:p w14:paraId="110B03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4ED2B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BCA58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30.38</w:t>
                  </w:r>
                </w:p>
              </w:tc>
              <w:tc>
                <w:tcPr>
                  <w:tcW w:w="422" w:type="pct"/>
                  <w:tcBorders>
                    <w:tl2br w:val="nil"/>
                    <w:tr2bl w:val="nil"/>
                  </w:tcBorders>
                  <w:shd w:val="clear" w:color="auto" w:fill="auto"/>
                  <w:noWrap/>
                  <w:vAlign w:val="center"/>
                </w:tcPr>
                <w:p w14:paraId="335E10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65.36</w:t>
                  </w:r>
                </w:p>
              </w:tc>
              <w:tc>
                <w:tcPr>
                  <w:tcW w:w="300" w:type="pct"/>
                  <w:vMerge w:val="continue"/>
                  <w:tcBorders>
                    <w:tl2br w:val="nil"/>
                    <w:tr2bl w:val="nil"/>
                  </w:tcBorders>
                  <w:shd w:val="clear" w:color="auto" w:fill="auto"/>
                  <w:noWrap/>
                  <w:vAlign w:val="center"/>
                </w:tcPr>
                <w:p w14:paraId="60438C0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65F7DB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794FC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39.36</w:t>
                  </w:r>
                </w:p>
              </w:tc>
              <w:tc>
                <w:tcPr>
                  <w:tcW w:w="342" w:type="pct"/>
                  <w:tcBorders>
                    <w:tl2br w:val="nil"/>
                    <w:tr2bl w:val="nil"/>
                  </w:tcBorders>
                  <w:shd w:val="clear" w:color="auto" w:fill="auto"/>
                  <w:noWrap/>
                  <w:vAlign w:val="center"/>
                </w:tcPr>
                <w:p w14:paraId="5D0CCD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D60B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72EC36D">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A24D79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39341F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4DCF3E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276A92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E9140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-76.49</w:t>
                  </w:r>
                </w:p>
              </w:tc>
              <w:tc>
                <w:tcPr>
                  <w:tcW w:w="321" w:type="pct"/>
                  <w:tcBorders>
                    <w:tl2br w:val="nil"/>
                    <w:tr2bl w:val="nil"/>
                  </w:tcBorders>
                  <w:shd w:val="clear" w:color="auto" w:fill="auto"/>
                  <w:noWrap/>
                  <w:vAlign w:val="center"/>
                </w:tcPr>
                <w:p w14:paraId="036521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-42.17</w:t>
                  </w:r>
                </w:p>
              </w:tc>
              <w:tc>
                <w:tcPr>
                  <w:tcW w:w="232" w:type="pct"/>
                  <w:tcBorders>
                    <w:tl2br w:val="nil"/>
                    <w:tr2bl w:val="nil"/>
                  </w:tcBorders>
                  <w:shd w:val="clear" w:color="auto" w:fill="auto"/>
                  <w:noWrap/>
                  <w:vAlign w:val="center"/>
                </w:tcPr>
                <w:p w14:paraId="5CBC03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81" w:type="pct"/>
                  <w:tcBorders>
                    <w:tl2br w:val="nil"/>
                    <w:tr2bl w:val="nil"/>
                  </w:tcBorders>
                  <w:shd w:val="clear" w:color="auto" w:fill="auto"/>
                  <w:noWrap/>
                  <w:vAlign w:val="center"/>
                </w:tcPr>
                <w:p w14:paraId="492825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3F06E5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14.02</w:t>
                  </w:r>
                </w:p>
              </w:tc>
              <w:tc>
                <w:tcPr>
                  <w:tcW w:w="422" w:type="pct"/>
                  <w:tcBorders>
                    <w:tl2br w:val="nil"/>
                    <w:tr2bl w:val="nil"/>
                  </w:tcBorders>
                  <w:shd w:val="clear" w:color="auto" w:fill="auto"/>
                  <w:noWrap/>
                  <w:vAlign w:val="center"/>
                </w:tcPr>
                <w:p w14:paraId="0C4F85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65.40</w:t>
                  </w:r>
                </w:p>
              </w:tc>
              <w:tc>
                <w:tcPr>
                  <w:tcW w:w="300" w:type="pct"/>
                  <w:vMerge w:val="continue"/>
                  <w:tcBorders>
                    <w:tl2br w:val="nil"/>
                    <w:tr2bl w:val="nil"/>
                  </w:tcBorders>
                  <w:shd w:val="clear" w:color="auto" w:fill="auto"/>
                  <w:noWrap/>
                  <w:vAlign w:val="center"/>
                </w:tcPr>
                <w:p w14:paraId="0C0292B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DC033F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D3603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39.40</w:t>
                  </w:r>
                </w:p>
              </w:tc>
              <w:tc>
                <w:tcPr>
                  <w:tcW w:w="342" w:type="pct"/>
                  <w:tcBorders>
                    <w:tl2br w:val="nil"/>
                    <w:tr2bl w:val="nil"/>
                  </w:tcBorders>
                  <w:shd w:val="clear" w:color="auto" w:fill="auto"/>
                  <w:noWrap/>
                  <w:vAlign w:val="center"/>
                </w:tcPr>
                <w:p w14:paraId="7CDEE9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0564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75905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351" w:type="pct"/>
                  <w:vMerge w:val="continue"/>
                  <w:tcBorders>
                    <w:tl2br w:val="nil"/>
                    <w:tr2bl w:val="nil"/>
                  </w:tcBorders>
                  <w:shd w:val="clear" w:color="auto" w:fill="auto"/>
                  <w:noWrap/>
                  <w:vAlign w:val="center"/>
                </w:tcPr>
                <w:p w14:paraId="7D89FC7F">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7E296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预脱色塔</w:t>
                  </w:r>
                </w:p>
              </w:tc>
              <w:tc>
                <w:tcPr>
                  <w:tcW w:w="452" w:type="pct"/>
                  <w:vMerge w:val="restart"/>
                  <w:tcBorders>
                    <w:tl2br w:val="nil"/>
                    <w:tr2bl w:val="nil"/>
                  </w:tcBorders>
                  <w:shd w:val="clear" w:color="auto" w:fill="auto"/>
                  <w:noWrap/>
                  <w:vAlign w:val="center"/>
                </w:tcPr>
                <w:p w14:paraId="42EBB7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9E4CF5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FB4F1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-71.81</w:t>
                  </w:r>
                </w:p>
              </w:tc>
              <w:tc>
                <w:tcPr>
                  <w:tcW w:w="321" w:type="pct"/>
                  <w:tcBorders>
                    <w:tl2br w:val="nil"/>
                    <w:tr2bl w:val="nil"/>
                  </w:tcBorders>
                  <w:shd w:val="clear" w:color="auto" w:fill="auto"/>
                  <w:noWrap/>
                  <w:vAlign w:val="center"/>
                </w:tcPr>
                <w:p w14:paraId="3041FF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-51.85</w:t>
                  </w:r>
                </w:p>
              </w:tc>
              <w:tc>
                <w:tcPr>
                  <w:tcW w:w="232" w:type="pct"/>
                  <w:tcBorders>
                    <w:tl2br w:val="nil"/>
                    <w:tr2bl w:val="nil"/>
                  </w:tcBorders>
                  <w:shd w:val="clear" w:color="auto" w:fill="auto"/>
                  <w:noWrap/>
                  <w:vAlign w:val="center"/>
                </w:tcPr>
                <w:p w14:paraId="587AA3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3AFFB2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70CE03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61.63</w:t>
                  </w:r>
                </w:p>
              </w:tc>
              <w:tc>
                <w:tcPr>
                  <w:tcW w:w="422" w:type="pct"/>
                  <w:tcBorders>
                    <w:tl2br w:val="nil"/>
                    <w:tr2bl w:val="nil"/>
                  </w:tcBorders>
                  <w:shd w:val="clear" w:color="auto" w:fill="auto"/>
                  <w:noWrap/>
                  <w:vAlign w:val="center"/>
                </w:tcPr>
                <w:p w14:paraId="38839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0A479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827F3C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50026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6C24B0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4DA3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AAEA1A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B68354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DF4A58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C151C8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829949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D537B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-71.81</w:t>
                  </w:r>
                </w:p>
              </w:tc>
              <w:tc>
                <w:tcPr>
                  <w:tcW w:w="321" w:type="pct"/>
                  <w:tcBorders>
                    <w:tl2br w:val="nil"/>
                    <w:tr2bl w:val="nil"/>
                  </w:tcBorders>
                  <w:shd w:val="clear" w:color="auto" w:fill="auto"/>
                  <w:noWrap/>
                  <w:vAlign w:val="center"/>
                </w:tcPr>
                <w:p w14:paraId="7D0E62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-51.85</w:t>
                  </w:r>
                </w:p>
              </w:tc>
              <w:tc>
                <w:tcPr>
                  <w:tcW w:w="232" w:type="pct"/>
                  <w:tcBorders>
                    <w:tl2br w:val="nil"/>
                    <w:tr2bl w:val="nil"/>
                  </w:tcBorders>
                  <w:shd w:val="clear" w:color="auto" w:fill="auto"/>
                  <w:noWrap/>
                  <w:vAlign w:val="center"/>
                </w:tcPr>
                <w:p w14:paraId="5E282A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53A5D9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8D6A0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21.53</w:t>
                  </w:r>
                </w:p>
              </w:tc>
              <w:tc>
                <w:tcPr>
                  <w:tcW w:w="422" w:type="pct"/>
                  <w:tcBorders>
                    <w:tl2br w:val="nil"/>
                    <w:tr2bl w:val="nil"/>
                  </w:tcBorders>
                  <w:shd w:val="clear" w:color="auto" w:fill="auto"/>
                  <w:noWrap/>
                  <w:vAlign w:val="center"/>
                </w:tcPr>
                <w:p w14:paraId="68D314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6DB72B3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5DCF3C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4AFC7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510AB3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2BEF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13984E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89F677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9C468C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03D58F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CC640F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9B9ED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-71.81</w:t>
                  </w:r>
                </w:p>
              </w:tc>
              <w:tc>
                <w:tcPr>
                  <w:tcW w:w="321" w:type="pct"/>
                  <w:tcBorders>
                    <w:tl2br w:val="nil"/>
                    <w:tr2bl w:val="nil"/>
                  </w:tcBorders>
                  <w:shd w:val="clear" w:color="auto" w:fill="auto"/>
                  <w:noWrap/>
                  <w:vAlign w:val="center"/>
                </w:tcPr>
                <w:p w14:paraId="662E62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-51.85</w:t>
                  </w:r>
                </w:p>
              </w:tc>
              <w:tc>
                <w:tcPr>
                  <w:tcW w:w="232" w:type="pct"/>
                  <w:tcBorders>
                    <w:tl2br w:val="nil"/>
                    <w:tr2bl w:val="nil"/>
                  </w:tcBorders>
                  <w:shd w:val="clear" w:color="auto" w:fill="auto"/>
                  <w:noWrap/>
                  <w:vAlign w:val="center"/>
                </w:tcPr>
                <w:p w14:paraId="2801AC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0474FC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1C550C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19.64</w:t>
                  </w:r>
                </w:p>
              </w:tc>
              <w:tc>
                <w:tcPr>
                  <w:tcW w:w="422" w:type="pct"/>
                  <w:tcBorders>
                    <w:tl2br w:val="nil"/>
                    <w:tr2bl w:val="nil"/>
                  </w:tcBorders>
                  <w:shd w:val="clear" w:color="auto" w:fill="auto"/>
                  <w:noWrap/>
                  <w:vAlign w:val="center"/>
                </w:tcPr>
                <w:p w14:paraId="1B1675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57A7F06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908550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41E08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3566BE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0E95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A42B01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86C989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9A2DF6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0C507C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9AC83C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06D59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-71.81</w:t>
                  </w:r>
                </w:p>
              </w:tc>
              <w:tc>
                <w:tcPr>
                  <w:tcW w:w="321" w:type="pct"/>
                  <w:tcBorders>
                    <w:tl2br w:val="nil"/>
                    <w:tr2bl w:val="nil"/>
                  </w:tcBorders>
                  <w:shd w:val="clear" w:color="auto" w:fill="auto"/>
                  <w:noWrap/>
                  <w:vAlign w:val="center"/>
                </w:tcPr>
                <w:p w14:paraId="22251F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-51.85</w:t>
                  </w:r>
                </w:p>
              </w:tc>
              <w:tc>
                <w:tcPr>
                  <w:tcW w:w="232" w:type="pct"/>
                  <w:tcBorders>
                    <w:tl2br w:val="nil"/>
                    <w:tr2bl w:val="nil"/>
                  </w:tcBorders>
                  <w:shd w:val="clear" w:color="auto" w:fill="auto"/>
                  <w:noWrap/>
                  <w:vAlign w:val="center"/>
                </w:tcPr>
                <w:p w14:paraId="112B01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362245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1CEC5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14.61</w:t>
                  </w:r>
                </w:p>
              </w:tc>
              <w:tc>
                <w:tcPr>
                  <w:tcW w:w="422" w:type="pct"/>
                  <w:tcBorders>
                    <w:tl2br w:val="nil"/>
                    <w:tr2bl w:val="nil"/>
                  </w:tcBorders>
                  <w:shd w:val="clear" w:color="auto" w:fill="auto"/>
                  <w:noWrap/>
                  <w:vAlign w:val="center"/>
                </w:tcPr>
                <w:p w14:paraId="0FD6B7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55.39</w:t>
                  </w:r>
                </w:p>
              </w:tc>
              <w:tc>
                <w:tcPr>
                  <w:tcW w:w="300" w:type="pct"/>
                  <w:vMerge w:val="continue"/>
                  <w:tcBorders>
                    <w:tl2br w:val="nil"/>
                    <w:tr2bl w:val="nil"/>
                  </w:tcBorders>
                  <w:shd w:val="clear" w:color="auto" w:fill="auto"/>
                  <w:noWrap/>
                  <w:vAlign w:val="center"/>
                </w:tcPr>
                <w:p w14:paraId="6D65F91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06A388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CDEB4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29.39</w:t>
                  </w:r>
                </w:p>
              </w:tc>
              <w:tc>
                <w:tcPr>
                  <w:tcW w:w="342" w:type="pct"/>
                  <w:tcBorders>
                    <w:tl2br w:val="nil"/>
                    <w:tr2bl w:val="nil"/>
                  </w:tcBorders>
                  <w:shd w:val="clear" w:color="auto" w:fill="auto"/>
                  <w:noWrap/>
                  <w:vAlign w:val="center"/>
                </w:tcPr>
                <w:p w14:paraId="359899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5B85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03769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351" w:type="pct"/>
                  <w:vMerge w:val="continue"/>
                  <w:tcBorders>
                    <w:tl2br w:val="nil"/>
                    <w:tr2bl w:val="nil"/>
                  </w:tcBorders>
                  <w:shd w:val="clear" w:color="auto" w:fill="auto"/>
                  <w:noWrap/>
                  <w:vAlign w:val="center"/>
                </w:tcPr>
                <w:p w14:paraId="00AB4CC6">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4E9FF3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真空脱味塔</w:t>
                  </w:r>
                </w:p>
              </w:tc>
              <w:tc>
                <w:tcPr>
                  <w:tcW w:w="452" w:type="pct"/>
                  <w:vMerge w:val="restart"/>
                  <w:tcBorders>
                    <w:tl2br w:val="nil"/>
                    <w:tr2bl w:val="nil"/>
                  </w:tcBorders>
                  <w:shd w:val="clear" w:color="auto" w:fill="auto"/>
                  <w:noWrap/>
                  <w:vAlign w:val="center"/>
                </w:tcPr>
                <w:p w14:paraId="04D704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FCC7FD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40DEE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-71.17</w:t>
                  </w:r>
                </w:p>
              </w:tc>
              <w:tc>
                <w:tcPr>
                  <w:tcW w:w="321" w:type="pct"/>
                  <w:tcBorders>
                    <w:tl2br w:val="nil"/>
                    <w:tr2bl w:val="nil"/>
                  </w:tcBorders>
                  <w:shd w:val="clear" w:color="auto" w:fill="auto"/>
                  <w:noWrap/>
                  <w:vAlign w:val="center"/>
                </w:tcPr>
                <w:p w14:paraId="69622D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-54.08</w:t>
                  </w:r>
                </w:p>
              </w:tc>
              <w:tc>
                <w:tcPr>
                  <w:tcW w:w="232" w:type="pct"/>
                  <w:tcBorders>
                    <w:tl2br w:val="nil"/>
                    <w:tr2bl w:val="nil"/>
                  </w:tcBorders>
                  <w:shd w:val="clear" w:color="auto" w:fill="auto"/>
                  <w:noWrap/>
                  <w:vAlign w:val="center"/>
                </w:tcPr>
                <w:p w14:paraId="23A433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25643E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C439D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63.94</w:t>
                  </w:r>
                </w:p>
              </w:tc>
              <w:tc>
                <w:tcPr>
                  <w:tcW w:w="422" w:type="pct"/>
                  <w:tcBorders>
                    <w:tl2br w:val="nil"/>
                    <w:tr2bl w:val="nil"/>
                  </w:tcBorders>
                  <w:shd w:val="clear" w:color="auto" w:fill="auto"/>
                  <w:noWrap/>
                  <w:vAlign w:val="center"/>
                </w:tcPr>
                <w:p w14:paraId="37068A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6116C8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0FFE236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47722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4085FA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A563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E40D8CD">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4F9D75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E7CCFD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E0D5C0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E2F515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992C5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-71.17</w:t>
                  </w:r>
                </w:p>
              </w:tc>
              <w:tc>
                <w:tcPr>
                  <w:tcW w:w="321" w:type="pct"/>
                  <w:tcBorders>
                    <w:tl2br w:val="nil"/>
                    <w:tr2bl w:val="nil"/>
                  </w:tcBorders>
                  <w:shd w:val="clear" w:color="auto" w:fill="auto"/>
                  <w:noWrap/>
                  <w:vAlign w:val="center"/>
                </w:tcPr>
                <w:p w14:paraId="4FA967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-54.08</w:t>
                  </w:r>
                </w:p>
              </w:tc>
              <w:tc>
                <w:tcPr>
                  <w:tcW w:w="232" w:type="pct"/>
                  <w:tcBorders>
                    <w:tl2br w:val="nil"/>
                    <w:tr2bl w:val="nil"/>
                  </w:tcBorders>
                  <w:shd w:val="clear" w:color="auto" w:fill="auto"/>
                  <w:noWrap/>
                  <w:vAlign w:val="center"/>
                </w:tcPr>
                <w:p w14:paraId="532CB5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601AF6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AFA9D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21.77</w:t>
                  </w:r>
                </w:p>
              </w:tc>
              <w:tc>
                <w:tcPr>
                  <w:tcW w:w="422" w:type="pct"/>
                  <w:tcBorders>
                    <w:tl2br w:val="nil"/>
                    <w:tr2bl w:val="nil"/>
                  </w:tcBorders>
                  <w:shd w:val="clear" w:color="auto" w:fill="auto"/>
                  <w:noWrap/>
                  <w:vAlign w:val="center"/>
                </w:tcPr>
                <w:p w14:paraId="4A7633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2333B88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193400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D2FEC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0C9701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4664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823B59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F82D07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22A1EB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0D91A5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863AAC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E2B35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-71.17</w:t>
                  </w:r>
                </w:p>
              </w:tc>
              <w:tc>
                <w:tcPr>
                  <w:tcW w:w="321" w:type="pct"/>
                  <w:tcBorders>
                    <w:tl2br w:val="nil"/>
                    <w:tr2bl w:val="nil"/>
                  </w:tcBorders>
                  <w:shd w:val="clear" w:color="auto" w:fill="auto"/>
                  <w:noWrap/>
                  <w:vAlign w:val="center"/>
                </w:tcPr>
                <w:p w14:paraId="07BA6D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-54.08</w:t>
                  </w:r>
                </w:p>
              </w:tc>
              <w:tc>
                <w:tcPr>
                  <w:tcW w:w="232" w:type="pct"/>
                  <w:tcBorders>
                    <w:tl2br w:val="nil"/>
                    <w:tr2bl w:val="nil"/>
                  </w:tcBorders>
                  <w:shd w:val="clear" w:color="auto" w:fill="auto"/>
                  <w:noWrap/>
                  <w:vAlign w:val="center"/>
                </w:tcPr>
                <w:p w14:paraId="1C41A7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155D93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865FB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17.34</w:t>
                  </w:r>
                </w:p>
              </w:tc>
              <w:tc>
                <w:tcPr>
                  <w:tcW w:w="422" w:type="pct"/>
                  <w:tcBorders>
                    <w:tl2br w:val="nil"/>
                    <w:tr2bl w:val="nil"/>
                  </w:tcBorders>
                  <w:shd w:val="clear" w:color="auto" w:fill="auto"/>
                  <w:noWrap/>
                  <w:vAlign w:val="center"/>
                </w:tcPr>
                <w:p w14:paraId="60AE6E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0EA58A3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C2F2F2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8D696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3C5C2F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7B9A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C03671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68DC29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B73DF3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3A2BE9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E0CD94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4CBC0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-71.17</w:t>
                  </w:r>
                </w:p>
              </w:tc>
              <w:tc>
                <w:tcPr>
                  <w:tcW w:w="321" w:type="pct"/>
                  <w:tcBorders>
                    <w:tl2br w:val="nil"/>
                    <w:tr2bl w:val="nil"/>
                  </w:tcBorders>
                  <w:shd w:val="clear" w:color="auto" w:fill="auto"/>
                  <w:noWrap/>
                  <w:vAlign w:val="center"/>
                </w:tcPr>
                <w:p w14:paraId="282144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-54.08</w:t>
                  </w:r>
                </w:p>
              </w:tc>
              <w:tc>
                <w:tcPr>
                  <w:tcW w:w="232" w:type="pct"/>
                  <w:tcBorders>
                    <w:tl2br w:val="nil"/>
                    <w:tr2bl w:val="nil"/>
                  </w:tcBorders>
                  <w:shd w:val="clear" w:color="auto" w:fill="auto"/>
                  <w:noWrap/>
                  <w:vAlign w:val="center"/>
                </w:tcPr>
                <w:p w14:paraId="6BC672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3EE4D9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0FD2D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14.34</w:t>
                  </w:r>
                </w:p>
              </w:tc>
              <w:tc>
                <w:tcPr>
                  <w:tcW w:w="422" w:type="pct"/>
                  <w:tcBorders>
                    <w:tl2br w:val="nil"/>
                    <w:tr2bl w:val="nil"/>
                  </w:tcBorders>
                  <w:shd w:val="clear" w:color="auto" w:fill="auto"/>
                  <w:noWrap/>
                  <w:vAlign w:val="center"/>
                </w:tcPr>
                <w:p w14:paraId="4BB266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723FF60D">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F25B16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5CFA2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578D56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9B2C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E0C47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351" w:type="pct"/>
                  <w:vMerge w:val="continue"/>
                  <w:tcBorders>
                    <w:tl2br w:val="nil"/>
                    <w:tr2bl w:val="nil"/>
                  </w:tcBorders>
                  <w:shd w:val="clear" w:color="auto" w:fill="auto"/>
                  <w:noWrap/>
                  <w:vAlign w:val="center"/>
                </w:tcPr>
                <w:p w14:paraId="0EF5405B">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CD804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脱色塔</w:t>
                  </w:r>
                </w:p>
              </w:tc>
              <w:tc>
                <w:tcPr>
                  <w:tcW w:w="452" w:type="pct"/>
                  <w:vMerge w:val="restart"/>
                  <w:tcBorders>
                    <w:tl2br w:val="nil"/>
                    <w:tr2bl w:val="nil"/>
                  </w:tcBorders>
                  <w:shd w:val="clear" w:color="auto" w:fill="auto"/>
                  <w:noWrap/>
                  <w:vAlign w:val="center"/>
                </w:tcPr>
                <w:p w14:paraId="612962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19A43E9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08165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-70.14</w:t>
                  </w:r>
                </w:p>
              </w:tc>
              <w:tc>
                <w:tcPr>
                  <w:tcW w:w="321" w:type="pct"/>
                  <w:tcBorders>
                    <w:tl2br w:val="nil"/>
                    <w:tr2bl w:val="nil"/>
                  </w:tcBorders>
                  <w:shd w:val="clear" w:color="auto" w:fill="auto"/>
                  <w:noWrap/>
                  <w:vAlign w:val="center"/>
                </w:tcPr>
                <w:p w14:paraId="184C90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-56.86</w:t>
                  </w:r>
                </w:p>
              </w:tc>
              <w:tc>
                <w:tcPr>
                  <w:tcW w:w="232" w:type="pct"/>
                  <w:tcBorders>
                    <w:tl2br w:val="nil"/>
                    <w:tr2bl w:val="nil"/>
                  </w:tcBorders>
                  <w:shd w:val="clear" w:color="auto" w:fill="auto"/>
                  <w:noWrap/>
                  <w:vAlign w:val="center"/>
                </w:tcPr>
                <w:p w14:paraId="70F872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73FF34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78B784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66.90</w:t>
                  </w:r>
                </w:p>
              </w:tc>
              <w:tc>
                <w:tcPr>
                  <w:tcW w:w="422" w:type="pct"/>
                  <w:tcBorders>
                    <w:tl2br w:val="nil"/>
                    <w:tr2bl w:val="nil"/>
                  </w:tcBorders>
                  <w:shd w:val="clear" w:color="auto" w:fill="auto"/>
                  <w:noWrap/>
                  <w:vAlign w:val="center"/>
                </w:tcPr>
                <w:p w14:paraId="6A9356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2F5869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CE0990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8199A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71F6E6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29EC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560C33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5DEE33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94B23E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F1E47C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5FF4D8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5A894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-70.14</w:t>
                  </w:r>
                </w:p>
              </w:tc>
              <w:tc>
                <w:tcPr>
                  <w:tcW w:w="321" w:type="pct"/>
                  <w:tcBorders>
                    <w:tl2br w:val="nil"/>
                    <w:tr2bl w:val="nil"/>
                  </w:tcBorders>
                  <w:shd w:val="clear" w:color="auto" w:fill="auto"/>
                  <w:noWrap/>
                  <w:vAlign w:val="center"/>
                </w:tcPr>
                <w:p w14:paraId="6DB652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-56.86</w:t>
                  </w:r>
                </w:p>
              </w:tc>
              <w:tc>
                <w:tcPr>
                  <w:tcW w:w="232" w:type="pct"/>
                  <w:tcBorders>
                    <w:tl2br w:val="nil"/>
                    <w:tr2bl w:val="nil"/>
                  </w:tcBorders>
                  <w:shd w:val="clear" w:color="auto" w:fill="auto"/>
                  <w:noWrap/>
                  <w:vAlign w:val="center"/>
                </w:tcPr>
                <w:p w14:paraId="4885BD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3305DE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7C749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21.86</w:t>
                  </w:r>
                </w:p>
              </w:tc>
              <w:tc>
                <w:tcPr>
                  <w:tcW w:w="422" w:type="pct"/>
                  <w:tcBorders>
                    <w:tl2br w:val="nil"/>
                    <w:tr2bl w:val="nil"/>
                  </w:tcBorders>
                  <w:shd w:val="clear" w:color="auto" w:fill="auto"/>
                  <w:noWrap/>
                  <w:vAlign w:val="center"/>
                </w:tcPr>
                <w:p w14:paraId="226F29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04407C86">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3FA758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9826E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710A6C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C8B4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D73471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030337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1146664">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4A410A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E7C926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911D6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-70.14</w:t>
                  </w:r>
                </w:p>
              </w:tc>
              <w:tc>
                <w:tcPr>
                  <w:tcW w:w="321" w:type="pct"/>
                  <w:tcBorders>
                    <w:tl2br w:val="nil"/>
                    <w:tr2bl w:val="nil"/>
                  </w:tcBorders>
                  <w:shd w:val="clear" w:color="auto" w:fill="auto"/>
                  <w:noWrap/>
                  <w:vAlign w:val="center"/>
                </w:tcPr>
                <w:p w14:paraId="0ADF69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-56.86</w:t>
                  </w:r>
                </w:p>
              </w:tc>
              <w:tc>
                <w:tcPr>
                  <w:tcW w:w="232" w:type="pct"/>
                  <w:tcBorders>
                    <w:tl2br w:val="nil"/>
                    <w:tr2bl w:val="nil"/>
                  </w:tcBorders>
                  <w:shd w:val="clear" w:color="auto" w:fill="auto"/>
                  <w:noWrap/>
                  <w:vAlign w:val="center"/>
                </w:tcPr>
                <w:p w14:paraId="5E29B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7A7310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78771E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14.37</w:t>
                  </w:r>
                </w:p>
              </w:tc>
              <w:tc>
                <w:tcPr>
                  <w:tcW w:w="422" w:type="pct"/>
                  <w:tcBorders>
                    <w:tl2br w:val="nil"/>
                    <w:tr2bl w:val="nil"/>
                  </w:tcBorders>
                  <w:shd w:val="clear" w:color="auto" w:fill="auto"/>
                  <w:noWrap/>
                  <w:vAlign w:val="center"/>
                </w:tcPr>
                <w:p w14:paraId="3AE658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71FA618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0BD14D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2596B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7C07BE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715B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56334D7">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5F11C5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421671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C1E7FC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7B223C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648CD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-70.14</w:t>
                  </w:r>
                </w:p>
              </w:tc>
              <w:tc>
                <w:tcPr>
                  <w:tcW w:w="321" w:type="pct"/>
                  <w:tcBorders>
                    <w:tl2br w:val="nil"/>
                    <w:tr2bl w:val="nil"/>
                  </w:tcBorders>
                  <w:shd w:val="clear" w:color="auto" w:fill="auto"/>
                  <w:noWrap/>
                  <w:vAlign w:val="center"/>
                </w:tcPr>
                <w:p w14:paraId="6EDC2D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-56.86</w:t>
                  </w:r>
                </w:p>
              </w:tc>
              <w:tc>
                <w:tcPr>
                  <w:tcW w:w="232" w:type="pct"/>
                  <w:tcBorders>
                    <w:tl2br w:val="nil"/>
                    <w:tr2bl w:val="nil"/>
                  </w:tcBorders>
                  <w:shd w:val="clear" w:color="auto" w:fill="auto"/>
                  <w:noWrap/>
                  <w:vAlign w:val="center"/>
                </w:tcPr>
                <w:p w14:paraId="33382A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6C934A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1DCCBE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14.21</w:t>
                  </w:r>
                </w:p>
              </w:tc>
              <w:tc>
                <w:tcPr>
                  <w:tcW w:w="422" w:type="pct"/>
                  <w:tcBorders>
                    <w:tl2br w:val="nil"/>
                    <w:tr2bl w:val="nil"/>
                  </w:tcBorders>
                  <w:shd w:val="clear" w:color="auto" w:fill="auto"/>
                  <w:noWrap/>
                  <w:vAlign w:val="center"/>
                </w:tcPr>
                <w:p w14:paraId="2166BD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1C6BB08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F0FE76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8E786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109618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4400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C0294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351" w:type="pct"/>
                  <w:vMerge w:val="continue"/>
                  <w:tcBorders>
                    <w:tl2br w:val="nil"/>
                    <w:tr2bl w:val="nil"/>
                  </w:tcBorders>
                  <w:shd w:val="clear" w:color="auto" w:fill="auto"/>
                  <w:noWrap/>
                  <w:vAlign w:val="center"/>
                </w:tcPr>
                <w:p w14:paraId="5650C7D0">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464752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脱酸塔</w:t>
                  </w:r>
                </w:p>
              </w:tc>
              <w:tc>
                <w:tcPr>
                  <w:tcW w:w="452" w:type="pct"/>
                  <w:vMerge w:val="restart"/>
                  <w:tcBorders>
                    <w:tl2br w:val="nil"/>
                    <w:tr2bl w:val="nil"/>
                  </w:tcBorders>
                  <w:shd w:val="clear" w:color="auto" w:fill="auto"/>
                  <w:noWrap/>
                  <w:vAlign w:val="center"/>
                </w:tcPr>
                <w:p w14:paraId="522AC9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1A1F19B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2DE39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-68.95</w:t>
                  </w:r>
                </w:p>
              </w:tc>
              <w:tc>
                <w:tcPr>
                  <w:tcW w:w="321" w:type="pct"/>
                  <w:tcBorders>
                    <w:tl2br w:val="nil"/>
                    <w:tr2bl w:val="nil"/>
                  </w:tcBorders>
                  <w:shd w:val="clear" w:color="auto" w:fill="auto"/>
                  <w:noWrap/>
                  <w:vAlign w:val="center"/>
                </w:tcPr>
                <w:p w14:paraId="618164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-59.25</w:t>
                  </w:r>
                </w:p>
              </w:tc>
              <w:tc>
                <w:tcPr>
                  <w:tcW w:w="232" w:type="pct"/>
                  <w:tcBorders>
                    <w:tl2br w:val="nil"/>
                    <w:tr2bl w:val="nil"/>
                  </w:tcBorders>
                  <w:shd w:val="clear" w:color="auto" w:fill="auto"/>
                  <w:noWrap/>
                  <w:vAlign w:val="center"/>
                </w:tcPr>
                <w:p w14:paraId="38218C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39B64C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F5809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69.56</w:t>
                  </w:r>
                </w:p>
              </w:tc>
              <w:tc>
                <w:tcPr>
                  <w:tcW w:w="422" w:type="pct"/>
                  <w:tcBorders>
                    <w:tl2br w:val="nil"/>
                    <w:tr2bl w:val="nil"/>
                  </w:tcBorders>
                  <w:shd w:val="clear" w:color="auto" w:fill="auto"/>
                  <w:noWrap/>
                  <w:vAlign w:val="center"/>
                </w:tcPr>
                <w:p w14:paraId="2F7F78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710988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9190AB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84EBC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3BAE2C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DF57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EBF30C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B05D43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2F31EC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49CAC6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AD79E4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0B027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-68.95</w:t>
                  </w:r>
                </w:p>
              </w:tc>
              <w:tc>
                <w:tcPr>
                  <w:tcW w:w="321" w:type="pct"/>
                  <w:tcBorders>
                    <w:tl2br w:val="nil"/>
                    <w:tr2bl w:val="nil"/>
                  </w:tcBorders>
                  <w:shd w:val="clear" w:color="auto" w:fill="auto"/>
                  <w:noWrap/>
                  <w:vAlign w:val="center"/>
                </w:tcPr>
                <w:p w14:paraId="40C385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-59.25</w:t>
                  </w:r>
                </w:p>
              </w:tc>
              <w:tc>
                <w:tcPr>
                  <w:tcW w:w="232" w:type="pct"/>
                  <w:tcBorders>
                    <w:tl2br w:val="nil"/>
                    <w:tr2bl w:val="nil"/>
                  </w:tcBorders>
                  <w:shd w:val="clear" w:color="auto" w:fill="auto"/>
                  <w:noWrap/>
                  <w:vAlign w:val="center"/>
                </w:tcPr>
                <w:p w14:paraId="27BB6D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44A2E4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48589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21.65</w:t>
                  </w:r>
                </w:p>
              </w:tc>
              <w:tc>
                <w:tcPr>
                  <w:tcW w:w="422" w:type="pct"/>
                  <w:tcBorders>
                    <w:tl2br w:val="nil"/>
                    <w:tr2bl w:val="nil"/>
                  </w:tcBorders>
                  <w:shd w:val="clear" w:color="auto" w:fill="auto"/>
                  <w:noWrap/>
                  <w:vAlign w:val="center"/>
                </w:tcPr>
                <w:p w14:paraId="51E873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437D393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FBAB6F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6AEF4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497761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B6A1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3B30F5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B3AC6F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A21F33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F5D042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42FF8E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0E86B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-68.95</w:t>
                  </w:r>
                </w:p>
              </w:tc>
              <w:tc>
                <w:tcPr>
                  <w:tcW w:w="321" w:type="pct"/>
                  <w:tcBorders>
                    <w:tl2br w:val="nil"/>
                    <w:tr2bl w:val="nil"/>
                  </w:tcBorders>
                  <w:shd w:val="clear" w:color="auto" w:fill="auto"/>
                  <w:noWrap/>
                  <w:vAlign w:val="center"/>
                </w:tcPr>
                <w:p w14:paraId="2B2C90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-59.25</w:t>
                  </w:r>
                </w:p>
              </w:tc>
              <w:tc>
                <w:tcPr>
                  <w:tcW w:w="232" w:type="pct"/>
                  <w:tcBorders>
                    <w:tl2br w:val="nil"/>
                    <w:tr2bl w:val="nil"/>
                  </w:tcBorders>
                  <w:shd w:val="clear" w:color="auto" w:fill="auto"/>
                  <w:noWrap/>
                  <w:vAlign w:val="center"/>
                </w:tcPr>
                <w:p w14:paraId="4FD97E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481A56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0B4E2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11.71</w:t>
                  </w:r>
                </w:p>
              </w:tc>
              <w:tc>
                <w:tcPr>
                  <w:tcW w:w="422" w:type="pct"/>
                  <w:tcBorders>
                    <w:tl2br w:val="nil"/>
                    <w:tr2bl w:val="nil"/>
                  </w:tcBorders>
                  <w:shd w:val="clear" w:color="auto" w:fill="auto"/>
                  <w:noWrap/>
                  <w:vAlign w:val="center"/>
                </w:tcPr>
                <w:p w14:paraId="663041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55.42</w:t>
                  </w:r>
                </w:p>
              </w:tc>
              <w:tc>
                <w:tcPr>
                  <w:tcW w:w="300" w:type="pct"/>
                  <w:vMerge w:val="continue"/>
                  <w:tcBorders>
                    <w:tl2br w:val="nil"/>
                    <w:tr2bl w:val="nil"/>
                  </w:tcBorders>
                  <w:shd w:val="clear" w:color="auto" w:fill="auto"/>
                  <w:noWrap/>
                  <w:vAlign w:val="center"/>
                </w:tcPr>
                <w:p w14:paraId="76E9DCF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A82779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02906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29.42</w:t>
                  </w:r>
                </w:p>
              </w:tc>
              <w:tc>
                <w:tcPr>
                  <w:tcW w:w="342" w:type="pct"/>
                  <w:tcBorders>
                    <w:tl2br w:val="nil"/>
                    <w:tr2bl w:val="nil"/>
                  </w:tcBorders>
                  <w:shd w:val="clear" w:color="auto" w:fill="auto"/>
                  <w:noWrap/>
                  <w:vAlign w:val="center"/>
                </w:tcPr>
                <w:p w14:paraId="41FC00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E24D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C16921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9CECC8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CD7516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C25E92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8F8F75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B0FC1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-68.95</w:t>
                  </w:r>
                </w:p>
              </w:tc>
              <w:tc>
                <w:tcPr>
                  <w:tcW w:w="321" w:type="pct"/>
                  <w:tcBorders>
                    <w:tl2br w:val="nil"/>
                    <w:tr2bl w:val="nil"/>
                  </w:tcBorders>
                  <w:shd w:val="clear" w:color="auto" w:fill="auto"/>
                  <w:noWrap/>
                  <w:vAlign w:val="center"/>
                </w:tcPr>
                <w:p w14:paraId="170C45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-59.25</w:t>
                  </w:r>
                </w:p>
              </w:tc>
              <w:tc>
                <w:tcPr>
                  <w:tcW w:w="232" w:type="pct"/>
                  <w:tcBorders>
                    <w:tl2br w:val="nil"/>
                    <w:tr2bl w:val="nil"/>
                  </w:tcBorders>
                  <w:shd w:val="clear" w:color="auto" w:fill="auto"/>
                  <w:noWrap/>
                  <w:vAlign w:val="center"/>
                </w:tcPr>
                <w:p w14:paraId="7766CC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1588A3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B0855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14.39</w:t>
                  </w:r>
                </w:p>
              </w:tc>
              <w:tc>
                <w:tcPr>
                  <w:tcW w:w="422" w:type="pct"/>
                  <w:tcBorders>
                    <w:tl2br w:val="nil"/>
                    <w:tr2bl w:val="nil"/>
                  </w:tcBorders>
                  <w:shd w:val="clear" w:color="auto" w:fill="auto"/>
                  <w:noWrap/>
                  <w:vAlign w:val="center"/>
                </w:tcPr>
                <w:p w14:paraId="58295C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55.40</w:t>
                  </w:r>
                </w:p>
              </w:tc>
              <w:tc>
                <w:tcPr>
                  <w:tcW w:w="300" w:type="pct"/>
                  <w:vMerge w:val="continue"/>
                  <w:tcBorders>
                    <w:tl2br w:val="nil"/>
                    <w:tr2bl w:val="nil"/>
                  </w:tcBorders>
                  <w:shd w:val="clear" w:color="auto" w:fill="auto"/>
                  <w:noWrap/>
                  <w:vAlign w:val="center"/>
                </w:tcPr>
                <w:p w14:paraId="7720748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D7773A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37F6E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29.40</w:t>
                  </w:r>
                </w:p>
              </w:tc>
              <w:tc>
                <w:tcPr>
                  <w:tcW w:w="342" w:type="pct"/>
                  <w:tcBorders>
                    <w:tl2br w:val="nil"/>
                    <w:tr2bl w:val="nil"/>
                  </w:tcBorders>
                  <w:shd w:val="clear" w:color="auto" w:fill="auto"/>
                  <w:noWrap/>
                  <w:vAlign w:val="center"/>
                </w:tcPr>
                <w:p w14:paraId="266A9D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3483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11817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351" w:type="pct"/>
                  <w:vMerge w:val="continue"/>
                  <w:tcBorders>
                    <w:tl2br w:val="nil"/>
                    <w:tr2bl w:val="nil"/>
                  </w:tcBorders>
                  <w:shd w:val="clear" w:color="auto" w:fill="auto"/>
                  <w:noWrap/>
                  <w:vAlign w:val="center"/>
                </w:tcPr>
                <w:p w14:paraId="62369772">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66376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冷冻液供应泵</w:t>
                  </w:r>
                </w:p>
              </w:tc>
              <w:tc>
                <w:tcPr>
                  <w:tcW w:w="452" w:type="pct"/>
                  <w:vMerge w:val="restart"/>
                  <w:tcBorders>
                    <w:tl2br w:val="nil"/>
                    <w:tr2bl w:val="nil"/>
                  </w:tcBorders>
                  <w:shd w:val="clear" w:color="auto" w:fill="auto"/>
                  <w:noWrap/>
                  <w:vAlign w:val="center"/>
                </w:tcPr>
                <w:p w14:paraId="5F9E42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2D78806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4A107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-88.75</w:t>
                  </w:r>
                </w:p>
              </w:tc>
              <w:tc>
                <w:tcPr>
                  <w:tcW w:w="321" w:type="pct"/>
                  <w:tcBorders>
                    <w:tl2br w:val="nil"/>
                    <w:tr2bl w:val="nil"/>
                  </w:tcBorders>
                  <w:shd w:val="clear" w:color="auto" w:fill="auto"/>
                  <w:noWrap/>
                  <w:vAlign w:val="center"/>
                </w:tcPr>
                <w:p w14:paraId="3B99C8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232" w:type="pct"/>
                  <w:tcBorders>
                    <w:tl2br w:val="nil"/>
                    <w:tr2bl w:val="nil"/>
                  </w:tcBorders>
                  <w:shd w:val="clear" w:color="auto" w:fill="auto"/>
                  <w:noWrap/>
                  <w:vAlign w:val="center"/>
                </w:tcPr>
                <w:p w14:paraId="0B1AA2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81" w:type="pct"/>
                  <w:tcBorders>
                    <w:tl2br w:val="nil"/>
                    <w:tr2bl w:val="nil"/>
                  </w:tcBorders>
                  <w:shd w:val="clear" w:color="auto" w:fill="auto"/>
                  <w:noWrap/>
                  <w:vAlign w:val="center"/>
                </w:tcPr>
                <w:p w14:paraId="4289E5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0CFE1B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6.68</w:t>
                  </w:r>
                </w:p>
              </w:tc>
              <w:tc>
                <w:tcPr>
                  <w:tcW w:w="422" w:type="pct"/>
                  <w:tcBorders>
                    <w:tl2br w:val="nil"/>
                    <w:tr2bl w:val="nil"/>
                  </w:tcBorders>
                  <w:shd w:val="clear" w:color="auto" w:fill="auto"/>
                  <w:noWrap/>
                  <w:vAlign w:val="center"/>
                </w:tcPr>
                <w:p w14:paraId="2BBE78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55.57</w:t>
                  </w:r>
                </w:p>
              </w:tc>
              <w:tc>
                <w:tcPr>
                  <w:tcW w:w="300" w:type="pct"/>
                  <w:vMerge w:val="restart"/>
                  <w:tcBorders>
                    <w:tl2br w:val="nil"/>
                    <w:tr2bl w:val="nil"/>
                  </w:tcBorders>
                  <w:shd w:val="clear" w:color="auto" w:fill="auto"/>
                  <w:noWrap/>
                  <w:vAlign w:val="center"/>
                </w:tcPr>
                <w:p w14:paraId="11F221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7C0AC2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3F607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29.57</w:t>
                  </w:r>
                </w:p>
              </w:tc>
              <w:tc>
                <w:tcPr>
                  <w:tcW w:w="342" w:type="pct"/>
                  <w:tcBorders>
                    <w:tl2br w:val="nil"/>
                    <w:tr2bl w:val="nil"/>
                  </w:tcBorders>
                  <w:shd w:val="clear" w:color="auto" w:fill="auto"/>
                  <w:noWrap/>
                  <w:vAlign w:val="center"/>
                </w:tcPr>
                <w:p w14:paraId="5C9F9D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D7A4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C0FCB5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C881A5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A71723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15CA2A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92EBEF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DE5A9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-88.75</w:t>
                  </w:r>
                </w:p>
              </w:tc>
              <w:tc>
                <w:tcPr>
                  <w:tcW w:w="321" w:type="pct"/>
                  <w:tcBorders>
                    <w:tl2br w:val="nil"/>
                    <w:tr2bl w:val="nil"/>
                  </w:tcBorders>
                  <w:shd w:val="clear" w:color="auto" w:fill="auto"/>
                  <w:noWrap/>
                  <w:vAlign w:val="center"/>
                </w:tcPr>
                <w:p w14:paraId="24829A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232" w:type="pct"/>
                  <w:tcBorders>
                    <w:tl2br w:val="nil"/>
                    <w:tr2bl w:val="nil"/>
                  </w:tcBorders>
                  <w:shd w:val="clear" w:color="auto" w:fill="auto"/>
                  <w:noWrap/>
                  <w:vAlign w:val="center"/>
                </w:tcPr>
                <w:p w14:paraId="521095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81" w:type="pct"/>
                  <w:tcBorders>
                    <w:tl2br w:val="nil"/>
                    <w:tr2bl w:val="nil"/>
                  </w:tcBorders>
                  <w:shd w:val="clear" w:color="auto" w:fill="auto"/>
                  <w:noWrap/>
                  <w:vAlign w:val="center"/>
                </w:tcPr>
                <w:p w14:paraId="52DB13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33A46D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17.59</w:t>
                  </w:r>
                </w:p>
              </w:tc>
              <w:tc>
                <w:tcPr>
                  <w:tcW w:w="422" w:type="pct"/>
                  <w:tcBorders>
                    <w:tl2br w:val="nil"/>
                    <w:tr2bl w:val="nil"/>
                  </w:tcBorders>
                  <w:shd w:val="clear" w:color="auto" w:fill="auto"/>
                  <w:noWrap/>
                  <w:vAlign w:val="center"/>
                </w:tcPr>
                <w:p w14:paraId="40A783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794070E6">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A31E1A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6E911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4B1E7D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D6D3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BD71F4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4B8B5C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7F0B0E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96673E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690872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A1F8C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-88.75</w:t>
                  </w:r>
                </w:p>
              </w:tc>
              <w:tc>
                <w:tcPr>
                  <w:tcW w:w="321" w:type="pct"/>
                  <w:tcBorders>
                    <w:tl2br w:val="nil"/>
                    <w:tr2bl w:val="nil"/>
                  </w:tcBorders>
                  <w:shd w:val="clear" w:color="auto" w:fill="auto"/>
                  <w:noWrap/>
                  <w:vAlign w:val="center"/>
                </w:tcPr>
                <w:p w14:paraId="43686B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232" w:type="pct"/>
                  <w:tcBorders>
                    <w:tl2br w:val="nil"/>
                    <w:tr2bl w:val="nil"/>
                  </w:tcBorders>
                  <w:shd w:val="clear" w:color="auto" w:fill="auto"/>
                  <w:noWrap/>
                  <w:vAlign w:val="center"/>
                </w:tcPr>
                <w:p w14:paraId="72A765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81" w:type="pct"/>
                  <w:tcBorders>
                    <w:tl2br w:val="nil"/>
                    <w:tr2bl w:val="nil"/>
                  </w:tcBorders>
                  <w:shd w:val="clear" w:color="auto" w:fill="auto"/>
                  <w:noWrap/>
                  <w:vAlign w:val="center"/>
                </w:tcPr>
                <w:p w14:paraId="4C011B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73AFA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74.56</w:t>
                  </w:r>
                </w:p>
              </w:tc>
              <w:tc>
                <w:tcPr>
                  <w:tcW w:w="422" w:type="pct"/>
                  <w:tcBorders>
                    <w:tl2br w:val="nil"/>
                    <w:tr2bl w:val="nil"/>
                  </w:tcBorders>
                  <w:shd w:val="clear" w:color="auto" w:fill="auto"/>
                  <w:noWrap/>
                  <w:vAlign w:val="center"/>
                </w:tcPr>
                <w:p w14:paraId="488DDA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3B4AB35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8794BE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A3673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050F0E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1229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7C6F68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D22227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78E96F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DEAA8A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496788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D9548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-88.75</w:t>
                  </w:r>
                </w:p>
              </w:tc>
              <w:tc>
                <w:tcPr>
                  <w:tcW w:w="321" w:type="pct"/>
                  <w:tcBorders>
                    <w:tl2br w:val="nil"/>
                    <w:tr2bl w:val="nil"/>
                  </w:tcBorders>
                  <w:shd w:val="clear" w:color="auto" w:fill="auto"/>
                  <w:noWrap/>
                  <w:vAlign w:val="center"/>
                </w:tcPr>
                <w:p w14:paraId="4EBFC2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232" w:type="pct"/>
                  <w:tcBorders>
                    <w:tl2br w:val="nil"/>
                    <w:tr2bl w:val="nil"/>
                  </w:tcBorders>
                  <w:shd w:val="clear" w:color="auto" w:fill="auto"/>
                  <w:noWrap/>
                  <w:vAlign w:val="center"/>
                </w:tcPr>
                <w:p w14:paraId="726E51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81" w:type="pct"/>
                  <w:tcBorders>
                    <w:tl2br w:val="nil"/>
                    <w:tr2bl w:val="nil"/>
                  </w:tcBorders>
                  <w:shd w:val="clear" w:color="auto" w:fill="auto"/>
                  <w:noWrap/>
                  <w:vAlign w:val="center"/>
                </w:tcPr>
                <w:p w14:paraId="38B62B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4E2C4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19.22</w:t>
                  </w:r>
                </w:p>
              </w:tc>
              <w:tc>
                <w:tcPr>
                  <w:tcW w:w="422" w:type="pct"/>
                  <w:tcBorders>
                    <w:tl2br w:val="nil"/>
                    <w:tr2bl w:val="nil"/>
                  </w:tcBorders>
                  <w:shd w:val="clear" w:color="auto" w:fill="auto"/>
                  <w:noWrap/>
                  <w:vAlign w:val="center"/>
                </w:tcPr>
                <w:p w14:paraId="1F4394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471C6AF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15C81D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8742B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08B126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A07A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5B45B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351" w:type="pct"/>
                  <w:vMerge w:val="continue"/>
                  <w:tcBorders>
                    <w:tl2br w:val="nil"/>
                    <w:tr2bl w:val="nil"/>
                  </w:tcBorders>
                  <w:shd w:val="clear" w:color="auto" w:fill="auto"/>
                  <w:noWrap/>
                  <w:vAlign w:val="center"/>
                </w:tcPr>
                <w:p w14:paraId="19DEF1A3">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68D7DE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脱臭塔</w:t>
                  </w:r>
                </w:p>
              </w:tc>
              <w:tc>
                <w:tcPr>
                  <w:tcW w:w="452" w:type="pct"/>
                  <w:vMerge w:val="restart"/>
                  <w:tcBorders>
                    <w:tl2br w:val="nil"/>
                    <w:tr2bl w:val="nil"/>
                  </w:tcBorders>
                  <w:shd w:val="clear" w:color="auto" w:fill="auto"/>
                  <w:noWrap/>
                  <w:vAlign w:val="center"/>
                </w:tcPr>
                <w:p w14:paraId="436A31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1188525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B7CB5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-86.52</w:t>
                  </w:r>
                </w:p>
              </w:tc>
              <w:tc>
                <w:tcPr>
                  <w:tcW w:w="321" w:type="pct"/>
                  <w:tcBorders>
                    <w:tl2br w:val="nil"/>
                    <w:tr2bl w:val="nil"/>
                  </w:tcBorders>
                  <w:shd w:val="clear" w:color="auto" w:fill="auto"/>
                  <w:noWrap/>
                  <w:vAlign w:val="center"/>
                </w:tcPr>
                <w:p w14:paraId="083431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-4.99</w:t>
                  </w:r>
                </w:p>
              </w:tc>
              <w:tc>
                <w:tcPr>
                  <w:tcW w:w="232" w:type="pct"/>
                  <w:tcBorders>
                    <w:tl2br w:val="nil"/>
                    <w:tr2bl w:val="nil"/>
                  </w:tcBorders>
                  <w:shd w:val="clear" w:color="auto" w:fill="auto"/>
                  <w:noWrap/>
                  <w:vAlign w:val="center"/>
                </w:tcPr>
                <w:p w14:paraId="10977A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502AE3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7D9CF8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12.71</w:t>
                  </w:r>
                </w:p>
              </w:tc>
              <w:tc>
                <w:tcPr>
                  <w:tcW w:w="422" w:type="pct"/>
                  <w:tcBorders>
                    <w:tl2br w:val="nil"/>
                    <w:tr2bl w:val="nil"/>
                  </w:tcBorders>
                  <w:shd w:val="clear" w:color="auto" w:fill="auto"/>
                  <w:noWrap/>
                  <w:vAlign w:val="center"/>
                </w:tcPr>
                <w:p w14:paraId="3AD6E8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55.41</w:t>
                  </w:r>
                </w:p>
              </w:tc>
              <w:tc>
                <w:tcPr>
                  <w:tcW w:w="300" w:type="pct"/>
                  <w:vMerge w:val="restart"/>
                  <w:tcBorders>
                    <w:tl2br w:val="nil"/>
                    <w:tr2bl w:val="nil"/>
                  </w:tcBorders>
                  <w:shd w:val="clear" w:color="auto" w:fill="auto"/>
                  <w:noWrap/>
                  <w:vAlign w:val="center"/>
                </w:tcPr>
                <w:p w14:paraId="3DE2FE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CF03A5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C04AB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29.41</w:t>
                  </w:r>
                </w:p>
              </w:tc>
              <w:tc>
                <w:tcPr>
                  <w:tcW w:w="342" w:type="pct"/>
                  <w:tcBorders>
                    <w:tl2br w:val="nil"/>
                    <w:tr2bl w:val="nil"/>
                  </w:tcBorders>
                  <w:shd w:val="clear" w:color="auto" w:fill="auto"/>
                  <w:noWrap/>
                  <w:vAlign w:val="center"/>
                </w:tcPr>
                <w:p w14:paraId="5CE928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0074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AFB72D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AFF9F1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7F369A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928375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116A9C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486F4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-86.52</w:t>
                  </w:r>
                </w:p>
              </w:tc>
              <w:tc>
                <w:tcPr>
                  <w:tcW w:w="321" w:type="pct"/>
                  <w:tcBorders>
                    <w:tl2br w:val="nil"/>
                    <w:tr2bl w:val="nil"/>
                  </w:tcBorders>
                  <w:shd w:val="clear" w:color="auto" w:fill="auto"/>
                  <w:noWrap/>
                  <w:vAlign w:val="center"/>
                </w:tcPr>
                <w:p w14:paraId="70BB50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-4.99</w:t>
                  </w:r>
                </w:p>
              </w:tc>
              <w:tc>
                <w:tcPr>
                  <w:tcW w:w="232" w:type="pct"/>
                  <w:tcBorders>
                    <w:tl2br w:val="nil"/>
                    <w:tr2bl w:val="nil"/>
                  </w:tcBorders>
                  <w:shd w:val="clear" w:color="auto" w:fill="auto"/>
                  <w:noWrap/>
                  <w:vAlign w:val="center"/>
                </w:tcPr>
                <w:p w14:paraId="6A1193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093BCB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544722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17.62</w:t>
                  </w:r>
                </w:p>
              </w:tc>
              <w:tc>
                <w:tcPr>
                  <w:tcW w:w="422" w:type="pct"/>
                  <w:tcBorders>
                    <w:tl2br w:val="nil"/>
                    <w:tr2bl w:val="nil"/>
                  </w:tcBorders>
                  <w:shd w:val="clear" w:color="auto" w:fill="auto"/>
                  <w:noWrap/>
                  <w:vAlign w:val="center"/>
                </w:tcPr>
                <w:p w14:paraId="660D48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420E3C0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2A752C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642A4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422F3D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C10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92366CD">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3004E0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DB24C9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C61536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FB67F0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ED2D3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-86.52</w:t>
                  </w:r>
                </w:p>
              </w:tc>
              <w:tc>
                <w:tcPr>
                  <w:tcW w:w="321" w:type="pct"/>
                  <w:tcBorders>
                    <w:tl2br w:val="nil"/>
                    <w:tr2bl w:val="nil"/>
                  </w:tcBorders>
                  <w:shd w:val="clear" w:color="auto" w:fill="auto"/>
                  <w:noWrap/>
                  <w:vAlign w:val="center"/>
                </w:tcPr>
                <w:p w14:paraId="5F1A2F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-4.99</w:t>
                  </w:r>
                </w:p>
              </w:tc>
              <w:tc>
                <w:tcPr>
                  <w:tcW w:w="232" w:type="pct"/>
                  <w:tcBorders>
                    <w:tl2br w:val="nil"/>
                    <w:tr2bl w:val="nil"/>
                  </w:tcBorders>
                  <w:shd w:val="clear" w:color="auto" w:fill="auto"/>
                  <w:noWrap/>
                  <w:vAlign w:val="center"/>
                </w:tcPr>
                <w:p w14:paraId="2FCF32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4263A3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24D7E6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68.53</w:t>
                  </w:r>
                </w:p>
              </w:tc>
              <w:tc>
                <w:tcPr>
                  <w:tcW w:w="422" w:type="pct"/>
                  <w:tcBorders>
                    <w:tl2br w:val="nil"/>
                    <w:tr2bl w:val="nil"/>
                  </w:tcBorders>
                  <w:shd w:val="clear" w:color="auto" w:fill="auto"/>
                  <w:noWrap/>
                  <w:vAlign w:val="center"/>
                </w:tcPr>
                <w:p w14:paraId="40EA79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53B569B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845796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E59DE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4DD5C1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52C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49C719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A62E4F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A5C637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CD5D71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88E8C8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C738F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-86.52</w:t>
                  </w:r>
                </w:p>
              </w:tc>
              <w:tc>
                <w:tcPr>
                  <w:tcW w:w="321" w:type="pct"/>
                  <w:tcBorders>
                    <w:tl2br w:val="nil"/>
                    <w:tr2bl w:val="nil"/>
                  </w:tcBorders>
                  <w:shd w:val="clear" w:color="auto" w:fill="auto"/>
                  <w:noWrap/>
                  <w:vAlign w:val="center"/>
                </w:tcPr>
                <w:p w14:paraId="36A935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-4.99</w:t>
                  </w:r>
                </w:p>
              </w:tc>
              <w:tc>
                <w:tcPr>
                  <w:tcW w:w="232" w:type="pct"/>
                  <w:tcBorders>
                    <w:tl2br w:val="nil"/>
                    <w:tr2bl w:val="nil"/>
                  </w:tcBorders>
                  <w:shd w:val="clear" w:color="auto" w:fill="auto"/>
                  <w:noWrap/>
                  <w:vAlign w:val="center"/>
                </w:tcPr>
                <w:p w14:paraId="2D21CB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81" w:type="pct"/>
                  <w:tcBorders>
                    <w:tl2br w:val="nil"/>
                    <w:tr2bl w:val="nil"/>
                  </w:tcBorders>
                  <w:shd w:val="clear" w:color="auto" w:fill="auto"/>
                  <w:noWrap/>
                  <w:vAlign w:val="center"/>
                </w:tcPr>
                <w:p w14:paraId="7A0262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D0A25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19.12</w:t>
                  </w:r>
                </w:p>
              </w:tc>
              <w:tc>
                <w:tcPr>
                  <w:tcW w:w="422" w:type="pct"/>
                  <w:tcBorders>
                    <w:tl2br w:val="nil"/>
                    <w:tr2bl w:val="nil"/>
                  </w:tcBorders>
                  <w:shd w:val="clear" w:color="auto" w:fill="auto"/>
                  <w:noWrap/>
                  <w:vAlign w:val="center"/>
                </w:tcPr>
                <w:p w14:paraId="64FA82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4A4C845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49B300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E5B50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0C5FAD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5360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C1902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351" w:type="pct"/>
                  <w:vMerge w:val="continue"/>
                  <w:tcBorders>
                    <w:tl2br w:val="nil"/>
                    <w:tr2bl w:val="nil"/>
                  </w:tcBorders>
                  <w:shd w:val="clear" w:color="auto" w:fill="auto"/>
                  <w:noWrap/>
                  <w:vAlign w:val="center"/>
                </w:tcPr>
                <w:p w14:paraId="0A1332EC">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0441D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尾气处理系统</w:t>
                  </w:r>
                </w:p>
              </w:tc>
              <w:tc>
                <w:tcPr>
                  <w:tcW w:w="452" w:type="pct"/>
                  <w:vMerge w:val="restart"/>
                  <w:tcBorders>
                    <w:tl2br w:val="nil"/>
                    <w:tr2bl w:val="nil"/>
                  </w:tcBorders>
                  <w:shd w:val="clear" w:color="auto" w:fill="auto"/>
                  <w:noWrap/>
                  <w:vAlign w:val="center"/>
                </w:tcPr>
                <w:p w14:paraId="0673C0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26ED72E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44F86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-85.7</w:t>
                  </w:r>
                </w:p>
              </w:tc>
              <w:tc>
                <w:tcPr>
                  <w:tcW w:w="321" w:type="pct"/>
                  <w:tcBorders>
                    <w:tl2br w:val="nil"/>
                    <w:tr2bl w:val="nil"/>
                  </w:tcBorders>
                  <w:shd w:val="clear" w:color="auto" w:fill="auto"/>
                  <w:noWrap/>
                  <w:vAlign w:val="center"/>
                </w:tcPr>
                <w:p w14:paraId="7DC621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232" w:type="pct"/>
                  <w:tcBorders>
                    <w:tl2br w:val="nil"/>
                    <w:tr2bl w:val="nil"/>
                  </w:tcBorders>
                  <w:shd w:val="clear" w:color="auto" w:fill="auto"/>
                  <w:noWrap/>
                  <w:vAlign w:val="center"/>
                </w:tcPr>
                <w:p w14:paraId="3E190F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1" w:type="pct"/>
                  <w:tcBorders>
                    <w:tl2br w:val="nil"/>
                    <w:tr2bl w:val="nil"/>
                  </w:tcBorders>
                  <w:shd w:val="clear" w:color="auto" w:fill="auto"/>
                  <w:noWrap/>
                  <w:vAlign w:val="center"/>
                </w:tcPr>
                <w:p w14:paraId="686963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94718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15.61</w:t>
                  </w:r>
                </w:p>
              </w:tc>
              <w:tc>
                <w:tcPr>
                  <w:tcW w:w="422" w:type="pct"/>
                  <w:tcBorders>
                    <w:tl2br w:val="nil"/>
                    <w:tr2bl w:val="nil"/>
                  </w:tcBorders>
                  <w:shd w:val="clear" w:color="auto" w:fill="auto"/>
                  <w:noWrap/>
                  <w:vAlign w:val="center"/>
                </w:tcPr>
                <w:p w14:paraId="5E247F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60.39</w:t>
                  </w:r>
                </w:p>
              </w:tc>
              <w:tc>
                <w:tcPr>
                  <w:tcW w:w="300" w:type="pct"/>
                  <w:vMerge w:val="restart"/>
                  <w:tcBorders>
                    <w:tl2br w:val="nil"/>
                    <w:tr2bl w:val="nil"/>
                  </w:tcBorders>
                  <w:shd w:val="clear" w:color="auto" w:fill="auto"/>
                  <w:noWrap/>
                  <w:vAlign w:val="center"/>
                </w:tcPr>
                <w:p w14:paraId="24B92B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417F371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78BF8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34.39</w:t>
                  </w:r>
                </w:p>
              </w:tc>
              <w:tc>
                <w:tcPr>
                  <w:tcW w:w="342" w:type="pct"/>
                  <w:tcBorders>
                    <w:tl2br w:val="nil"/>
                    <w:tr2bl w:val="nil"/>
                  </w:tcBorders>
                  <w:shd w:val="clear" w:color="auto" w:fill="auto"/>
                  <w:noWrap/>
                  <w:vAlign w:val="center"/>
                </w:tcPr>
                <w:p w14:paraId="4AFB51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9E62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97147E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025FE9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F65C26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294D81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40178A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AFF54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-85.7</w:t>
                  </w:r>
                </w:p>
              </w:tc>
              <w:tc>
                <w:tcPr>
                  <w:tcW w:w="321" w:type="pct"/>
                  <w:tcBorders>
                    <w:tl2br w:val="nil"/>
                    <w:tr2bl w:val="nil"/>
                  </w:tcBorders>
                  <w:shd w:val="clear" w:color="auto" w:fill="auto"/>
                  <w:noWrap/>
                  <w:vAlign w:val="center"/>
                </w:tcPr>
                <w:p w14:paraId="777A1F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232" w:type="pct"/>
                  <w:tcBorders>
                    <w:tl2br w:val="nil"/>
                    <w:tr2bl w:val="nil"/>
                  </w:tcBorders>
                  <w:shd w:val="clear" w:color="auto" w:fill="auto"/>
                  <w:noWrap/>
                  <w:vAlign w:val="center"/>
                </w:tcPr>
                <w:p w14:paraId="6D75A3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1" w:type="pct"/>
                  <w:tcBorders>
                    <w:tl2br w:val="nil"/>
                    <w:tr2bl w:val="nil"/>
                  </w:tcBorders>
                  <w:shd w:val="clear" w:color="auto" w:fill="auto"/>
                  <w:noWrap/>
                  <w:vAlign w:val="center"/>
                </w:tcPr>
                <w:p w14:paraId="776B5E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E4F2E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17.91</w:t>
                  </w:r>
                </w:p>
              </w:tc>
              <w:tc>
                <w:tcPr>
                  <w:tcW w:w="422" w:type="pct"/>
                  <w:tcBorders>
                    <w:tl2br w:val="nil"/>
                    <w:tr2bl w:val="nil"/>
                  </w:tcBorders>
                  <w:shd w:val="clear" w:color="auto" w:fill="auto"/>
                  <w:noWrap/>
                  <w:vAlign w:val="center"/>
                </w:tcPr>
                <w:p w14:paraId="5CCAD5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667A1DE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FD8BE1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A0A86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65D6D3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A3CF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196412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E1522C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CB27CE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A07EB9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03E73E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5CF23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-85.7</w:t>
                  </w:r>
                </w:p>
              </w:tc>
              <w:tc>
                <w:tcPr>
                  <w:tcW w:w="321" w:type="pct"/>
                  <w:tcBorders>
                    <w:tl2br w:val="nil"/>
                    <w:tr2bl w:val="nil"/>
                  </w:tcBorders>
                  <w:shd w:val="clear" w:color="auto" w:fill="auto"/>
                  <w:noWrap/>
                  <w:vAlign w:val="center"/>
                </w:tcPr>
                <w:p w14:paraId="2A5098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232" w:type="pct"/>
                  <w:tcBorders>
                    <w:tl2br w:val="nil"/>
                    <w:tr2bl w:val="nil"/>
                  </w:tcBorders>
                  <w:shd w:val="clear" w:color="auto" w:fill="auto"/>
                  <w:noWrap/>
                  <w:vAlign w:val="center"/>
                </w:tcPr>
                <w:p w14:paraId="0C4C63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1" w:type="pct"/>
                  <w:tcBorders>
                    <w:tl2br w:val="nil"/>
                    <w:tr2bl w:val="nil"/>
                  </w:tcBorders>
                  <w:shd w:val="clear" w:color="auto" w:fill="auto"/>
                  <w:noWrap/>
                  <w:vAlign w:val="center"/>
                </w:tcPr>
                <w:p w14:paraId="19D1F8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C2F47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65.64</w:t>
                  </w:r>
                </w:p>
              </w:tc>
              <w:tc>
                <w:tcPr>
                  <w:tcW w:w="422" w:type="pct"/>
                  <w:tcBorders>
                    <w:tl2br w:val="nil"/>
                    <w:tr2bl w:val="nil"/>
                  </w:tcBorders>
                  <w:shd w:val="clear" w:color="auto" w:fill="auto"/>
                  <w:noWrap/>
                  <w:vAlign w:val="center"/>
                </w:tcPr>
                <w:p w14:paraId="1436AF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5A98DA9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BE744E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0E447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452CBD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AE7F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356797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D9B4B3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024E6B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D51E00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526A10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4A164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-85.7</w:t>
                  </w:r>
                </w:p>
              </w:tc>
              <w:tc>
                <w:tcPr>
                  <w:tcW w:w="321" w:type="pct"/>
                  <w:tcBorders>
                    <w:tl2br w:val="nil"/>
                    <w:tr2bl w:val="nil"/>
                  </w:tcBorders>
                  <w:shd w:val="clear" w:color="auto" w:fill="auto"/>
                  <w:noWrap/>
                  <w:vAlign w:val="center"/>
                </w:tcPr>
                <w:p w14:paraId="2C670B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232" w:type="pct"/>
                  <w:tcBorders>
                    <w:tl2br w:val="nil"/>
                    <w:tr2bl w:val="nil"/>
                  </w:tcBorders>
                  <w:shd w:val="clear" w:color="auto" w:fill="auto"/>
                  <w:noWrap/>
                  <w:vAlign w:val="center"/>
                </w:tcPr>
                <w:p w14:paraId="47FEFC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1" w:type="pct"/>
                  <w:tcBorders>
                    <w:tl2br w:val="nil"/>
                    <w:tr2bl w:val="nil"/>
                  </w:tcBorders>
                  <w:shd w:val="clear" w:color="auto" w:fill="auto"/>
                  <w:noWrap/>
                  <w:vAlign w:val="center"/>
                </w:tcPr>
                <w:p w14:paraId="658529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F4DCE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18.80</w:t>
                  </w:r>
                </w:p>
              </w:tc>
              <w:tc>
                <w:tcPr>
                  <w:tcW w:w="422" w:type="pct"/>
                  <w:tcBorders>
                    <w:tl2br w:val="nil"/>
                    <w:tr2bl w:val="nil"/>
                  </w:tcBorders>
                  <w:shd w:val="clear" w:color="auto" w:fill="auto"/>
                  <w:noWrap/>
                  <w:vAlign w:val="center"/>
                </w:tcPr>
                <w:p w14:paraId="0CB174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493FDE3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30B960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6F27C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1484EF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E4F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0601D3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351" w:type="pct"/>
                  <w:vMerge w:val="continue"/>
                  <w:tcBorders>
                    <w:tl2br w:val="nil"/>
                    <w:tr2bl w:val="nil"/>
                  </w:tcBorders>
                  <w:shd w:val="clear" w:color="auto" w:fill="auto"/>
                  <w:noWrap/>
                  <w:vAlign w:val="center"/>
                </w:tcPr>
                <w:p w14:paraId="59912045">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63E4FB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1号风机</w:t>
                  </w:r>
                </w:p>
              </w:tc>
              <w:tc>
                <w:tcPr>
                  <w:tcW w:w="452" w:type="pct"/>
                  <w:vMerge w:val="restart"/>
                  <w:tcBorders>
                    <w:tl2br w:val="nil"/>
                    <w:tr2bl w:val="nil"/>
                  </w:tcBorders>
                  <w:shd w:val="clear" w:color="auto" w:fill="auto"/>
                  <w:noWrap/>
                  <w:vAlign w:val="center"/>
                </w:tcPr>
                <w:p w14:paraId="3E8D51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3FAE2A7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3E5E8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-84.79</w:t>
                  </w:r>
                </w:p>
              </w:tc>
              <w:tc>
                <w:tcPr>
                  <w:tcW w:w="321" w:type="pct"/>
                  <w:tcBorders>
                    <w:tl2br w:val="nil"/>
                    <w:tr2bl w:val="nil"/>
                  </w:tcBorders>
                  <w:shd w:val="clear" w:color="auto" w:fill="auto"/>
                  <w:noWrap/>
                  <w:vAlign w:val="center"/>
                </w:tcPr>
                <w:p w14:paraId="2D00F5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-11.09</w:t>
                  </w:r>
                </w:p>
              </w:tc>
              <w:tc>
                <w:tcPr>
                  <w:tcW w:w="232" w:type="pct"/>
                  <w:tcBorders>
                    <w:tl2br w:val="nil"/>
                    <w:tr2bl w:val="nil"/>
                  </w:tcBorders>
                  <w:shd w:val="clear" w:color="auto" w:fill="auto"/>
                  <w:noWrap/>
                  <w:vAlign w:val="center"/>
                </w:tcPr>
                <w:p w14:paraId="7A1CE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65631F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3F43D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19.00</w:t>
                  </w:r>
                </w:p>
              </w:tc>
              <w:tc>
                <w:tcPr>
                  <w:tcW w:w="422" w:type="pct"/>
                  <w:tcBorders>
                    <w:tl2br w:val="nil"/>
                    <w:tr2bl w:val="nil"/>
                  </w:tcBorders>
                  <w:shd w:val="clear" w:color="auto" w:fill="auto"/>
                  <w:noWrap/>
                  <w:vAlign w:val="center"/>
                </w:tcPr>
                <w:p w14:paraId="492F1E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restart"/>
                  <w:tcBorders>
                    <w:tl2br w:val="nil"/>
                    <w:tr2bl w:val="nil"/>
                  </w:tcBorders>
                  <w:shd w:val="clear" w:color="auto" w:fill="auto"/>
                  <w:noWrap/>
                  <w:vAlign w:val="center"/>
                </w:tcPr>
                <w:p w14:paraId="70C7A3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04DC50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82040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7419FB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F6F9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B6B0EE7">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04ACF4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2722BB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9A0FA9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FBB725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AF3C7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-84.79</w:t>
                  </w:r>
                </w:p>
              </w:tc>
              <w:tc>
                <w:tcPr>
                  <w:tcW w:w="321" w:type="pct"/>
                  <w:tcBorders>
                    <w:tl2br w:val="nil"/>
                    <w:tr2bl w:val="nil"/>
                  </w:tcBorders>
                  <w:shd w:val="clear" w:color="auto" w:fill="auto"/>
                  <w:noWrap/>
                  <w:vAlign w:val="center"/>
                </w:tcPr>
                <w:p w14:paraId="4AEA2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-11.09</w:t>
                  </w:r>
                </w:p>
              </w:tc>
              <w:tc>
                <w:tcPr>
                  <w:tcW w:w="232" w:type="pct"/>
                  <w:tcBorders>
                    <w:tl2br w:val="nil"/>
                    <w:tr2bl w:val="nil"/>
                  </w:tcBorders>
                  <w:shd w:val="clear" w:color="auto" w:fill="auto"/>
                  <w:noWrap/>
                  <w:vAlign w:val="center"/>
                </w:tcPr>
                <w:p w14:paraId="290BE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3B3FC3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AE1FA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18.30</w:t>
                  </w:r>
                </w:p>
              </w:tc>
              <w:tc>
                <w:tcPr>
                  <w:tcW w:w="422" w:type="pct"/>
                  <w:tcBorders>
                    <w:tl2br w:val="nil"/>
                    <w:tr2bl w:val="nil"/>
                  </w:tcBorders>
                  <w:shd w:val="clear" w:color="auto" w:fill="auto"/>
                  <w:noWrap/>
                  <w:vAlign w:val="center"/>
                </w:tcPr>
                <w:p w14:paraId="5E27A2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415F19E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94BC8F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82337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2B6ED5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89A8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190CF5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4E4B82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B69A6A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11F8F5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9CD949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0CE98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-84.79</w:t>
                  </w:r>
                </w:p>
              </w:tc>
              <w:tc>
                <w:tcPr>
                  <w:tcW w:w="321" w:type="pct"/>
                  <w:tcBorders>
                    <w:tl2br w:val="nil"/>
                    <w:tr2bl w:val="nil"/>
                  </w:tcBorders>
                  <w:shd w:val="clear" w:color="auto" w:fill="auto"/>
                  <w:noWrap/>
                  <w:vAlign w:val="center"/>
                </w:tcPr>
                <w:p w14:paraId="782F69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-11.09</w:t>
                  </w:r>
                </w:p>
              </w:tc>
              <w:tc>
                <w:tcPr>
                  <w:tcW w:w="232" w:type="pct"/>
                  <w:tcBorders>
                    <w:tl2br w:val="nil"/>
                    <w:tr2bl w:val="nil"/>
                  </w:tcBorders>
                  <w:shd w:val="clear" w:color="auto" w:fill="auto"/>
                  <w:noWrap/>
                  <w:vAlign w:val="center"/>
                </w:tcPr>
                <w:p w14:paraId="67FB44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20DE2A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CF92E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62.24</w:t>
                  </w:r>
                </w:p>
              </w:tc>
              <w:tc>
                <w:tcPr>
                  <w:tcW w:w="422" w:type="pct"/>
                  <w:tcBorders>
                    <w:tl2br w:val="nil"/>
                    <w:tr2bl w:val="nil"/>
                  </w:tcBorders>
                  <w:shd w:val="clear" w:color="auto" w:fill="auto"/>
                  <w:noWrap/>
                  <w:vAlign w:val="center"/>
                </w:tcPr>
                <w:p w14:paraId="704ECD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0F298E2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CCEE6E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0CB49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34FF52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36EE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BD26D0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08C84B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0587BB4">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F7C7A4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06A0B3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CBD3E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-84.79</w:t>
                  </w:r>
                </w:p>
              </w:tc>
              <w:tc>
                <w:tcPr>
                  <w:tcW w:w="321" w:type="pct"/>
                  <w:tcBorders>
                    <w:tl2br w:val="nil"/>
                    <w:tr2bl w:val="nil"/>
                  </w:tcBorders>
                  <w:shd w:val="clear" w:color="auto" w:fill="auto"/>
                  <w:noWrap/>
                  <w:vAlign w:val="center"/>
                </w:tcPr>
                <w:p w14:paraId="277C80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-11.09</w:t>
                  </w:r>
                </w:p>
              </w:tc>
              <w:tc>
                <w:tcPr>
                  <w:tcW w:w="232" w:type="pct"/>
                  <w:tcBorders>
                    <w:tl2br w:val="nil"/>
                    <w:tr2bl w:val="nil"/>
                  </w:tcBorders>
                  <w:shd w:val="clear" w:color="auto" w:fill="auto"/>
                  <w:noWrap/>
                  <w:vAlign w:val="center"/>
                </w:tcPr>
                <w:p w14:paraId="4C8E87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14AB41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69B70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18.36</w:t>
                  </w:r>
                </w:p>
              </w:tc>
              <w:tc>
                <w:tcPr>
                  <w:tcW w:w="422" w:type="pct"/>
                  <w:tcBorders>
                    <w:tl2br w:val="nil"/>
                    <w:tr2bl w:val="nil"/>
                  </w:tcBorders>
                  <w:shd w:val="clear" w:color="auto" w:fill="auto"/>
                  <w:noWrap/>
                  <w:vAlign w:val="center"/>
                </w:tcPr>
                <w:p w14:paraId="5C6C81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1464CD2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9C5BFB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6503A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65D17E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62AA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89D01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w:t>
                  </w:r>
                </w:p>
              </w:tc>
              <w:tc>
                <w:tcPr>
                  <w:tcW w:w="351" w:type="pct"/>
                  <w:vMerge w:val="continue"/>
                  <w:tcBorders>
                    <w:tl2br w:val="nil"/>
                    <w:tr2bl w:val="nil"/>
                  </w:tcBorders>
                  <w:shd w:val="clear" w:color="auto" w:fill="auto"/>
                  <w:noWrap/>
                  <w:vAlign w:val="center"/>
                </w:tcPr>
                <w:p w14:paraId="44C05E37">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528A3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2号风机</w:t>
                  </w:r>
                </w:p>
              </w:tc>
              <w:tc>
                <w:tcPr>
                  <w:tcW w:w="452" w:type="pct"/>
                  <w:vMerge w:val="restart"/>
                  <w:tcBorders>
                    <w:tl2br w:val="nil"/>
                    <w:tr2bl w:val="nil"/>
                  </w:tcBorders>
                  <w:shd w:val="clear" w:color="auto" w:fill="auto"/>
                  <w:noWrap/>
                  <w:vAlign w:val="center"/>
                </w:tcPr>
                <w:p w14:paraId="2B15EC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75534E2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7352B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-83.89</w:t>
                  </w:r>
                </w:p>
              </w:tc>
              <w:tc>
                <w:tcPr>
                  <w:tcW w:w="321" w:type="pct"/>
                  <w:tcBorders>
                    <w:tl2br w:val="nil"/>
                    <w:tr2bl w:val="nil"/>
                  </w:tcBorders>
                  <w:shd w:val="clear" w:color="auto" w:fill="auto"/>
                  <w:noWrap/>
                  <w:vAlign w:val="center"/>
                </w:tcPr>
                <w:p w14:paraId="52ECD1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-13.97</w:t>
                  </w:r>
                </w:p>
              </w:tc>
              <w:tc>
                <w:tcPr>
                  <w:tcW w:w="232" w:type="pct"/>
                  <w:tcBorders>
                    <w:tl2br w:val="nil"/>
                    <w:tr2bl w:val="nil"/>
                  </w:tcBorders>
                  <w:shd w:val="clear" w:color="auto" w:fill="auto"/>
                  <w:noWrap/>
                  <w:vAlign w:val="center"/>
                </w:tcPr>
                <w:p w14:paraId="4761EB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7407A6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142EC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22.01</w:t>
                  </w:r>
                </w:p>
              </w:tc>
              <w:tc>
                <w:tcPr>
                  <w:tcW w:w="422" w:type="pct"/>
                  <w:tcBorders>
                    <w:tl2br w:val="nil"/>
                    <w:tr2bl w:val="nil"/>
                  </w:tcBorders>
                  <w:shd w:val="clear" w:color="auto" w:fill="auto"/>
                  <w:noWrap/>
                  <w:vAlign w:val="center"/>
                </w:tcPr>
                <w:p w14:paraId="247BC0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60.37</w:t>
                  </w:r>
                </w:p>
              </w:tc>
              <w:tc>
                <w:tcPr>
                  <w:tcW w:w="300" w:type="pct"/>
                  <w:vMerge w:val="restart"/>
                  <w:tcBorders>
                    <w:tl2br w:val="nil"/>
                    <w:tr2bl w:val="nil"/>
                  </w:tcBorders>
                  <w:shd w:val="clear" w:color="auto" w:fill="auto"/>
                  <w:noWrap/>
                  <w:vAlign w:val="center"/>
                </w:tcPr>
                <w:p w14:paraId="1B40C8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E25692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938AB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34.37</w:t>
                  </w:r>
                </w:p>
              </w:tc>
              <w:tc>
                <w:tcPr>
                  <w:tcW w:w="342" w:type="pct"/>
                  <w:tcBorders>
                    <w:tl2br w:val="nil"/>
                    <w:tr2bl w:val="nil"/>
                  </w:tcBorders>
                  <w:shd w:val="clear" w:color="auto" w:fill="auto"/>
                  <w:noWrap/>
                  <w:vAlign w:val="center"/>
                </w:tcPr>
                <w:p w14:paraId="7959B7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4375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C35FDF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C6A359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0DF894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879929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B77F02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728A6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-83.89</w:t>
                  </w:r>
                </w:p>
              </w:tc>
              <w:tc>
                <w:tcPr>
                  <w:tcW w:w="321" w:type="pct"/>
                  <w:tcBorders>
                    <w:tl2br w:val="nil"/>
                    <w:tr2bl w:val="nil"/>
                  </w:tcBorders>
                  <w:shd w:val="clear" w:color="auto" w:fill="auto"/>
                  <w:noWrap/>
                  <w:vAlign w:val="center"/>
                </w:tcPr>
                <w:p w14:paraId="0A5A9D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-13.97</w:t>
                  </w:r>
                </w:p>
              </w:tc>
              <w:tc>
                <w:tcPr>
                  <w:tcW w:w="232" w:type="pct"/>
                  <w:tcBorders>
                    <w:tl2br w:val="nil"/>
                    <w:tr2bl w:val="nil"/>
                  </w:tcBorders>
                  <w:shd w:val="clear" w:color="auto" w:fill="auto"/>
                  <w:noWrap/>
                  <w:vAlign w:val="center"/>
                </w:tcPr>
                <w:p w14:paraId="672A26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768468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E5B61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18.54</w:t>
                  </w:r>
                </w:p>
              </w:tc>
              <w:tc>
                <w:tcPr>
                  <w:tcW w:w="422" w:type="pct"/>
                  <w:tcBorders>
                    <w:tl2br w:val="nil"/>
                    <w:tr2bl w:val="nil"/>
                  </w:tcBorders>
                  <w:shd w:val="clear" w:color="auto" w:fill="auto"/>
                  <w:noWrap/>
                  <w:vAlign w:val="center"/>
                </w:tcPr>
                <w:p w14:paraId="15283D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0B8039A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B1D0DF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00FB9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34A359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F2D1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1BA4C4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7211FD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0E52EF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3F51A7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40B8DB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5AC96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-83.89</w:t>
                  </w:r>
                </w:p>
              </w:tc>
              <w:tc>
                <w:tcPr>
                  <w:tcW w:w="321" w:type="pct"/>
                  <w:tcBorders>
                    <w:tl2br w:val="nil"/>
                    <w:tr2bl w:val="nil"/>
                  </w:tcBorders>
                  <w:shd w:val="clear" w:color="auto" w:fill="auto"/>
                  <w:noWrap/>
                  <w:vAlign w:val="center"/>
                </w:tcPr>
                <w:p w14:paraId="511E8B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-13.97</w:t>
                  </w:r>
                </w:p>
              </w:tc>
              <w:tc>
                <w:tcPr>
                  <w:tcW w:w="232" w:type="pct"/>
                  <w:tcBorders>
                    <w:tl2br w:val="nil"/>
                    <w:tr2bl w:val="nil"/>
                  </w:tcBorders>
                  <w:shd w:val="clear" w:color="auto" w:fill="auto"/>
                  <w:noWrap/>
                  <w:vAlign w:val="center"/>
                </w:tcPr>
                <w:p w14:paraId="202B21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27D1D0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A3586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59.24</w:t>
                  </w:r>
                </w:p>
              </w:tc>
              <w:tc>
                <w:tcPr>
                  <w:tcW w:w="422" w:type="pct"/>
                  <w:tcBorders>
                    <w:tl2br w:val="nil"/>
                    <w:tr2bl w:val="nil"/>
                  </w:tcBorders>
                  <w:shd w:val="clear" w:color="auto" w:fill="auto"/>
                  <w:noWrap/>
                  <w:vAlign w:val="center"/>
                </w:tcPr>
                <w:p w14:paraId="6A988E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5B48F5A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4C8DB1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9F5F0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03ADB2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1880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0510A7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22D252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F2BBC0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95DCF7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D9B9B9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CF21E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-83.89</w:t>
                  </w:r>
                </w:p>
              </w:tc>
              <w:tc>
                <w:tcPr>
                  <w:tcW w:w="321" w:type="pct"/>
                  <w:tcBorders>
                    <w:tl2br w:val="nil"/>
                    <w:tr2bl w:val="nil"/>
                  </w:tcBorders>
                  <w:shd w:val="clear" w:color="auto" w:fill="auto"/>
                  <w:noWrap/>
                  <w:vAlign w:val="center"/>
                </w:tcPr>
                <w:p w14:paraId="6B3B7B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-13.97</w:t>
                  </w:r>
                </w:p>
              </w:tc>
              <w:tc>
                <w:tcPr>
                  <w:tcW w:w="232" w:type="pct"/>
                  <w:tcBorders>
                    <w:tl2br w:val="nil"/>
                    <w:tr2bl w:val="nil"/>
                  </w:tcBorders>
                  <w:shd w:val="clear" w:color="auto" w:fill="auto"/>
                  <w:noWrap/>
                  <w:vAlign w:val="center"/>
                </w:tcPr>
                <w:p w14:paraId="7724E9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3673AB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B1B2D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18.08</w:t>
                  </w:r>
                </w:p>
              </w:tc>
              <w:tc>
                <w:tcPr>
                  <w:tcW w:w="422" w:type="pct"/>
                  <w:tcBorders>
                    <w:tl2br w:val="nil"/>
                    <w:tr2bl w:val="nil"/>
                  </w:tcBorders>
                  <w:shd w:val="clear" w:color="auto" w:fill="auto"/>
                  <w:noWrap/>
                  <w:vAlign w:val="center"/>
                </w:tcPr>
                <w:p w14:paraId="499245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3B092D0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855FB1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A346B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7658B3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C53D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D9675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351" w:type="pct"/>
                  <w:vMerge w:val="continue"/>
                  <w:tcBorders>
                    <w:tl2br w:val="nil"/>
                    <w:tr2bl w:val="nil"/>
                  </w:tcBorders>
                  <w:shd w:val="clear" w:color="auto" w:fill="auto"/>
                  <w:noWrap/>
                  <w:vAlign w:val="center"/>
                </w:tcPr>
                <w:p w14:paraId="43E32F02">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D6495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3号风机</w:t>
                  </w:r>
                </w:p>
              </w:tc>
              <w:tc>
                <w:tcPr>
                  <w:tcW w:w="452" w:type="pct"/>
                  <w:vMerge w:val="restart"/>
                  <w:tcBorders>
                    <w:tl2br w:val="nil"/>
                    <w:tr2bl w:val="nil"/>
                  </w:tcBorders>
                  <w:shd w:val="clear" w:color="auto" w:fill="auto"/>
                  <w:noWrap/>
                  <w:vAlign w:val="center"/>
                </w:tcPr>
                <w:p w14:paraId="14AD17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1172FAC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FE2AE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-82.57</w:t>
                  </w:r>
                </w:p>
              </w:tc>
              <w:tc>
                <w:tcPr>
                  <w:tcW w:w="321" w:type="pct"/>
                  <w:tcBorders>
                    <w:tl2br w:val="nil"/>
                    <w:tr2bl w:val="nil"/>
                  </w:tcBorders>
                  <w:shd w:val="clear" w:color="auto" w:fill="auto"/>
                  <w:noWrap/>
                  <w:vAlign w:val="center"/>
                </w:tcPr>
                <w:p w14:paraId="455757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-16.85</w:t>
                  </w:r>
                </w:p>
              </w:tc>
              <w:tc>
                <w:tcPr>
                  <w:tcW w:w="232" w:type="pct"/>
                  <w:tcBorders>
                    <w:tl2br w:val="nil"/>
                    <w:tr2bl w:val="nil"/>
                  </w:tcBorders>
                  <w:shd w:val="clear" w:color="auto" w:fill="auto"/>
                  <w:noWrap/>
                  <w:vAlign w:val="center"/>
                </w:tcPr>
                <w:p w14:paraId="58E20A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7B55DC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7927E9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25.18</w:t>
                  </w:r>
                </w:p>
              </w:tc>
              <w:tc>
                <w:tcPr>
                  <w:tcW w:w="422" w:type="pct"/>
                  <w:tcBorders>
                    <w:tl2br w:val="nil"/>
                    <w:tr2bl w:val="nil"/>
                  </w:tcBorders>
                  <w:shd w:val="clear" w:color="auto" w:fill="auto"/>
                  <w:noWrap/>
                  <w:vAlign w:val="center"/>
                </w:tcPr>
                <w:p w14:paraId="13960D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60.36</w:t>
                  </w:r>
                </w:p>
              </w:tc>
              <w:tc>
                <w:tcPr>
                  <w:tcW w:w="300" w:type="pct"/>
                  <w:vMerge w:val="restart"/>
                  <w:tcBorders>
                    <w:tl2br w:val="nil"/>
                    <w:tr2bl w:val="nil"/>
                  </w:tcBorders>
                  <w:shd w:val="clear" w:color="auto" w:fill="auto"/>
                  <w:noWrap/>
                  <w:vAlign w:val="center"/>
                </w:tcPr>
                <w:p w14:paraId="4F1738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E27B82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2EBF2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34.36</w:t>
                  </w:r>
                </w:p>
              </w:tc>
              <w:tc>
                <w:tcPr>
                  <w:tcW w:w="342" w:type="pct"/>
                  <w:tcBorders>
                    <w:tl2br w:val="nil"/>
                    <w:tr2bl w:val="nil"/>
                  </w:tcBorders>
                  <w:shd w:val="clear" w:color="auto" w:fill="auto"/>
                  <w:noWrap/>
                  <w:vAlign w:val="center"/>
                </w:tcPr>
                <w:p w14:paraId="65E701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CB71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5E79E17">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2B0DC2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8957D9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14AE08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B59167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A45A1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-82.57</w:t>
                  </w:r>
                </w:p>
              </w:tc>
              <w:tc>
                <w:tcPr>
                  <w:tcW w:w="321" w:type="pct"/>
                  <w:tcBorders>
                    <w:tl2br w:val="nil"/>
                    <w:tr2bl w:val="nil"/>
                  </w:tcBorders>
                  <w:shd w:val="clear" w:color="auto" w:fill="auto"/>
                  <w:noWrap/>
                  <w:vAlign w:val="center"/>
                </w:tcPr>
                <w:p w14:paraId="507140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-16.85</w:t>
                  </w:r>
                </w:p>
              </w:tc>
              <w:tc>
                <w:tcPr>
                  <w:tcW w:w="232" w:type="pct"/>
                  <w:tcBorders>
                    <w:tl2br w:val="nil"/>
                    <w:tr2bl w:val="nil"/>
                  </w:tcBorders>
                  <w:shd w:val="clear" w:color="auto" w:fill="auto"/>
                  <w:noWrap/>
                  <w:vAlign w:val="center"/>
                </w:tcPr>
                <w:p w14:paraId="46A667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371017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5AB8A0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18.40</w:t>
                  </w:r>
                </w:p>
              </w:tc>
              <w:tc>
                <w:tcPr>
                  <w:tcW w:w="422" w:type="pct"/>
                  <w:tcBorders>
                    <w:tl2br w:val="nil"/>
                    <w:tr2bl w:val="nil"/>
                  </w:tcBorders>
                  <w:shd w:val="clear" w:color="auto" w:fill="auto"/>
                  <w:noWrap/>
                  <w:vAlign w:val="center"/>
                </w:tcPr>
                <w:p w14:paraId="500891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6E00B73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E4C35C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7D3F7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20BB6C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5E91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0286D5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C1D270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F09155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A1D5AA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6EB4F2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96437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-82.57</w:t>
                  </w:r>
                </w:p>
              </w:tc>
              <w:tc>
                <w:tcPr>
                  <w:tcW w:w="321" w:type="pct"/>
                  <w:tcBorders>
                    <w:tl2br w:val="nil"/>
                    <w:tr2bl w:val="nil"/>
                  </w:tcBorders>
                  <w:shd w:val="clear" w:color="auto" w:fill="auto"/>
                  <w:noWrap/>
                  <w:vAlign w:val="center"/>
                </w:tcPr>
                <w:p w14:paraId="265154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-16.85</w:t>
                  </w:r>
                </w:p>
              </w:tc>
              <w:tc>
                <w:tcPr>
                  <w:tcW w:w="232" w:type="pct"/>
                  <w:tcBorders>
                    <w:tl2br w:val="nil"/>
                    <w:tr2bl w:val="nil"/>
                  </w:tcBorders>
                  <w:shd w:val="clear" w:color="auto" w:fill="auto"/>
                  <w:noWrap/>
                  <w:vAlign w:val="center"/>
                </w:tcPr>
                <w:p w14:paraId="6EED6B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35CAFD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18F81D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56.07</w:t>
                  </w:r>
                </w:p>
              </w:tc>
              <w:tc>
                <w:tcPr>
                  <w:tcW w:w="422" w:type="pct"/>
                  <w:tcBorders>
                    <w:tl2br w:val="nil"/>
                    <w:tr2bl w:val="nil"/>
                  </w:tcBorders>
                  <w:shd w:val="clear" w:color="auto" w:fill="auto"/>
                  <w:noWrap/>
                  <w:vAlign w:val="center"/>
                </w:tcPr>
                <w:p w14:paraId="7B6A92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2F9D5C4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F3C70B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9774F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773D0A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5EF1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D78955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F814C2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09AB6A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EC085D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681E33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AA472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-82.57</w:t>
                  </w:r>
                </w:p>
              </w:tc>
              <w:tc>
                <w:tcPr>
                  <w:tcW w:w="321" w:type="pct"/>
                  <w:tcBorders>
                    <w:tl2br w:val="nil"/>
                    <w:tr2bl w:val="nil"/>
                  </w:tcBorders>
                  <w:shd w:val="clear" w:color="auto" w:fill="auto"/>
                  <w:noWrap/>
                  <w:vAlign w:val="center"/>
                </w:tcPr>
                <w:p w14:paraId="5C5B67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-16.85</w:t>
                  </w:r>
                </w:p>
              </w:tc>
              <w:tc>
                <w:tcPr>
                  <w:tcW w:w="232" w:type="pct"/>
                  <w:tcBorders>
                    <w:tl2br w:val="nil"/>
                    <w:tr2bl w:val="nil"/>
                  </w:tcBorders>
                  <w:shd w:val="clear" w:color="auto" w:fill="auto"/>
                  <w:noWrap/>
                  <w:vAlign w:val="center"/>
                </w:tcPr>
                <w:p w14:paraId="3697DD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1" w:type="pct"/>
                  <w:tcBorders>
                    <w:tl2br w:val="nil"/>
                    <w:tr2bl w:val="nil"/>
                  </w:tcBorders>
                  <w:shd w:val="clear" w:color="auto" w:fill="auto"/>
                  <w:noWrap/>
                  <w:vAlign w:val="center"/>
                </w:tcPr>
                <w:p w14:paraId="0594CC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691933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18.19</w:t>
                  </w:r>
                </w:p>
              </w:tc>
              <w:tc>
                <w:tcPr>
                  <w:tcW w:w="422" w:type="pct"/>
                  <w:tcBorders>
                    <w:tl2br w:val="nil"/>
                    <w:tr2bl w:val="nil"/>
                  </w:tcBorders>
                  <w:shd w:val="clear" w:color="auto" w:fill="auto"/>
                  <w:noWrap/>
                  <w:vAlign w:val="center"/>
                </w:tcPr>
                <w:p w14:paraId="7F0C9F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44E386C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D36ACF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9B2F9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4436AC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C6E9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906FD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351" w:type="pct"/>
                  <w:vMerge w:val="continue"/>
                  <w:tcBorders>
                    <w:tl2br w:val="nil"/>
                    <w:tr2bl w:val="nil"/>
                  </w:tcBorders>
                  <w:shd w:val="clear" w:color="auto" w:fill="auto"/>
                  <w:noWrap/>
                  <w:vAlign w:val="center"/>
                </w:tcPr>
                <w:p w14:paraId="1B1DB3F4">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E0E37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制冷剂冷却水泵</w:t>
                  </w:r>
                </w:p>
              </w:tc>
              <w:tc>
                <w:tcPr>
                  <w:tcW w:w="452" w:type="pct"/>
                  <w:vMerge w:val="restart"/>
                  <w:tcBorders>
                    <w:tl2br w:val="nil"/>
                    <w:tr2bl w:val="nil"/>
                  </w:tcBorders>
                  <w:shd w:val="clear" w:color="auto" w:fill="auto"/>
                  <w:noWrap/>
                  <w:vAlign w:val="center"/>
                </w:tcPr>
                <w:p w14:paraId="23AD92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3F7F98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AF713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-79.52</w:t>
                  </w:r>
                </w:p>
              </w:tc>
              <w:tc>
                <w:tcPr>
                  <w:tcW w:w="321" w:type="pct"/>
                  <w:tcBorders>
                    <w:tl2br w:val="nil"/>
                    <w:tr2bl w:val="nil"/>
                  </w:tcBorders>
                  <w:shd w:val="clear" w:color="auto" w:fill="auto"/>
                  <w:noWrap/>
                  <w:vAlign w:val="center"/>
                </w:tcPr>
                <w:p w14:paraId="07CF39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-22.05</w:t>
                  </w:r>
                </w:p>
              </w:tc>
              <w:tc>
                <w:tcPr>
                  <w:tcW w:w="232" w:type="pct"/>
                  <w:tcBorders>
                    <w:tl2br w:val="nil"/>
                    <w:tr2bl w:val="nil"/>
                  </w:tcBorders>
                  <w:shd w:val="clear" w:color="auto" w:fill="auto"/>
                  <w:noWrap/>
                  <w:vAlign w:val="center"/>
                </w:tcPr>
                <w:p w14:paraId="0FDD60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7ABFE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591791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31.15</w:t>
                  </w:r>
                </w:p>
              </w:tc>
              <w:tc>
                <w:tcPr>
                  <w:tcW w:w="422" w:type="pct"/>
                  <w:tcBorders>
                    <w:tl2br w:val="nil"/>
                    <w:tr2bl w:val="nil"/>
                  </w:tcBorders>
                  <w:shd w:val="clear" w:color="auto" w:fill="auto"/>
                  <w:noWrap/>
                  <w:vAlign w:val="center"/>
                </w:tcPr>
                <w:p w14:paraId="2BAE6D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restart"/>
                  <w:tcBorders>
                    <w:tl2br w:val="nil"/>
                    <w:tr2bl w:val="nil"/>
                  </w:tcBorders>
                  <w:shd w:val="clear" w:color="auto" w:fill="auto"/>
                  <w:noWrap/>
                  <w:vAlign w:val="center"/>
                </w:tcPr>
                <w:p w14:paraId="1BABE1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0F8ADE4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61C43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21458C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B5D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9D4A00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C7F185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A35A86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20662C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1BE95D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512A3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-79.52</w:t>
                  </w:r>
                </w:p>
              </w:tc>
              <w:tc>
                <w:tcPr>
                  <w:tcW w:w="321" w:type="pct"/>
                  <w:tcBorders>
                    <w:tl2br w:val="nil"/>
                    <w:tr2bl w:val="nil"/>
                  </w:tcBorders>
                  <w:shd w:val="clear" w:color="auto" w:fill="auto"/>
                  <w:noWrap/>
                  <w:vAlign w:val="center"/>
                </w:tcPr>
                <w:p w14:paraId="395AE2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-22.05</w:t>
                  </w:r>
                </w:p>
              </w:tc>
              <w:tc>
                <w:tcPr>
                  <w:tcW w:w="232" w:type="pct"/>
                  <w:tcBorders>
                    <w:tl2br w:val="nil"/>
                    <w:tr2bl w:val="nil"/>
                  </w:tcBorders>
                  <w:shd w:val="clear" w:color="auto" w:fill="auto"/>
                  <w:noWrap/>
                  <w:vAlign w:val="center"/>
                </w:tcPr>
                <w:p w14:paraId="7B3154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031B29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55354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17.52</w:t>
                  </w:r>
                </w:p>
              </w:tc>
              <w:tc>
                <w:tcPr>
                  <w:tcW w:w="422" w:type="pct"/>
                  <w:tcBorders>
                    <w:tl2br w:val="nil"/>
                    <w:tr2bl w:val="nil"/>
                  </w:tcBorders>
                  <w:shd w:val="clear" w:color="auto" w:fill="auto"/>
                  <w:noWrap/>
                  <w:vAlign w:val="center"/>
                </w:tcPr>
                <w:p w14:paraId="2E3960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2C96338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4FC9AD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68395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25D07F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EB3D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39F42C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5D3FEB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BD3E45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49F847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D2C84B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B15D3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-79.52</w:t>
                  </w:r>
                </w:p>
              </w:tc>
              <w:tc>
                <w:tcPr>
                  <w:tcW w:w="321" w:type="pct"/>
                  <w:tcBorders>
                    <w:tl2br w:val="nil"/>
                    <w:tr2bl w:val="nil"/>
                  </w:tcBorders>
                  <w:shd w:val="clear" w:color="auto" w:fill="auto"/>
                  <w:noWrap/>
                  <w:vAlign w:val="center"/>
                </w:tcPr>
                <w:p w14:paraId="154262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-22.05</w:t>
                  </w:r>
                </w:p>
              </w:tc>
              <w:tc>
                <w:tcPr>
                  <w:tcW w:w="232" w:type="pct"/>
                  <w:tcBorders>
                    <w:tl2br w:val="nil"/>
                    <w:tr2bl w:val="nil"/>
                  </w:tcBorders>
                  <w:shd w:val="clear" w:color="auto" w:fill="auto"/>
                  <w:noWrap/>
                  <w:vAlign w:val="center"/>
                </w:tcPr>
                <w:p w14:paraId="458323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252E81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E6206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50.09</w:t>
                  </w:r>
                </w:p>
              </w:tc>
              <w:tc>
                <w:tcPr>
                  <w:tcW w:w="422" w:type="pct"/>
                  <w:tcBorders>
                    <w:tl2br w:val="nil"/>
                    <w:tr2bl w:val="nil"/>
                  </w:tcBorders>
                  <w:shd w:val="clear" w:color="auto" w:fill="auto"/>
                  <w:noWrap/>
                  <w:vAlign w:val="center"/>
                </w:tcPr>
                <w:p w14:paraId="18B25C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33330DC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2EB092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772F3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5F34E9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5761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9F4EF2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3C1806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87DA9A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213803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415999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245CA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-79.52</w:t>
                  </w:r>
                </w:p>
              </w:tc>
              <w:tc>
                <w:tcPr>
                  <w:tcW w:w="321" w:type="pct"/>
                  <w:tcBorders>
                    <w:tl2br w:val="nil"/>
                    <w:tr2bl w:val="nil"/>
                  </w:tcBorders>
                  <w:shd w:val="clear" w:color="auto" w:fill="auto"/>
                  <w:noWrap/>
                  <w:vAlign w:val="center"/>
                </w:tcPr>
                <w:p w14:paraId="062CAE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-22.05</w:t>
                  </w:r>
                </w:p>
              </w:tc>
              <w:tc>
                <w:tcPr>
                  <w:tcW w:w="232" w:type="pct"/>
                  <w:tcBorders>
                    <w:tl2br w:val="nil"/>
                    <w:tr2bl w:val="nil"/>
                  </w:tcBorders>
                  <w:shd w:val="clear" w:color="auto" w:fill="auto"/>
                  <w:noWrap/>
                  <w:vAlign w:val="center"/>
                </w:tcPr>
                <w:p w14:paraId="376F37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786756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95AEA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18.99</w:t>
                  </w:r>
                </w:p>
              </w:tc>
              <w:tc>
                <w:tcPr>
                  <w:tcW w:w="422" w:type="pct"/>
                  <w:tcBorders>
                    <w:tl2br w:val="nil"/>
                    <w:tr2bl w:val="nil"/>
                  </w:tcBorders>
                  <w:shd w:val="clear" w:color="auto" w:fill="auto"/>
                  <w:noWrap/>
                  <w:vAlign w:val="center"/>
                </w:tcPr>
                <w:p w14:paraId="653D94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2941B2D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EF0F43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24050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3FA07A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640C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4C987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351" w:type="pct"/>
                  <w:vMerge w:val="continue"/>
                  <w:tcBorders>
                    <w:tl2br w:val="nil"/>
                    <w:tr2bl w:val="nil"/>
                  </w:tcBorders>
                  <w:shd w:val="clear" w:color="auto" w:fill="auto"/>
                  <w:noWrap/>
                  <w:vAlign w:val="center"/>
                </w:tcPr>
                <w:p w14:paraId="2DE441B2">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2149DA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冷却塔循环水泵1</w:t>
                  </w:r>
                </w:p>
              </w:tc>
              <w:tc>
                <w:tcPr>
                  <w:tcW w:w="452" w:type="pct"/>
                  <w:vMerge w:val="restart"/>
                  <w:tcBorders>
                    <w:tl2br w:val="nil"/>
                    <w:tr2bl w:val="nil"/>
                  </w:tcBorders>
                  <w:shd w:val="clear" w:color="auto" w:fill="auto"/>
                  <w:noWrap/>
                  <w:vAlign w:val="center"/>
                </w:tcPr>
                <w:p w14:paraId="16D7DA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53FB13D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1A3F6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-78.7</w:t>
                  </w:r>
                </w:p>
              </w:tc>
              <w:tc>
                <w:tcPr>
                  <w:tcW w:w="321" w:type="pct"/>
                  <w:tcBorders>
                    <w:tl2br w:val="nil"/>
                    <w:tr2bl w:val="nil"/>
                  </w:tcBorders>
                  <w:shd w:val="clear" w:color="auto" w:fill="auto"/>
                  <w:noWrap/>
                  <w:vAlign w:val="center"/>
                </w:tcPr>
                <w:p w14:paraId="38A01B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-23.94</w:t>
                  </w:r>
                </w:p>
              </w:tc>
              <w:tc>
                <w:tcPr>
                  <w:tcW w:w="232" w:type="pct"/>
                  <w:tcBorders>
                    <w:tl2br w:val="nil"/>
                    <w:tr2bl w:val="nil"/>
                  </w:tcBorders>
                  <w:shd w:val="clear" w:color="auto" w:fill="auto"/>
                  <w:noWrap/>
                  <w:vAlign w:val="center"/>
                </w:tcPr>
                <w:p w14:paraId="176916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53208C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59CBFB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33.21</w:t>
                  </w:r>
                </w:p>
              </w:tc>
              <w:tc>
                <w:tcPr>
                  <w:tcW w:w="422" w:type="pct"/>
                  <w:tcBorders>
                    <w:tl2br w:val="nil"/>
                    <w:tr2bl w:val="nil"/>
                  </w:tcBorders>
                  <w:shd w:val="clear" w:color="auto" w:fill="auto"/>
                  <w:noWrap/>
                  <w:vAlign w:val="center"/>
                </w:tcPr>
                <w:p w14:paraId="02A1AE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restart"/>
                  <w:tcBorders>
                    <w:tl2br w:val="nil"/>
                    <w:tr2bl w:val="nil"/>
                  </w:tcBorders>
                  <w:shd w:val="clear" w:color="auto" w:fill="auto"/>
                  <w:noWrap/>
                  <w:vAlign w:val="center"/>
                </w:tcPr>
                <w:p w14:paraId="73DA71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0BE2901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471DB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02D11C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D11E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9D28BB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FCE351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7E6CAB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489920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A6C0ED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EFE8D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-78.7</w:t>
                  </w:r>
                </w:p>
              </w:tc>
              <w:tc>
                <w:tcPr>
                  <w:tcW w:w="321" w:type="pct"/>
                  <w:tcBorders>
                    <w:tl2br w:val="nil"/>
                    <w:tr2bl w:val="nil"/>
                  </w:tcBorders>
                  <w:shd w:val="clear" w:color="auto" w:fill="auto"/>
                  <w:noWrap/>
                  <w:vAlign w:val="center"/>
                </w:tcPr>
                <w:p w14:paraId="0EA70C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-23.94</w:t>
                  </w:r>
                </w:p>
              </w:tc>
              <w:tc>
                <w:tcPr>
                  <w:tcW w:w="232" w:type="pct"/>
                  <w:tcBorders>
                    <w:tl2br w:val="nil"/>
                    <w:tr2bl w:val="nil"/>
                  </w:tcBorders>
                  <w:shd w:val="clear" w:color="auto" w:fill="auto"/>
                  <w:noWrap/>
                  <w:vAlign w:val="center"/>
                </w:tcPr>
                <w:p w14:paraId="6CB491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7AF227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F98F4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17.47</w:t>
                  </w:r>
                </w:p>
              </w:tc>
              <w:tc>
                <w:tcPr>
                  <w:tcW w:w="422" w:type="pct"/>
                  <w:tcBorders>
                    <w:tl2br w:val="nil"/>
                    <w:tr2bl w:val="nil"/>
                  </w:tcBorders>
                  <w:shd w:val="clear" w:color="auto" w:fill="auto"/>
                  <w:noWrap/>
                  <w:vAlign w:val="center"/>
                </w:tcPr>
                <w:p w14:paraId="1D7909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2EE6052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B52C6B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A5071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39DEA4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981A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64A60F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9BFA17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9F89AB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5E8846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9D31ED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B5A26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-78.7</w:t>
                  </w:r>
                </w:p>
              </w:tc>
              <w:tc>
                <w:tcPr>
                  <w:tcW w:w="321" w:type="pct"/>
                  <w:tcBorders>
                    <w:tl2br w:val="nil"/>
                    <w:tr2bl w:val="nil"/>
                  </w:tcBorders>
                  <w:shd w:val="clear" w:color="auto" w:fill="auto"/>
                  <w:noWrap/>
                  <w:vAlign w:val="center"/>
                </w:tcPr>
                <w:p w14:paraId="05607D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-23.94</w:t>
                  </w:r>
                </w:p>
              </w:tc>
              <w:tc>
                <w:tcPr>
                  <w:tcW w:w="232" w:type="pct"/>
                  <w:tcBorders>
                    <w:tl2br w:val="nil"/>
                    <w:tr2bl w:val="nil"/>
                  </w:tcBorders>
                  <w:shd w:val="clear" w:color="auto" w:fill="auto"/>
                  <w:noWrap/>
                  <w:vAlign w:val="center"/>
                </w:tcPr>
                <w:p w14:paraId="592884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4E6794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504646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48.03</w:t>
                  </w:r>
                </w:p>
              </w:tc>
              <w:tc>
                <w:tcPr>
                  <w:tcW w:w="422" w:type="pct"/>
                  <w:tcBorders>
                    <w:tl2br w:val="nil"/>
                    <w:tr2bl w:val="nil"/>
                  </w:tcBorders>
                  <w:shd w:val="clear" w:color="auto" w:fill="auto"/>
                  <w:noWrap/>
                  <w:vAlign w:val="center"/>
                </w:tcPr>
                <w:p w14:paraId="37E439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51CC569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AEC0E9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2D4F9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3195FE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7FD8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9E005A7">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47E01A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9A0C27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6011A7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E4F270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D2FA2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-78.7</w:t>
                  </w:r>
                </w:p>
              </w:tc>
              <w:tc>
                <w:tcPr>
                  <w:tcW w:w="321" w:type="pct"/>
                  <w:tcBorders>
                    <w:tl2br w:val="nil"/>
                    <w:tr2bl w:val="nil"/>
                  </w:tcBorders>
                  <w:shd w:val="clear" w:color="auto" w:fill="auto"/>
                  <w:noWrap/>
                  <w:vAlign w:val="center"/>
                </w:tcPr>
                <w:p w14:paraId="02E405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-23.94</w:t>
                  </w:r>
                </w:p>
              </w:tc>
              <w:tc>
                <w:tcPr>
                  <w:tcW w:w="232" w:type="pct"/>
                  <w:tcBorders>
                    <w:tl2br w:val="nil"/>
                    <w:tr2bl w:val="nil"/>
                  </w:tcBorders>
                  <w:shd w:val="clear" w:color="auto" w:fill="auto"/>
                  <w:noWrap/>
                  <w:vAlign w:val="center"/>
                </w:tcPr>
                <w:p w14:paraId="603D57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5EEA28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285A7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19.02</w:t>
                  </w:r>
                </w:p>
              </w:tc>
              <w:tc>
                <w:tcPr>
                  <w:tcW w:w="422" w:type="pct"/>
                  <w:tcBorders>
                    <w:tl2br w:val="nil"/>
                    <w:tr2bl w:val="nil"/>
                  </w:tcBorders>
                  <w:shd w:val="clear" w:color="auto" w:fill="auto"/>
                  <w:noWrap/>
                  <w:vAlign w:val="center"/>
                </w:tcPr>
                <w:p w14:paraId="0697DF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4A878F8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EBCDB7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7484D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378573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8195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3EE6D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351" w:type="pct"/>
                  <w:vMerge w:val="continue"/>
                  <w:tcBorders>
                    <w:tl2br w:val="nil"/>
                    <w:tr2bl w:val="nil"/>
                  </w:tcBorders>
                  <w:shd w:val="clear" w:color="auto" w:fill="auto"/>
                  <w:noWrap/>
                  <w:vAlign w:val="center"/>
                </w:tcPr>
                <w:p w14:paraId="42A502D5">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256892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冷却塔循环水泵2</w:t>
                  </w:r>
                </w:p>
              </w:tc>
              <w:tc>
                <w:tcPr>
                  <w:tcW w:w="452" w:type="pct"/>
                  <w:vMerge w:val="restart"/>
                  <w:tcBorders>
                    <w:tl2br w:val="nil"/>
                    <w:tr2bl w:val="nil"/>
                  </w:tcBorders>
                  <w:shd w:val="clear" w:color="auto" w:fill="auto"/>
                  <w:noWrap/>
                  <w:vAlign w:val="center"/>
                </w:tcPr>
                <w:p w14:paraId="4A2510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4950FB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53E6D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-77.72</w:t>
                  </w:r>
                </w:p>
              </w:tc>
              <w:tc>
                <w:tcPr>
                  <w:tcW w:w="321" w:type="pct"/>
                  <w:tcBorders>
                    <w:tl2br w:val="nil"/>
                    <w:tr2bl w:val="nil"/>
                  </w:tcBorders>
                  <w:shd w:val="clear" w:color="auto" w:fill="auto"/>
                  <w:noWrap/>
                  <w:vAlign w:val="center"/>
                </w:tcPr>
                <w:p w14:paraId="0F67E8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-26.37</w:t>
                  </w:r>
                </w:p>
              </w:tc>
              <w:tc>
                <w:tcPr>
                  <w:tcW w:w="232" w:type="pct"/>
                  <w:tcBorders>
                    <w:tl2br w:val="nil"/>
                    <w:tr2bl w:val="nil"/>
                  </w:tcBorders>
                  <w:shd w:val="clear" w:color="auto" w:fill="auto"/>
                  <w:noWrap/>
                  <w:vAlign w:val="center"/>
                </w:tcPr>
                <w:p w14:paraId="1FCD73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134CDD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78B502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35.83</w:t>
                  </w:r>
                </w:p>
              </w:tc>
              <w:tc>
                <w:tcPr>
                  <w:tcW w:w="422" w:type="pct"/>
                  <w:tcBorders>
                    <w:tl2br w:val="nil"/>
                    <w:tr2bl w:val="nil"/>
                  </w:tcBorders>
                  <w:shd w:val="clear" w:color="auto" w:fill="auto"/>
                  <w:noWrap/>
                  <w:vAlign w:val="center"/>
                </w:tcPr>
                <w:p w14:paraId="286BA2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35D87D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BCC8E6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93CBF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66BE82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B3AB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1C94C4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EB5203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E394DB4">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E23F3D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F936AB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0FC45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-77.72</w:t>
                  </w:r>
                </w:p>
              </w:tc>
              <w:tc>
                <w:tcPr>
                  <w:tcW w:w="321" w:type="pct"/>
                  <w:tcBorders>
                    <w:tl2br w:val="nil"/>
                    <w:tr2bl w:val="nil"/>
                  </w:tcBorders>
                  <w:shd w:val="clear" w:color="auto" w:fill="auto"/>
                  <w:noWrap/>
                  <w:vAlign w:val="center"/>
                </w:tcPr>
                <w:p w14:paraId="0D6F19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-26.37</w:t>
                  </w:r>
                </w:p>
              </w:tc>
              <w:tc>
                <w:tcPr>
                  <w:tcW w:w="232" w:type="pct"/>
                  <w:tcBorders>
                    <w:tl2br w:val="nil"/>
                    <w:tr2bl w:val="nil"/>
                  </w:tcBorders>
                  <w:shd w:val="clear" w:color="auto" w:fill="auto"/>
                  <w:noWrap/>
                  <w:vAlign w:val="center"/>
                </w:tcPr>
                <w:p w14:paraId="29715D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2193AB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9E3C7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17.47</w:t>
                  </w:r>
                </w:p>
              </w:tc>
              <w:tc>
                <w:tcPr>
                  <w:tcW w:w="422" w:type="pct"/>
                  <w:tcBorders>
                    <w:tl2br w:val="nil"/>
                    <w:tr2bl w:val="nil"/>
                  </w:tcBorders>
                  <w:shd w:val="clear" w:color="auto" w:fill="auto"/>
                  <w:noWrap/>
                  <w:vAlign w:val="center"/>
                </w:tcPr>
                <w:p w14:paraId="5AF970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28F3AE1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B122EE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B2C83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220181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E949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DC4FC1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668BAC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804EF4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3E4152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272843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DF696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-77.72</w:t>
                  </w:r>
                </w:p>
              </w:tc>
              <w:tc>
                <w:tcPr>
                  <w:tcW w:w="321" w:type="pct"/>
                  <w:tcBorders>
                    <w:tl2br w:val="nil"/>
                    <w:tr2bl w:val="nil"/>
                  </w:tcBorders>
                  <w:shd w:val="clear" w:color="auto" w:fill="auto"/>
                  <w:noWrap/>
                  <w:vAlign w:val="center"/>
                </w:tcPr>
                <w:p w14:paraId="5491EC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-26.37</w:t>
                  </w:r>
                </w:p>
              </w:tc>
              <w:tc>
                <w:tcPr>
                  <w:tcW w:w="232" w:type="pct"/>
                  <w:tcBorders>
                    <w:tl2br w:val="nil"/>
                    <w:tr2bl w:val="nil"/>
                  </w:tcBorders>
                  <w:shd w:val="clear" w:color="auto" w:fill="auto"/>
                  <w:noWrap/>
                  <w:vAlign w:val="center"/>
                </w:tcPr>
                <w:p w14:paraId="66DEEA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77B29B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37FB49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45.41</w:t>
                  </w:r>
                </w:p>
              </w:tc>
              <w:tc>
                <w:tcPr>
                  <w:tcW w:w="422" w:type="pct"/>
                  <w:tcBorders>
                    <w:tl2br w:val="nil"/>
                    <w:tr2bl w:val="nil"/>
                  </w:tcBorders>
                  <w:shd w:val="clear" w:color="auto" w:fill="auto"/>
                  <w:noWrap/>
                  <w:vAlign w:val="center"/>
                </w:tcPr>
                <w:p w14:paraId="5CE5AD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4B32E4F6">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167D45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3353B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21366B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F21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7BB827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9CA673B">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5CD6CE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9C7464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A384A6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48017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-77.72</w:t>
                  </w:r>
                </w:p>
              </w:tc>
              <w:tc>
                <w:tcPr>
                  <w:tcW w:w="321" w:type="pct"/>
                  <w:tcBorders>
                    <w:tl2br w:val="nil"/>
                    <w:tr2bl w:val="nil"/>
                  </w:tcBorders>
                  <w:shd w:val="clear" w:color="auto" w:fill="auto"/>
                  <w:noWrap/>
                  <w:vAlign w:val="center"/>
                </w:tcPr>
                <w:p w14:paraId="291E2B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-26.37</w:t>
                  </w:r>
                </w:p>
              </w:tc>
              <w:tc>
                <w:tcPr>
                  <w:tcW w:w="232" w:type="pct"/>
                  <w:tcBorders>
                    <w:tl2br w:val="nil"/>
                    <w:tr2bl w:val="nil"/>
                  </w:tcBorders>
                  <w:shd w:val="clear" w:color="auto" w:fill="auto"/>
                  <w:noWrap/>
                  <w:vAlign w:val="center"/>
                </w:tcPr>
                <w:p w14:paraId="61D139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791EE5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34E437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18.99</w:t>
                  </w:r>
                </w:p>
              </w:tc>
              <w:tc>
                <w:tcPr>
                  <w:tcW w:w="422" w:type="pct"/>
                  <w:tcBorders>
                    <w:tl2br w:val="nil"/>
                    <w:tr2bl w:val="nil"/>
                  </w:tcBorders>
                  <w:shd w:val="clear" w:color="auto" w:fill="auto"/>
                  <w:noWrap/>
                  <w:vAlign w:val="center"/>
                </w:tcPr>
                <w:p w14:paraId="09A4D6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2388004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5D5963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C3BB3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55435A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EA47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3FBCD7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351" w:type="pct"/>
                  <w:vMerge w:val="continue"/>
                  <w:tcBorders>
                    <w:tl2br w:val="nil"/>
                    <w:tr2bl w:val="nil"/>
                  </w:tcBorders>
                  <w:shd w:val="clear" w:color="auto" w:fill="auto"/>
                  <w:noWrap/>
                  <w:vAlign w:val="center"/>
                </w:tcPr>
                <w:p w14:paraId="085BEF16">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C3971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冷却塔循环水泵3</w:t>
                  </w:r>
                </w:p>
              </w:tc>
              <w:tc>
                <w:tcPr>
                  <w:tcW w:w="452" w:type="pct"/>
                  <w:vMerge w:val="restart"/>
                  <w:tcBorders>
                    <w:tl2br w:val="nil"/>
                    <w:tr2bl w:val="nil"/>
                  </w:tcBorders>
                  <w:shd w:val="clear" w:color="auto" w:fill="auto"/>
                  <w:noWrap/>
                  <w:vAlign w:val="center"/>
                </w:tcPr>
                <w:p w14:paraId="4C1014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0309E4E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D42F0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-76.29</w:t>
                  </w:r>
                </w:p>
              </w:tc>
              <w:tc>
                <w:tcPr>
                  <w:tcW w:w="321" w:type="pct"/>
                  <w:tcBorders>
                    <w:tl2br w:val="nil"/>
                    <w:tr2bl w:val="nil"/>
                  </w:tcBorders>
                  <w:shd w:val="clear" w:color="auto" w:fill="auto"/>
                  <w:noWrap/>
                  <w:vAlign w:val="center"/>
                </w:tcPr>
                <w:p w14:paraId="373346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-29.7</w:t>
                  </w:r>
                </w:p>
              </w:tc>
              <w:tc>
                <w:tcPr>
                  <w:tcW w:w="232" w:type="pct"/>
                  <w:tcBorders>
                    <w:tl2br w:val="nil"/>
                    <w:tr2bl w:val="nil"/>
                  </w:tcBorders>
                  <w:shd w:val="clear" w:color="auto" w:fill="auto"/>
                  <w:noWrap/>
                  <w:vAlign w:val="center"/>
                </w:tcPr>
                <w:p w14:paraId="0625D9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767173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C0BCB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39.45</w:t>
                  </w:r>
                </w:p>
              </w:tc>
              <w:tc>
                <w:tcPr>
                  <w:tcW w:w="422" w:type="pct"/>
                  <w:tcBorders>
                    <w:tl2br w:val="nil"/>
                    <w:tr2bl w:val="nil"/>
                  </w:tcBorders>
                  <w:shd w:val="clear" w:color="auto" w:fill="auto"/>
                  <w:noWrap/>
                  <w:vAlign w:val="center"/>
                </w:tcPr>
                <w:p w14:paraId="1410CB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69188D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3A8531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9DBB5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21DE11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2F39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9A2CB1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C0C7DE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8E6FFF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E07447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DDC230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D025A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-76.29</w:t>
                  </w:r>
                </w:p>
              </w:tc>
              <w:tc>
                <w:tcPr>
                  <w:tcW w:w="321" w:type="pct"/>
                  <w:tcBorders>
                    <w:tl2br w:val="nil"/>
                    <w:tr2bl w:val="nil"/>
                  </w:tcBorders>
                  <w:shd w:val="clear" w:color="auto" w:fill="auto"/>
                  <w:noWrap/>
                  <w:vAlign w:val="center"/>
                </w:tcPr>
                <w:p w14:paraId="77BF32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-29.7</w:t>
                  </w:r>
                </w:p>
              </w:tc>
              <w:tc>
                <w:tcPr>
                  <w:tcW w:w="232" w:type="pct"/>
                  <w:tcBorders>
                    <w:tl2br w:val="nil"/>
                    <w:tr2bl w:val="nil"/>
                  </w:tcBorders>
                  <w:shd w:val="clear" w:color="auto" w:fill="auto"/>
                  <w:noWrap/>
                  <w:vAlign w:val="center"/>
                </w:tcPr>
                <w:p w14:paraId="35A20E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6E70E0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05DFD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17.39</w:t>
                  </w:r>
                </w:p>
              </w:tc>
              <w:tc>
                <w:tcPr>
                  <w:tcW w:w="422" w:type="pct"/>
                  <w:tcBorders>
                    <w:tl2br w:val="nil"/>
                    <w:tr2bl w:val="nil"/>
                  </w:tcBorders>
                  <w:shd w:val="clear" w:color="auto" w:fill="auto"/>
                  <w:noWrap/>
                  <w:vAlign w:val="center"/>
                </w:tcPr>
                <w:p w14:paraId="57D264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4531AE7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2452BF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7855B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640E3E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6C33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5409D1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928C45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1CE416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A24F6B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01D1D8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69135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-76.29</w:t>
                  </w:r>
                </w:p>
              </w:tc>
              <w:tc>
                <w:tcPr>
                  <w:tcW w:w="321" w:type="pct"/>
                  <w:tcBorders>
                    <w:tl2br w:val="nil"/>
                    <w:tr2bl w:val="nil"/>
                  </w:tcBorders>
                  <w:shd w:val="clear" w:color="auto" w:fill="auto"/>
                  <w:noWrap/>
                  <w:vAlign w:val="center"/>
                </w:tcPr>
                <w:p w14:paraId="65C325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-29.7</w:t>
                  </w:r>
                </w:p>
              </w:tc>
              <w:tc>
                <w:tcPr>
                  <w:tcW w:w="232" w:type="pct"/>
                  <w:tcBorders>
                    <w:tl2br w:val="nil"/>
                    <w:tr2bl w:val="nil"/>
                  </w:tcBorders>
                  <w:shd w:val="clear" w:color="auto" w:fill="auto"/>
                  <w:noWrap/>
                  <w:vAlign w:val="center"/>
                </w:tcPr>
                <w:p w14:paraId="7C08C9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30737A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2B4E1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41.79</w:t>
                  </w:r>
                </w:p>
              </w:tc>
              <w:tc>
                <w:tcPr>
                  <w:tcW w:w="422" w:type="pct"/>
                  <w:tcBorders>
                    <w:tl2br w:val="nil"/>
                    <w:tr2bl w:val="nil"/>
                  </w:tcBorders>
                  <w:shd w:val="clear" w:color="auto" w:fill="auto"/>
                  <w:noWrap/>
                  <w:vAlign w:val="center"/>
                </w:tcPr>
                <w:p w14:paraId="454549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1AE89C6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03DCA6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42F5C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5873DC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1D47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3BAA3BD">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FB320B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35C2D5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1EC7B3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59C901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03A47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-76.29</w:t>
                  </w:r>
                </w:p>
              </w:tc>
              <w:tc>
                <w:tcPr>
                  <w:tcW w:w="321" w:type="pct"/>
                  <w:tcBorders>
                    <w:tl2br w:val="nil"/>
                    <w:tr2bl w:val="nil"/>
                  </w:tcBorders>
                  <w:shd w:val="clear" w:color="auto" w:fill="auto"/>
                  <w:noWrap/>
                  <w:vAlign w:val="center"/>
                </w:tcPr>
                <w:p w14:paraId="68F01F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-29.7</w:t>
                  </w:r>
                </w:p>
              </w:tc>
              <w:tc>
                <w:tcPr>
                  <w:tcW w:w="232" w:type="pct"/>
                  <w:tcBorders>
                    <w:tl2br w:val="nil"/>
                    <w:tr2bl w:val="nil"/>
                  </w:tcBorders>
                  <w:shd w:val="clear" w:color="auto" w:fill="auto"/>
                  <w:noWrap/>
                  <w:vAlign w:val="center"/>
                </w:tcPr>
                <w:p w14:paraId="5D9BF8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5ED19A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4A28F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19.02</w:t>
                  </w:r>
                </w:p>
              </w:tc>
              <w:tc>
                <w:tcPr>
                  <w:tcW w:w="422" w:type="pct"/>
                  <w:tcBorders>
                    <w:tl2br w:val="nil"/>
                    <w:tr2bl w:val="nil"/>
                  </w:tcBorders>
                  <w:shd w:val="clear" w:color="auto" w:fill="auto"/>
                  <w:noWrap/>
                  <w:vAlign w:val="center"/>
                </w:tcPr>
                <w:p w14:paraId="74FAF2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55.37</w:t>
                  </w:r>
                </w:p>
              </w:tc>
              <w:tc>
                <w:tcPr>
                  <w:tcW w:w="300" w:type="pct"/>
                  <w:vMerge w:val="continue"/>
                  <w:tcBorders>
                    <w:tl2br w:val="nil"/>
                    <w:tr2bl w:val="nil"/>
                  </w:tcBorders>
                  <w:shd w:val="clear" w:color="auto" w:fill="auto"/>
                  <w:noWrap/>
                  <w:vAlign w:val="center"/>
                </w:tcPr>
                <w:p w14:paraId="592CC09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F6FF85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E06EE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29.37</w:t>
                  </w:r>
                </w:p>
              </w:tc>
              <w:tc>
                <w:tcPr>
                  <w:tcW w:w="342" w:type="pct"/>
                  <w:tcBorders>
                    <w:tl2br w:val="nil"/>
                    <w:tr2bl w:val="nil"/>
                  </w:tcBorders>
                  <w:shd w:val="clear" w:color="auto" w:fill="auto"/>
                  <w:noWrap/>
                  <w:vAlign w:val="center"/>
                </w:tcPr>
                <w:p w14:paraId="3C8DED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C519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4F612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351" w:type="pct"/>
                  <w:vMerge w:val="continue"/>
                  <w:tcBorders>
                    <w:tl2br w:val="nil"/>
                    <w:tr2bl w:val="nil"/>
                  </w:tcBorders>
                  <w:shd w:val="clear" w:color="auto" w:fill="auto"/>
                  <w:noWrap/>
                  <w:vAlign w:val="center"/>
                </w:tcPr>
                <w:p w14:paraId="171E1ED3">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67279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脱臭塔</w:t>
                  </w:r>
                </w:p>
              </w:tc>
              <w:tc>
                <w:tcPr>
                  <w:tcW w:w="452" w:type="pct"/>
                  <w:vMerge w:val="restart"/>
                  <w:tcBorders>
                    <w:tl2br w:val="nil"/>
                    <w:tr2bl w:val="nil"/>
                  </w:tcBorders>
                  <w:shd w:val="clear" w:color="auto" w:fill="auto"/>
                  <w:noWrap/>
                  <w:vAlign w:val="center"/>
                </w:tcPr>
                <w:p w14:paraId="00B7A2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3663B43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E00A8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-75.25</w:t>
                  </w:r>
                </w:p>
              </w:tc>
              <w:tc>
                <w:tcPr>
                  <w:tcW w:w="321" w:type="pct"/>
                  <w:tcBorders>
                    <w:tl2br w:val="nil"/>
                    <w:tr2bl w:val="nil"/>
                  </w:tcBorders>
                  <w:shd w:val="clear" w:color="auto" w:fill="auto"/>
                  <w:noWrap/>
                  <w:vAlign w:val="center"/>
                </w:tcPr>
                <w:p w14:paraId="0FD2E8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-32.74</w:t>
                  </w:r>
                </w:p>
              </w:tc>
              <w:tc>
                <w:tcPr>
                  <w:tcW w:w="232" w:type="pct"/>
                  <w:tcBorders>
                    <w:tl2br w:val="nil"/>
                    <w:tr2bl w:val="nil"/>
                  </w:tcBorders>
                  <w:shd w:val="clear" w:color="auto" w:fill="auto"/>
                  <w:noWrap/>
                  <w:vAlign w:val="center"/>
                </w:tcPr>
                <w:p w14:paraId="046485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1" w:type="pct"/>
                  <w:tcBorders>
                    <w:tl2br w:val="nil"/>
                    <w:tr2bl w:val="nil"/>
                  </w:tcBorders>
                  <w:shd w:val="clear" w:color="auto" w:fill="auto"/>
                  <w:noWrap/>
                  <w:vAlign w:val="center"/>
                </w:tcPr>
                <w:p w14:paraId="3CE953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B092F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42.66</w:t>
                  </w:r>
                </w:p>
              </w:tc>
              <w:tc>
                <w:tcPr>
                  <w:tcW w:w="422" w:type="pct"/>
                  <w:tcBorders>
                    <w:tl2br w:val="nil"/>
                    <w:tr2bl w:val="nil"/>
                  </w:tcBorders>
                  <w:shd w:val="clear" w:color="auto" w:fill="auto"/>
                  <w:noWrap/>
                  <w:vAlign w:val="center"/>
                </w:tcPr>
                <w:p w14:paraId="06B7D1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1EF3D4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4EA8A4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1A3D3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110BF0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DC53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42C443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372532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FE342F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1F803A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CBCABA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1BAD1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-75.25</w:t>
                  </w:r>
                </w:p>
              </w:tc>
              <w:tc>
                <w:tcPr>
                  <w:tcW w:w="321" w:type="pct"/>
                  <w:tcBorders>
                    <w:tl2br w:val="nil"/>
                    <w:tr2bl w:val="nil"/>
                  </w:tcBorders>
                  <w:shd w:val="clear" w:color="auto" w:fill="auto"/>
                  <w:noWrap/>
                  <w:vAlign w:val="center"/>
                </w:tcPr>
                <w:p w14:paraId="774009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-32.74</w:t>
                  </w:r>
                </w:p>
              </w:tc>
              <w:tc>
                <w:tcPr>
                  <w:tcW w:w="232" w:type="pct"/>
                  <w:tcBorders>
                    <w:tl2br w:val="nil"/>
                    <w:tr2bl w:val="nil"/>
                  </w:tcBorders>
                  <w:shd w:val="clear" w:color="auto" w:fill="auto"/>
                  <w:noWrap/>
                  <w:vAlign w:val="center"/>
                </w:tcPr>
                <w:p w14:paraId="60FEA3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1" w:type="pct"/>
                  <w:tcBorders>
                    <w:tl2br w:val="nil"/>
                    <w:tr2bl w:val="nil"/>
                  </w:tcBorders>
                  <w:shd w:val="clear" w:color="auto" w:fill="auto"/>
                  <w:noWrap/>
                  <w:vAlign w:val="center"/>
                </w:tcPr>
                <w:p w14:paraId="18148B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968DF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17.56</w:t>
                  </w:r>
                </w:p>
              </w:tc>
              <w:tc>
                <w:tcPr>
                  <w:tcW w:w="422" w:type="pct"/>
                  <w:tcBorders>
                    <w:tl2br w:val="nil"/>
                    <w:tr2bl w:val="nil"/>
                  </w:tcBorders>
                  <w:shd w:val="clear" w:color="auto" w:fill="auto"/>
                  <w:noWrap/>
                  <w:vAlign w:val="center"/>
                </w:tcPr>
                <w:p w14:paraId="354FA1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7C82F8B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5E9F14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367B0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54BFD3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B458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DD8372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51D100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97C2D0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DDC36E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C67EE3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34AC5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-75.25</w:t>
                  </w:r>
                </w:p>
              </w:tc>
              <w:tc>
                <w:tcPr>
                  <w:tcW w:w="321" w:type="pct"/>
                  <w:tcBorders>
                    <w:tl2br w:val="nil"/>
                    <w:tr2bl w:val="nil"/>
                  </w:tcBorders>
                  <w:shd w:val="clear" w:color="auto" w:fill="auto"/>
                  <w:noWrap/>
                  <w:vAlign w:val="center"/>
                </w:tcPr>
                <w:p w14:paraId="08A4C0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-32.74</w:t>
                  </w:r>
                </w:p>
              </w:tc>
              <w:tc>
                <w:tcPr>
                  <w:tcW w:w="232" w:type="pct"/>
                  <w:tcBorders>
                    <w:tl2br w:val="nil"/>
                    <w:tr2bl w:val="nil"/>
                  </w:tcBorders>
                  <w:shd w:val="clear" w:color="auto" w:fill="auto"/>
                  <w:noWrap/>
                  <w:vAlign w:val="center"/>
                </w:tcPr>
                <w:p w14:paraId="1A5833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1" w:type="pct"/>
                  <w:tcBorders>
                    <w:tl2br w:val="nil"/>
                    <w:tr2bl w:val="nil"/>
                  </w:tcBorders>
                  <w:shd w:val="clear" w:color="auto" w:fill="auto"/>
                  <w:noWrap/>
                  <w:vAlign w:val="center"/>
                </w:tcPr>
                <w:p w14:paraId="7C3F5A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13712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38.59</w:t>
                  </w:r>
                </w:p>
              </w:tc>
              <w:tc>
                <w:tcPr>
                  <w:tcW w:w="422" w:type="pct"/>
                  <w:tcBorders>
                    <w:tl2br w:val="nil"/>
                    <w:tr2bl w:val="nil"/>
                  </w:tcBorders>
                  <w:shd w:val="clear" w:color="auto" w:fill="auto"/>
                  <w:noWrap/>
                  <w:vAlign w:val="center"/>
                </w:tcPr>
                <w:p w14:paraId="02AE8E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continue"/>
                  <w:tcBorders>
                    <w:tl2br w:val="nil"/>
                    <w:tr2bl w:val="nil"/>
                  </w:tcBorders>
                  <w:shd w:val="clear" w:color="auto" w:fill="auto"/>
                  <w:noWrap/>
                  <w:vAlign w:val="center"/>
                </w:tcPr>
                <w:p w14:paraId="5DE5190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BAE654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9E7A3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0B0980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7CD9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111CB4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5CDF5F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6F6407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1BECD1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741A3B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37993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-75.25</w:t>
                  </w:r>
                </w:p>
              </w:tc>
              <w:tc>
                <w:tcPr>
                  <w:tcW w:w="321" w:type="pct"/>
                  <w:tcBorders>
                    <w:tl2br w:val="nil"/>
                    <w:tr2bl w:val="nil"/>
                  </w:tcBorders>
                  <w:shd w:val="clear" w:color="auto" w:fill="auto"/>
                  <w:noWrap/>
                  <w:vAlign w:val="center"/>
                </w:tcPr>
                <w:p w14:paraId="1FD32C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-32.74</w:t>
                  </w:r>
                </w:p>
              </w:tc>
              <w:tc>
                <w:tcPr>
                  <w:tcW w:w="232" w:type="pct"/>
                  <w:tcBorders>
                    <w:tl2br w:val="nil"/>
                    <w:tr2bl w:val="nil"/>
                  </w:tcBorders>
                  <w:shd w:val="clear" w:color="auto" w:fill="auto"/>
                  <w:noWrap/>
                  <w:vAlign w:val="center"/>
                </w:tcPr>
                <w:p w14:paraId="14F92C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1" w:type="pct"/>
                  <w:tcBorders>
                    <w:tl2br w:val="nil"/>
                    <w:tr2bl w:val="nil"/>
                  </w:tcBorders>
                  <w:shd w:val="clear" w:color="auto" w:fill="auto"/>
                  <w:noWrap/>
                  <w:vAlign w:val="center"/>
                </w:tcPr>
                <w:p w14:paraId="01287D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9AD6F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18.81</w:t>
                  </w:r>
                </w:p>
              </w:tc>
              <w:tc>
                <w:tcPr>
                  <w:tcW w:w="422" w:type="pct"/>
                  <w:tcBorders>
                    <w:tl2br w:val="nil"/>
                    <w:tr2bl w:val="nil"/>
                  </w:tcBorders>
                  <w:shd w:val="clear" w:color="auto" w:fill="auto"/>
                  <w:noWrap/>
                  <w:vAlign w:val="center"/>
                </w:tcPr>
                <w:p w14:paraId="2281CE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3A95A0D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9243BC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CB415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54706A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B810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D72AF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351" w:type="pct"/>
                  <w:vMerge w:val="continue"/>
                  <w:tcBorders>
                    <w:tl2br w:val="nil"/>
                    <w:tr2bl w:val="nil"/>
                  </w:tcBorders>
                  <w:shd w:val="clear" w:color="auto" w:fill="auto"/>
                  <w:noWrap/>
                  <w:vAlign w:val="center"/>
                </w:tcPr>
                <w:p w14:paraId="7FDE06FE">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FD2BF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罗兹真空机组</w:t>
                  </w:r>
                </w:p>
              </w:tc>
              <w:tc>
                <w:tcPr>
                  <w:tcW w:w="452" w:type="pct"/>
                  <w:vMerge w:val="restart"/>
                  <w:tcBorders>
                    <w:tl2br w:val="nil"/>
                    <w:tr2bl w:val="nil"/>
                  </w:tcBorders>
                  <w:shd w:val="clear" w:color="auto" w:fill="auto"/>
                  <w:noWrap/>
                  <w:vAlign w:val="center"/>
                </w:tcPr>
                <w:p w14:paraId="7C3116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320" w:type="pct"/>
                  <w:vMerge w:val="continue"/>
                  <w:tcBorders>
                    <w:tl2br w:val="nil"/>
                    <w:tr2bl w:val="nil"/>
                  </w:tcBorders>
                  <w:shd w:val="clear" w:color="auto" w:fill="auto"/>
                  <w:noWrap/>
                  <w:vAlign w:val="center"/>
                </w:tcPr>
                <w:p w14:paraId="36AF2A7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13800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-74.01</w:t>
                  </w:r>
                </w:p>
              </w:tc>
              <w:tc>
                <w:tcPr>
                  <w:tcW w:w="321" w:type="pct"/>
                  <w:tcBorders>
                    <w:tl2br w:val="nil"/>
                    <w:tr2bl w:val="nil"/>
                  </w:tcBorders>
                  <w:shd w:val="clear" w:color="auto" w:fill="auto"/>
                  <w:noWrap/>
                  <w:vAlign w:val="center"/>
                </w:tcPr>
                <w:p w14:paraId="709EFC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-35.41</w:t>
                  </w:r>
                </w:p>
              </w:tc>
              <w:tc>
                <w:tcPr>
                  <w:tcW w:w="232" w:type="pct"/>
                  <w:tcBorders>
                    <w:tl2br w:val="nil"/>
                    <w:tr2bl w:val="nil"/>
                  </w:tcBorders>
                  <w:shd w:val="clear" w:color="auto" w:fill="auto"/>
                  <w:noWrap/>
                  <w:vAlign w:val="center"/>
                </w:tcPr>
                <w:p w14:paraId="17E9A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546466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640EA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45.60</w:t>
                  </w:r>
                </w:p>
              </w:tc>
              <w:tc>
                <w:tcPr>
                  <w:tcW w:w="422" w:type="pct"/>
                  <w:tcBorders>
                    <w:tl2br w:val="nil"/>
                    <w:tr2bl w:val="nil"/>
                  </w:tcBorders>
                  <w:shd w:val="clear" w:color="auto" w:fill="auto"/>
                  <w:noWrap/>
                  <w:vAlign w:val="center"/>
                </w:tcPr>
                <w:p w14:paraId="200E8A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restart"/>
                  <w:tcBorders>
                    <w:tl2br w:val="nil"/>
                    <w:tr2bl w:val="nil"/>
                  </w:tcBorders>
                  <w:shd w:val="clear" w:color="auto" w:fill="auto"/>
                  <w:noWrap/>
                  <w:vAlign w:val="center"/>
                </w:tcPr>
                <w:p w14:paraId="549D08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C51E21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8BC1B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39AA4C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0BF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AED33E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166FC1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4FDB58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1B4F0F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700768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B9B89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-74.01</w:t>
                  </w:r>
                </w:p>
              </w:tc>
              <w:tc>
                <w:tcPr>
                  <w:tcW w:w="321" w:type="pct"/>
                  <w:tcBorders>
                    <w:tl2br w:val="nil"/>
                    <w:tr2bl w:val="nil"/>
                  </w:tcBorders>
                  <w:shd w:val="clear" w:color="auto" w:fill="auto"/>
                  <w:noWrap/>
                  <w:vAlign w:val="center"/>
                </w:tcPr>
                <w:p w14:paraId="1EBEAB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-35.41</w:t>
                  </w:r>
                </w:p>
              </w:tc>
              <w:tc>
                <w:tcPr>
                  <w:tcW w:w="232" w:type="pct"/>
                  <w:tcBorders>
                    <w:tl2br w:val="nil"/>
                    <w:tr2bl w:val="nil"/>
                  </w:tcBorders>
                  <w:shd w:val="clear" w:color="auto" w:fill="auto"/>
                  <w:noWrap/>
                  <w:vAlign w:val="center"/>
                </w:tcPr>
                <w:p w14:paraId="4C8719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2E8A7B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46C536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17.41</w:t>
                  </w:r>
                </w:p>
              </w:tc>
              <w:tc>
                <w:tcPr>
                  <w:tcW w:w="422" w:type="pct"/>
                  <w:tcBorders>
                    <w:tl2br w:val="nil"/>
                    <w:tr2bl w:val="nil"/>
                  </w:tcBorders>
                  <w:shd w:val="clear" w:color="auto" w:fill="auto"/>
                  <w:noWrap/>
                  <w:vAlign w:val="center"/>
                </w:tcPr>
                <w:p w14:paraId="6E8ECE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06191DF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AE3709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E88EA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7F178B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7618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04B52C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FABCB1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C18728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D16A68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F4043D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C6F09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-74.01</w:t>
                  </w:r>
                </w:p>
              </w:tc>
              <w:tc>
                <w:tcPr>
                  <w:tcW w:w="321" w:type="pct"/>
                  <w:tcBorders>
                    <w:tl2br w:val="nil"/>
                    <w:tr2bl w:val="nil"/>
                  </w:tcBorders>
                  <w:shd w:val="clear" w:color="auto" w:fill="auto"/>
                  <w:noWrap/>
                  <w:vAlign w:val="center"/>
                </w:tcPr>
                <w:p w14:paraId="0C8D48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-35.41</w:t>
                  </w:r>
                </w:p>
              </w:tc>
              <w:tc>
                <w:tcPr>
                  <w:tcW w:w="232" w:type="pct"/>
                  <w:tcBorders>
                    <w:tl2br w:val="nil"/>
                    <w:tr2bl w:val="nil"/>
                  </w:tcBorders>
                  <w:shd w:val="clear" w:color="auto" w:fill="auto"/>
                  <w:noWrap/>
                  <w:vAlign w:val="center"/>
                </w:tcPr>
                <w:p w14:paraId="634B5D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0E7146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2E31D4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35.64</w:t>
                  </w:r>
                </w:p>
              </w:tc>
              <w:tc>
                <w:tcPr>
                  <w:tcW w:w="422" w:type="pct"/>
                  <w:tcBorders>
                    <w:tl2br w:val="nil"/>
                    <w:tr2bl w:val="nil"/>
                  </w:tcBorders>
                  <w:shd w:val="clear" w:color="auto" w:fill="auto"/>
                  <w:noWrap/>
                  <w:vAlign w:val="center"/>
                </w:tcPr>
                <w:p w14:paraId="522C77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60.35</w:t>
                  </w:r>
                </w:p>
              </w:tc>
              <w:tc>
                <w:tcPr>
                  <w:tcW w:w="300" w:type="pct"/>
                  <w:vMerge w:val="continue"/>
                  <w:tcBorders>
                    <w:tl2br w:val="nil"/>
                    <w:tr2bl w:val="nil"/>
                  </w:tcBorders>
                  <w:shd w:val="clear" w:color="auto" w:fill="auto"/>
                  <w:noWrap/>
                  <w:vAlign w:val="center"/>
                </w:tcPr>
                <w:p w14:paraId="4E98CB4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9BE280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79754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34.35</w:t>
                  </w:r>
                </w:p>
              </w:tc>
              <w:tc>
                <w:tcPr>
                  <w:tcW w:w="342" w:type="pct"/>
                  <w:tcBorders>
                    <w:tl2br w:val="nil"/>
                    <w:tr2bl w:val="nil"/>
                  </w:tcBorders>
                  <w:shd w:val="clear" w:color="auto" w:fill="auto"/>
                  <w:noWrap/>
                  <w:vAlign w:val="center"/>
                </w:tcPr>
                <w:p w14:paraId="2AA6AF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A4FC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52CEA3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D128E8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33E2A5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7DFF07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5036DC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E01CF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-74.01</w:t>
                  </w:r>
                </w:p>
              </w:tc>
              <w:tc>
                <w:tcPr>
                  <w:tcW w:w="321" w:type="pct"/>
                  <w:tcBorders>
                    <w:tl2br w:val="nil"/>
                    <w:tr2bl w:val="nil"/>
                  </w:tcBorders>
                  <w:shd w:val="clear" w:color="auto" w:fill="auto"/>
                  <w:noWrap/>
                  <w:vAlign w:val="center"/>
                </w:tcPr>
                <w:p w14:paraId="3379BF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-35.41</w:t>
                  </w:r>
                </w:p>
              </w:tc>
              <w:tc>
                <w:tcPr>
                  <w:tcW w:w="232" w:type="pct"/>
                  <w:tcBorders>
                    <w:tl2br w:val="nil"/>
                    <w:tr2bl w:val="nil"/>
                  </w:tcBorders>
                  <w:shd w:val="clear" w:color="auto" w:fill="auto"/>
                  <w:noWrap/>
                  <w:vAlign w:val="center"/>
                </w:tcPr>
                <w:p w14:paraId="61936E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18092E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1D4B7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18.92</w:t>
                  </w:r>
                </w:p>
              </w:tc>
              <w:tc>
                <w:tcPr>
                  <w:tcW w:w="422" w:type="pct"/>
                  <w:tcBorders>
                    <w:tl2br w:val="nil"/>
                    <w:tr2bl w:val="nil"/>
                  </w:tcBorders>
                  <w:shd w:val="clear" w:color="auto" w:fill="auto"/>
                  <w:noWrap/>
                  <w:vAlign w:val="center"/>
                </w:tcPr>
                <w:p w14:paraId="6A5A52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60.38</w:t>
                  </w:r>
                </w:p>
              </w:tc>
              <w:tc>
                <w:tcPr>
                  <w:tcW w:w="300" w:type="pct"/>
                  <w:vMerge w:val="continue"/>
                  <w:tcBorders>
                    <w:tl2br w:val="nil"/>
                    <w:tr2bl w:val="nil"/>
                  </w:tcBorders>
                  <w:shd w:val="clear" w:color="auto" w:fill="auto"/>
                  <w:noWrap/>
                  <w:vAlign w:val="center"/>
                </w:tcPr>
                <w:p w14:paraId="36C0CD8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85183C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74568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34.38</w:t>
                  </w:r>
                </w:p>
              </w:tc>
              <w:tc>
                <w:tcPr>
                  <w:tcW w:w="342" w:type="pct"/>
                  <w:tcBorders>
                    <w:tl2br w:val="nil"/>
                    <w:tr2bl w:val="nil"/>
                  </w:tcBorders>
                  <w:shd w:val="clear" w:color="auto" w:fill="auto"/>
                  <w:noWrap/>
                  <w:vAlign w:val="center"/>
                </w:tcPr>
                <w:p w14:paraId="5657D5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2F78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3C4CC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351" w:type="pct"/>
                  <w:vMerge w:val="continue"/>
                  <w:tcBorders>
                    <w:tl2br w:val="nil"/>
                    <w:tr2bl w:val="nil"/>
                  </w:tcBorders>
                  <w:shd w:val="clear" w:color="auto" w:fill="auto"/>
                  <w:noWrap/>
                  <w:vAlign w:val="center"/>
                </w:tcPr>
                <w:p w14:paraId="40390AA7">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02D07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脱色水环泵</w:t>
                  </w:r>
                </w:p>
              </w:tc>
              <w:tc>
                <w:tcPr>
                  <w:tcW w:w="452" w:type="pct"/>
                  <w:vMerge w:val="restart"/>
                  <w:tcBorders>
                    <w:tl2br w:val="nil"/>
                    <w:tr2bl w:val="nil"/>
                  </w:tcBorders>
                  <w:shd w:val="clear" w:color="auto" w:fill="auto"/>
                  <w:noWrap/>
                  <w:vAlign w:val="center"/>
                </w:tcPr>
                <w:p w14:paraId="6B9397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2C9C055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8BDEF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-73.25</w:t>
                  </w:r>
                </w:p>
              </w:tc>
              <w:tc>
                <w:tcPr>
                  <w:tcW w:w="321" w:type="pct"/>
                  <w:tcBorders>
                    <w:tl2br w:val="nil"/>
                    <w:tr2bl w:val="nil"/>
                  </w:tcBorders>
                  <w:shd w:val="clear" w:color="auto" w:fill="auto"/>
                  <w:noWrap/>
                  <w:vAlign w:val="center"/>
                </w:tcPr>
                <w:p w14:paraId="01C556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-38.45</w:t>
                  </w:r>
                </w:p>
              </w:tc>
              <w:tc>
                <w:tcPr>
                  <w:tcW w:w="232" w:type="pct"/>
                  <w:tcBorders>
                    <w:tl2br w:val="nil"/>
                    <w:tr2bl w:val="nil"/>
                  </w:tcBorders>
                  <w:shd w:val="clear" w:color="auto" w:fill="auto"/>
                  <w:noWrap/>
                  <w:vAlign w:val="center"/>
                </w:tcPr>
                <w:p w14:paraId="45292D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502788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0F056C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48.70</w:t>
                  </w:r>
                </w:p>
              </w:tc>
              <w:tc>
                <w:tcPr>
                  <w:tcW w:w="422" w:type="pct"/>
                  <w:tcBorders>
                    <w:tl2br w:val="nil"/>
                    <w:tr2bl w:val="nil"/>
                  </w:tcBorders>
                  <w:shd w:val="clear" w:color="auto" w:fill="auto"/>
                  <w:noWrap/>
                  <w:vAlign w:val="center"/>
                </w:tcPr>
                <w:p w14:paraId="55BDF7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27D432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0C0E69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5B9B7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377D7F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E049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62D0CB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E37EC0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C0B10D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F3AE02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D6384A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681EC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-73.25</w:t>
                  </w:r>
                </w:p>
              </w:tc>
              <w:tc>
                <w:tcPr>
                  <w:tcW w:w="321" w:type="pct"/>
                  <w:tcBorders>
                    <w:tl2br w:val="nil"/>
                    <w:tr2bl w:val="nil"/>
                  </w:tcBorders>
                  <w:shd w:val="clear" w:color="auto" w:fill="auto"/>
                  <w:noWrap/>
                  <w:vAlign w:val="center"/>
                </w:tcPr>
                <w:p w14:paraId="345C20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-38.45</w:t>
                  </w:r>
                </w:p>
              </w:tc>
              <w:tc>
                <w:tcPr>
                  <w:tcW w:w="232" w:type="pct"/>
                  <w:tcBorders>
                    <w:tl2br w:val="nil"/>
                    <w:tr2bl w:val="nil"/>
                  </w:tcBorders>
                  <w:shd w:val="clear" w:color="auto" w:fill="auto"/>
                  <w:noWrap/>
                  <w:vAlign w:val="center"/>
                </w:tcPr>
                <w:p w14:paraId="1AC2AC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02AE84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29062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17.85</w:t>
                  </w:r>
                </w:p>
              </w:tc>
              <w:tc>
                <w:tcPr>
                  <w:tcW w:w="422" w:type="pct"/>
                  <w:tcBorders>
                    <w:tl2br w:val="nil"/>
                    <w:tr2bl w:val="nil"/>
                  </w:tcBorders>
                  <w:shd w:val="clear" w:color="auto" w:fill="auto"/>
                  <w:noWrap/>
                  <w:vAlign w:val="center"/>
                </w:tcPr>
                <w:p w14:paraId="770576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046CC15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A97C16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77B2D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59AC21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FDFD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E2968C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C34403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3E40D5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21ADF8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954BC3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1E8B8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-73.25</w:t>
                  </w:r>
                </w:p>
              </w:tc>
              <w:tc>
                <w:tcPr>
                  <w:tcW w:w="321" w:type="pct"/>
                  <w:tcBorders>
                    <w:tl2br w:val="nil"/>
                    <w:tr2bl w:val="nil"/>
                  </w:tcBorders>
                  <w:shd w:val="clear" w:color="auto" w:fill="auto"/>
                  <w:noWrap/>
                  <w:vAlign w:val="center"/>
                </w:tcPr>
                <w:p w14:paraId="3EE765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-38.45</w:t>
                  </w:r>
                </w:p>
              </w:tc>
              <w:tc>
                <w:tcPr>
                  <w:tcW w:w="232" w:type="pct"/>
                  <w:tcBorders>
                    <w:tl2br w:val="nil"/>
                    <w:tr2bl w:val="nil"/>
                  </w:tcBorders>
                  <w:shd w:val="clear" w:color="auto" w:fill="auto"/>
                  <w:noWrap/>
                  <w:vAlign w:val="center"/>
                </w:tcPr>
                <w:p w14:paraId="7AD932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5504AC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1BB635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32.55</w:t>
                  </w:r>
                </w:p>
              </w:tc>
              <w:tc>
                <w:tcPr>
                  <w:tcW w:w="422" w:type="pct"/>
                  <w:tcBorders>
                    <w:tl2br w:val="nil"/>
                    <w:tr2bl w:val="nil"/>
                  </w:tcBorders>
                  <w:shd w:val="clear" w:color="auto" w:fill="auto"/>
                  <w:noWrap/>
                  <w:vAlign w:val="center"/>
                </w:tcPr>
                <w:p w14:paraId="5CCBC8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1AB3827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DDB103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7D277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16FC57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2E1C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FB4607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41AAA9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7EDFB6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43CC85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FF90EF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847C7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-73.25</w:t>
                  </w:r>
                </w:p>
              </w:tc>
              <w:tc>
                <w:tcPr>
                  <w:tcW w:w="321" w:type="pct"/>
                  <w:tcBorders>
                    <w:tl2br w:val="nil"/>
                    <w:tr2bl w:val="nil"/>
                  </w:tcBorders>
                  <w:shd w:val="clear" w:color="auto" w:fill="auto"/>
                  <w:noWrap/>
                  <w:vAlign w:val="center"/>
                </w:tcPr>
                <w:p w14:paraId="357129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-38.45</w:t>
                  </w:r>
                </w:p>
              </w:tc>
              <w:tc>
                <w:tcPr>
                  <w:tcW w:w="232" w:type="pct"/>
                  <w:tcBorders>
                    <w:tl2br w:val="nil"/>
                    <w:tr2bl w:val="nil"/>
                  </w:tcBorders>
                  <w:shd w:val="clear" w:color="auto" w:fill="auto"/>
                  <w:noWrap/>
                  <w:vAlign w:val="center"/>
                </w:tcPr>
                <w:p w14:paraId="4752B8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7A5755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40AFB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18.45</w:t>
                  </w:r>
                </w:p>
              </w:tc>
              <w:tc>
                <w:tcPr>
                  <w:tcW w:w="422" w:type="pct"/>
                  <w:tcBorders>
                    <w:tl2br w:val="nil"/>
                    <w:tr2bl w:val="nil"/>
                  </w:tcBorders>
                  <w:shd w:val="clear" w:color="auto" w:fill="auto"/>
                  <w:noWrap/>
                  <w:vAlign w:val="center"/>
                </w:tcPr>
                <w:p w14:paraId="44C877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0388D18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DF0CB8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76D56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0F61A3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B6E5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B0D32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351" w:type="pct"/>
                  <w:vMerge w:val="continue"/>
                  <w:tcBorders>
                    <w:tl2br w:val="nil"/>
                    <w:tr2bl w:val="nil"/>
                  </w:tcBorders>
                  <w:shd w:val="clear" w:color="auto" w:fill="auto"/>
                  <w:noWrap/>
                  <w:vAlign w:val="center"/>
                </w:tcPr>
                <w:p w14:paraId="109DCCE4">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253463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脱臭水环泵</w:t>
                  </w:r>
                </w:p>
              </w:tc>
              <w:tc>
                <w:tcPr>
                  <w:tcW w:w="452" w:type="pct"/>
                  <w:vMerge w:val="restart"/>
                  <w:tcBorders>
                    <w:tl2br w:val="nil"/>
                    <w:tr2bl w:val="nil"/>
                  </w:tcBorders>
                  <w:shd w:val="clear" w:color="auto" w:fill="auto"/>
                  <w:noWrap/>
                  <w:vAlign w:val="center"/>
                </w:tcPr>
                <w:p w14:paraId="442303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15D272B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AAD5D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-71.44</w:t>
                  </w:r>
                </w:p>
              </w:tc>
              <w:tc>
                <w:tcPr>
                  <w:tcW w:w="321" w:type="pct"/>
                  <w:tcBorders>
                    <w:tl2br w:val="nil"/>
                    <w:tr2bl w:val="nil"/>
                  </w:tcBorders>
                  <w:shd w:val="clear" w:color="auto" w:fill="auto"/>
                  <w:noWrap/>
                  <w:vAlign w:val="center"/>
                </w:tcPr>
                <w:p w14:paraId="2EB30F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-41.59</w:t>
                  </w:r>
                </w:p>
              </w:tc>
              <w:tc>
                <w:tcPr>
                  <w:tcW w:w="232" w:type="pct"/>
                  <w:tcBorders>
                    <w:tl2br w:val="nil"/>
                    <w:tr2bl w:val="nil"/>
                  </w:tcBorders>
                  <w:shd w:val="clear" w:color="auto" w:fill="auto"/>
                  <w:noWrap/>
                  <w:vAlign w:val="center"/>
                </w:tcPr>
                <w:p w14:paraId="05F3FE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75FACF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054FD2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52.29</w:t>
                  </w:r>
                </w:p>
              </w:tc>
              <w:tc>
                <w:tcPr>
                  <w:tcW w:w="422" w:type="pct"/>
                  <w:tcBorders>
                    <w:tl2br w:val="nil"/>
                    <w:tr2bl w:val="nil"/>
                  </w:tcBorders>
                  <w:shd w:val="clear" w:color="auto" w:fill="auto"/>
                  <w:noWrap/>
                  <w:vAlign w:val="center"/>
                </w:tcPr>
                <w:p w14:paraId="3E9CA8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55.35</w:t>
                  </w:r>
                </w:p>
              </w:tc>
              <w:tc>
                <w:tcPr>
                  <w:tcW w:w="300" w:type="pct"/>
                  <w:vMerge w:val="restart"/>
                  <w:tcBorders>
                    <w:tl2br w:val="nil"/>
                    <w:tr2bl w:val="nil"/>
                  </w:tcBorders>
                  <w:shd w:val="clear" w:color="auto" w:fill="auto"/>
                  <w:noWrap/>
                  <w:vAlign w:val="center"/>
                </w:tcPr>
                <w:p w14:paraId="062335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7D01C1D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4D5AD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29.35</w:t>
                  </w:r>
                </w:p>
              </w:tc>
              <w:tc>
                <w:tcPr>
                  <w:tcW w:w="342" w:type="pct"/>
                  <w:tcBorders>
                    <w:tl2br w:val="nil"/>
                    <w:tr2bl w:val="nil"/>
                  </w:tcBorders>
                  <w:shd w:val="clear" w:color="auto" w:fill="auto"/>
                  <w:noWrap/>
                  <w:vAlign w:val="center"/>
                </w:tcPr>
                <w:p w14:paraId="7C5D26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14D6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950C24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A09644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3AF441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77243D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CE2D1B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1883A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-71.44</w:t>
                  </w:r>
                </w:p>
              </w:tc>
              <w:tc>
                <w:tcPr>
                  <w:tcW w:w="321" w:type="pct"/>
                  <w:tcBorders>
                    <w:tl2br w:val="nil"/>
                    <w:tr2bl w:val="nil"/>
                  </w:tcBorders>
                  <w:shd w:val="clear" w:color="auto" w:fill="auto"/>
                  <w:noWrap/>
                  <w:vAlign w:val="center"/>
                </w:tcPr>
                <w:p w14:paraId="09D898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-41.59</w:t>
                  </w:r>
                </w:p>
              </w:tc>
              <w:tc>
                <w:tcPr>
                  <w:tcW w:w="232" w:type="pct"/>
                  <w:tcBorders>
                    <w:tl2br w:val="nil"/>
                    <w:tr2bl w:val="nil"/>
                  </w:tcBorders>
                  <w:shd w:val="clear" w:color="auto" w:fill="auto"/>
                  <w:noWrap/>
                  <w:vAlign w:val="center"/>
                </w:tcPr>
                <w:p w14:paraId="4712A1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5ABA7B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90732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17.34</w:t>
                  </w:r>
                </w:p>
              </w:tc>
              <w:tc>
                <w:tcPr>
                  <w:tcW w:w="422" w:type="pct"/>
                  <w:tcBorders>
                    <w:tl2br w:val="nil"/>
                    <w:tr2bl w:val="nil"/>
                  </w:tcBorders>
                  <w:shd w:val="clear" w:color="auto" w:fill="auto"/>
                  <w:noWrap/>
                  <w:vAlign w:val="center"/>
                </w:tcPr>
                <w:p w14:paraId="1B9C5A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3F18C0B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A2F17F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06E54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484BAC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FE11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DF3CCED">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7F7575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CBF1F4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1BE2D8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B90C98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34AC3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-71.44</w:t>
                  </w:r>
                </w:p>
              </w:tc>
              <w:tc>
                <w:tcPr>
                  <w:tcW w:w="321" w:type="pct"/>
                  <w:tcBorders>
                    <w:tl2br w:val="nil"/>
                    <w:tr2bl w:val="nil"/>
                  </w:tcBorders>
                  <w:shd w:val="clear" w:color="auto" w:fill="auto"/>
                  <w:noWrap/>
                  <w:vAlign w:val="center"/>
                </w:tcPr>
                <w:p w14:paraId="48FBF7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-41.59</w:t>
                  </w:r>
                </w:p>
              </w:tc>
              <w:tc>
                <w:tcPr>
                  <w:tcW w:w="232" w:type="pct"/>
                  <w:tcBorders>
                    <w:tl2br w:val="nil"/>
                    <w:tr2bl w:val="nil"/>
                  </w:tcBorders>
                  <w:shd w:val="clear" w:color="auto" w:fill="auto"/>
                  <w:noWrap/>
                  <w:vAlign w:val="center"/>
                </w:tcPr>
                <w:p w14:paraId="0753A7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097D31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BFE57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28.95</w:t>
                  </w:r>
                </w:p>
              </w:tc>
              <w:tc>
                <w:tcPr>
                  <w:tcW w:w="422" w:type="pct"/>
                  <w:tcBorders>
                    <w:tl2br w:val="nil"/>
                    <w:tr2bl w:val="nil"/>
                  </w:tcBorders>
                  <w:shd w:val="clear" w:color="auto" w:fill="auto"/>
                  <w:noWrap/>
                  <w:vAlign w:val="center"/>
                </w:tcPr>
                <w:p w14:paraId="2A08DF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55.36</w:t>
                  </w:r>
                </w:p>
              </w:tc>
              <w:tc>
                <w:tcPr>
                  <w:tcW w:w="300" w:type="pct"/>
                  <w:vMerge w:val="continue"/>
                  <w:tcBorders>
                    <w:tl2br w:val="nil"/>
                    <w:tr2bl w:val="nil"/>
                  </w:tcBorders>
                  <w:shd w:val="clear" w:color="auto" w:fill="auto"/>
                  <w:noWrap/>
                  <w:vAlign w:val="center"/>
                </w:tcPr>
                <w:p w14:paraId="18BB5B3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0A7A28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05427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29.36</w:t>
                  </w:r>
                </w:p>
              </w:tc>
              <w:tc>
                <w:tcPr>
                  <w:tcW w:w="342" w:type="pct"/>
                  <w:tcBorders>
                    <w:tl2br w:val="nil"/>
                    <w:tr2bl w:val="nil"/>
                  </w:tcBorders>
                  <w:shd w:val="clear" w:color="auto" w:fill="auto"/>
                  <w:noWrap/>
                  <w:vAlign w:val="center"/>
                </w:tcPr>
                <w:p w14:paraId="64D67A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00D0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86A833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54A39F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4237E5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90CCEA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624928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23BF9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-71.44</w:t>
                  </w:r>
                </w:p>
              </w:tc>
              <w:tc>
                <w:tcPr>
                  <w:tcW w:w="321" w:type="pct"/>
                  <w:tcBorders>
                    <w:tl2br w:val="nil"/>
                    <w:tr2bl w:val="nil"/>
                  </w:tcBorders>
                  <w:shd w:val="clear" w:color="auto" w:fill="auto"/>
                  <w:noWrap/>
                  <w:vAlign w:val="center"/>
                </w:tcPr>
                <w:p w14:paraId="6AF9FC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-41.59</w:t>
                  </w:r>
                </w:p>
              </w:tc>
              <w:tc>
                <w:tcPr>
                  <w:tcW w:w="232" w:type="pct"/>
                  <w:tcBorders>
                    <w:tl2br w:val="nil"/>
                    <w:tr2bl w:val="nil"/>
                  </w:tcBorders>
                  <w:shd w:val="clear" w:color="auto" w:fill="auto"/>
                  <w:noWrap/>
                  <w:vAlign w:val="center"/>
                </w:tcPr>
                <w:p w14:paraId="32A8EB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81" w:type="pct"/>
                  <w:tcBorders>
                    <w:tl2br w:val="nil"/>
                    <w:tr2bl w:val="nil"/>
                  </w:tcBorders>
                  <w:shd w:val="clear" w:color="auto" w:fill="auto"/>
                  <w:noWrap/>
                  <w:vAlign w:val="center"/>
                </w:tcPr>
                <w:p w14:paraId="04D20B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48448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18.91</w:t>
                  </w:r>
                </w:p>
              </w:tc>
              <w:tc>
                <w:tcPr>
                  <w:tcW w:w="422" w:type="pct"/>
                  <w:tcBorders>
                    <w:tl2br w:val="nil"/>
                    <w:tr2bl w:val="nil"/>
                  </w:tcBorders>
                  <w:shd w:val="clear" w:color="auto" w:fill="auto"/>
                  <w:noWrap/>
                  <w:vAlign w:val="center"/>
                </w:tcPr>
                <w:p w14:paraId="4AE796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55.38</w:t>
                  </w:r>
                </w:p>
              </w:tc>
              <w:tc>
                <w:tcPr>
                  <w:tcW w:w="300" w:type="pct"/>
                  <w:vMerge w:val="continue"/>
                  <w:tcBorders>
                    <w:tl2br w:val="nil"/>
                    <w:tr2bl w:val="nil"/>
                  </w:tcBorders>
                  <w:shd w:val="clear" w:color="auto" w:fill="auto"/>
                  <w:noWrap/>
                  <w:vAlign w:val="center"/>
                </w:tcPr>
                <w:p w14:paraId="4F7B054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B84F4E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2B1B7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29.38</w:t>
                  </w:r>
                </w:p>
              </w:tc>
              <w:tc>
                <w:tcPr>
                  <w:tcW w:w="342" w:type="pct"/>
                  <w:tcBorders>
                    <w:tl2br w:val="nil"/>
                    <w:tr2bl w:val="nil"/>
                  </w:tcBorders>
                  <w:shd w:val="clear" w:color="auto" w:fill="auto"/>
                  <w:noWrap/>
                  <w:vAlign w:val="center"/>
                </w:tcPr>
                <w:p w14:paraId="075185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51EF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370DAB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351" w:type="pct"/>
                  <w:vMerge w:val="restart"/>
                  <w:tcBorders>
                    <w:tl2br w:val="nil"/>
                    <w:tr2bl w:val="nil"/>
                  </w:tcBorders>
                  <w:shd w:val="clear" w:color="auto" w:fill="auto"/>
                  <w:noWrap/>
                  <w:vAlign w:val="center"/>
                </w:tcPr>
                <w:p w14:paraId="68F162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制瓶车间</w:t>
                  </w:r>
                </w:p>
              </w:tc>
              <w:tc>
                <w:tcPr>
                  <w:tcW w:w="429" w:type="pct"/>
                  <w:vMerge w:val="restart"/>
                  <w:tcBorders>
                    <w:tl2br w:val="nil"/>
                    <w:tr2bl w:val="nil"/>
                  </w:tcBorders>
                  <w:shd w:val="clear" w:color="auto" w:fill="auto"/>
                  <w:noWrap/>
                  <w:vAlign w:val="center"/>
                </w:tcPr>
                <w:p w14:paraId="0FD2F3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吹瓶机1</w:t>
                  </w:r>
                </w:p>
              </w:tc>
              <w:tc>
                <w:tcPr>
                  <w:tcW w:w="452" w:type="pct"/>
                  <w:vMerge w:val="restart"/>
                  <w:tcBorders>
                    <w:tl2br w:val="nil"/>
                    <w:tr2bl w:val="nil"/>
                  </w:tcBorders>
                  <w:shd w:val="clear" w:color="auto" w:fill="auto"/>
                  <w:noWrap/>
                  <w:vAlign w:val="center"/>
                </w:tcPr>
                <w:p w14:paraId="1281BA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restart"/>
                  <w:tcBorders>
                    <w:tl2br w:val="nil"/>
                    <w:tr2bl w:val="nil"/>
                  </w:tcBorders>
                  <w:shd w:val="clear" w:color="auto" w:fill="auto"/>
                  <w:noWrap/>
                  <w:vAlign w:val="center"/>
                </w:tcPr>
                <w:p w14:paraId="6D910368">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隔声、减振</w:t>
                  </w:r>
                </w:p>
              </w:tc>
              <w:tc>
                <w:tcPr>
                  <w:tcW w:w="305" w:type="pct"/>
                  <w:tcBorders>
                    <w:tl2br w:val="nil"/>
                    <w:tr2bl w:val="nil"/>
                  </w:tcBorders>
                  <w:shd w:val="clear" w:color="auto" w:fill="auto"/>
                  <w:noWrap/>
                  <w:vAlign w:val="center"/>
                </w:tcPr>
                <w:p w14:paraId="550E33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-52.18</w:t>
                  </w:r>
                </w:p>
              </w:tc>
              <w:tc>
                <w:tcPr>
                  <w:tcW w:w="321" w:type="pct"/>
                  <w:tcBorders>
                    <w:tl2br w:val="nil"/>
                    <w:tr2bl w:val="nil"/>
                  </w:tcBorders>
                  <w:shd w:val="clear" w:color="auto" w:fill="auto"/>
                  <w:noWrap/>
                  <w:vAlign w:val="center"/>
                </w:tcPr>
                <w:p w14:paraId="284FBD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21.61</w:t>
                  </w:r>
                </w:p>
              </w:tc>
              <w:tc>
                <w:tcPr>
                  <w:tcW w:w="232" w:type="pct"/>
                  <w:tcBorders>
                    <w:tl2br w:val="nil"/>
                    <w:tr2bl w:val="nil"/>
                  </w:tcBorders>
                  <w:shd w:val="clear" w:color="auto" w:fill="auto"/>
                  <w:noWrap/>
                  <w:vAlign w:val="center"/>
                </w:tcPr>
                <w:p w14:paraId="3DA618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7E1E8D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C1284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9.57</w:t>
                  </w:r>
                </w:p>
              </w:tc>
              <w:tc>
                <w:tcPr>
                  <w:tcW w:w="422" w:type="pct"/>
                  <w:tcBorders>
                    <w:tl2br w:val="nil"/>
                    <w:tr2bl w:val="nil"/>
                  </w:tcBorders>
                  <w:shd w:val="clear" w:color="auto" w:fill="auto"/>
                  <w:noWrap/>
                  <w:vAlign w:val="center"/>
                </w:tcPr>
                <w:p w14:paraId="496643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54.91</w:t>
                  </w:r>
                </w:p>
              </w:tc>
              <w:tc>
                <w:tcPr>
                  <w:tcW w:w="300" w:type="pct"/>
                  <w:vMerge w:val="restart"/>
                  <w:tcBorders>
                    <w:tl2br w:val="nil"/>
                    <w:tr2bl w:val="nil"/>
                  </w:tcBorders>
                  <w:shd w:val="clear" w:color="auto" w:fill="auto"/>
                  <w:noWrap/>
                  <w:vAlign w:val="center"/>
                </w:tcPr>
                <w:p w14:paraId="684E69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9A7C2E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EDFB8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28.91</w:t>
                  </w:r>
                </w:p>
              </w:tc>
              <w:tc>
                <w:tcPr>
                  <w:tcW w:w="342" w:type="pct"/>
                  <w:tcBorders>
                    <w:tl2br w:val="nil"/>
                    <w:tr2bl w:val="nil"/>
                  </w:tcBorders>
                  <w:shd w:val="clear" w:color="auto" w:fill="auto"/>
                  <w:noWrap/>
                  <w:vAlign w:val="center"/>
                </w:tcPr>
                <w:p w14:paraId="7E4D45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D0E1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F1F34B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F6BAF2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66CD05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5C0825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97C2A6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C7EE2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-52.18</w:t>
                  </w:r>
                </w:p>
              </w:tc>
              <w:tc>
                <w:tcPr>
                  <w:tcW w:w="321" w:type="pct"/>
                  <w:tcBorders>
                    <w:tl2br w:val="nil"/>
                    <w:tr2bl w:val="nil"/>
                  </w:tcBorders>
                  <w:shd w:val="clear" w:color="auto" w:fill="auto"/>
                  <w:noWrap/>
                  <w:vAlign w:val="center"/>
                </w:tcPr>
                <w:p w14:paraId="4D94F6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21.61</w:t>
                  </w:r>
                </w:p>
              </w:tc>
              <w:tc>
                <w:tcPr>
                  <w:tcW w:w="232" w:type="pct"/>
                  <w:tcBorders>
                    <w:tl2br w:val="nil"/>
                    <w:tr2bl w:val="nil"/>
                  </w:tcBorders>
                  <w:shd w:val="clear" w:color="auto" w:fill="auto"/>
                  <w:noWrap/>
                  <w:vAlign w:val="center"/>
                </w:tcPr>
                <w:p w14:paraId="1DC139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140F66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67119E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42.09</w:t>
                  </w:r>
                </w:p>
              </w:tc>
              <w:tc>
                <w:tcPr>
                  <w:tcW w:w="422" w:type="pct"/>
                  <w:tcBorders>
                    <w:tl2br w:val="nil"/>
                    <w:tr2bl w:val="nil"/>
                  </w:tcBorders>
                  <w:shd w:val="clear" w:color="auto" w:fill="auto"/>
                  <w:noWrap/>
                  <w:vAlign w:val="center"/>
                </w:tcPr>
                <w:p w14:paraId="4C9AC5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172FE16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39FCFA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21F88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4292E6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71F4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2245FB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865F93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F2C56E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FB78F1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09B4AF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B2DC6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-52.18</w:t>
                  </w:r>
                </w:p>
              </w:tc>
              <w:tc>
                <w:tcPr>
                  <w:tcW w:w="321" w:type="pct"/>
                  <w:tcBorders>
                    <w:tl2br w:val="nil"/>
                    <w:tr2bl w:val="nil"/>
                  </w:tcBorders>
                  <w:shd w:val="clear" w:color="auto" w:fill="auto"/>
                  <w:noWrap/>
                  <w:vAlign w:val="center"/>
                </w:tcPr>
                <w:p w14:paraId="65C57F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21.61</w:t>
                  </w:r>
                </w:p>
              </w:tc>
              <w:tc>
                <w:tcPr>
                  <w:tcW w:w="232" w:type="pct"/>
                  <w:tcBorders>
                    <w:tl2br w:val="nil"/>
                    <w:tr2bl w:val="nil"/>
                  </w:tcBorders>
                  <w:shd w:val="clear" w:color="auto" w:fill="auto"/>
                  <w:noWrap/>
                  <w:vAlign w:val="center"/>
                </w:tcPr>
                <w:p w14:paraId="7F99F4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01E895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75ABB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78.15</w:t>
                  </w:r>
                </w:p>
              </w:tc>
              <w:tc>
                <w:tcPr>
                  <w:tcW w:w="422" w:type="pct"/>
                  <w:tcBorders>
                    <w:tl2br w:val="nil"/>
                    <w:tr2bl w:val="nil"/>
                  </w:tcBorders>
                  <w:shd w:val="clear" w:color="auto" w:fill="auto"/>
                  <w:noWrap/>
                  <w:vAlign w:val="center"/>
                </w:tcPr>
                <w:p w14:paraId="416BA8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1473DB2E">
                  <w:pPr>
                    <w:jc w:val="center"/>
                    <w:rPr>
                      <w:rFonts w:hint="default" w:ascii="Times New Roman" w:hAnsi="Times New Roman" w:eastAsia="宋体" w:cs="Times New Roman"/>
                      <w:i w:val="0"/>
                      <w:iCs w:val="0"/>
                      <w:color w:val="auto"/>
                      <w:sz w:val="21"/>
                      <w:szCs w:val="21"/>
                      <w:highlight w:val="none"/>
                      <w:u w:val="none"/>
                    </w:rPr>
                  </w:pPr>
                </w:p>
              </w:tc>
              <w:tc>
                <w:tcPr>
                  <w:tcW w:w="456" w:type="pct"/>
                  <w:vMerge w:val="restart"/>
                  <w:tcBorders>
                    <w:tl2br w:val="nil"/>
                    <w:tr2bl w:val="nil"/>
                  </w:tcBorders>
                  <w:shd w:val="clear" w:color="auto" w:fill="auto"/>
                  <w:noWrap/>
                  <w:vAlign w:val="center"/>
                </w:tcPr>
                <w:p w14:paraId="18E7EC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42" w:type="pct"/>
                  <w:tcBorders>
                    <w:tl2br w:val="nil"/>
                    <w:tr2bl w:val="nil"/>
                  </w:tcBorders>
                  <w:shd w:val="clear" w:color="auto" w:fill="auto"/>
                  <w:noWrap/>
                  <w:vAlign w:val="center"/>
                </w:tcPr>
                <w:p w14:paraId="66162D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68F6E0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43FB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7776C6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C6C766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216D45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D4CC2E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262081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BD4E6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-52.18</w:t>
                  </w:r>
                </w:p>
              </w:tc>
              <w:tc>
                <w:tcPr>
                  <w:tcW w:w="321" w:type="pct"/>
                  <w:tcBorders>
                    <w:tl2br w:val="nil"/>
                    <w:tr2bl w:val="nil"/>
                  </w:tcBorders>
                  <w:shd w:val="clear" w:color="auto" w:fill="auto"/>
                  <w:noWrap/>
                  <w:vAlign w:val="center"/>
                </w:tcPr>
                <w:p w14:paraId="25D941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21.61</w:t>
                  </w:r>
                </w:p>
              </w:tc>
              <w:tc>
                <w:tcPr>
                  <w:tcW w:w="232" w:type="pct"/>
                  <w:tcBorders>
                    <w:tl2br w:val="nil"/>
                    <w:tr2bl w:val="nil"/>
                  </w:tcBorders>
                  <w:shd w:val="clear" w:color="auto" w:fill="auto"/>
                  <w:noWrap/>
                  <w:vAlign w:val="center"/>
                </w:tcPr>
                <w:p w14:paraId="610771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53A3F5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6B0898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11.59</w:t>
                  </w:r>
                </w:p>
              </w:tc>
              <w:tc>
                <w:tcPr>
                  <w:tcW w:w="422" w:type="pct"/>
                  <w:tcBorders>
                    <w:tl2br w:val="nil"/>
                    <w:tr2bl w:val="nil"/>
                  </w:tcBorders>
                  <w:shd w:val="clear" w:color="auto" w:fill="auto"/>
                  <w:noWrap/>
                  <w:vAlign w:val="center"/>
                </w:tcPr>
                <w:p w14:paraId="3106F7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54.87</w:t>
                  </w:r>
                </w:p>
              </w:tc>
              <w:tc>
                <w:tcPr>
                  <w:tcW w:w="300" w:type="pct"/>
                  <w:vMerge w:val="continue"/>
                  <w:tcBorders>
                    <w:tl2br w:val="nil"/>
                    <w:tr2bl w:val="nil"/>
                  </w:tcBorders>
                  <w:shd w:val="clear" w:color="auto" w:fill="auto"/>
                  <w:noWrap/>
                  <w:vAlign w:val="center"/>
                </w:tcPr>
                <w:p w14:paraId="56BF504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618FB5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9CA5A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28.87</w:t>
                  </w:r>
                </w:p>
              </w:tc>
              <w:tc>
                <w:tcPr>
                  <w:tcW w:w="342" w:type="pct"/>
                  <w:tcBorders>
                    <w:tl2br w:val="nil"/>
                    <w:tr2bl w:val="nil"/>
                  </w:tcBorders>
                  <w:shd w:val="clear" w:color="auto" w:fill="auto"/>
                  <w:noWrap/>
                  <w:vAlign w:val="center"/>
                </w:tcPr>
                <w:p w14:paraId="194C05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DB8E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1FA27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351" w:type="pct"/>
                  <w:vMerge w:val="continue"/>
                  <w:tcBorders>
                    <w:tl2br w:val="nil"/>
                    <w:tr2bl w:val="nil"/>
                  </w:tcBorders>
                  <w:shd w:val="clear" w:color="auto" w:fill="auto"/>
                  <w:noWrap/>
                  <w:vAlign w:val="center"/>
                </w:tcPr>
                <w:p w14:paraId="372FE9B5">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19D68D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吹瓶机2</w:t>
                  </w:r>
                </w:p>
              </w:tc>
              <w:tc>
                <w:tcPr>
                  <w:tcW w:w="452" w:type="pct"/>
                  <w:vMerge w:val="restart"/>
                  <w:tcBorders>
                    <w:tl2br w:val="nil"/>
                    <w:tr2bl w:val="nil"/>
                  </w:tcBorders>
                  <w:shd w:val="clear" w:color="auto" w:fill="auto"/>
                  <w:noWrap/>
                  <w:vAlign w:val="center"/>
                </w:tcPr>
                <w:p w14:paraId="650C72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30645CD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15CFD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-43.48</w:t>
                  </w:r>
                </w:p>
              </w:tc>
              <w:tc>
                <w:tcPr>
                  <w:tcW w:w="321" w:type="pct"/>
                  <w:tcBorders>
                    <w:tl2br w:val="nil"/>
                    <w:tr2bl w:val="nil"/>
                  </w:tcBorders>
                  <w:shd w:val="clear" w:color="auto" w:fill="auto"/>
                  <w:noWrap/>
                  <w:vAlign w:val="center"/>
                </w:tcPr>
                <w:p w14:paraId="7BBFE5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23.27</w:t>
                  </w:r>
                </w:p>
              </w:tc>
              <w:tc>
                <w:tcPr>
                  <w:tcW w:w="232" w:type="pct"/>
                  <w:tcBorders>
                    <w:tl2br w:val="nil"/>
                    <w:tr2bl w:val="nil"/>
                  </w:tcBorders>
                  <w:shd w:val="clear" w:color="auto" w:fill="auto"/>
                  <w:noWrap/>
                  <w:vAlign w:val="center"/>
                </w:tcPr>
                <w:p w14:paraId="302046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D639F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BE2FC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11.52</w:t>
                  </w:r>
                </w:p>
              </w:tc>
              <w:tc>
                <w:tcPr>
                  <w:tcW w:w="422" w:type="pct"/>
                  <w:tcBorders>
                    <w:tl2br w:val="nil"/>
                    <w:tr2bl w:val="nil"/>
                  </w:tcBorders>
                  <w:shd w:val="clear" w:color="auto" w:fill="auto"/>
                  <w:noWrap/>
                  <w:vAlign w:val="center"/>
                </w:tcPr>
                <w:p w14:paraId="2D9F81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54.87</w:t>
                  </w:r>
                </w:p>
              </w:tc>
              <w:tc>
                <w:tcPr>
                  <w:tcW w:w="300" w:type="pct"/>
                  <w:vMerge w:val="restart"/>
                  <w:tcBorders>
                    <w:tl2br w:val="nil"/>
                    <w:tr2bl w:val="nil"/>
                  </w:tcBorders>
                  <w:shd w:val="clear" w:color="auto" w:fill="auto"/>
                  <w:noWrap/>
                  <w:vAlign w:val="center"/>
                </w:tcPr>
                <w:p w14:paraId="07DECB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B8F4D7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B5D3C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28.87</w:t>
                  </w:r>
                </w:p>
              </w:tc>
              <w:tc>
                <w:tcPr>
                  <w:tcW w:w="342" w:type="pct"/>
                  <w:tcBorders>
                    <w:tl2br w:val="nil"/>
                    <w:tr2bl w:val="nil"/>
                  </w:tcBorders>
                  <w:shd w:val="clear" w:color="auto" w:fill="auto"/>
                  <w:noWrap/>
                  <w:vAlign w:val="center"/>
                </w:tcPr>
                <w:p w14:paraId="037247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748C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C3351D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787F4A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588477C">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4CBCF3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6EF3C5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6918D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-43.48</w:t>
                  </w:r>
                </w:p>
              </w:tc>
              <w:tc>
                <w:tcPr>
                  <w:tcW w:w="321" w:type="pct"/>
                  <w:tcBorders>
                    <w:tl2br w:val="nil"/>
                    <w:tr2bl w:val="nil"/>
                  </w:tcBorders>
                  <w:shd w:val="clear" w:color="auto" w:fill="auto"/>
                  <w:noWrap/>
                  <w:vAlign w:val="center"/>
                </w:tcPr>
                <w:p w14:paraId="35F7FD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23.27</w:t>
                  </w:r>
                </w:p>
              </w:tc>
              <w:tc>
                <w:tcPr>
                  <w:tcW w:w="232" w:type="pct"/>
                  <w:tcBorders>
                    <w:tl2br w:val="nil"/>
                    <w:tr2bl w:val="nil"/>
                  </w:tcBorders>
                  <w:shd w:val="clear" w:color="auto" w:fill="auto"/>
                  <w:noWrap/>
                  <w:vAlign w:val="center"/>
                </w:tcPr>
                <w:p w14:paraId="55581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081C17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360A8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33.41</w:t>
                  </w:r>
                </w:p>
              </w:tc>
              <w:tc>
                <w:tcPr>
                  <w:tcW w:w="422" w:type="pct"/>
                  <w:tcBorders>
                    <w:tl2br w:val="nil"/>
                    <w:tr2bl w:val="nil"/>
                  </w:tcBorders>
                  <w:shd w:val="clear" w:color="auto" w:fill="auto"/>
                  <w:noWrap/>
                  <w:vAlign w:val="center"/>
                </w:tcPr>
                <w:p w14:paraId="7360D1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continue"/>
                  <w:tcBorders>
                    <w:tl2br w:val="nil"/>
                    <w:tr2bl w:val="nil"/>
                  </w:tcBorders>
                  <w:shd w:val="clear" w:color="auto" w:fill="auto"/>
                  <w:noWrap/>
                  <w:vAlign w:val="center"/>
                </w:tcPr>
                <w:p w14:paraId="458399FD">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BB3C18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D4C1E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2CF82D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1779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A1713D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641107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FBA58C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1FA7B6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922F3C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0135A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-43.48</w:t>
                  </w:r>
                </w:p>
              </w:tc>
              <w:tc>
                <w:tcPr>
                  <w:tcW w:w="321" w:type="pct"/>
                  <w:tcBorders>
                    <w:tl2br w:val="nil"/>
                    <w:tr2bl w:val="nil"/>
                  </w:tcBorders>
                  <w:shd w:val="clear" w:color="auto" w:fill="auto"/>
                  <w:noWrap/>
                  <w:vAlign w:val="center"/>
                </w:tcPr>
                <w:p w14:paraId="3278D0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23.27</w:t>
                  </w:r>
                </w:p>
              </w:tc>
              <w:tc>
                <w:tcPr>
                  <w:tcW w:w="232" w:type="pct"/>
                  <w:tcBorders>
                    <w:tl2br w:val="nil"/>
                    <w:tr2bl w:val="nil"/>
                  </w:tcBorders>
                  <w:shd w:val="clear" w:color="auto" w:fill="auto"/>
                  <w:noWrap/>
                  <w:vAlign w:val="center"/>
                </w:tcPr>
                <w:p w14:paraId="0F6F0B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FEFF6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3C214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76.31</w:t>
                  </w:r>
                </w:p>
              </w:tc>
              <w:tc>
                <w:tcPr>
                  <w:tcW w:w="422" w:type="pct"/>
                  <w:tcBorders>
                    <w:tl2br w:val="nil"/>
                    <w:tr2bl w:val="nil"/>
                  </w:tcBorders>
                  <w:shd w:val="clear" w:color="auto" w:fill="auto"/>
                  <w:noWrap/>
                  <w:vAlign w:val="center"/>
                </w:tcPr>
                <w:p w14:paraId="62EE69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684B836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BF12CD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5B211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7E1AA0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867B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B2C160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172488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47C2C3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A44074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A54EA0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273AA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-43.48</w:t>
                  </w:r>
                </w:p>
              </w:tc>
              <w:tc>
                <w:tcPr>
                  <w:tcW w:w="321" w:type="pct"/>
                  <w:tcBorders>
                    <w:tl2br w:val="nil"/>
                    <w:tr2bl w:val="nil"/>
                  </w:tcBorders>
                  <w:shd w:val="clear" w:color="auto" w:fill="auto"/>
                  <w:noWrap/>
                  <w:vAlign w:val="center"/>
                </w:tcPr>
                <w:p w14:paraId="47FCB8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23.27</w:t>
                  </w:r>
                </w:p>
              </w:tc>
              <w:tc>
                <w:tcPr>
                  <w:tcW w:w="232" w:type="pct"/>
                  <w:tcBorders>
                    <w:tl2br w:val="nil"/>
                    <w:tr2bl w:val="nil"/>
                  </w:tcBorders>
                  <w:shd w:val="clear" w:color="auto" w:fill="auto"/>
                  <w:noWrap/>
                  <w:vAlign w:val="center"/>
                </w:tcPr>
                <w:p w14:paraId="0562A6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39D03E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09460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20.12</w:t>
                  </w:r>
                </w:p>
              </w:tc>
              <w:tc>
                <w:tcPr>
                  <w:tcW w:w="422" w:type="pct"/>
                  <w:tcBorders>
                    <w:tl2br w:val="nil"/>
                    <w:tr2bl w:val="nil"/>
                  </w:tcBorders>
                  <w:shd w:val="clear" w:color="auto" w:fill="auto"/>
                  <w:noWrap/>
                  <w:vAlign w:val="center"/>
                </w:tcPr>
                <w:p w14:paraId="680E38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54.82</w:t>
                  </w:r>
                </w:p>
              </w:tc>
              <w:tc>
                <w:tcPr>
                  <w:tcW w:w="300" w:type="pct"/>
                  <w:vMerge w:val="continue"/>
                  <w:tcBorders>
                    <w:tl2br w:val="nil"/>
                    <w:tr2bl w:val="nil"/>
                  </w:tcBorders>
                  <w:shd w:val="clear" w:color="auto" w:fill="auto"/>
                  <w:noWrap/>
                  <w:vAlign w:val="center"/>
                </w:tcPr>
                <w:p w14:paraId="5FEEF0B3">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1BBCAA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69AE2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28.82</w:t>
                  </w:r>
                </w:p>
              </w:tc>
              <w:tc>
                <w:tcPr>
                  <w:tcW w:w="342" w:type="pct"/>
                  <w:tcBorders>
                    <w:tl2br w:val="nil"/>
                    <w:tr2bl w:val="nil"/>
                  </w:tcBorders>
                  <w:shd w:val="clear" w:color="auto" w:fill="auto"/>
                  <w:noWrap/>
                  <w:vAlign w:val="center"/>
                </w:tcPr>
                <w:p w14:paraId="472830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0FB9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F5AD0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351" w:type="pct"/>
                  <w:vMerge w:val="continue"/>
                  <w:tcBorders>
                    <w:tl2br w:val="nil"/>
                    <w:tr2bl w:val="nil"/>
                  </w:tcBorders>
                  <w:shd w:val="clear" w:color="auto" w:fill="auto"/>
                  <w:noWrap/>
                  <w:vAlign w:val="center"/>
                </w:tcPr>
                <w:p w14:paraId="39E44957">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248E51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吹瓶机3</w:t>
                  </w:r>
                </w:p>
              </w:tc>
              <w:tc>
                <w:tcPr>
                  <w:tcW w:w="452" w:type="pct"/>
                  <w:vMerge w:val="restart"/>
                  <w:tcBorders>
                    <w:tl2br w:val="nil"/>
                    <w:tr2bl w:val="nil"/>
                  </w:tcBorders>
                  <w:shd w:val="clear" w:color="auto" w:fill="auto"/>
                  <w:noWrap/>
                  <w:vAlign w:val="center"/>
                </w:tcPr>
                <w:p w14:paraId="748E3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FB5B36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66485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-33.33</w:t>
                  </w:r>
                </w:p>
              </w:tc>
              <w:tc>
                <w:tcPr>
                  <w:tcW w:w="321" w:type="pct"/>
                  <w:tcBorders>
                    <w:tl2br w:val="nil"/>
                    <w:tr2bl w:val="nil"/>
                  </w:tcBorders>
                  <w:shd w:val="clear" w:color="auto" w:fill="auto"/>
                  <w:noWrap/>
                  <w:vAlign w:val="center"/>
                </w:tcPr>
                <w:p w14:paraId="6298DD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25.75</w:t>
                  </w:r>
                </w:p>
              </w:tc>
              <w:tc>
                <w:tcPr>
                  <w:tcW w:w="232" w:type="pct"/>
                  <w:tcBorders>
                    <w:tl2br w:val="nil"/>
                    <w:tr2bl w:val="nil"/>
                  </w:tcBorders>
                  <w:shd w:val="clear" w:color="auto" w:fill="auto"/>
                  <w:noWrap/>
                  <w:vAlign w:val="center"/>
                </w:tcPr>
                <w:p w14:paraId="4BE20F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714CFB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EF598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13.30</w:t>
                  </w:r>
                </w:p>
              </w:tc>
              <w:tc>
                <w:tcPr>
                  <w:tcW w:w="422" w:type="pct"/>
                  <w:tcBorders>
                    <w:tl2br w:val="nil"/>
                    <w:tr2bl w:val="nil"/>
                  </w:tcBorders>
                  <w:shd w:val="clear" w:color="auto" w:fill="auto"/>
                  <w:noWrap/>
                  <w:vAlign w:val="center"/>
                </w:tcPr>
                <w:p w14:paraId="54D269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54.85</w:t>
                  </w:r>
                </w:p>
              </w:tc>
              <w:tc>
                <w:tcPr>
                  <w:tcW w:w="300" w:type="pct"/>
                  <w:vMerge w:val="restart"/>
                  <w:tcBorders>
                    <w:tl2br w:val="nil"/>
                    <w:tr2bl w:val="nil"/>
                  </w:tcBorders>
                  <w:shd w:val="clear" w:color="auto" w:fill="auto"/>
                  <w:noWrap/>
                  <w:vAlign w:val="center"/>
                </w:tcPr>
                <w:p w14:paraId="4EA77C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964EB3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E2BD8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28.85</w:t>
                  </w:r>
                </w:p>
              </w:tc>
              <w:tc>
                <w:tcPr>
                  <w:tcW w:w="342" w:type="pct"/>
                  <w:tcBorders>
                    <w:tl2br w:val="nil"/>
                    <w:tr2bl w:val="nil"/>
                  </w:tcBorders>
                  <w:shd w:val="clear" w:color="auto" w:fill="auto"/>
                  <w:noWrap/>
                  <w:vAlign w:val="center"/>
                </w:tcPr>
                <w:p w14:paraId="08DA09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9AB2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DAC4AA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BCE98D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0396FA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AEA01F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DD7A4F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AF6DA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-33.33</w:t>
                  </w:r>
                </w:p>
              </w:tc>
              <w:tc>
                <w:tcPr>
                  <w:tcW w:w="321" w:type="pct"/>
                  <w:tcBorders>
                    <w:tl2br w:val="nil"/>
                    <w:tr2bl w:val="nil"/>
                  </w:tcBorders>
                  <w:shd w:val="clear" w:color="auto" w:fill="auto"/>
                  <w:noWrap/>
                  <w:vAlign w:val="center"/>
                </w:tcPr>
                <w:p w14:paraId="4BD3F5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25.75</w:t>
                  </w:r>
                </w:p>
              </w:tc>
              <w:tc>
                <w:tcPr>
                  <w:tcW w:w="232" w:type="pct"/>
                  <w:tcBorders>
                    <w:tl2br w:val="nil"/>
                    <w:tr2bl w:val="nil"/>
                  </w:tcBorders>
                  <w:shd w:val="clear" w:color="auto" w:fill="auto"/>
                  <w:noWrap/>
                  <w:vAlign w:val="center"/>
                </w:tcPr>
                <w:p w14:paraId="364F12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60CE9C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0D3020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23.07</w:t>
                  </w:r>
                </w:p>
              </w:tc>
              <w:tc>
                <w:tcPr>
                  <w:tcW w:w="422" w:type="pct"/>
                  <w:tcBorders>
                    <w:tl2br w:val="nil"/>
                    <w:tr2bl w:val="nil"/>
                  </w:tcBorders>
                  <w:shd w:val="clear" w:color="auto" w:fill="auto"/>
                  <w:noWrap/>
                  <w:vAlign w:val="center"/>
                </w:tcPr>
                <w:p w14:paraId="483269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54.81</w:t>
                  </w:r>
                </w:p>
              </w:tc>
              <w:tc>
                <w:tcPr>
                  <w:tcW w:w="300" w:type="pct"/>
                  <w:vMerge w:val="continue"/>
                  <w:tcBorders>
                    <w:tl2br w:val="nil"/>
                    <w:tr2bl w:val="nil"/>
                  </w:tcBorders>
                  <w:shd w:val="clear" w:color="auto" w:fill="auto"/>
                  <w:noWrap/>
                  <w:vAlign w:val="center"/>
                </w:tcPr>
                <w:p w14:paraId="03E0F2A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9371DD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0D5D6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28.81</w:t>
                  </w:r>
                </w:p>
              </w:tc>
              <w:tc>
                <w:tcPr>
                  <w:tcW w:w="342" w:type="pct"/>
                  <w:tcBorders>
                    <w:tl2br w:val="nil"/>
                    <w:tr2bl w:val="nil"/>
                  </w:tcBorders>
                  <w:shd w:val="clear" w:color="auto" w:fill="auto"/>
                  <w:noWrap/>
                  <w:vAlign w:val="center"/>
                </w:tcPr>
                <w:p w14:paraId="19BF6A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177F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59BC2E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D1EA98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586FD0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3653C7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C05C99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CA8EE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-33.33</w:t>
                  </w:r>
                </w:p>
              </w:tc>
              <w:tc>
                <w:tcPr>
                  <w:tcW w:w="321" w:type="pct"/>
                  <w:tcBorders>
                    <w:tl2br w:val="nil"/>
                    <w:tr2bl w:val="nil"/>
                  </w:tcBorders>
                  <w:shd w:val="clear" w:color="auto" w:fill="auto"/>
                  <w:noWrap/>
                  <w:vAlign w:val="center"/>
                </w:tcPr>
                <w:p w14:paraId="52D422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25.75</w:t>
                  </w:r>
                </w:p>
              </w:tc>
              <w:tc>
                <w:tcPr>
                  <w:tcW w:w="232" w:type="pct"/>
                  <w:tcBorders>
                    <w:tl2br w:val="nil"/>
                    <w:tr2bl w:val="nil"/>
                  </w:tcBorders>
                  <w:shd w:val="clear" w:color="auto" w:fill="auto"/>
                  <w:noWrap/>
                  <w:vAlign w:val="center"/>
                </w:tcPr>
                <w:p w14:paraId="587476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52FAA9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1CCF61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74.67</w:t>
                  </w:r>
                </w:p>
              </w:tc>
              <w:tc>
                <w:tcPr>
                  <w:tcW w:w="422" w:type="pct"/>
                  <w:tcBorders>
                    <w:tl2br w:val="nil"/>
                    <w:tr2bl w:val="nil"/>
                  </w:tcBorders>
                  <w:shd w:val="clear" w:color="auto" w:fill="auto"/>
                  <w:noWrap/>
                  <w:vAlign w:val="center"/>
                </w:tcPr>
                <w:p w14:paraId="2F7575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53265C4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97DB49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4F233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0F00B4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EA04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846C16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ACBD1C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A8903C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B9AE2F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419731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B0819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-33.33</w:t>
                  </w:r>
                </w:p>
              </w:tc>
              <w:tc>
                <w:tcPr>
                  <w:tcW w:w="321" w:type="pct"/>
                  <w:tcBorders>
                    <w:tl2br w:val="nil"/>
                    <w:tr2bl w:val="nil"/>
                  </w:tcBorders>
                  <w:shd w:val="clear" w:color="auto" w:fill="auto"/>
                  <w:noWrap/>
                  <w:vAlign w:val="center"/>
                </w:tcPr>
                <w:p w14:paraId="708582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25.75</w:t>
                  </w:r>
                </w:p>
              </w:tc>
              <w:tc>
                <w:tcPr>
                  <w:tcW w:w="232" w:type="pct"/>
                  <w:tcBorders>
                    <w:tl2br w:val="nil"/>
                    <w:tr2bl w:val="nil"/>
                  </w:tcBorders>
                  <w:shd w:val="clear" w:color="auto" w:fill="auto"/>
                  <w:noWrap/>
                  <w:vAlign w:val="center"/>
                </w:tcPr>
                <w:p w14:paraId="5CE116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067BB7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E5B4B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30.31</w:t>
                  </w:r>
                </w:p>
              </w:tc>
              <w:tc>
                <w:tcPr>
                  <w:tcW w:w="422" w:type="pct"/>
                  <w:tcBorders>
                    <w:tl2br w:val="nil"/>
                    <w:tr2bl w:val="nil"/>
                  </w:tcBorders>
                  <w:shd w:val="clear" w:color="auto" w:fill="auto"/>
                  <w:noWrap/>
                  <w:vAlign w:val="center"/>
                </w:tcPr>
                <w:p w14:paraId="49099C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continue"/>
                  <w:tcBorders>
                    <w:tl2br w:val="nil"/>
                    <w:tr2bl w:val="nil"/>
                  </w:tcBorders>
                  <w:shd w:val="clear" w:color="auto" w:fill="auto"/>
                  <w:noWrap/>
                  <w:vAlign w:val="center"/>
                </w:tcPr>
                <w:p w14:paraId="5E4D2C76">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044D4C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68480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7EF757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86D7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6DD08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351" w:type="pct"/>
                  <w:vMerge w:val="continue"/>
                  <w:tcBorders>
                    <w:tl2br w:val="nil"/>
                    <w:tr2bl w:val="nil"/>
                  </w:tcBorders>
                  <w:shd w:val="clear" w:color="auto" w:fill="auto"/>
                  <w:noWrap/>
                  <w:vAlign w:val="center"/>
                </w:tcPr>
                <w:p w14:paraId="05250B50">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4B6F3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吹瓶机4</w:t>
                  </w:r>
                </w:p>
              </w:tc>
              <w:tc>
                <w:tcPr>
                  <w:tcW w:w="452" w:type="pct"/>
                  <w:vMerge w:val="restart"/>
                  <w:tcBorders>
                    <w:tl2br w:val="nil"/>
                    <w:tr2bl w:val="nil"/>
                  </w:tcBorders>
                  <w:shd w:val="clear" w:color="auto" w:fill="auto"/>
                  <w:noWrap/>
                  <w:vAlign w:val="center"/>
                </w:tcPr>
                <w:p w14:paraId="43C4D4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2551591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34E33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-22.56</w:t>
                  </w:r>
                </w:p>
              </w:tc>
              <w:tc>
                <w:tcPr>
                  <w:tcW w:w="321" w:type="pct"/>
                  <w:tcBorders>
                    <w:tl2br w:val="nil"/>
                    <w:tr2bl w:val="nil"/>
                  </w:tcBorders>
                  <w:shd w:val="clear" w:color="auto" w:fill="auto"/>
                  <w:noWrap/>
                  <w:vAlign w:val="center"/>
                </w:tcPr>
                <w:p w14:paraId="79C92E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28.65</w:t>
                  </w:r>
                </w:p>
              </w:tc>
              <w:tc>
                <w:tcPr>
                  <w:tcW w:w="232" w:type="pct"/>
                  <w:tcBorders>
                    <w:tl2br w:val="nil"/>
                    <w:tr2bl w:val="nil"/>
                  </w:tcBorders>
                  <w:shd w:val="clear" w:color="auto" w:fill="auto"/>
                  <w:noWrap/>
                  <w:vAlign w:val="center"/>
                </w:tcPr>
                <w:p w14:paraId="203C6D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2A5F35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7363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14.95</w:t>
                  </w:r>
                </w:p>
              </w:tc>
              <w:tc>
                <w:tcPr>
                  <w:tcW w:w="422" w:type="pct"/>
                  <w:tcBorders>
                    <w:tl2br w:val="nil"/>
                    <w:tr2bl w:val="nil"/>
                  </w:tcBorders>
                  <w:shd w:val="clear" w:color="auto" w:fill="auto"/>
                  <w:noWrap/>
                  <w:vAlign w:val="center"/>
                </w:tcPr>
                <w:p w14:paraId="594192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54.84</w:t>
                  </w:r>
                </w:p>
              </w:tc>
              <w:tc>
                <w:tcPr>
                  <w:tcW w:w="300" w:type="pct"/>
                  <w:vMerge w:val="restart"/>
                  <w:tcBorders>
                    <w:tl2br w:val="nil"/>
                    <w:tr2bl w:val="nil"/>
                  </w:tcBorders>
                  <w:shd w:val="clear" w:color="auto" w:fill="auto"/>
                  <w:noWrap/>
                  <w:vAlign w:val="center"/>
                </w:tcPr>
                <w:p w14:paraId="4871E1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800952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98EE7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28.84</w:t>
                  </w:r>
                </w:p>
              </w:tc>
              <w:tc>
                <w:tcPr>
                  <w:tcW w:w="342" w:type="pct"/>
                  <w:tcBorders>
                    <w:tl2br w:val="nil"/>
                    <w:tr2bl w:val="nil"/>
                  </w:tcBorders>
                  <w:shd w:val="clear" w:color="auto" w:fill="auto"/>
                  <w:noWrap/>
                  <w:vAlign w:val="center"/>
                </w:tcPr>
                <w:p w14:paraId="082A45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F664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CABA41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B9AB25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24FA1D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B64DEF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89C7F7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44A09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-22.56</w:t>
                  </w:r>
                </w:p>
              </w:tc>
              <w:tc>
                <w:tcPr>
                  <w:tcW w:w="321" w:type="pct"/>
                  <w:tcBorders>
                    <w:tl2br w:val="nil"/>
                    <w:tr2bl w:val="nil"/>
                  </w:tcBorders>
                  <w:shd w:val="clear" w:color="auto" w:fill="auto"/>
                  <w:noWrap/>
                  <w:vAlign w:val="center"/>
                </w:tcPr>
                <w:p w14:paraId="711700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28.65</w:t>
                  </w:r>
                </w:p>
              </w:tc>
              <w:tc>
                <w:tcPr>
                  <w:tcW w:w="232" w:type="pct"/>
                  <w:tcBorders>
                    <w:tl2br w:val="nil"/>
                    <w:tr2bl w:val="nil"/>
                  </w:tcBorders>
                  <w:shd w:val="clear" w:color="auto" w:fill="auto"/>
                  <w:noWrap/>
                  <w:vAlign w:val="center"/>
                </w:tcPr>
                <w:p w14:paraId="31A647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21C1E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7AB609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c>
                <w:tcPr>
                  <w:tcW w:w="422" w:type="pct"/>
                  <w:tcBorders>
                    <w:tl2br w:val="nil"/>
                    <w:tr2bl w:val="nil"/>
                  </w:tcBorders>
                  <w:shd w:val="clear" w:color="auto" w:fill="auto"/>
                  <w:noWrap/>
                  <w:vAlign w:val="center"/>
                </w:tcPr>
                <w:p w14:paraId="189DDE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54.87</w:t>
                  </w:r>
                </w:p>
              </w:tc>
              <w:tc>
                <w:tcPr>
                  <w:tcW w:w="300" w:type="pct"/>
                  <w:vMerge w:val="continue"/>
                  <w:tcBorders>
                    <w:tl2br w:val="nil"/>
                    <w:tr2bl w:val="nil"/>
                  </w:tcBorders>
                  <w:shd w:val="clear" w:color="auto" w:fill="auto"/>
                  <w:noWrap/>
                  <w:vAlign w:val="center"/>
                </w:tcPr>
                <w:p w14:paraId="27949E7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9D0498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C4DDF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28.87</w:t>
                  </w:r>
                </w:p>
              </w:tc>
              <w:tc>
                <w:tcPr>
                  <w:tcW w:w="342" w:type="pct"/>
                  <w:tcBorders>
                    <w:tl2br w:val="nil"/>
                    <w:tr2bl w:val="nil"/>
                  </w:tcBorders>
                  <w:shd w:val="clear" w:color="auto" w:fill="auto"/>
                  <w:noWrap/>
                  <w:vAlign w:val="center"/>
                </w:tcPr>
                <w:p w14:paraId="73F92E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6023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44F6C6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216CC8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6E2A6D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2BDB28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5DEBD5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49017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-22.56</w:t>
                  </w:r>
                </w:p>
              </w:tc>
              <w:tc>
                <w:tcPr>
                  <w:tcW w:w="321" w:type="pct"/>
                  <w:tcBorders>
                    <w:tl2br w:val="nil"/>
                    <w:tr2bl w:val="nil"/>
                  </w:tcBorders>
                  <w:shd w:val="clear" w:color="auto" w:fill="auto"/>
                  <w:noWrap/>
                  <w:vAlign w:val="center"/>
                </w:tcPr>
                <w:p w14:paraId="76706E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28.65</w:t>
                  </w:r>
                </w:p>
              </w:tc>
              <w:tc>
                <w:tcPr>
                  <w:tcW w:w="232" w:type="pct"/>
                  <w:tcBorders>
                    <w:tl2br w:val="nil"/>
                    <w:tr2bl w:val="nil"/>
                  </w:tcBorders>
                  <w:shd w:val="clear" w:color="auto" w:fill="auto"/>
                  <w:noWrap/>
                  <w:vAlign w:val="center"/>
                </w:tcPr>
                <w:p w14:paraId="228DB7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046BFA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6536C9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73.17</w:t>
                  </w:r>
                </w:p>
              </w:tc>
              <w:tc>
                <w:tcPr>
                  <w:tcW w:w="422" w:type="pct"/>
                  <w:tcBorders>
                    <w:tl2br w:val="nil"/>
                    <w:tr2bl w:val="nil"/>
                  </w:tcBorders>
                  <w:shd w:val="clear" w:color="auto" w:fill="auto"/>
                  <w:noWrap/>
                  <w:vAlign w:val="center"/>
                </w:tcPr>
                <w:p w14:paraId="525D04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44B7132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F7FEA6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79115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60D366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1B46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C460BD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9EAC18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F63E3F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781420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8AA7E9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303BB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-22.56</w:t>
                  </w:r>
                </w:p>
              </w:tc>
              <w:tc>
                <w:tcPr>
                  <w:tcW w:w="321" w:type="pct"/>
                  <w:tcBorders>
                    <w:tl2br w:val="nil"/>
                    <w:tr2bl w:val="nil"/>
                  </w:tcBorders>
                  <w:shd w:val="clear" w:color="auto" w:fill="auto"/>
                  <w:noWrap/>
                  <w:vAlign w:val="center"/>
                </w:tcPr>
                <w:p w14:paraId="3F1287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28.65</w:t>
                  </w:r>
                </w:p>
              </w:tc>
              <w:tc>
                <w:tcPr>
                  <w:tcW w:w="232" w:type="pct"/>
                  <w:tcBorders>
                    <w:tl2br w:val="nil"/>
                    <w:tr2bl w:val="nil"/>
                  </w:tcBorders>
                  <w:shd w:val="clear" w:color="auto" w:fill="auto"/>
                  <w:noWrap/>
                  <w:vAlign w:val="center"/>
                </w:tcPr>
                <w:p w14:paraId="73B02D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14821B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3F30B3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41.24</w:t>
                  </w:r>
                </w:p>
              </w:tc>
              <w:tc>
                <w:tcPr>
                  <w:tcW w:w="422" w:type="pct"/>
                  <w:tcBorders>
                    <w:tl2br w:val="nil"/>
                    <w:tr2bl w:val="nil"/>
                  </w:tcBorders>
                  <w:shd w:val="clear" w:color="auto" w:fill="auto"/>
                  <w:noWrap/>
                  <w:vAlign w:val="center"/>
                </w:tcPr>
                <w:p w14:paraId="01EAED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5D62CBE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B77E7A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E67DC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34EED9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6E94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2F8BA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351" w:type="pct"/>
                  <w:vMerge w:val="continue"/>
                  <w:tcBorders>
                    <w:tl2br w:val="nil"/>
                    <w:tr2bl w:val="nil"/>
                  </w:tcBorders>
                  <w:shd w:val="clear" w:color="auto" w:fill="auto"/>
                  <w:noWrap/>
                  <w:vAlign w:val="center"/>
                </w:tcPr>
                <w:p w14:paraId="6BFB8669">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3F379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吹瓶机5</w:t>
                  </w:r>
                </w:p>
              </w:tc>
              <w:tc>
                <w:tcPr>
                  <w:tcW w:w="452" w:type="pct"/>
                  <w:vMerge w:val="restart"/>
                  <w:tcBorders>
                    <w:tl2br w:val="nil"/>
                    <w:tr2bl w:val="nil"/>
                  </w:tcBorders>
                  <w:shd w:val="clear" w:color="auto" w:fill="auto"/>
                  <w:noWrap/>
                  <w:vAlign w:val="center"/>
                </w:tcPr>
                <w:p w14:paraId="684268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C091E3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BD822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-46.59</w:t>
                  </w:r>
                </w:p>
              </w:tc>
              <w:tc>
                <w:tcPr>
                  <w:tcW w:w="321" w:type="pct"/>
                  <w:tcBorders>
                    <w:tl2br w:val="nil"/>
                    <w:tr2bl w:val="nil"/>
                  </w:tcBorders>
                  <w:shd w:val="clear" w:color="auto" w:fill="auto"/>
                  <w:noWrap/>
                  <w:vAlign w:val="center"/>
                </w:tcPr>
                <w:p w14:paraId="3E86BA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8.76</w:t>
                  </w:r>
                </w:p>
              </w:tc>
              <w:tc>
                <w:tcPr>
                  <w:tcW w:w="232" w:type="pct"/>
                  <w:tcBorders>
                    <w:tl2br w:val="nil"/>
                    <w:tr2bl w:val="nil"/>
                  </w:tcBorders>
                  <w:shd w:val="clear" w:color="auto" w:fill="auto"/>
                  <w:noWrap/>
                  <w:vAlign w:val="center"/>
                </w:tcPr>
                <w:p w14:paraId="4B5C3D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03EF4D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A513C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23.58</w:t>
                  </w:r>
                </w:p>
              </w:tc>
              <w:tc>
                <w:tcPr>
                  <w:tcW w:w="422" w:type="pct"/>
                  <w:tcBorders>
                    <w:tl2br w:val="nil"/>
                    <w:tr2bl w:val="nil"/>
                  </w:tcBorders>
                  <w:shd w:val="clear" w:color="auto" w:fill="auto"/>
                  <w:noWrap/>
                  <w:vAlign w:val="center"/>
                </w:tcPr>
                <w:p w14:paraId="419EC8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54.81</w:t>
                  </w:r>
                </w:p>
              </w:tc>
              <w:tc>
                <w:tcPr>
                  <w:tcW w:w="300" w:type="pct"/>
                  <w:vMerge w:val="restart"/>
                  <w:tcBorders>
                    <w:tl2br w:val="nil"/>
                    <w:tr2bl w:val="nil"/>
                  </w:tcBorders>
                  <w:shd w:val="clear" w:color="auto" w:fill="auto"/>
                  <w:noWrap/>
                  <w:vAlign w:val="center"/>
                </w:tcPr>
                <w:p w14:paraId="2BBB0A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97C7D0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76B82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28.81</w:t>
                  </w:r>
                </w:p>
              </w:tc>
              <w:tc>
                <w:tcPr>
                  <w:tcW w:w="342" w:type="pct"/>
                  <w:tcBorders>
                    <w:tl2br w:val="nil"/>
                    <w:tr2bl w:val="nil"/>
                  </w:tcBorders>
                  <w:shd w:val="clear" w:color="auto" w:fill="auto"/>
                  <w:noWrap/>
                  <w:vAlign w:val="center"/>
                </w:tcPr>
                <w:p w14:paraId="2EF711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F5A8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A3D63A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F0866F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95ECED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6EEA72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D0824A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90647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-46.59</w:t>
                  </w:r>
                </w:p>
              </w:tc>
              <w:tc>
                <w:tcPr>
                  <w:tcW w:w="321" w:type="pct"/>
                  <w:tcBorders>
                    <w:tl2br w:val="nil"/>
                    <w:tr2bl w:val="nil"/>
                  </w:tcBorders>
                  <w:shd w:val="clear" w:color="auto" w:fill="auto"/>
                  <w:noWrap/>
                  <w:vAlign w:val="center"/>
                </w:tcPr>
                <w:p w14:paraId="739B89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8.76</w:t>
                  </w:r>
                </w:p>
              </w:tc>
              <w:tc>
                <w:tcPr>
                  <w:tcW w:w="232" w:type="pct"/>
                  <w:tcBorders>
                    <w:tl2br w:val="nil"/>
                    <w:tr2bl w:val="nil"/>
                  </w:tcBorders>
                  <w:shd w:val="clear" w:color="auto" w:fill="auto"/>
                  <w:noWrap/>
                  <w:vAlign w:val="center"/>
                </w:tcPr>
                <w:p w14:paraId="6A4021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132751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F6DC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41.74</w:t>
                  </w:r>
                </w:p>
              </w:tc>
              <w:tc>
                <w:tcPr>
                  <w:tcW w:w="422" w:type="pct"/>
                  <w:tcBorders>
                    <w:tl2br w:val="nil"/>
                    <w:tr2bl w:val="nil"/>
                  </w:tcBorders>
                  <w:shd w:val="clear" w:color="auto" w:fill="auto"/>
                  <w:noWrap/>
                  <w:vAlign w:val="center"/>
                </w:tcPr>
                <w:p w14:paraId="2C1898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3C3C664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8B9A36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9DD61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2368BC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4F1C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33C675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816F18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6120E4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CB439C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67741E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5D514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-46.59</w:t>
                  </w:r>
                </w:p>
              </w:tc>
              <w:tc>
                <w:tcPr>
                  <w:tcW w:w="321" w:type="pct"/>
                  <w:tcBorders>
                    <w:tl2br w:val="nil"/>
                    <w:tr2bl w:val="nil"/>
                  </w:tcBorders>
                  <w:shd w:val="clear" w:color="auto" w:fill="auto"/>
                  <w:noWrap/>
                  <w:vAlign w:val="center"/>
                </w:tcPr>
                <w:p w14:paraId="35740E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8.76</w:t>
                  </w:r>
                </w:p>
              </w:tc>
              <w:tc>
                <w:tcPr>
                  <w:tcW w:w="232" w:type="pct"/>
                  <w:tcBorders>
                    <w:tl2br w:val="nil"/>
                    <w:tr2bl w:val="nil"/>
                  </w:tcBorders>
                  <w:shd w:val="clear" w:color="auto" w:fill="auto"/>
                  <w:noWrap/>
                  <w:vAlign w:val="center"/>
                </w:tcPr>
                <w:p w14:paraId="288308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7BC38B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7A71E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64.13</w:t>
                  </w:r>
                </w:p>
              </w:tc>
              <w:tc>
                <w:tcPr>
                  <w:tcW w:w="422" w:type="pct"/>
                  <w:tcBorders>
                    <w:tl2br w:val="nil"/>
                    <w:tr2bl w:val="nil"/>
                  </w:tcBorders>
                  <w:shd w:val="clear" w:color="auto" w:fill="auto"/>
                  <w:noWrap/>
                  <w:vAlign w:val="center"/>
                </w:tcPr>
                <w:p w14:paraId="0A9846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2A5E6EA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5BDFF5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5CBFC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53A053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B82A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9A993F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039A4E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C19111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70C5BC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5E45B4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0CB7A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-46.59</w:t>
                  </w:r>
                </w:p>
              </w:tc>
              <w:tc>
                <w:tcPr>
                  <w:tcW w:w="321" w:type="pct"/>
                  <w:tcBorders>
                    <w:tl2br w:val="nil"/>
                    <w:tr2bl w:val="nil"/>
                  </w:tcBorders>
                  <w:shd w:val="clear" w:color="auto" w:fill="auto"/>
                  <w:noWrap/>
                  <w:vAlign w:val="center"/>
                </w:tcPr>
                <w:p w14:paraId="35B2C6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8.76</w:t>
                  </w:r>
                </w:p>
              </w:tc>
              <w:tc>
                <w:tcPr>
                  <w:tcW w:w="232" w:type="pct"/>
                  <w:tcBorders>
                    <w:tl2br w:val="nil"/>
                    <w:tr2bl w:val="nil"/>
                  </w:tcBorders>
                  <w:shd w:val="clear" w:color="auto" w:fill="auto"/>
                  <w:noWrap/>
                  <w:vAlign w:val="center"/>
                </w:tcPr>
                <w:p w14:paraId="1F6A75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309194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610C84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10.86</w:t>
                  </w:r>
                </w:p>
              </w:tc>
              <w:tc>
                <w:tcPr>
                  <w:tcW w:w="422" w:type="pct"/>
                  <w:tcBorders>
                    <w:tl2br w:val="nil"/>
                    <w:tr2bl w:val="nil"/>
                  </w:tcBorders>
                  <w:shd w:val="clear" w:color="auto" w:fill="auto"/>
                  <w:noWrap/>
                  <w:vAlign w:val="center"/>
                </w:tcPr>
                <w:p w14:paraId="2F0189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54.88</w:t>
                  </w:r>
                </w:p>
              </w:tc>
              <w:tc>
                <w:tcPr>
                  <w:tcW w:w="300" w:type="pct"/>
                  <w:vMerge w:val="continue"/>
                  <w:tcBorders>
                    <w:tl2br w:val="nil"/>
                    <w:tr2bl w:val="nil"/>
                  </w:tcBorders>
                  <w:shd w:val="clear" w:color="auto" w:fill="auto"/>
                  <w:noWrap/>
                  <w:vAlign w:val="center"/>
                </w:tcPr>
                <w:p w14:paraId="7B7644D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27FD21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36F09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28.88</w:t>
                  </w:r>
                </w:p>
              </w:tc>
              <w:tc>
                <w:tcPr>
                  <w:tcW w:w="342" w:type="pct"/>
                  <w:tcBorders>
                    <w:tl2br w:val="nil"/>
                    <w:tr2bl w:val="nil"/>
                  </w:tcBorders>
                  <w:shd w:val="clear" w:color="auto" w:fill="auto"/>
                  <w:noWrap/>
                  <w:vAlign w:val="center"/>
                </w:tcPr>
                <w:p w14:paraId="7B95B4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6C04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63DBD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351" w:type="pct"/>
                  <w:vMerge w:val="continue"/>
                  <w:tcBorders>
                    <w:tl2br w:val="nil"/>
                    <w:tr2bl w:val="nil"/>
                  </w:tcBorders>
                  <w:shd w:val="clear" w:color="auto" w:fill="auto"/>
                  <w:noWrap/>
                  <w:vAlign w:val="center"/>
                </w:tcPr>
                <w:p w14:paraId="4AFAD082">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276D17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吹瓶机6</w:t>
                  </w:r>
                </w:p>
              </w:tc>
              <w:tc>
                <w:tcPr>
                  <w:tcW w:w="452" w:type="pct"/>
                  <w:vMerge w:val="restart"/>
                  <w:tcBorders>
                    <w:tl2br w:val="nil"/>
                    <w:tr2bl w:val="nil"/>
                  </w:tcBorders>
                  <w:shd w:val="clear" w:color="auto" w:fill="auto"/>
                  <w:noWrap/>
                  <w:vAlign w:val="center"/>
                </w:tcPr>
                <w:p w14:paraId="165483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E42B80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BCF29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-36.03</w:t>
                  </w:r>
                </w:p>
              </w:tc>
              <w:tc>
                <w:tcPr>
                  <w:tcW w:w="321" w:type="pct"/>
                  <w:tcBorders>
                    <w:tl2br w:val="nil"/>
                    <w:tr2bl w:val="nil"/>
                  </w:tcBorders>
                  <w:shd w:val="clear" w:color="auto" w:fill="auto"/>
                  <w:noWrap/>
                  <w:vAlign w:val="center"/>
                </w:tcPr>
                <w:p w14:paraId="439746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11.04</w:t>
                  </w:r>
                </w:p>
              </w:tc>
              <w:tc>
                <w:tcPr>
                  <w:tcW w:w="232" w:type="pct"/>
                  <w:tcBorders>
                    <w:tl2br w:val="nil"/>
                    <w:tr2bl w:val="nil"/>
                  </w:tcBorders>
                  <w:shd w:val="clear" w:color="auto" w:fill="auto"/>
                  <w:noWrap/>
                  <w:vAlign w:val="center"/>
                </w:tcPr>
                <w:p w14:paraId="7B8B4A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76C8BA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9E99F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25.71</w:t>
                  </w:r>
                </w:p>
              </w:tc>
              <w:tc>
                <w:tcPr>
                  <w:tcW w:w="422" w:type="pct"/>
                  <w:tcBorders>
                    <w:tl2br w:val="nil"/>
                    <w:tr2bl w:val="nil"/>
                  </w:tcBorders>
                  <w:shd w:val="clear" w:color="auto" w:fill="auto"/>
                  <w:noWrap/>
                  <w:vAlign w:val="center"/>
                </w:tcPr>
                <w:p w14:paraId="6B9C8B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restart"/>
                  <w:tcBorders>
                    <w:tl2br w:val="nil"/>
                    <w:tr2bl w:val="nil"/>
                  </w:tcBorders>
                  <w:shd w:val="clear" w:color="auto" w:fill="auto"/>
                  <w:noWrap/>
                  <w:vAlign w:val="center"/>
                </w:tcPr>
                <w:p w14:paraId="2508C2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0BFF17A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5E72A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316926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526A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02021D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33E2D2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A7CA1D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179F0B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2654C0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EAA9A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-36.03</w:t>
                  </w:r>
                </w:p>
              </w:tc>
              <w:tc>
                <w:tcPr>
                  <w:tcW w:w="321" w:type="pct"/>
                  <w:tcBorders>
                    <w:tl2br w:val="nil"/>
                    <w:tr2bl w:val="nil"/>
                  </w:tcBorders>
                  <w:shd w:val="clear" w:color="auto" w:fill="auto"/>
                  <w:noWrap/>
                  <w:vAlign w:val="center"/>
                </w:tcPr>
                <w:p w14:paraId="7B99A5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11.04</w:t>
                  </w:r>
                </w:p>
              </w:tc>
              <w:tc>
                <w:tcPr>
                  <w:tcW w:w="232" w:type="pct"/>
                  <w:tcBorders>
                    <w:tl2br w:val="nil"/>
                    <w:tr2bl w:val="nil"/>
                  </w:tcBorders>
                  <w:shd w:val="clear" w:color="auto" w:fill="auto"/>
                  <w:noWrap/>
                  <w:vAlign w:val="center"/>
                </w:tcPr>
                <w:p w14:paraId="34BEA7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38B112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7B3CE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31.09</w:t>
                  </w:r>
                </w:p>
              </w:tc>
              <w:tc>
                <w:tcPr>
                  <w:tcW w:w="422" w:type="pct"/>
                  <w:tcBorders>
                    <w:tl2br w:val="nil"/>
                    <w:tr2bl w:val="nil"/>
                  </w:tcBorders>
                  <w:shd w:val="clear" w:color="auto" w:fill="auto"/>
                  <w:noWrap/>
                  <w:vAlign w:val="center"/>
                </w:tcPr>
                <w:p w14:paraId="217294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continue"/>
                  <w:tcBorders>
                    <w:tl2br w:val="nil"/>
                    <w:tr2bl w:val="nil"/>
                  </w:tcBorders>
                  <w:shd w:val="clear" w:color="auto" w:fill="auto"/>
                  <w:noWrap/>
                  <w:vAlign w:val="center"/>
                </w:tcPr>
                <w:p w14:paraId="5B800DA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55E2FD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8765C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3FAC7E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A8B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83232F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36D7FD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646514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1308D0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918E4C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C483C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-36.03</w:t>
                  </w:r>
                </w:p>
              </w:tc>
              <w:tc>
                <w:tcPr>
                  <w:tcW w:w="321" w:type="pct"/>
                  <w:tcBorders>
                    <w:tl2br w:val="nil"/>
                    <w:tr2bl w:val="nil"/>
                  </w:tcBorders>
                  <w:shd w:val="clear" w:color="auto" w:fill="auto"/>
                  <w:noWrap/>
                  <w:vAlign w:val="center"/>
                </w:tcPr>
                <w:p w14:paraId="6D9ECC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11.04</w:t>
                  </w:r>
                </w:p>
              </w:tc>
              <w:tc>
                <w:tcPr>
                  <w:tcW w:w="232" w:type="pct"/>
                  <w:tcBorders>
                    <w:tl2br w:val="nil"/>
                    <w:tr2bl w:val="nil"/>
                  </w:tcBorders>
                  <w:shd w:val="clear" w:color="auto" w:fill="auto"/>
                  <w:noWrap/>
                  <w:vAlign w:val="center"/>
                </w:tcPr>
                <w:p w14:paraId="04388A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2975F8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58C094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62.15</w:t>
                  </w:r>
                </w:p>
              </w:tc>
              <w:tc>
                <w:tcPr>
                  <w:tcW w:w="422" w:type="pct"/>
                  <w:tcBorders>
                    <w:tl2br w:val="nil"/>
                    <w:tr2bl w:val="nil"/>
                  </w:tcBorders>
                  <w:shd w:val="clear" w:color="auto" w:fill="auto"/>
                  <w:noWrap/>
                  <w:vAlign w:val="center"/>
                </w:tcPr>
                <w:p w14:paraId="129177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60D832E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D12E12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68391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3CB5EE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EDC2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577D57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30D03C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1B72F7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4664D5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37700F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86287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-36.03</w:t>
                  </w:r>
                </w:p>
              </w:tc>
              <w:tc>
                <w:tcPr>
                  <w:tcW w:w="321" w:type="pct"/>
                  <w:tcBorders>
                    <w:tl2br w:val="nil"/>
                    <w:tr2bl w:val="nil"/>
                  </w:tcBorders>
                  <w:shd w:val="clear" w:color="auto" w:fill="auto"/>
                  <w:noWrap/>
                  <w:vAlign w:val="center"/>
                </w:tcPr>
                <w:p w14:paraId="505408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11.04</w:t>
                  </w:r>
                </w:p>
              </w:tc>
              <w:tc>
                <w:tcPr>
                  <w:tcW w:w="232" w:type="pct"/>
                  <w:tcBorders>
                    <w:tl2br w:val="nil"/>
                    <w:tr2bl w:val="nil"/>
                  </w:tcBorders>
                  <w:shd w:val="clear" w:color="auto" w:fill="auto"/>
                  <w:noWrap/>
                  <w:vAlign w:val="center"/>
                </w:tcPr>
                <w:p w14:paraId="1CAAF2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5B9667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A2A12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21.33</w:t>
                  </w:r>
                </w:p>
              </w:tc>
              <w:tc>
                <w:tcPr>
                  <w:tcW w:w="422" w:type="pct"/>
                  <w:tcBorders>
                    <w:tl2br w:val="nil"/>
                    <w:tr2bl w:val="nil"/>
                  </w:tcBorders>
                  <w:shd w:val="clear" w:color="auto" w:fill="auto"/>
                  <w:noWrap/>
                  <w:vAlign w:val="center"/>
                </w:tcPr>
                <w:p w14:paraId="1BC77B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54.81</w:t>
                  </w:r>
                </w:p>
              </w:tc>
              <w:tc>
                <w:tcPr>
                  <w:tcW w:w="300" w:type="pct"/>
                  <w:vMerge w:val="continue"/>
                  <w:tcBorders>
                    <w:tl2br w:val="nil"/>
                    <w:tr2bl w:val="nil"/>
                  </w:tcBorders>
                  <w:shd w:val="clear" w:color="auto" w:fill="auto"/>
                  <w:noWrap/>
                  <w:vAlign w:val="center"/>
                </w:tcPr>
                <w:p w14:paraId="00A432C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87D924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702B4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28.81</w:t>
                  </w:r>
                </w:p>
              </w:tc>
              <w:tc>
                <w:tcPr>
                  <w:tcW w:w="342" w:type="pct"/>
                  <w:tcBorders>
                    <w:tl2br w:val="nil"/>
                    <w:tr2bl w:val="nil"/>
                  </w:tcBorders>
                  <w:shd w:val="clear" w:color="auto" w:fill="auto"/>
                  <w:noWrap/>
                  <w:vAlign w:val="center"/>
                </w:tcPr>
                <w:p w14:paraId="642DD8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D016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0467BB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351" w:type="pct"/>
                  <w:vMerge w:val="continue"/>
                  <w:tcBorders>
                    <w:tl2br w:val="nil"/>
                    <w:tr2bl w:val="nil"/>
                  </w:tcBorders>
                  <w:shd w:val="clear" w:color="auto" w:fill="auto"/>
                  <w:noWrap/>
                  <w:vAlign w:val="center"/>
                </w:tcPr>
                <w:p w14:paraId="4189087F">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FF906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吹瓶机7</w:t>
                  </w:r>
                </w:p>
              </w:tc>
              <w:tc>
                <w:tcPr>
                  <w:tcW w:w="452" w:type="pct"/>
                  <w:vMerge w:val="restart"/>
                  <w:tcBorders>
                    <w:tl2br w:val="nil"/>
                    <w:tr2bl w:val="nil"/>
                  </w:tcBorders>
                  <w:shd w:val="clear" w:color="auto" w:fill="auto"/>
                  <w:noWrap/>
                  <w:vAlign w:val="center"/>
                </w:tcPr>
                <w:p w14:paraId="66FD2A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8A7AAF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6BA6F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-26.08</w:t>
                  </w:r>
                </w:p>
              </w:tc>
              <w:tc>
                <w:tcPr>
                  <w:tcW w:w="321" w:type="pct"/>
                  <w:tcBorders>
                    <w:tl2br w:val="nil"/>
                    <w:tr2bl w:val="nil"/>
                  </w:tcBorders>
                  <w:shd w:val="clear" w:color="auto" w:fill="auto"/>
                  <w:noWrap/>
                  <w:vAlign w:val="center"/>
                </w:tcPr>
                <w:p w14:paraId="4E398D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13.74</w:t>
                  </w:r>
                </w:p>
              </w:tc>
              <w:tc>
                <w:tcPr>
                  <w:tcW w:w="232" w:type="pct"/>
                  <w:tcBorders>
                    <w:tl2br w:val="nil"/>
                    <w:tr2bl w:val="nil"/>
                  </w:tcBorders>
                  <w:shd w:val="clear" w:color="auto" w:fill="auto"/>
                  <w:noWrap/>
                  <w:vAlign w:val="center"/>
                </w:tcPr>
                <w:p w14:paraId="3461BF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6D18F4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9A350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27.21</w:t>
                  </w:r>
                </w:p>
              </w:tc>
              <w:tc>
                <w:tcPr>
                  <w:tcW w:w="422" w:type="pct"/>
                  <w:tcBorders>
                    <w:tl2br w:val="nil"/>
                    <w:tr2bl w:val="nil"/>
                  </w:tcBorders>
                  <w:shd w:val="clear" w:color="auto" w:fill="auto"/>
                  <w:noWrap/>
                  <w:vAlign w:val="center"/>
                </w:tcPr>
                <w:p w14:paraId="185F68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restart"/>
                  <w:tcBorders>
                    <w:tl2br w:val="nil"/>
                    <w:tr2bl w:val="nil"/>
                  </w:tcBorders>
                  <w:shd w:val="clear" w:color="auto" w:fill="auto"/>
                  <w:noWrap/>
                  <w:vAlign w:val="center"/>
                </w:tcPr>
                <w:p w14:paraId="5D7FAA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402032E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046B8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0D9A8E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75AB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E4A998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9F5C91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F81574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BA1092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D09350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9A4BE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-26.08</w:t>
                  </w:r>
                </w:p>
              </w:tc>
              <w:tc>
                <w:tcPr>
                  <w:tcW w:w="321" w:type="pct"/>
                  <w:tcBorders>
                    <w:tl2br w:val="nil"/>
                    <w:tr2bl w:val="nil"/>
                  </w:tcBorders>
                  <w:shd w:val="clear" w:color="auto" w:fill="auto"/>
                  <w:noWrap/>
                  <w:vAlign w:val="center"/>
                </w:tcPr>
                <w:p w14:paraId="68AFC5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13.74</w:t>
                  </w:r>
                </w:p>
              </w:tc>
              <w:tc>
                <w:tcPr>
                  <w:tcW w:w="232" w:type="pct"/>
                  <w:tcBorders>
                    <w:tl2br w:val="nil"/>
                    <w:tr2bl w:val="nil"/>
                  </w:tcBorders>
                  <w:shd w:val="clear" w:color="auto" w:fill="auto"/>
                  <w:noWrap/>
                  <w:vAlign w:val="center"/>
                </w:tcPr>
                <w:p w14:paraId="2FD123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6D9374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2D370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20.86</w:t>
                  </w:r>
                </w:p>
              </w:tc>
              <w:tc>
                <w:tcPr>
                  <w:tcW w:w="422" w:type="pct"/>
                  <w:tcBorders>
                    <w:tl2br w:val="nil"/>
                    <w:tr2bl w:val="nil"/>
                  </w:tcBorders>
                  <w:shd w:val="clear" w:color="auto" w:fill="auto"/>
                  <w:noWrap/>
                  <w:vAlign w:val="center"/>
                </w:tcPr>
                <w:p w14:paraId="12C18B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54.81</w:t>
                  </w:r>
                </w:p>
              </w:tc>
              <w:tc>
                <w:tcPr>
                  <w:tcW w:w="300" w:type="pct"/>
                  <w:vMerge w:val="continue"/>
                  <w:tcBorders>
                    <w:tl2br w:val="nil"/>
                    <w:tr2bl w:val="nil"/>
                  </w:tcBorders>
                  <w:shd w:val="clear" w:color="auto" w:fill="auto"/>
                  <w:noWrap/>
                  <w:vAlign w:val="center"/>
                </w:tcPr>
                <w:p w14:paraId="70DB837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CA91A9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A5E36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28.81</w:t>
                  </w:r>
                </w:p>
              </w:tc>
              <w:tc>
                <w:tcPr>
                  <w:tcW w:w="342" w:type="pct"/>
                  <w:tcBorders>
                    <w:tl2br w:val="nil"/>
                    <w:tr2bl w:val="nil"/>
                  </w:tcBorders>
                  <w:shd w:val="clear" w:color="auto" w:fill="auto"/>
                  <w:noWrap/>
                  <w:vAlign w:val="center"/>
                </w:tcPr>
                <w:p w14:paraId="6987D8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D195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B57190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3410CA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C6E6DA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3912A9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A6D2A6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40F20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-26.08</w:t>
                  </w:r>
                </w:p>
              </w:tc>
              <w:tc>
                <w:tcPr>
                  <w:tcW w:w="321" w:type="pct"/>
                  <w:tcBorders>
                    <w:tl2br w:val="nil"/>
                    <w:tr2bl w:val="nil"/>
                  </w:tcBorders>
                  <w:shd w:val="clear" w:color="auto" w:fill="auto"/>
                  <w:noWrap/>
                  <w:vAlign w:val="center"/>
                </w:tcPr>
                <w:p w14:paraId="46A448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13.74</w:t>
                  </w:r>
                </w:p>
              </w:tc>
              <w:tc>
                <w:tcPr>
                  <w:tcW w:w="232" w:type="pct"/>
                  <w:tcBorders>
                    <w:tl2br w:val="nil"/>
                    <w:tr2bl w:val="nil"/>
                  </w:tcBorders>
                  <w:shd w:val="clear" w:color="auto" w:fill="auto"/>
                  <w:noWrap/>
                  <w:vAlign w:val="center"/>
                </w:tcPr>
                <w:p w14:paraId="5E2DF3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705CDB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3178BA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60.79</w:t>
                  </w:r>
                </w:p>
              </w:tc>
              <w:tc>
                <w:tcPr>
                  <w:tcW w:w="422" w:type="pct"/>
                  <w:tcBorders>
                    <w:tl2br w:val="nil"/>
                    <w:tr2bl w:val="nil"/>
                  </w:tcBorders>
                  <w:shd w:val="clear" w:color="auto" w:fill="auto"/>
                  <w:noWrap/>
                  <w:vAlign w:val="center"/>
                </w:tcPr>
                <w:p w14:paraId="669528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32CEBB8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23992D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A19AB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65D8EE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303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6C5A30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A5E206B">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6BDBEB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532F2A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04A61C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FA995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-26.08</w:t>
                  </w:r>
                </w:p>
              </w:tc>
              <w:tc>
                <w:tcPr>
                  <w:tcW w:w="321" w:type="pct"/>
                  <w:tcBorders>
                    <w:tl2br w:val="nil"/>
                    <w:tr2bl w:val="nil"/>
                  </w:tcBorders>
                  <w:shd w:val="clear" w:color="auto" w:fill="auto"/>
                  <w:noWrap/>
                  <w:vAlign w:val="center"/>
                </w:tcPr>
                <w:p w14:paraId="418888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13.74</w:t>
                  </w:r>
                </w:p>
              </w:tc>
              <w:tc>
                <w:tcPr>
                  <w:tcW w:w="232" w:type="pct"/>
                  <w:tcBorders>
                    <w:tl2br w:val="nil"/>
                    <w:tr2bl w:val="nil"/>
                  </w:tcBorders>
                  <w:shd w:val="clear" w:color="auto" w:fill="auto"/>
                  <w:noWrap/>
                  <w:vAlign w:val="center"/>
                </w:tcPr>
                <w:p w14:paraId="0226AA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7309C5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3D698C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31.44</w:t>
                  </w:r>
                </w:p>
              </w:tc>
              <w:tc>
                <w:tcPr>
                  <w:tcW w:w="422" w:type="pct"/>
                  <w:tcBorders>
                    <w:tl2br w:val="nil"/>
                    <w:tr2bl w:val="nil"/>
                  </w:tcBorders>
                  <w:shd w:val="clear" w:color="auto" w:fill="auto"/>
                  <w:noWrap/>
                  <w:vAlign w:val="center"/>
                </w:tcPr>
                <w:p w14:paraId="4E76B3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continue"/>
                  <w:tcBorders>
                    <w:tl2br w:val="nil"/>
                    <w:tr2bl w:val="nil"/>
                  </w:tcBorders>
                  <w:shd w:val="clear" w:color="auto" w:fill="auto"/>
                  <w:noWrap/>
                  <w:vAlign w:val="center"/>
                </w:tcPr>
                <w:p w14:paraId="5C47801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C27448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97CF7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379B3B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F4EA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AC452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351" w:type="pct"/>
                  <w:vMerge w:val="continue"/>
                  <w:tcBorders>
                    <w:tl2br w:val="nil"/>
                    <w:tr2bl w:val="nil"/>
                  </w:tcBorders>
                  <w:shd w:val="clear" w:color="auto" w:fill="auto"/>
                  <w:noWrap/>
                  <w:vAlign w:val="center"/>
                </w:tcPr>
                <w:p w14:paraId="370C0240">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4879F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吹瓶机8</w:t>
                  </w:r>
                </w:p>
              </w:tc>
              <w:tc>
                <w:tcPr>
                  <w:tcW w:w="452" w:type="pct"/>
                  <w:vMerge w:val="restart"/>
                  <w:tcBorders>
                    <w:tl2br w:val="nil"/>
                    <w:tr2bl w:val="nil"/>
                  </w:tcBorders>
                  <w:shd w:val="clear" w:color="auto" w:fill="auto"/>
                  <w:noWrap/>
                  <w:vAlign w:val="center"/>
                </w:tcPr>
                <w:p w14:paraId="0CBA50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28224D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08901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-18.21</w:t>
                  </w:r>
                </w:p>
              </w:tc>
              <w:tc>
                <w:tcPr>
                  <w:tcW w:w="321" w:type="pct"/>
                  <w:tcBorders>
                    <w:tl2br w:val="nil"/>
                    <w:tr2bl w:val="nil"/>
                  </w:tcBorders>
                  <w:shd w:val="clear" w:color="auto" w:fill="auto"/>
                  <w:noWrap/>
                  <w:vAlign w:val="center"/>
                </w:tcPr>
                <w:p w14:paraId="175E08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15.19</w:t>
                  </w:r>
                </w:p>
              </w:tc>
              <w:tc>
                <w:tcPr>
                  <w:tcW w:w="232" w:type="pct"/>
                  <w:tcBorders>
                    <w:tl2br w:val="nil"/>
                    <w:tr2bl w:val="nil"/>
                  </w:tcBorders>
                  <w:shd w:val="clear" w:color="auto" w:fill="auto"/>
                  <w:noWrap/>
                  <w:vAlign w:val="center"/>
                </w:tcPr>
                <w:p w14:paraId="30A656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26215C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DEA33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29.02</w:t>
                  </w:r>
                </w:p>
              </w:tc>
              <w:tc>
                <w:tcPr>
                  <w:tcW w:w="422" w:type="pct"/>
                  <w:tcBorders>
                    <w:tl2br w:val="nil"/>
                    <w:tr2bl w:val="nil"/>
                  </w:tcBorders>
                  <w:shd w:val="clear" w:color="auto" w:fill="auto"/>
                  <w:noWrap/>
                  <w:vAlign w:val="center"/>
                </w:tcPr>
                <w:p w14:paraId="518128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restart"/>
                  <w:tcBorders>
                    <w:tl2br w:val="nil"/>
                    <w:tr2bl w:val="nil"/>
                  </w:tcBorders>
                  <w:shd w:val="clear" w:color="auto" w:fill="auto"/>
                  <w:noWrap/>
                  <w:vAlign w:val="center"/>
                </w:tcPr>
                <w:p w14:paraId="0E5A1F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2B0F97F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DCB0F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40B91D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CF31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9E7B49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072664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016209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50322E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5A7D3A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01955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-18.21</w:t>
                  </w:r>
                </w:p>
              </w:tc>
              <w:tc>
                <w:tcPr>
                  <w:tcW w:w="321" w:type="pct"/>
                  <w:tcBorders>
                    <w:tl2br w:val="nil"/>
                    <w:tr2bl w:val="nil"/>
                  </w:tcBorders>
                  <w:shd w:val="clear" w:color="auto" w:fill="auto"/>
                  <w:noWrap/>
                  <w:vAlign w:val="center"/>
                </w:tcPr>
                <w:p w14:paraId="1120B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15.19</w:t>
                  </w:r>
                </w:p>
              </w:tc>
              <w:tc>
                <w:tcPr>
                  <w:tcW w:w="232" w:type="pct"/>
                  <w:tcBorders>
                    <w:tl2br w:val="nil"/>
                    <w:tr2bl w:val="nil"/>
                  </w:tcBorders>
                  <w:shd w:val="clear" w:color="auto" w:fill="auto"/>
                  <w:noWrap/>
                  <w:vAlign w:val="center"/>
                </w:tcPr>
                <w:p w14:paraId="79B19D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08F3BF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3C702F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13.02</w:t>
                  </w:r>
                </w:p>
              </w:tc>
              <w:tc>
                <w:tcPr>
                  <w:tcW w:w="422" w:type="pct"/>
                  <w:tcBorders>
                    <w:tl2br w:val="nil"/>
                    <w:tr2bl w:val="nil"/>
                  </w:tcBorders>
                  <w:shd w:val="clear" w:color="auto" w:fill="auto"/>
                  <w:noWrap/>
                  <w:vAlign w:val="center"/>
                </w:tcPr>
                <w:p w14:paraId="276C4D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54.85</w:t>
                  </w:r>
                </w:p>
              </w:tc>
              <w:tc>
                <w:tcPr>
                  <w:tcW w:w="300" w:type="pct"/>
                  <w:vMerge w:val="continue"/>
                  <w:tcBorders>
                    <w:tl2br w:val="nil"/>
                    <w:tr2bl w:val="nil"/>
                  </w:tcBorders>
                  <w:shd w:val="clear" w:color="auto" w:fill="auto"/>
                  <w:noWrap/>
                  <w:vAlign w:val="center"/>
                </w:tcPr>
                <w:p w14:paraId="0479763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DB3688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FB8A5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28.85</w:t>
                  </w:r>
                </w:p>
              </w:tc>
              <w:tc>
                <w:tcPr>
                  <w:tcW w:w="342" w:type="pct"/>
                  <w:tcBorders>
                    <w:tl2br w:val="nil"/>
                    <w:tr2bl w:val="nil"/>
                  </w:tcBorders>
                  <w:shd w:val="clear" w:color="auto" w:fill="auto"/>
                  <w:noWrap/>
                  <w:vAlign w:val="center"/>
                </w:tcPr>
                <w:p w14:paraId="499F87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E519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BEE4CC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7A934B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6FD851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5B33D6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BB9F01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4B060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-18.21</w:t>
                  </w:r>
                </w:p>
              </w:tc>
              <w:tc>
                <w:tcPr>
                  <w:tcW w:w="321" w:type="pct"/>
                  <w:tcBorders>
                    <w:tl2br w:val="nil"/>
                    <w:tr2bl w:val="nil"/>
                  </w:tcBorders>
                  <w:shd w:val="clear" w:color="auto" w:fill="auto"/>
                  <w:noWrap/>
                  <w:vAlign w:val="center"/>
                </w:tcPr>
                <w:p w14:paraId="328D48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15.19</w:t>
                  </w:r>
                </w:p>
              </w:tc>
              <w:tc>
                <w:tcPr>
                  <w:tcW w:w="232" w:type="pct"/>
                  <w:tcBorders>
                    <w:tl2br w:val="nil"/>
                    <w:tr2bl w:val="nil"/>
                  </w:tcBorders>
                  <w:shd w:val="clear" w:color="auto" w:fill="auto"/>
                  <w:noWrap/>
                  <w:vAlign w:val="center"/>
                </w:tcPr>
                <w:p w14:paraId="2371A7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96A07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71790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59.08</w:t>
                  </w:r>
                </w:p>
              </w:tc>
              <w:tc>
                <w:tcPr>
                  <w:tcW w:w="422" w:type="pct"/>
                  <w:tcBorders>
                    <w:tl2br w:val="nil"/>
                    <w:tr2bl w:val="nil"/>
                  </w:tcBorders>
                  <w:shd w:val="clear" w:color="auto" w:fill="auto"/>
                  <w:noWrap/>
                  <w:vAlign w:val="center"/>
                </w:tcPr>
                <w:p w14:paraId="360692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66534F1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63582F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69E69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5893E3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DB6D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378591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83986C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5A7EF7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5EC8E2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459438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C8045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-18.21</w:t>
                  </w:r>
                </w:p>
              </w:tc>
              <w:tc>
                <w:tcPr>
                  <w:tcW w:w="321" w:type="pct"/>
                  <w:tcBorders>
                    <w:tl2br w:val="nil"/>
                    <w:tr2bl w:val="nil"/>
                  </w:tcBorders>
                  <w:shd w:val="clear" w:color="auto" w:fill="auto"/>
                  <w:noWrap/>
                  <w:vAlign w:val="center"/>
                </w:tcPr>
                <w:p w14:paraId="5D1120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15.19</w:t>
                  </w:r>
                </w:p>
              </w:tc>
              <w:tc>
                <w:tcPr>
                  <w:tcW w:w="232" w:type="pct"/>
                  <w:tcBorders>
                    <w:tl2br w:val="nil"/>
                    <w:tr2bl w:val="nil"/>
                  </w:tcBorders>
                  <w:shd w:val="clear" w:color="auto" w:fill="auto"/>
                  <w:noWrap/>
                  <w:vAlign w:val="center"/>
                </w:tcPr>
                <w:p w14:paraId="4827E4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27F766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2B829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39.13</w:t>
                  </w:r>
                </w:p>
              </w:tc>
              <w:tc>
                <w:tcPr>
                  <w:tcW w:w="422" w:type="pct"/>
                  <w:tcBorders>
                    <w:tl2br w:val="nil"/>
                    <w:tr2bl w:val="nil"/>
                  </w:tcBorders>
                  <w:shd w:val="clear" w:color="auto" w:fill="auto"/>
                  <w:noWrap/>
                  <w:vAlign w:val="center"/>
                </w:tcPr>
                <w:p w14:paraId="6839A8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continue"/>
                  <w:tcBorders>
                    <w:tl2br w:val="nil"/>
                    <w:tr2bl w:val="nil"/>
                  </w:tcBorders>
                  <w:shd w:val="clear" w:color="auto" w:fill="auto"/>
                  <w:noWrap/>
                  <w:vAlign w:val="center"/>
                </w:tcPr>
                <w:p w14:paraId="176106F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522FDF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38A49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7F5056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7628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80A38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351" w:type="pct"/>
                  <w:vMerge w:val="continue"/>
                  <w:tcBorders>
                    <w:tl2br w:val="nil"/>
                    <w:tr2bl w:val="nil"/>
                  </w:tcBorders>
                  <w:shd w:val="clear" w:color="auto" w:fill="auto"/>
                  <w:noWrap/>
                  <w:vAlign w:val="center"/>
                </w:tcPr>
                <w:p w14:paraId="399EA153">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4942AC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吹瓶机9</w:t>
                  </w:r>
                </w:p>
              </w:tc>
              <w:tc>
                <w:tcPr>
                  <w:tcW w:w="452" w:type="pct"/>
                  <w:vMerge w:val="restart"/>
                  <w:tcBorders>
                    <w:tl2br w:val="nil"/>
                    <w:tr2bl w:val="nil"/>
                  </w:tcBorders>
                  <w:shd w:val="clear" w:color="auto" w:fill="auto"/>
                  <w:noWrap/>
                  <w:vAlign w:val="center"/>
                </w:tcPr>
                <w:p w14:paraId="4B620E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3CBF9E3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7030B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-41.62</w:t>
                  </w:r>
                </w:p>
              </w:tc>
              <w:tc>
                <w:tcPr>
                  <w:tcW w:w="321" w:type="pct"/>
                  <w:tcBorders>
                    <w:tl2br w:val="nil"/>
                    <w:tr2bl w:val="nil"/>
                  </w:tcBorders>
                  <w:shd w:val="clear" w:color="auto" w:fill="auto"/>
                  <w:noWrap/>
                  <w:vAlign w:val="center"/>
                </w:tcPr>
                <w:p w14:paraId="4908F5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232" w:type="pct"/>
                  <w:tcBorders>
                    <w:tl2br w:val="nil"/>
                    <w:tr2bl w:val="nil"/>
                  </w:tcBorders>
                  <w:shd w:val="clear" w:color="auto" w:fill="auto"/>
                  <w:noWrap/>
                  <w:vAlign w:val="center"/>
                </w:tcPr>
                <w:p w14:paraId="24D56B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03B514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BB634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35.44</w:t>
                  </w:r>
                </w:p>
              </w:tc>
              <w:tc>
                <w:tcPr>
                  <w:tcW w:w="422" w:type="pct"/>
                  <w:tcBorders>
                    <w:tl2br w:val="nil"/>
                    <w:tr2bl w:val="nil"/>
                  </w:tcBorders>
                  <w:shd w:val="clear" w:color="auto" w:fill="auto"/>
                  <w:noWrap/>
                  <w:vAlign w:val="center"/>
                </w:tcPr>
                <w:p w14:paraId="306F00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restart"/>
                  <w:tcBorders>
                    <w:tl2br w:val="nil"/>
                    <w:tr2bl w:val="nil"/>
                  </w:tcBorders>
                  <w:shd w:val="clear" w:color="auto" w:fill="auto"/>
                  <w:noWrap/>
                  <w:vAlign w:val="center"/>
                </w:tcPr>
                <w:p w14:paraId="06811F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EBD7E9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F9056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2F95E1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80C5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4958DF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283A6F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BF49B2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D51B4B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245DDD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A31E5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-41.62</w:t>
                  </w:r>
                </w:p>
              </w:tc>
              <w:tc>
                <w:tcPr>
                  <w:tcW w:w="321" w:type="pct"/>
                  <w:tcBorders>
                    <w:tl2br w:val="nil"/>
                    <w:tr2bl w:val="nil"/>
                  </w:tcBorders>
                  <w:shd w:val="clear" w:color="auto" w:fill="auto"/>
                  <w:noWrap/>
                  <w:vAlign w:val="center"/>
                </w:tcPr>
                <w:p w14:paraId="2DEE0C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232" w:type="pct"/>
                  <w:tcBorders>
                    <w:tl2br w:val="nil"/>
                    <w:tr2bl w:val="nil"/>
                  </w:tcBorders>
                  <w:shd w:val="clear" w:color="auto" w:fill="auto"/>
                  <w:noWrap/>
                  <w:vAlign w:val="center"/>
                </w:tcPr>
                <w:p w14:paraId="26806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6621E1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340E8A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41.18</w:t>
                  </w:r>
                </w:p>
              </w:tc>
              <w:tc>
                <w:tcPr>
                  <w:tcW w:w="422" w:type="pct"/>
                  <w:tcBorders>
                    <w:tl2br w:val="nil"/>
                    <w:tr2bl w:val="nil"/>
                  </w:tcBorders>
                  <w:shd w:val="clear" w:color="auto" w:fill="auto"/>
                  <w:noWrap/>
                  <w:vAlign w:val="center"/>
                </w:tcPr>
                <w:p w14:paraId="5FFF4A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3EF139A6">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338B78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D4505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0CC252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A740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A05130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C77BD5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C106C2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57B9C9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44F3DA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8F448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-41.62</w:t>
                  </w:r>
                </w:p>
              </w:tc>
              <w:tc>
                <w:tcPr>
                  <w:tcW w:w="321" w:type="pct"/>
                  <w:tcBorders>
                    <w:tl2br w:val="nil"/>
                    <w:tr2bl w:val="nil"/>
                  </w:tcBorders>
                  <w:shd w:val="clear" w:color="auto" w:fill="auto"/>
                  <w:noWrap/>
                  <w:vAlign w:val="center"/>
                </w:tcPr>
                <w:p w14:paraId="6E40F9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232" w:type="pct"/>
                  <w:tcBorders>
                    <w:tl2br w:val="nil"/>
                    <w:tr2bl w:val="nil"/>
                  </w:tcBorders>
                  <w:shd w:val="clear" w:color="auto" w:fill="auto"/>
                  <w:noWrap/>
                  <w:vAlign w:val="center"/>
                </w:tcPr>
                <w:p w14:paraId="50055E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96E8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0AAF8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52.28</w:t>
                  </w:r>
                </w:p>
              </w:tc>
              <w:tc>
                <w:tcPr>
                  <w:tcW w:w="422" w:type="pct"/>
                  <w:tcBorders>
                    <w:tl2br w:val="nil"/>
                    <w:tr2bl w:val="nil"/>
                  </w:tcBorders>
                  <w:shd w:val="clear" w:color="auto" w:fill="auto"/>
                  <w:noWrap/>
                  <w:vAlign w:val="center"/>
                </w:tcPr>
                <w:p w14:paraId="25CE7C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3E5060C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B67E25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1B1E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1DB410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F66C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47E054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AA0A0E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C1AA22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5B444C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A461D4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DDCF3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-41.62</w:t>
                  </w:r>
                </w:p>
              </w:tc>
              <w:tc>
                <w:tcPr>
                  <w:tcW w:w="321" w:type="pct"/>
                  <w:tcBorders>
                    <w:tl2br w:val="nil"/>
                    <w:tr2bl w:val="nil"/>
                  </w:tcBorders>
                  <w:shd w:val="clear" w:color="auto" w:fill="auto"/>
                  <w:noWrap/>
                  <w:vAlign w:val="center"/>
                </w:tcPr>
                <w:p w14:paraId="285922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232" w:type="pct"/>
                  <w:tcBorders>
                    <w:tl2br w:val="nil"/>
                    <w:tr2bl w:val="nil"/>
                  </w:tcBorders>
                  <w:shd w:val="clear" w:color="auto" w:fill="auto"/>
                  <w:noWrap/>
                  <w:vAlign w:val="center"/>
                </w:tcPr>
                <w:p w14:paraId="19CCE1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788C03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97A52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10.51</w:t>
                  </w:r>
                </w:p>
              </w:tc>
              <w:tc>
                <w:tcPr>
                  <w:tcW w:w="422" w:type="pct"/>
                  <w:tcBorders>
                    <w:tl2br w:val="nil"/>
                    <w:tr2bl w:val="nil"/>
                  </w:tcBorders>
                  <w:shd w:val="clear" w:color="auto" w:fill="auto"/>
                  <w:noWrap/>
                  <w:vAlign w:val="center"/>
                </w:tcPr>
                <w:p w14:paraId="6AF74B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54.89</w:t>
                  </w:r>
                </w:p>
              </w:tc>
              <w:tc>
                <w:tcPr>
                  <w:tcW w:w="300" w:type="pct"/>
                  <w:vMerge w:val="continue"/>
                  <w:tcBorders>
                    <w:tl2br w:val="nil"/>
                    <w:tr2bl w:val="nil"/>
                  </w:tcBorders>
                  <w:shd w:val="clear" w:color="auto" w:fill="auto"/>
                  <w:noWrap/>
                  <w:vAlign w:val="center"/>
                </w:tcPr>
                <w:p w14:paraId="0F1B61F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402FE5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1D4ED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28.89</w:t>
                  </w:r>
                </w:p>
              </w:tc>
              <w:tc>
                <w:tcPr>
                  <w:tcW w:w="342" w:type="pct"/>
                  <w:tcBorders>
                    <w:tl2br w:val="nil"/>
                    <w:tr2bl w:val="nil"/>
                  </w:tcBorders>
                  <w:shd w:val="clear" w:color="auto" w:fill="auto"/>
                  <w:noWrap/>
                  <w:vAlign w:val="center"/>
                </w:tcPr>
                <w:p w14:paraId="20911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627B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BEE05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351" w:type="pct"/>
                  <w:vMerge w:val="continue"/>
                  <w:tcBorders>
                    <w:tl2br w:val="nil"/>
                    <w:tr2bl w:val="nil"/>
                  </w:tcBorders>
                  <w:shd w:val="clear" w:color="auto" w:fill="auto"/>
                  <w:noWrap/>
                  <w:vAlign w:val="center"/>
                </w:tcPr>
                <w:p w14:paraId="21EC8EA1">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BE183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吹瓶机10</w:t>
                  </w:r>
                </w:p>
              </w:tc>
              <w:tc>
                <w:tcPr>
                  <w:tcW w:w="452" w:type="pct"/>
                  <w:vMerge w:val="restart"/>
                  <w:tcBorders>
                    <w:tl2br w:val="nil"/>
                    <w:tr2bl w:val="nil"/>
                  </w:tcBorders>
                  <w:shd w:val="clear" w:color="auto" w:fill="auto"/>
                  <w:noWrap/>
                  <w:vAlign w:val="center"/>
                </w:tcPr>
                <w:p w14:paraId="23141C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72A1751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EA67A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-28.15</w:t>
                  </w:r>
                </w:p>
              </w:tc>
              <w:tc>
                <w:tcPr>
                  <w:tcW w:w="321" w:type="pct"/>
                  <w:tcBorders>
                    <w:tl2br w:val="nil"/>
                    <w:tr2bl w:val="nil"/>
                  </w:tcBorders>
                  <w:shd w:val="clear" w:color="auto" w:fill="auto"/>
                  <w:noWrap/>
                  <w:vAlign w:val="center"/>
                </w:tcPr>
                <w:p w14:paraId="31A7C9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32" w:type="pct"/>
                  <w:tcBorders>
                    <w:tl2br w:val="nil"/>
                    <w:tr2bl w:val="nil"/>
                  </w:tcBorders>
                  <w:shd w:val="clear" w:color="auto" w:fill="auto"/>
                  <w:noWrap/>
                  <w:vAlign w:val="center"/>
                </w:tcPr>
                <w:p w14:paraId="2B7AB6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523189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52B66E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37.97</w:t>
                  </w:r>
                </w:p>
              </w:tc>
              <w:tc>
                <w:tcPr>
                  <w:tcW w:w="422" w:type="pct"/>
                  <w:tcBorders>
                    <w:tl2br w:val="nil"/>
                    <w:tr2bl w:val="nil"/>
                  </w:tcBorders>
                  <w:shd w:val="clear" w:color="auto" w:fill="auto"/>
                  <w:noWrap/>
                  <w:vAlign w:val="center"/>
                </w:tcPr>
                <w:p w14:paraId="634C2C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restart"/>
                  <w:tcBorders>
                    <w:tl2br w:val="nil"/>
                    <w:tr2bl w:val="nil"/>
                  </w:tcBorders>
                  <w:shd w:val="clear" w:color="auto" w:fill="auto"/>
                  <w:noWrap/>
                  <w:vAlign w:val="center"/>
                </w:tcPr>
                <w:p w14:paraId="098822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07FD09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0B46A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4A64DA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DFCC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255EB9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D2CACE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3D9755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F54B75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3CC449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738A8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-28.15</w:t>
                  </w:r>
                </w:p>
              </w:tc>
              <w:tc>
                <w:tcPr>
                  <w:tcW w:w="321" w:type="pct"/>
                  <w:tcBorders>
                    <w:tl2br w:val="nil"/>
                    <w:tr2bl w:val="nil"/>
                  </w:tcBorders>
                  <w:shd w:val="clear" w:color="auto" w:fill="auto"/>
                  <w:noWrap/>
                  <w:vAlign w:val="center"/>
                </w:tcPr>
                <w:p w14:paraId="2897D4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32" w:type="pct"/>
                  <w:tcBorders>
                    <w:tl2br w:val="nil"/>
                    <w:tr2bl w:val="nil"/>
                  </w:tcBorders>
                  <w:shd w:val="clear" w:color="auto" w:fill="auto"/>
                  <w:noWrap/>
                  <w:vAlign w:val="center"/>
                </w:tcPr>
                <w:p w14:paraId="13B100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13D8FC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41BD99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27.52</w:t>
                  </w:r>
                </w:p>
              </w:tc>
              <w:tc>
                <w:tcPr>
                  <w:tcW w:w="422" w:type="pct"/>
                  <w:tcBorders>
                    <w:tl2br w:val="nil"/>
                    <w:tr2bl w:val="nil"/>
                  </w:tcBorders>
                  <w:shd w:val="clear" w:color="auto" w:fill="auto"/>
                  <w:noWrap/>
                  <w:vAlign w:val="center"/>
                </w:tcPr>
                <w:p w14:paraId="30A6E2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continue"/>
                  <w:tcBorders>
                    <w:tl2br w:val="nil"/>
                    <w:tr2bl w:val="nil"/>
                  </w:tcBorders>
                  <w:shd w:val="clear" w:color="auto" w:fill="auto"/>
                  <w:noWrap/>
                  <w:vAlign w:val="center"/>
                </w:tcPr>
                <w:p w14:paraId="36F7C6E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9EB897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DC2F3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7CA289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231D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218C73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19D2F5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D9B82C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FB70AD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074A3E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8ED3D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-28.15</w:t>
                  </w:r>
                </w:p>
              </w:tc>
              <w:tc>
                <w:tcPr>
                  <w:tcW w:w="321" w:type="pct"/>
                  <w:tcBorders>
                    <w:tl2br w:val="nil"/>
                    <w:tr2bl w:val="nil"/>
                  </w:tcBorders>
                  <w:shd w:val="clear" w:color="auto" w:fill="auto"/>
                  <w:noWrap/>
                  <w:vAlign w:val="center"/>
                </w:tcPr>
                <w:p w14:paraId="2CC12E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32" w:type="pct"/>
                  <w:tcBorders>
                    <w:tl2br w:val="nil"/>
                    <w:tr2bl w:val="nil"/>
                  </w:tcBorders>
                  <w:shd w:val="clear" w:color="auto" w:fill="auto"/>
                  <w:noWrap/>
                  <w:vAlign w:val="center"/>
                </w:tcPr>
                <w:p w14:paraId="275FC9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30EBDD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3849E9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49.93</w:t>
                  </w:r>
                </w:p>
              </w:tc>
              <w:tc>
                <w:tcPr>
                  <w:tcW w:w="422" w:type="pct"/>
                  <w:tcBorders>
                    <w:tl2br w:val="nil"/>
                    <w:tr2bl w:val="nil"/>
                  </w:tcBorders>
                  <w:shd w:val="clear" w:color="auto" w:fill="auto"/>
                  <w:noWrap/>
                  <w:vAlign w:val="center"/>
                </w:tcPr>
                <w:p w14:paraId="5A8701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270BDD7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6C144E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481C8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55A206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B9DC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346D46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05F52D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F32E52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ADE0C7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943FF8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17E19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-28.15</w:t>
                  </w:r>
                </w:p>
              </w:tc>
              <w:tc>
                <w:tcPr>
                  <w:tcW w:w="321" w:type="pct"/>
                  <w:tcBorders>
                    <w:tl2br w:val="nil"/>
                    <w:tr2bl w:val="nil"/>
                  </w:tcBorders>
                  <w:shd w:val="clear" w:color="auto" w:fill="auto"/>
                  <w:noWrap/>
                  <w:vAlign w:val="center"/>
                </w:tcPr>
                <w:p w14:paraId="18F1BD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32" w:type="pct"/>
                  <w:tcBorders>
                    <w:tl2br w:val="nil"/>
                    <w:tr2bl w:val="nil"/>
                  </w:tcBorders>
                  <w:shd w:val="clear" w:color="auto" w:fill="auto"/>
                  <w:noWrap/>
                  <w:vAlign w:val="center"/>
                </w:tcPr>
                <w:p w14:paraId="1F7A86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338DEE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F4B2A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23.95</w:t>
                  </w:r>
                </w:p>
              </w:tc>
              <w:tc>
                <w:tcPr>
                  <w:tcW w:w="422" w:type="pct"/>
                  <w:tcBorders>
                    <w:tl2br w:val="nil"/>
                    <w:tr2bl w:val="nil"/>
                  </w:tcBorders>
                  <w:shd w:val="clear" w:color="auto" w:fill="auto"/>
                  <w:noWrap/>
                  <w:vAlign w:val="center"/>
                </w:tcPr>
                <w:p w14:paraId="17CAA4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54.81</w:t>
                  </w:r>
                </w:p>
              </w:tc>
              <w:tc>
                <w:tcPr>
                  <w:tcW w:w="300" w:type="pct"/>
                  <w:vMerge w:val="continue"/>
                  <w:tcBorders>
                    <w:tl2br w:val="nil"/>
                    <w:tr2bl w:val="nil"/>
                  </w:tcBorders>
                  <w:shd w:val="clear" w:color="auto" w:fill="auto"/>
                  <w:noWrap/>
                  <w:vAlign w:val="center"/>
                </w:tcPr>
                <w:p w14:paraId="2FB909C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03CFF0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0CFA3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28.81</w:t>
                  </w:r>
                </w:p>
              </w:tc>
              <w:tc>
                <w:tcPr>
                  <w:tcW w:w="342" w:type="pct"/>
                  <w:tcBorders>
                    <w:tl2br w:val="nil"/>
                    <w:tr2bl w:val="nil"/>
                  </w:tcBorders>
                  <w:shd w:val="clear" w:color="auto" w:fill="auto"/>
                  <w:noWrap/>
                  <w:vAlign w:val="center"/>
                </w:tcPr>
                <w:p w14:paraId="79A030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63D4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0A1BF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351" w:type="pct"/>
                  <w:vMerge w:val="continue"/>
                  <w:tcBorders>
                    <w:tl2br w:val="nil"/>
                    <w:tr2bl w:val="nil"/>
                  </w:tcBorders>
                  <w:shd w:val="clear" w:color="auto" w:fill="auto"/>
                  <w:noWrap/>
                  <w:vAlign w:val="center"/>
                </w:tcPr>
                <w:p w14:paraId="7EFB6B18">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1860C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吹瓶机11</w:t>
                  </w:r>
                </w:p>
              </w:tc>
              <w:tc>
                <w:tcPr>
                  <w:tcW w:w="452" w:type="pct"/>
                  <w:vMerge w:val="restart"/>
                  <w:tcBorders>
                    <w:tl2br w:val="nil"/>
                    <w:tr2bl w:val="nil"/>
                  </w:tcBorders>
                  <w:shd w:val="clear" w:color="auto" w:fill="auto"/>
                  <w:noWrap/>
                  <w:vAlign w:val="center"/>
                </w:tcPr>
                <w:p w14:paraId="603190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7D51912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EA4FA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-17.17</w:t>
                  </w:r>
                </w:p>
              </w:tc>
              <w:tc>
                <w:tcPr>
                  <w:tcW w:w="321" w:type="pct"/>
                  <w:tcBorders>
                    <w:tl2br w:val="nil"/>
                    <w:tr2bl w:val="nil"/>
                  </w:tcBorders>
                  <w:shd w:val="clear" w:color="auto" w:fill="auto"/>
                  <w:noWrap/>
                  <w:vAlign w:val="center"/>
                </w:tcPr>
                <w:p w14:paraId="622D0C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232" w:type="pct"/>
                  <w:tcBorders>
                    <w:tl2br w:val="nil"/>
                    <w:tr2bl w:val="nil"/>
                  </w:tcBorders>
                  <w:shd w:val="clear" w:color="auto" w:fill="auto"/>
                  <w:noWrap/>
                  <w:vAlign w:val="center"/>
                </w:tcPr>
                <w:p w14:paraId="313703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2E1BA6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61440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41.22</w:t>
                  </w:r>
                </w:p>
              </w:tc>
              <w:tc>
                <w:tcPr>
                  <w:tcW w:w="422" w:type="pct"/>
                  <w:tcBorders>
                    <w:tl2br w:val="nil"/>
                    <w:tr2bl w:val="nil"/>
                  </w:tcBorders>
                  <w:shd w:val="clear" w:color="auto" w:fill="auto"/>
                  <w:noWrap/>
                  <w:vAlign w:val="center"/>
                </w:tcPr>
                <w:p w14:paraId="3F7FA4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restart"/>
                  <w:tcBorders>
                    <w:tl2br w:val="nil"/>
                    <w:tr2bl w:val="nil"/>
                  </w:tcBorders>
                  <w:shd w:val="clear" w:color="auto" w:fill="auto"/>
                  <w:noWrap/>
                  <w:vAlign w:val="center"/>
                </w:tcPr>
                <w:p w14:paraId="0D9B47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0349D94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9D987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6CEB20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4843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38160D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78C353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FB9B9C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C4160B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D8D37F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BEBB6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-17.17</w:t>
                  </w:r>
                </w:p>
              </w:tc>
              <w:tc>
                <w:tcPr>
                  <w:tcW w:w="321" w:type="pct"/>
                  <w:tcBorders>
                    <w:tl2br w:val="nil"/>
                    <w:tr2bl w:val="nil"/>
                  </w:tcBorders>
                  <w:shd w:val="clear" w:color="auto" w:fill="auto"/>
                  <w:noWrap/>
                  <w:vAlign w:val="center"/>
                </w:tcPr>
                <w:p w14:paraId="506F17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232" w:type="pct"/>
                  <w:tcBorders>
                    <w:tl2br w:val="nil"/>
                    <w:tr2bl w:val="nil"/>
                  </w:tcBorders>
                  <w:shd w:val="clear" w:color="auto" w:fill="auto"/>
                  <w:noWrap/>
                  <w:vAlign w:val="center"/>
                </w:tcPr>
                <w:p w14:paraId="2CBE35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3D32CF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095249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16.88</w:t>
                  </w:r>
                </w:p>
              </w:tc>
              <w:tc>
                <w:tcPr>
                  <w:tcW w:w="422" w:type="pct"/>
                  <w:tcBorders>
                    <w:tl2br w:val="nil"/>
                    <w:tr2bl w:val="nil"/>
                  </w:tcBorders>
                  <w:shd w:val="clear" w:color="auto" w:fill="auto"/>
                  <w:noWrap/>
                  <w:vAlign w:val="center"/>
                </w:tcPr>
                <w:p w14:paraId="7C62D4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54.83</w:t>
                  </w:r>
                </w:p>
              </w:tc>
              <w:tc>
                <w:tcPr>
                  <w:tcW w:w="300" w:type="pct"/>
                  <w:vMerge w:val="continue"/>
                  <w:tcBorders>
                    <w:tl2br w:val="nil"/>
                    <w:tr2bl w:val="nil"/>
                  </w:tcBorders>
                  <w:shd w:val="clear" w:color="auto" w:fill="auto"/>
                  <w:noWrap/>
                  <w:vAlign w:val="center"/>
                </w:tcPr>
                <w:p w14:paraId="60832AF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3B5E108">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D452D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28.83</w:t>
                  </w:r>
                </w:p>
              </w:tc>
              <w:tc>
                <w:tcPr>
                  <w:tcW w:w="342" w:type="pct"/>
                  <w:tcBorders>
                    <w:tl2br w:val="nil"/>
                    <w:tr2bl w:val="nil"/>
                  </w:tcBorders>
                  <w:shd w:val="clear" w:color="auto" w:fill="auto"/>
                  <w:noWrap/>
                  <w:vAlign w:val="center"/>
                </w:tcPr>
                <w:p w14:paraId="2BA1BE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E410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EDF4DB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B7D5E0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FABF5E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89E538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E5BAC6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E303D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-17.17</w:t>
                  </w:r>
                </w:p>
              </w:tc>
              <w:tc>
                <w:tcPr>
                  <w:tcW w:w="321" w:type="pct"/>
                  <w:tcBorders>
                    <w:tl2br w:val="nil"/>
                    <w:tr2bl w:val="nil"/>
                  </w:tcBorders>
                  <w:shd w:val="clear" w:color="auto" w:fill="auto"/>
                  <w:noWrap/>
                  <w:vAlign w:val="center"/>
                </w:tcPr>
                <w:p w14:paraId="6FA4BB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232" w:type="pct"/>
                  <w:tcBorders>
                    <w:tl2br w:val="nil"/>
                    <w:tr2bl w:val="nil"/>
                  </w:tcBorders>
                  <w:shd w:val="clear" w:color="auto" w:fill="auto"/>
                  <w:noWrap/>
                  <w:vAlign w:val="center"/>
                </w:tcPr>
                <w:p w14:paraId="2AFA16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48D041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993CC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46.83</w:t>
                  </w:r>
                </w:p>
              </w:tc>
              <w:tc>
                <w:tcPr>
                  <w:tcW w:w="422" w:type="pct"/>
                  <w:tcBorders>
                    <w:tl2br w:val="nil"/>
                    <w:tr2bl w:val="nil"/>
                  </w:tcBorders>
                  <w:shd w:val="clear" w:color="auto" w:fill="auto"/>
                  <w:noWrap/>
                  <w:vAlign w:val="center"/>
                </w:tcPr>
                <w:p w14:paraId="542DA5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54.79</w:t>
                  </w:r>
                </w:p>
              </w:tc>
              <w:tc>
                <w:tcPr>
                  <w:tcW w:w="300" w:type="pct"/>
                  <w:vMerge w:val="continue"/>
                  <w:tcBorders>
                    <w:tl2br w:val="nil"/>
                    <w:tr2bl w:val="nil"/>
                  </w:tcBorders>
                  <w:shd w:val="clear" w:color="auto" w:fill="auto"/>
                  <w:noWrap/>
                  <w:vAlign w:val="center"/>
                </w:tcPr>
                <w:p w14:paraId="7F48A38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FCAB2B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B88DE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28.79</w:t>
                  </w:r>
                </w:p>
              </w:tc>
              <w:tc>
                <w:tcPr>
                  <w:tcW w:w="342" w:type="pct"/>
                  <w:tcBorders>
                    <w:tl2br w:val="nil"/>
                    <w:tr2bl w:val="nil"/>
                  </w:tcBorders>
                  <w:shd w:val="clear" w:color="auto" w:fill="auto"/>
                  <w:noWrap/>
                  <w:vAlign w:val="center"/>
                </w:tcPr>
                <w:p w14:paraId="637505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9EC5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A4F89D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2E09F1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AFCA2F4">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79E4F4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4956B8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28211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-17.17</w:t>
                  </w:r>
                </w:p>
              </w:tc>
              <w:tc>
                <w:tcPr>
                  <w:tcW w:w="321" w:type="pct"/>
                  <w:tcBorders>
                    <w:tl2br w:val="nil"/>
                    <w:tr2bl w:val="nil"/>
                  </w:tcBorders>
                  <w:shd w:val="clear" w:color="auto" w:fill="auto"/>
                  <w:noWrap/>
                  <w:vAlign w:val="center"/>
                </w:tcPr>
                <w:p w14:paraId="6EB98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232" w:type="pct"/>
                  <w:tcBorders>
                    <w:tl2br w:val="nil"/>
                    <w:tr2bl w:val="nil"/>
                  </w:tcBorders>
                  <w:shd w:val="clear" w:color="auto" w:fill="auto"/>
                  <w:noWrap/>
                  <w:vAlign w:val="center"/>
                </w:tcPr>
                <w:p w14:paraId="75B692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1" w:type="pct"/>
                  <w:tcBorders>
                    <w:tl2br w:val="nil"/>
                    <w:tr2bl w:val="nil"/>
                  </w:tcBorders>
                  <w:shd w:val="clear" w:color="auto" w:fill="auto"/>
                  <w:noWrap/>
                  <w:vAlign w:val="center"/>
                </w:tcPr>
                <w:p w14:paraId="2EF3DB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1C0A8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34.33</w:t>
                  </w:r>
                </w:p>
              </w:tc>
              <w:tc>
                <w:tcPr>
                  <w:tcW w:w="422" w:type="pct"/>
                  <w:tcBorders>
                    <w:tl2br w:val="nil"/>
                    <w:tr2bl w:val="nil"/>
                  </w:tcBorders>
                  <w:shd w:val="clear" w:color="auto" w:fill="auto"/>
                  <w:noWrap/>
                  <w:vAlign w:val="center"/>
                </w:tcPr>
                <w:p w14:paraId="14D796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continue"/>
                  <w:tcBorders>
                    <w:tl2br w:val="nil"/>
                    <w:tr2bl w:val="nil"/>
                  </w:tcBorders>
                  <w:shd w:val="clear" w:color="auto" w:fill="auto"/>
                  <w:noWrap/>
                  <w:vAlign w:val="center"/>
                </w:tcPr>
                <w:p w14:paraId="6877D6D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E4AFB6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4C353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0C7EE6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F694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1E21E5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351" w:type="pct"/>
                  <w:vMerge w:val="continue"/>
                  <w:tcBorders>
                    <w:tl2br w:val="nil"/>
                    <w:tr2bl w:val="nil"/>
                  </w:tcBorders>
                  <w:shd w:val="clear" w:color="auto" w:fill="auto"/>
                  <w:noWrap/>
                  <w:vAlign w:val="center"/>
                </w:tcPr>
                <w:p w14:paraId="1F15B728">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D45AB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空压机1</w:t>
                  </w:r>
                </w:p>
              </w:tc>
              <w:tc>
                <w:tcPr>
                  <w:tcW w:w="452" w:type="pct"/>
                  <w:vMerge w:val="restart"/>
                  <w:tcBorders>
                    <w:tl2br w:val="nil"/>
                    <w:tr2bl w:val="nil"/>
                  </w:tcBorders>
                  <w:shd w:val="clear" w:color="auto" w:fill="auto"/>
                  <w:noWrap/>
                  <w:vAlign w:val="center"/>
                </w:tcPr>
                <w:p w14:paraId="438E2D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20" w:type="pct"/>
                  <w:vMerge w:val="continue"/>
                  <w:tcBorders>
                    <w:tl2br w:val="nil"/>
                    <w:tr2bl w:val="nil"/>
                  </w:tcBorders>
                  <w:shd w:val="clear" w:color="auto" w:fill="auto"/>
                  <w:noWrap/>
                  <w:vAlign w:val="center"/>
                </w:tcPr>
                <w:p w14:paraId="6FE59BF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91DE4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-36.85</w:t>
                  </w:r>
                </w:p>
              </w:tc>
              <w:tc>
                <w:tcPr>
                  <w:tcW w:w="321" w:type="pct"/>
                  <w:tcBorders>
                    <w:tl2br w:val="nil"/>
                    <w:tr2bl w:val="nil"/>
                  </w:tcBorders>
                  <w:shd w:val="clear" w:color="auto" w:fill="auto"/>
                  <w:noWrap/>
                  <w:vAlign w:val="center"/>
                </w:tcPr>
                <w:p w14:paraId="667724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-12.78</w:t>
                  </w:r>
                </w:p>
              </w:tc>
              <w:tc>
                <w:tcPr>
                  <w:tcW w:w="232" w:type="pct"/>
                  <w:tcBorders>
                    <w:tl2br w:val="nil"/>
                    <w:tr2bl w:val="nil"/>
                  </w:tcBorders>
                  <w:shd w:val="clear" w:color="auto" w:fill="auto"/>
                  <w:noWrap/>
                  <w:vAlign w:val="center"/>
                </w:tcPr>
                <w:p w14:paraId="3461B2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99C09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DF460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47.22</w:t>
                  </w:r>
                </w:p>
              </w:tc>
              <w:tc>
                <w:tcPr>
                  <w:tcW w:w="422" w:type="pct"/>
                  <w:tcBorders>
                    <w:tl2br w:val="nil"/>
                    <w:tr2bl w:val="nil"/>
                  </w:tcBorders>
                  <w:shd w:val="clear" w:color="auto" w:fill="auto"/>
                  <w:noWrap/>
                  <w:vAlign w:val="center"/>
                </w:tcPr>
                <w:p w14:paraId="7A6DA6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64.79</w:t>
                  </w:r>
                </w:p>
              </w:tc>
              <w:tc>
                <w:tcPr>
                  <w:tcW w:w="300" w:type="pct"/>
                  <w:vMerge w:val="restart"/>
                  <w:tcBorders>
                    <w:tl2br w:val="nil"/>
                    <w:tr2bl w:val="nil"/>
                  </w:tcBorders>
                  <w:shd w:val="clear" w:color="auto" w:fill="auto"/>
                  <w:noWrap/>
                  <w:vAlign w:val="center"/>
                </w:tcPr>
                <w:p w14:paraId="5E1D4C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FF35E7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BCB6C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38.79</w:t>
                  </w:r>
                </w:p>
              </w:tc>
              <w:tc>
                <w:tcPr>
                  <w:tcW w:w="342" w:type="pct"/>
                  <w:tcBorders>
                    <w:tl2br w:val="nil"/>
                    <w:tr2bl w:val="nil"/>
                  </w:tcBorders>
                  <w:shd w:val="clear" w:color="auto" w:fill="auto"/>
                  <w:noWrap/>
                  <w:vAlign w:val="center"/>
                </w:tcPr>
                <w:p w14:paraId="1A14B2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33A9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30FCF8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6E5201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49A847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FC3155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D73D6B7">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C32E2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-36.85</w:t>
                  </w:r>
                </w:p>
              </w:tc>
              <w:tc>
                <w:tcPr>
                  <w:tcW w:w="321" w:type="pct"/>
                  <w:tcBorders>
                    <w:tl2br w:val="nil"/>
                    <w:tr2bl w:val="nil"/>
                  </w:tcBorders>
                  <w:shd w:val="clear" w:color="auto" w:fill="auto"/>
                  <w:noWrap/>
                  <w:vAlign w:val="center"/>
                </w:tcPr>
                <w:p w14:paraId="77688A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-12.78</w:t>
                  </w:r>
                </w:p>
              </w:tc>
              <w:tc>
                <w:tcPr>
                  <w:tcW w:w="232" w:type="pct"/>
                  <w:tcBorders>
                    <w:tl2br w:val="nil"/>
                    <w:tr2bl w:val="nil"/>
                  </w:tcBorders>
                  <w:shd w:val="clear" w:color="auto" w:fill="auto"/>
                  <w:noWrap/>
                  <w:vAlign w:val="center"/>
                </w:tcPr>
                <w:p w14:paraId="1DC8E5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45905E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0E8D54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40.80</w:t>
                  </w:r>
                </w:p>
              </w:tc>
              <w:tc>
                <w:tcPr>
                  <w:tcW w:w="422" w:type="pct"/>
                  <w:tcBorders>
                    <w:tl2br w:val="nil"/>
                    <w:tr2bl w:val="nil"/>
                  </w:tcBorders>
                  <w:shd w:val="clear" w:color="auto" w:fill="auto"/>
                  <w:noWrap/>
                  <w:vAlign w:val="center"/>
                </w:tcPr>
                <w:p w14:paraId="42B60C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64.79</w:t>
                  </w:r>
                </w:p>
              </w:tc>
              <w:tc>
                <w:tcPr>
                  <w:tcW w:w="300" w:type="pct"/>
                  <w:vMerge w:val="continue"/>
                  <w:tcBorders>
                    <w:tl2br w:val="nil"/>
                    <w:tr2bl w:val="nil"/>
                  </w:tcBorders>
                  <w:shd w:val="clear" w:color="auto" w:fill="auto"/>
                  <w:noWrap/>
                  <w:vAlign w:val="center"/>
                </w:tcPr>
                <w:p w14:paraId="40ACC7D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FD1B10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F4AD4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38.79</w:t>
                  </w:r>
                </w:p>
              </w:tc>
              <w:tc>
                <w:tcPr>
                  <w:tcW w:w="342" w:type="pct"/>
                  <w:tcBorders>
                    <w:tl2br w:val="nil"/>
                    <w:tr2bl w:val="nil"/>
                  </w:tcBorders>
                  <w:shd w:val="clear" w:color="auto" w:fill="auto"/>
                  <w:noWrap/>
                  <w:vAlign w:val="center"/>
                </w:tcPr>
                <w:p w14:paraId="58429C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4E35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0FC6B4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7B4910D">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066A77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088714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F9565E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127AD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-36.85</w:t>
                  </w:r>
                </w:p>
              </w:tc>
              <w:tc>
                <w:tcPr>
                  <w:tcW w:w="321" w:type="pct"/>
                  <w:tcBorders>
                    <w:tl2br w:val="nil"/>
                    <w:tr2bl w:val="nil"/>
                  </w:tcBorders>
                  <w:shd w:val="clear" w:color="auto" w:fill="auto"/>
                  <w:noWrap/>
                  <w:vAlign w:val="center"/>
                </w:tcPr>
                <w:p w14:paraId="325E27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-12.78</w:t>
                  </w:r>
                </w:p>
              </w:tc>
              <w:tc>
                <w:tcPr>
                  <w:tcW w:w="232" w:type="pct"/>
                  <w:tcBorders>
                    <w:tl2br w:val="nil"/>
                    <w:tr2bl w:val="nil"/>
                  </w:tcBorders>
                  <w:shd w:val="clear" w:color="auto" w:fill="auto"/>
                  <w:noWrap/>
                  <w:vAlign w:val="center"/>
                </w:tcPr>
                <w:p w14:paraId="0661D6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4818AD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FC2DB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40.50</w:t>
                  </w:r>
                </w:p>
              </w:tc>
              <w:tc>
                <w:tcPr>
                  <w:tcW w:w="422" w:type="pct"/>
                  <w:tcBorders>
                    <w:tl2br w:val="nil"/>
                    <w:tr2bl w:val="nil"/>
                  </w:tcBorders>
                  <w:shd w:val="clear" w:color="auto" w:fill="auto"/>
                  <w:noWrap/>
                  <w:vAlign w:val="center"/>
                </w:tcPr>
                <w:p w14:paraId="453DAD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64.79</w:t>
                  </w:r>
                </w:p>
              </w:tc>
              <w:tc>
                <w:tcPr>
                  <w:tcW w:w="300" w:type="pct"/>
                  <w:vMerge w:val="continue"/>
                  <w:tcBorders>
                    <w:tl2br w:val="nil"/>
                    <w:tr2bl w:val="nil"/>
                  </w:tcBorders>
                  <w:shd w:val="clear" w:color="auto" w:fill="auto"/>
                  <w:noWrap/>
                  <w:vAlign w:val="center"/>
                </w:tcPr>
                <w:p w14:paraId="22E6CCB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C62CFA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BAB25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38.79</w:t>
                  </w:r>
                </w:p>
              </w:tc>
              <w:tc>
                <w:tcPr>
                  <w:tcW w:w="342" w:type="pct"/>
                  <w:tcBorders>
                    <w:tl2br w:val="nil"/>
                    <w:tr2bl w:val="nil"/>
                  </w:tcBorders>
                  <w:shd w:val="clear" w:color="auto" w:fill="auto"/>
                  <w:noWrap/>
                  <w:vAlign w:val="center"/>
                </w:tcPr>
                <w:p w14:paraId="1F6F2F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6CFA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D8E3A1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C4F90E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397966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8F5213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EAAB9D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67621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-36.85</w:t>
                  </w:r>
                </w:p>
              </w:tc>
              <w:tc>
                <w:tcPr>
                  <w:tcW w:w="321" w:type="pct"/>
                  <w:tcBorders>
                    <w:tl2br w:val="nil"/>
                    <w:tr2bl w:val="nil"/>
                  </w:tcBorders>
                  <w:shd w:val="clear" w:color="auto" w:fill="auto"/>
                  <w:noWrap/>
                  <w:vAlign w:val="center"/>
                </w:tcPr>
                <w:p w14:paraId="6AC0AF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-12.78</w:t>
                  </w:r>
                </w:p>
              </w:tc>
              <w:tc>
                <w:tcPr>
                  <w:tcW w:w="232" w:type="pct"/>
                  <w:tcBorders>
                    <w:tl2br w:val="nil"/>
                    <w:tr2bl w:val="nil"/>
                  </w:tcBorders>
                  <w:shd w:val="clear" w:color="auto" w:fill="auto"/>
                  <w:noWrap/>
                  <w:vAlign w:val="center"/>
                </w:tcPr>
                <w:p w14:paraId="1CB43D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748C1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8EB07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9.97</w:t>
                  </w:r>
                </w:p>
              </w:tc>
              <w:tc>
                <w:tcPr>
                  <w:tcW w:w="422" w:type="pct"/>
                  <w:tcBorders>
                    <w:tl2br w:val="nil"/>
                    <w:tr2bl w:val="nil"/>
                  </w:tcBorders>
                  <w:shd w:val="clear" w:color="auto" w:fill="auto"/>
                  <w:noWrap/>
                  <w:vAlign w:val="center"/>
                </w:tcPr>
                <w:p w14:paraId="1F07DD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64.90</w:t>
                  </w:r>
                </w:p>
              </w:tc>
              <w:tc>
                <w:tcPr>
                  <w:tcW w:w="300" w:type="pct"/>
                  <w:vMerge w:val="continue"/>
                  <w:tcBorders>
                    <w:tl2br w:val="nil"/>
                    <w:tr2bl w:val="nil"/>
                  </w:tcBorders>
                  <w:shd w:val="clear" w:color="auto" w:fill="auto"/>
                  <w:noWrap/>
                  <w:vAlign w:val="center"/>
                </w:tcPr>
                <w:p w14:paraId="02CBED6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3DB5D2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40EE2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38.90</w:t>
                  </w:r>
                </w:p>
              </w:tc>
              <w:tc>
                <w:tcPr>
                  <w:tcW w:w="342" w:type="pct"/>
                  <w:tcBorders>
                    <w:tl2br w:val="nil"/>
                    <w:tr2bl w:val="nil"/>
                  </w:tcBorders>
                  <w:shd w:val="clear" w:color="auto" w:fill="auto"/>
                  <w:noWrap/>
                  <w:vAlign w:val="center"/>
                </w:tcPr>
                <w:p w14:paraId="68AA3F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E706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085D9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351" w:type="pct"/>
                  <w:vMerge w:val="continue"/>
                  <w:tcBorders>
                    <w:tl2br w:val="nil"/>
                    <w:tr2bl w:val="nil"/>
                  </w:tcBorders>
                  <w:shd w:val="clear" w:color="auto" w:fill="auto"/>
                  <w:noWrap/>
                  <w:vAlign w:val="center"/>
                </w:tcPr>
                <w:p w14:paraId="76738AE6">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559D2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空压机2</w:t>
                  </w:r>
                </w:p>
              </w:tc>
              <w:tc>
                <w:tcPr>
                  <w:tcW w:w="452" w:type="pct"/>
                  <w:vMerge w:val="restart"/>
                  <w:tcBorders>
                    <w:tl2br w:val="nil"/>
                    <w:tr2bl w:val="nil"/>
                  </w:tcBorders>
                  <w:shd w:val="clear" w:color="auto" w:fill="auto"/>
                  <w:noWrap/>
                  <w:vAlign w:val="center"/>
                </w:tcPr>
                <w:p w14:paraId="59BFFA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20" w:type="pct"/>
                  <w:vMerge w:val="continue"/>
                  <w:tcBorders>
                    <w:tl2br w:val="nil"/>
                    <w:tr2bl w:val="nil"/>
                  </w:tcBorders>
                  <w:shd w:val="clear" w:color="auto" w:fill="auto"/>
                  <w:noWrap/>
                  <w:vAlign w:val="center"/>
                </w:tcPr>
                <w:p w14:paraId="3A2BA63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60614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-24.42</w:t>
                  </w:r>
                </w:p>
              </w:tc>
              <w:tc>
                <w:tcPr>
                  <w:tcW w:w="321" w:type="pct"/>
                  <w:tcBorders>
                    <w:tl2br w:val="nil"/>
                    <w:tr2bl w:val="nil"/>
                  </w:tcBorders>
                  <w:shd w:val="clear" w:color="auto" w:fill="auto"/>
                  <w:noWrap/>
                  <w:vAlign w:val="center"/>
                </w:tcPr>
                <w:p w14:paraId="36E8AF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-10.71</w:t>
                  </w:r>
                </w:p>
              </w:tc>
              <w:tc>
                <w:tcPr>
                  <w:tcW w:w="232" w:type="pct"/>
                  <w:tcBorders>
                    <w:tl2br w:val="nil"/>
                    <w:tr2bl w:val="nil"/>
                  </w:tcBorders>
                  <w:shd w:val="clear" w:color="auto" w:fill="auto"/>
                  <w:noWrap/>
                  <w:vAlign w:val="center"/>
                </w:tcPr>
                <w:p w14:paraId="0E4188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5FECC1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8A687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50.29</w:t>
                  </w:r>
                </w:p>
              </w:tc>
              <w:tc>
                <w:tcPr>
                  <w:tcW w:w="422" w:type="pct"/>
                  <w:tcBorders>
                    <w:tl2br w:val="nil"/>
                    <w:tr2bl w:val="nil"/>
                  </w:tcBorders>
                  <w:shd w:val="clear" w:color="auto" w:fill="auto"/>
                  <w:noWrap/>
                  <w:vAlign w:val="center"/>
                </w:tcPr>
                <w:p w14:paraId="56C1D7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64.79</w:t>
                  </w:r>
                </w:p>
              </w:tc>
              <w:tc>
                <w:tcPr>
                  <w:tcW w:w="300" w:type="pct"/>
                  <w:vMerge w:val="restart"/>
                  <w:tcBorders>
                    <w:tl2br w:val="nil"/>
                    <w:tr2bl w:val="nil"/>
                  </w:tcBorders>
                  <w:shd w:val="clear" w:color="auto" w:fill="auto"/>
                  <w:noWrap/>
                  <w:vAlign w:val="center"/>
                </w:tcPr>
                <w:p w14:paraId="0AA476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74B32B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AF1B0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38.79</w:t>
                  </w:r>
                </w:p>
              </w:tc>
              <w:tc>
                <w:tcPr>
                  <w:tcW w:w="342" w:type="pct"/>
                  <w:tcBorders>
                    <w:tl2br w:val="nil"/>
                    <w:tr2bl w:val="nil"/>
                  </w:tcBorders>
                  <w:shd w:val="clear" w:color="auto" w:fill="auto"/>
                  <w:noWrap/>
                  <w:vAlign w:val="center"/>
                </w:tcPr>
                <w:p w14:paraId="04149D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A9E1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D67DA4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EA08DE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A2CA10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872935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7C9ED3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FBC8A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-24.42</w:t>
                  </w:r>
                </w:p>
              </w:tc>
              <w:tc>
                <w:tcPr>
                  <w:tcW w:w="321" w:type="pct"/>
                  <w:tcBorders>
                    <w:tl2br w:val="nil"/>
                    <w:tr2bl w:val="nil"/>
                  </w:tcBorders>
                  <w:shd w:val="clear" w:color="auto" w:fill="auto"/>
                  <w:noWrap/>
                  <w:vAlign w:val="center"/>
                </w:tcPr>
                <w:p w14:paraId="2DAD38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-10.71</w:t>
                  </w:r>
                </w:p>
              </w:tc>
              <w:tc>
                <w:tcPr>
                  <w:tcW w:w="232" w:type="pct"/>
                  <w:tcBorders>
                    <w:tl2br w:val="nil"/>
                    <w:tr2bl w:val="nil"/>
                  </w:tcBorders>
                  <w:shd w:val="clear" w:color="auto" w:fill="auto"/>
                  <w:noWrap/>
                  <w:vAlign w:val="center"/>
                </w:tcPr>
                <w:p w14:paraId="15869B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405468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4C9BCD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28.50</w:t>
                  </w:r>
                </w:p>
              </w:tc>
              <w:tc>
                <w:tcPr>
                  <w:tcW w:w="422" w:type="pct"/>
                  <w:tcBorders>
                    <w:tl2br w:val="nil"/>
                    <w:tr2bl w:val="nil"/>
                  </w:tcBorders>
                  <w:shd w:val="clear" w:color="auto" w:fill="auto"/>
                  <w:noWrap/>
                  <w:vAlign w:val="center"/>
                </w:tcPr>
                <w:p w14:paraId="0DAE20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64.80</w:t>
                  </w:r>
                </w:p>
              </w:tc>
              <w:tc>
                <w:tcPr>
                  <w:tcW w:w="300" w:type="pct"/>
                  <w:vMerge w:val="continue"/>
                  <w:tcBorders>
                    <w:tl2br w:val="nil"/>
                    <w:tr2bl w:val="nil"/>
                  </w:tcBorders>
                  <w:shd w:val="clear" w:color="auto" w:fill="auto"/>
                  <w:noWrap/>
                  <w:vAlign w:val="center"/>
                </w:tcPr>
                <w:p w14:paraId="7394153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3790E1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199D3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38.80</w:t>
                  </w:r>
                </w:p>
              </w:tc>
              <w:tc>
                <w:tcPr>
                  <w:tcW w:w="342" w:type="pct"/>
                  <w:tcBorders>
                    <w:tl2br w:val="nil"/>
                    <w:tr2bl w:val="nil"/>
                  </w:tcBorders>
                  <w:shd w:val="clear" w:color="auto" w:fill="auto"/>
                  <w:noWrap/>
                  <w:vAlign w:val="center"/>
                </w:tcPr>
                <w:p w14:paraId="416409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B1A1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9CDC9A6">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D55776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A22C33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05A39B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8AFDE9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7067E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-24.42</w:t>
                  </w:r>
                </w:p>
              </w:tc>
              <w:tc>
                <w:tcPr>
                  <w:tcW w:w="321" w:type="pct"/>
                  <w:tcBorders>
                    <w:tl2br w:val="nil"/>
                    <w:tr2bl w:val="nil"/>
                  </w:tcBorders>
                  <w:shd w:val="clear" w:color="auto" w:fill="auto"/>
                  <w:noWrap/>
                  <w:vAlign w:val="center"/>
                </w:tcPr>
                <w:p w14:paraId="44293E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-10.71</w:t>
                  </w:r>
                </w:p>
              </w:tc>
              <w:tc>
                <w:tcPr>
                  <w:tcW w:w="232" w:type="pct"/>
                  <w:tcBorders>
                    <w:tl2br w:val="nil"/>
                    <w:tr2bl w:val="nil"/>
                  </w:tcBorders>
                  <w:shd w:val="clear" w:color="auto" w:fill="auto"/>
                  <w:noWrap/>
                  <w:vAlign w:val="center"/>
                </w:tcPr>
                <w:p w14:paraId="5E7E7E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3A5CD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2D56A0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37.60</w:t>
                  </w:r>
                </w:p>
              </w:tc>
              <w:tc>
                <w:tcPr>
                  <w:tcW w:w="422" w:type="pct"/>
                  <w:tcBorders>
                    <w:tl2br w:val="nil"/>
                    <w:tr2bl w:val="nil"/>
                  </w:tcBorders>
                  <w:shd w:val="clear" w:color="auto" w:fill="auto"/>
                  <w:noWrap/>
                  <w:vAlign w:val="center"/>
                </w:tcPr>
                <w:p w14:paraId="7A058A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64.80</w:t>
                  </w:r>
                </w:p>
              </w:tc>
              <w:tc>
                <w:tcPr>
                  <w:tcW w:w="300" w:type="pct"/>
                  <w:vMerge w:val="continue"/>
                  <w:tcBorders>
                    <w:tl2br w:val="nil"/>
                    <w:tr2bl w:val="nil"/>
                  </w:tcBorders>
                  <w:shd w:val="clear" w:color="auto" w:fill="auto"/>
                  <w:noWrap/>
                  <w:vAlign w:val="center"/>
                </w:tcPr>
                <w:p w14:paraId="6327E52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90EE57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84728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38.80</w:t>
                  </w:r>
                </w:p>
              </w:tc>
              <w:tc>
                <w:tcPr>
                  <w:tcW w:w="342" w:type="pct"/>
                  <w:tcBorders>
                    <w:tl2br w:val="nil"/>
                    <w:tr2bl w:val="nil"/>
                  </w:tcBorders>
                  <w:shd w:val="clear" w:color="auto" w:fill="auto"/>
                  <w:noWrap/>
                  <w:vAlign w:val="center"/>
                </w:tcPr>
                <w:p w14:paraId="5DCEA5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47ED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D3A23E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A8100E6">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09AD77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435FE5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3B5F53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596AA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-24.42</w:t>
                  </w:r>
                </w:p>
              </w:tc>
              <w:tc>
                <w:tcPr>
                  <w:tcW w:w="321" w:type="pct"/>
                  <w:tcBorders>
                    <w:tl2br w:val="nil"/>
                    <w:tr2bl w:val="nil"/>
                  </w:tcBorders>
                  <w:shd w:val="clear" w:color="auto" w:fill="auto"/>
                  <w:noWrap/>
                  <w:vAlign w:val="center"/>
                </w:tcPr>
                <w:p w14:paraId="77E209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-10.71</w:t>
                  </w:r>
                </w:p>
              </w:tc>
              <w:tc>
                <w:tcPr>
                  <w:tcW w:w="232" w:type="pct"/>
                  <w:tcBorders>
                    <w:tl2br w:val="nil"/>
                    <w:tr2bl w:val="nil"/>
                  </w:tcBorders>
                  <w:shd w:val="clear" w:color="auto" w:fill="auto"/>
                  <w:noWrap/>
                  <w:vAlign w:val="center"/>
                </w:tcPr>
                <w:p w14:paraId="40A2DB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58A26F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42FDB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22.02</w:t>
                  </w:r>
                </w:p>
              </w:tc>
              <w:tc>
                <w:tcPr>
                  <w:tcW w:w="422" w:type="pct"/>
                  <w:tcBorders>
                    <w:tl2br w:val="nil"/>
                    <w:tr2bl w:val="nil"/>
                  </w:tcBorders>
                  <w:shd w:val="clear" w:color="auto" w:fill="auto"/>
                  <w:noWrap/>
                  <w:vAlign w:val="center"/>
                </w:tcPr>
                <w:p w14:paraId="35CBC3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64.81</w:t>
                  </w:r>
                </w:p>
              </w:tc>
              <w:tc>
                <w:tcPr>
                  <w:tcW w:w="300" w:type="pct"/>
                  <w:vMerge w:val="continue"/>
                  <w:tcBorders>
                    <w:tl2br w:val="nil"/>
                    <w:tr2bl w:val="nil"/>
                  </w:tcBorders>
                  <w:shd w:val="clear" w:color="auto" w:fill="auto"/>
                  <w:noWrap/>
                  <w:vAlign w:val="center"/>
                </w:tcPr>
                <w:p w14:paraId="0D813D3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DCD38A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E8FC0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38.81</w:t>
                  </w:r>
                </w:p>
              </w:tc>
              <w:tc>
                <w:tcPr>
                  <w:tcW w:w="342" w:type="pct"/>
                  <w:tcBorders>
                    <w:tl2br w:val="nil"/>
                    <w:tr2bl w:val="nil"/>
                  </w:tcBorders>
                  <w:shd w:val="clear" w:color="auto" w:fill="auto"/>
                  <w:noWrap/>
                  <w:vAlign w:val="center"/>
                </w:tcPr>
                <w:p w14:paraId="507881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9B79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5EAC1C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51" w:type="pct"/>
                  <w:vMerge w:val="continue"/>
                  <w:tcBorders>
                    <w:tl2br w:val="nil"/>
                    <w:tr2bl w:val="nil"/>
                  </w:tcBorders>
                  <w:shd w:val="clear" w:color="auto" w:fill="auto"/>
                  <w:noWrap/>
                  <w:vAlign w:val="center"/>
                </w:tcPr>
                <w:p w14:paraId="52C48482">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C25C8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空压机3</w:t>
                  </w:r>
                </w:p>
              </w:tc>
              <w:tc>
                <w:tcPr>
                  <w:tcW w:w="452" w:type="pct"/>
                  <w:vMerge w:val="restart"/>
                  <w:tcBorders>
                    <w:tl2br w:val="nil"/>
                    <w:tr2bl w:val="nil"/>
                  </w:tcBorders>
                  <w:shd w:val="clear" w:color="auto" w:fill="auto"/>
                  <w:noWrap/>
                  <w:vAlign w:val="center"/>
                </w:tcPr>
                <w:p w14:paraId="15FBA4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20" w:type="pct"/>
                  <w:vMerge w:val="continue"/>
                  <w:tcBorders>
                    <w:tl2br w:val="nil"/>
                    <w:tr2bl w:val="nil"/>
                  </w:tcBorders>
                  <w:shd w:val="clear" w:color="auto" w:fill="auto"/>
                  <w:noWrap/>
                  <w:vAlign w:val="center"/>
                </w:tcPr>
                <w:p w14:paraId="75B0033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37D0A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-14.48</w:t>
                  </w:r>
                </w:p>
              </w:tc>
              <w:tc>
                <w:tcPr>
                  <w:tcW w:w="321" w:type="pct"/>
                  <w:tcBorders>
                    <w:tl2br w:val="nil"/>
                    <w:tr2bl w:val="nil"/>
                  </w:tcBorders>
                  <w:shd w:val="clear" w:color="auto" w:fill="auto"/>
                  <w:noWrap/>
                  <w:vAlign w:val="center"/>
                </w:tcPr>
                <w:p w14:paraId="28772A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-8.22</w:t>
                  </w:r>
                </w:p>
              </w:tc>
              <w:tc>
                <w:tcPr>
                  <w:tcW w:w="232" w:type="pct"/>
                  <w:tcBorders>
                    <w:tl2br w:val="nil"/>
                    <w:tr2bl w:val="nil"/>
                  </w:tcBorders>
                  <w:shd w:val="clear" w:color="auto" w:fill="auto"/>
                  <w:noWrap/>
                  <w:vAlign w:val="center"/>
                </w:tcPr>
                <w:p w14:paraId="454899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0D22A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1AC6C2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51.97</w:t>
                  </w:r>
                </w:p>
              </w:tc>
              <w:tc>
                <w:tcPr>
                  <w:tcW w:w="422" w:type="pct"/>
                  <w:tcBorders>
                    <w:tl2br w:val="nil"/>
                    <w:tr2bl w:val="nil"/>
                  </w:tcBorders>
                  <w:shd w:val="clear" w:color="auto" w:fill="auto"/>
                  <w:noWrap/>
                  <w:vAlign w:val="center"/>
                </w:tcPr>
                <w:p w14:paraId="1423FC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64.79</w:t>
                  </w:r>
                </w:p>
              </w:tc>
              <w:tc>
                <w:tcPr>
                  <w:tcW w:w="300" w:type="pct"/>
                  <w:vMerge w:val="restart"/>
                  <w:tcBorders>
                    <w:tl2br w:val="nil"/>
                    <w:tr2bl w:val="nil"/>
                  </w:tcBorders>
                  <w:shd w:val="clear" w:color="auto" w:fill="auto"/>
                  <w:noWrap/>
                  <w:vAlign w:val="center"/>
                </w:tcPr>
                <w:p w14:paraId="7D9768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294FDA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AE1E6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38.79</w:t>
                  </w:r>
                </w:p>
              </w:tc>
              <w:tc>
                <w:tcPr>
                  <w:tcW w:w="342" w:type="pct"/>
                  <w:tcBorders>
                    <w:tl2br w:val="nil"/>
                    <w:tr2bl w:val="nil"/>
                  </w:tcBorders>
                  <w:shd w:val="clear" w:color="auto" w:fill="auto"/>
                  <w:noWrap/>
                  <w:vAlign w:val="center"/>
                </w:tcPr>
                <w:p w14:paraId="4E0AB5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AF4F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4175F5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F2B41B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7EFA1A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10CDC7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26DA65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5488C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-14.48</w:t>
                  </w:r>
                </w:p>
              </w:tc>
              <w:tc>
                <w:tcPr>
                  <w:tcW w:w="321" w:type="pct"/>
                  <w:tcBorders>
                    <w:tl2br w:val="nil"/>
                    <w:tr2bl w:val="nil"/>
                  </w:tcBorders>
                  <w:shd w:val="clear" w:color="auto" w:fill="auto"/>
                  <w:noWrap/>
                  <w:vAlign w:val="center"/>
                </w:tcPr>
                <w:p w14:paraId="0A85D6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-8.22</w:t>
                  </w:r>
                </w:p>
              </w:tc>
              <w:tc>
                <w:tcPr>
                  <w:tcW w:w="232" w:type="pct"/>
                  <w:tcBorders>
                    <w:tl2br w:val="nil"/>
                    <w:tr2bl w:val="nil"/>
                  </w:tcBorders>
                  <w:shd w:val="clear" w:color="auto" w:fill="auto"/>
                  <w:noWrap/>
                  <w:vAlign w:val="center"/>
                </w:tcPr>
                <w:p w14:paraId="20C3CF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662805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582615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18.35</w:t>
                  </w:r>
                </w:p>
              </w:tc>
              <w:tc>
                <w:tcPr>
                  <w:tcW w:w="422" w:type="pct"/>
                  <w:tcBorders>
                    <w:tl2br w:val="nil"/>
                    <w:tr2bl w:val="nil"/>
                  </w:tcBorders>
                  <w:shd w:val="clear" w:color="auto" w:fill="auto"/>
                  <w:noWrap/>
                  <w:vAlign w:val="center"/>
                </w:tcPr>
                <w:p w14:paraId="0C9078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64.82</w:t>
                  </w:r>
                </w:p>
              </w:tc>
              <w:tc>
                <w:tcPr>
                  <w:tcW w:w="300" w:type="pct"/>
                  <w:vMerge w:val="continue"/>
                  <w:tcBorders>
                    <w:tl2br w:val="nil"/>
                    <w:tr2bl w:val="nil"/>
                  </w:tcBorders>
                  <w:shd w:val="clear" w:color="auto" w:fill="auto"/>
                  <w:noWrap/>
                  <w:vAlign w:val="center"/>
                </w:tcPr>
                <w:p w14:paraId="508D522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4D37BB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4CCB2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38.82</w:t>
                  </w:r>
                </w:p>
              </w:tc>
              <w:tc>
                <w:tcPr>
                  <w:tcW w:w="342" w:type="pct"/>
                  <w:tcBorders>
                    <w:tl2br w:val="nil"/>
                    <w:tr2bl w:val="nil"/>
                  </w:tcBorders>
                  <w:shd w:val="clear" w:color="auto" w:fill="auto"/>
                  <w:noWrap/>
                  <w:vAlign w:val="center"/>
                </w:tcPr>
                <w:p w14:paraId="03119B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87F7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30B743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E7C099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A12C76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9CF0C7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A28583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6D18F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-14.48</w:t>
                  </w:r>
                </w:p>
              </w:tc>
              <w:tc>
                <w:tcPr>
                  <w:tcW w:w="321" w:type="pct"/>
                  <w:tcBorders>
                    <w:tl2br w:val="nil"/>
                    <w:tr2bl w:val="nil"/>
                  </w:tcBorders>
                  <w:shd w:val="clear" w:color="auto" w:fill="auto"/>
                  <w:noWrap/>
                  <w:vAlign w:val="center"/>
                </w:tcPr>
                <w:p w14:paraId="5B4741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-8.22</w:t>
                  </w:r>
                </w:p>
              </w:tc>
              <w:tc>
                <w:tcPr>
                  <w:tcW w:w="232" w:type="pct"/>
                  <w:tcBorders>
                    <w:tl2br w:val="nil"/>
                    <w:tr2bl w:val="nil"/>
                  </w:tcBorders>
                  <w:shd w:val="clear" w:color="auto" w:fill="auto"/>
                  <w:noWrap/>
                  <w:vAlign w:val="center"/>
                </w:tcPr>
                <w:p w14:paraId="7152D6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22231C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E5A6A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36.05</w:t>
                  </w:r>
                </w:p>
              </w:tc>
              <w:tc>
                <w:tcPr>
                  <w:tcW w:w="422" w:type="pct"/>
                  <w:tcBorders>
                    <w:tl2br w:val="nil"/>
                    <w:tr2bl w:val="nil"/>
                  </w:tcBorders>
                  <w:shd w:val="clear" w:color="auto" w:fill="auto"/>
                  <w:noWrap/>
                  <w:vAlign w:val="center"/>
                </w:tcPr>
                <w:p w14:paraId="23F42D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64.80</w:t>
                  </w:r>
                </w:p>
              </w:tc>
              <w:tc>
                <w:tcPr>
                  <w:tcW w:w="300" w:type="pct"/>
                  <w:vMerge w:val="continue"/>
                  <w:tcBorders>
                    <w:tl2br w:val="nil"/>
                    <w:tr2bl w:val="nil"/>
                  </w:tcBorders>
                  <w:shd w:val="clear" w:color="auto" w:fill="auto"/>
                  <w:noWrap/>
                  <w:vAlign w:val="center"/>
                </w:tcPr>
                <w:p w14:paraId="6639AC6E">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DC2DD7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929B2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38.80</w:t>
                  </w:r>
                </w:p>
              </w:tc>
              <w:tc>
                <w:tcPr>
                  <w:tcW w:w="342" w:type="pct"/>
                  <w:tcBorders>
                    <w:tl2br w:val="nil"/>
                    <w:tr2bl w:val="nil"/>
                  </w:tcBorders>
                  <w:shd w:val="clear" w:color="auto" w:fill="auto"/>
                  <w:noWrap/>
                  <w:vAlign w:val="center"/>
                </w:tcPr>
                <w:p w14:paraId="7D084F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5776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4F1BCC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BD0A86E">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0E5190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DA1C69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19E6B1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96B69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-14.48</w:t>
                  </w:r>
                </w:p>
              </w:tc>
              <w:tc>
                <w:tcPr>
                  <w:tcW w:w="321" w:type="pct"/>
                  <w:tcBorders>
                    <w:tl2br w:val="nil"/>
                    <w:tr2bl w:val="nil"/>
                  </w:tcBorders>
                  <w:shd w:val="clear" w:color="auto" w:fill="auto"/>
                  <w:noWrap/>
                  <w:vAlign w:val="center"/>
                </w:tcPr>
                <w:p w14:paraId="0F1A7A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-8.22</w:t>
                  </w:r>
                </w:p>
              </w:tc>
              <w:tc>
                <w:tcPr>
                  <w:tcW w:w="232" w:type="pct"/>
                  <w:tcBorders>
                    <w:tl2br w:val="nil"/>
                    <w:tr2bl w:val="nil"/>
                  </w:tcBorders>
                  <w:shd w:val="clear" w:color="auto" w:fill="auto"/>
                  <w:noWrap/>
                  <w:vAlign w:val="center"/>
                </w:tcPr>
                <w:p w14:paraId="45C14B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A0022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99347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32.02</w:t>
                  </w:r>
                </w:p>
              </w:tc>
              <w:tc>
                <w:tcPr>
                  <w:tcW w:w="422" w:type="pct"/>
                  <w:tcBorders>
                    <w:tl2br w:val="nil"/>
                    <w:tr2bl w:val="nil"/>
                  </w:tcBorders>
                  <w:shd w:val="clear" w:color="auto" w:fill="auto"/>
                  <w:noWrap/>
                  <w:vAlign w:val="center"/>
                </w:tcPr>
                <w:p w14:paraId="361045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64.80</w:t>
                  </w:r>
                </w:p>
              </w:tc>
              <w:tc>
                <w:tcPr>
                  <w:tcW w:w="300" w:type="pct"/>
                  <w:vMerge w:val="continue"/>
                  <w:tcBorders>
                    <w:tl2br w:val="nil"/>
                    <w:tr2bl w:val="nil"/>
                  </w:tcBorders>
                  <w:shd w:val="clear" w:color="auto" w:fill="auto"/>
                  <w:noWrap/>
                  <w:vAlign w:val="center"/>
                </w:tcPr>
                <w:p w14:paraId="071654B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BC9EB1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2414C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38.80</w:t>
                  </w:r>
                </w:p>
              </w:tc>
              <w:tc>
                <w:tcPr>
                  <w:tcW w:w="342" w:type="pct"/>
                  <w:tcBorders>
                    <w:tl2br w:val="nil"/>
                    <w:tr2bl w:val="nil"/>
                  </w:tcBorders>
                  <w:shd w:val="clear" w:color="auto" w:fill="auto"/>
                  <w:noWrap/>
                  <w:vAlign w:val="center"/>
                </w:tcPr>
                <w:p w14:paraId="2285F9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8D35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353DA2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61</w:t>
                  </w:r>
                </w:p>
              </w:tc>
              <w:tc>
                <w:tcPr>
                  <w:tcW w:w="351" w:type="pct"/>
                  <w:vMerge w:val="continue"/>
                  <w:tcBorders>
                    <w:tl2br w:val="nil"/>
                    <w:tr2bl w:val="nil"/>
                  </w:tcBorders>
                  <w:shd w:val="clear" w:color="auto" w:fill="auto"/>
                  <w:noWrap/>
                  <w:vAlign w:val="center"/>
                </w:tcPr>
                <w:p w14:paraId="0CF67AA1">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88094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空压机4</w:t>
                  </w:r>
                </w:p>
              </w:tc>
              <w:tc>
                <w:tcPr>
                  <w:tcW w:w="452" w:type="pct"/>
                  <w:vMerge w:val="restart"/>
                  <w:tcBorders>
                    <w:tl2br w:val="nil"/>
                    <w:tr2bl w:val="nil"/>
                  </w:tcBorders>
                  <w:shd w:val="clear" w:color="auto" w:fill="auto"/>
                  <w:noWrap/>
                  <w:vAlign w:val="center"/>
                </w:tcPr>
                <w:p w14:paraId="61CADE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20" w:type="pct"/>
                  <w:vMerge w:val="continue"/>
                  <w:tcBorders>
                    <w:tl2br w:val="nil"/>
                    <w:tr2bl w:val="nil"/>
                  </w:tcBorders>
                  <w:shd w:val="clear" w:color="auto" w:fill="auto"/>
                  <w:noWrap/>
                  <w:vAlign w:val="center"/>
                </w:tcPr>
                <w:p w14:paraId="0414A21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286C9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-6.61</w:t>
                  </w:r>
                </w:p>
              </w:tc>
              <w:tc>
                <w:tcPr>
                  <w:tcW w:w="321" w:type="pct"/>
                  <w:tcBorders>
                    <w:tl2br w:val="nil"/>
                    <w:tr2bl w:val="nil"/>
                  </w:tcBorders>
                  <w:shd w:val="clear" w:color="auto" w:fill="auto"/>
                  <w:noWrap/>
                  <w:vAlign w:val="center"/>
                </w:tcPr>
                <w:p w14:paraId="08C6F4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w:t>
                  </w:r>
                </w:p>
              </w:tc>
              <w:tc>
                <w:tcPr>
                  <w:tcW w:w="232" w:type="pct"/>
                  <w:tcBorders>
                    <w:tl2br w:val="nil"/>
                    <w:tr2bl w:val="nil"/>
                  </w:tcBorders>
                  <w:shd w:val="clear" w:color="auto" w:fill="auto"/>
                  <w:noWrap/>
                  <w:vAlign w:val="center"/>
                </w:tcPr>
                <w:p w14:paraId="497060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7930C8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B0461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52.65</w:t>
                  </w:r>
                </w:p>
              </w:tc>
              <w:tc>
                <w:tcPr>
                  <w:tcW w:w="422" w:type="pct"/>
                  <w:tcBorders>
                    <w:tl2br w:val="nil"/>
                    <w:tr2bl w:val="nil"/>
                  </w:tcBorders>
                  <w:shd w:val="clear" w:color="auto" w:fill="auto"/>
                  <w:noWrap/>
                  <w:vAlign w:val="center"/>
                </w:tcPr>
                <w:p w14:paraId="201C38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64.79</w:t>
                  </w:r>
                </w:p>
              </w:tc>
              <w:tc>
                <w:tcPr>
                  <w:tcW w:w="300" w:type="pct"/>
                  <w:vMerge w:val="restart"/>
                  <w:tcBorders>
                    <w:tl2br w:val="nil"/>
                    <w:tr2bl w:val="nil"/>
                  </w:tcBorders>
                  <w:shd w:val="clear" w:color="auto" w:fill="auto"/>
                  <w:noWrap/>
                  <w:vAlign w:val="center"/>
                </w:tcPr>
                <w:p w14:paraId="71148F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5383E7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302A9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38.79</w:t>
                  </w:r>
                </w:p>
              </w:tc>
              <w:tc>
                <w:tcPr>
                  <w:tcW w:w="342" w:type="pct"/>
                  <w:tcBorders>
                    <w:tl2br w:val="nil"/>
                    <w:tr2bl w:val="nil"/>
                  </w:tcBorders>
                  <w:shd w:val="clear" w:color="auto" w:fill="auto"/>
                  <w:noWrap/>
                  <w:vAlign w:val="center"/>
                </w:tcPr>
                <w:p w14:paraId="5C0442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55E5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1D132A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4554E0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16DA7C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F53FD3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01233A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37F60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-6.61</w:t>
                  </w:r>
                </w:p>
              </w:tc>
              <w:tc>
                <w:tcPr>
                  <w:tcW w:w="321" w:type="pct"/>
                  <w:tcBorders>
                    <w:tl2br w:val="nil"/>
                    <w:tr2bl w:val="nil"/>
                  </w:tcBorders>
                  <w:shd w:val="clear" w:color="auto" w:fill="auto"/>
                  <w:noWrap/>
                  <w:vAlign w:val="center"/>
                </w:tcPr>
                <w:p w14:paraId="7E6F1A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w:t>
                  </w:r>
                </w:p>
              </w:tc>
              <w:tc>
                <w:tcPr>
                  <w:tcW w:w="232" w:type="pct"/>
                  <w:tcBorders>
                    <w:tl2br w:val="nil"/>
                    <w:tr2bl w:val="nil"/>
                  </w:tcBorders>
                  <w:shd w:val="clear" w:color="auto" w:fill="auto"/>
                  <w:noWrap/>
                  <w:vAlign w:val="center"/>
                </w:tcPr>
                <w:p w14:paraId="1B34D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287B69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60BF7B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10.05</w:t>
                  </w:r>
                </w:p>
              </w:tc>
              <w:tc>
                <w:tcPr>
                  <w:tcW w:w="422" w:type="pct"/>
                  <w:tcBorders>
                    <w:tl2br w:val="nil"/>
                    <w:tr2bl w:val="nil"/>
                  </w:tcBorders>
                  <w:shd w:val="clear" w:color="auto" w:fill="auto"/>
                  <w:noWrap/>
                  <w:vAlign w:val="center"/>
                </w:tcPr>
                <w:p w14:paraId="3A70CB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64.90</w:t>
                  </w:r>
                </w:p>
              </w:tc>
              <w:tc>
                <w:tcPr>
                  <w:tcW w:w="300" w:type="pct"/>
                  <w:vMerge w:val="continue"/>
                  <w:tcBorders>
                    <w:tl2br w:val="nil"/>
                    <w:tr2bl w:val="nil"/>
                  </w:tcBorders>
                  <w:shd w:val="clear" w:color="auto" w:fill="auto"/>
                  <w:noWrap/>
                  <w:vAlign w:val="center"/>
                </w:tcPr>
                <w:p w14:paraId="4FFFF02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C2CAA1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DD1BA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38.90</w:t>
                  </w:r>
                </w:p>
              </w:tc>
              <w:tc>
                <w:tcPr>
                  <w:tcW w:w="342" w:type="pct"/>
                  <w:tcBorders>
                    <w:tl2br w:val="nil"/>
                    <w:tr2bl w:val="nil"/>
                  </w:tcBorders>
                  <w:shd w:val="clear" w:color="auto" w:fill="auto"/>
                  <w:noWrap/>
                  <w:vAlign w:val="center"/>
                </w:tcPr>
                <w:p w14:paraId="2F0A48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5680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8049F8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52CEC6B">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29F201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07ADD7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9E06C6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AA687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-6.61</w:t>
                  </w:r>
                </w:p>
              </w:tc>
              <w:tc>
                <w:tcPr>
                  <w:tcW w:w="321" w:type="pct"/>
                  <w:tcBorders>
                    <w:tl2br w:val="nil"/>
                    <w:tr2bl w:val="nil"/>
                  </w:tcBorders>
                  <w:shd w:val="clear" w:color="auto" w:fill="auto"/>
                  <w:noWrap/>
                  <w:vAlign w:val="center"/>
                </w:tcPr>
                <w:p w14:paraId="6AE4E3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w:t>
                  </w:r>
                </w:p>
              </w:tc>
              <w:tc>
                <w:tcPr>
                  <w:tcW w:w="232" w:type="pct"/>
                  <w:tcBorders>
                    <w:tl2br w:val="nil"/>
                    <w:tr2bl w:val="nil"/>
                  </w:tcBorders>
                  <w:shd w:val="clear" w:color="auto" w:fill="auto"/>
                  <w:noWrap/>
                  <w:vAlign w:val="center"/>
                </w:tcPr>
                <w:p w14:paraId="71474D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8CF7F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30F9BC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35.48</w:t>
                  </w:r>
                </w:p>
              </w:tc>
              <w:tc>
                <w:tcPr>
                  <w:tcW w:w="422" w:type="pct"/>
                  <w:tcBorders>
                    <w:tl2br w:val="nil"/>
                    <w:tr2bl w:val="nil"/>
                  </w:tcBorders>
                  <w:shd w:val="clear" w:color="auto" w:fill="auto"/>
                  <w:noWrap/>
                  <w:vAlign w:val="center"/>
                </w:tcPr>
                <w:p w14:paraId="666619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64.80</w:t>
                  </w:r>
                </w:p>
              </w:tc>
              <w:tc>
                <w:tcPr>
                  <w:tcW w:w="300" w:type="pct"/>
                  <w:vMerge w:val="continue"/>
                  <w:tcBorders>
                    <w:tl2br w:val="nil"/>
                    <w:tr2bl w:val="nil"/>
                  </w:tcBorders>
                  <w:shd w:val="clear" w:color="auto" w:fill="auto"/>
                  <w:noWrap/>
                  <w:vAlign w:val="center"/>
                </w:tcPr>
                <w:p w14:paraId="1FBEA39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7CC4F9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014D5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38.80</w:t>
                  </w:r>
                </w:p>
              </w:tc>
              <w:tc>
                <w:tcPr>
                  <w:tcW w:w="342" w:type="pct"/>
                  <w:tcBorders>
                    <w:tl2br w:val="nil"/>
                    <w:tr2bl w:val="nil"/>
                  </w:tcBorders>
                  <w:shd w:val="clear" w:color="auto" w:fill="auto"/>
                  <w:noWrap/>
                  <w:vAlign w:val="center"/>
                </w:tcPr>
                <w:p w14:paraId="0B3E3C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B757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685894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245347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5C86D7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577C8D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237702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E4853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-6.61</w:t>
                  </w:r>
                </w:p>
              </w:tc>
              <w:tc>
                <w:tcPr>
                  <w:tcW w:w="321" w:type="pct"/>
                  <w:tcBorders>
                    <w:tl2br w:val="nil"/>
                    <w:tr2bl w:val="nil"/>
                  </w:tcBorders>
                  <w:shd w:val="clear" w:color="auto" w:fill="auto"/>
                  <w:noWrap/>
                  <w:vAlign w:val="center"/>
                </w:tcPr>
                <w:p w14:paraId="7E4D21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w:t>
                  </w:r>
                </w:p>
              </w:tc>
              <w:tc>
                <w:tcPr>
                  <w:tcW w:w="232" w:type="pct"/>
                  <w:tcBorders>
                    <w:tl2br w:val="nil"/>
                    <w:tr2bl w:val="nil"/>
                  </w:tcBorders>
                  <w:shd w:val="clear" w:color="auto" w:fill="auto"/>
                  <w:noWrap/>
                  <w:vAlign w:val="center"/>
                </w:tcPr>
                <w:p w14:paraId="71ADF9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4F1FE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5BB600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40.27</w:t>
                  </w:r>
                </w:p>
              </w:tc>
              <w:tc>
                <w:tcPr>
                  <w:tcW w:w="422" w:type="pct"/>
                  <w:tcBorders>
                    <w:tl2br w:val="nil"/>
                    <w:tr2bl w:val="nil"/>
                  </w:tcBorders>
                  <w:shd w:val="clear" w:color="auto" w:fill="auto"/>
                  <w:noWrap/>
                  <w:vAlign w:val="center"/>
                </w:tcPr>
                <w:p w14:paraId="26724A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64.79</w:t>
                  </w:r>
                </w:p>
              </w:tc>
              <w:tc>
                <w:tcPr>
                  <w:tcW w:w="300" w:type="pct"/>
                  <w:vMerge w:val="continue"/>
                  <w:tcBorders>
                    <w:tl2br w:val="nil"/>
                    <w:tr2bl w:val="nil"/>
                  </w:tcBorders>
                  <w:shd w:val="clear" w:color="auto" w:fill="auto"/>
                  <w:noWrap/>
                  <w:vAlign w:val="center"/>
                </w:tcPr>
                <w:p w14:paraId="1867839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3D3885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D618F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38.79</w:t>
                  </w:r>
                </w:p>
              </w:tc>
              <w:tc>
                <w:tcPr>
                  <w:tcW w:w="342" w:type="pct"/>
                  <w:tcBorders>
                    <w:tl2br w:val="nil"/>
                    <w:tr2bl w:val="nil"/>
                  </w:tcBorders>
                  <w:shd w:val="clear" w:color="auto" w:fill="auto"/>
                  <w:noWrap/>
                  <w:vAlign w:val="center"/>
                </w:tcPr>
                <w:p w14:paraId="06C117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7EBE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426F0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c>
                <w:tcPr>
                  <w:tcW w:w="351" w:type="pct"/>
                  <w:vMerge w:val="continue"/>
                  <w:tcBorders>
                    <w:tl2br w:val="nil"/>
                    <w:tr2bl w:val="nil"/>
                  </w:tcBorders>
                  <w:shd w:val="clear" w:color="auto" w:fill="auto"/>
                  <w:noWrap/>
                  <w:vAlign w:val="center"/>
                </w:tcPr>
                <w:p w14:paraId="4A715DF2">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15194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水泵1</w:t>
                  </w:r>
                </w:p>
              </w:tc>
              <w:tc>
                <w:tcPr>
                  <w:tcW w:w="452" w:type="pct"/>
                  <w:vMerge w:val="restart"/>
                  <w:tcBorders>
                    <w:tl2br w:val="nil"/>
                    <w:tr2bl w:val="nil"/>
                  </w:tcBorders>
                  <w:shd w:val="clear" w:color="auto" w:fill="auto"/>
                  <w:noWrap/>
                  <w:vAlign w:val="center"/>
                </w:tcPr>
                <w:p w14:paraId="3C8D7D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250E102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762E6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-32.92</w:t>
                  </w:r>
                </w:p>
              </w:tc>
              <w:tc>
                <w:tcPr>
                  <w:tcW w:w="321" w:type="pct"/>
                  <w:tcBorders>
                    <w:tl2br w:val="nil"/>
                    <w:tr2bl w:val="nil"/>
                  </w:tcBorders>
                  <w:shd w:val="clear" w:color="auto" w:fill="auto"/>
                  <w:noWrap/>
                  <w:vAlign w:val="center"/>
                </w:tcPr>
                <w:p w14:paraId="3D901D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-22.31</w:t>
                  </w:r>
                </w:p>
              </w:tc>
              <w:tc>
                <w:tcPr>
                  <w:tcW w:w="232" w:type="pct"/>
                  <w:tcBorders>
                    <w:tl2br w:val="nil"/>
                    <w:tr2bl w:val="nil"/>
                  </w:tcBorders>
                  <w:shd w:val="clear" w:color="auto" w:fill="auto"/>
                  <w:noWrap/>
                  <w:vAlign w:val="center"/>
                </w:tcPr>
                <w:p w14:paraId="085D83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012C1A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19009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57.53</w:t>
                  </w:r>
                </w:p>
              </w:tc>
              <w:tc>
                <w:tcPr>
                  <w:tcW w:w="422" w:type="pct"/>
                  <w:tcBorders>
                    <w:tl2br w:val="nil"/>
                    <w:tr2bl w:val="nil"/>
                  </w:tcBorders>
                  <w:shd w:val="clear" w:color="auto" w:fill="auto"/>
                  <w:noWrap/>
                  <w:vAlign w:val="center"/>
                </w:tcPr>
                <w:p w14:paraId="10F024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restart"/>
                  <w:tcBorders>
                    <w:tl2br w:val="nil"/>
                    <w:tr2bl w:val="nil"/>
                  </w:tcBorders>
                  <w:shd w:val="clear" w:color="auto" w:fill="auto"/>
                  <w:noWrap/>
                  <w:vAlign w:val="center"/>
                </w:tcPr>
                <w:p w14:paraId="323527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11B0D2C5">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A1168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7ACFE8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0D95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313511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A353F4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339F7F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B9B2F04">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C3DB1A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502B4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-32.92</w:t>
                  </w:r>
                </w:p>
              </w:tc>
              <w:tc>
                <w:tcPr>
                  <w:tcW w:w="321" w:type="pct"/>
                  <w:tcBorders>
                    <w:tl2br w:val="nil"/>
                    <w:tr2bl w:val="nil"/>
                  </w:tcBorders>
                  <w:shd w:val="clear" w:color="auto" w:fill="auto"/>
                  <w:noWrap/>
                  <w:vAlign w:val="center"/>
                </w:tcPr>
                <w:p w14:paraId="2A5100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-22.31</w:t>
                  </w:r>
                </w:p>
              </w:tc>
              <w:tc>
                <w:tcPr>
                  <w:tcW w:w="232" w:type="pct"/>
                  <w:tcBorders>
                    <w:tl2br w:val="nil"/>
                    <w:tr2bl w:val="nil"/>
                  </w:tcBorders>
                  <w:shd w:val="clear" w:color="auto" w:fill="auto"/>
                  <w:noWrap/>
                  <w:vAlign w:val="center"/>
                </w:tcPr>
                <w:p w14:paraId="7EC47D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789852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5BDAD2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40.73</w:t>
                  </w:r>
                </w:p>
              </w:tc>
              <w:tc>
                <w:tcPr>
                  <w:tcW w:w="422" w:type="pct"/>
                  <w:tcBorders>
                    <w:tl2br w:val="nil"/>
                    <w:tr2bl w:val="nil"/>
                  </w:tcBorders>
                  <w:shd w:val="clear" w:color="auto" w:fill="auto"/>
                  <w:noWrap/>
                  <w:vAlign w:val="center"/>
                </w:tcPr>
                <w:p w14:paraId="4AA86F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54.82</w:t>
                  </w:r>
                </w:p>
              </w:tc>
              <w:tc>
                <w:tcPr>
                  <w:tcW w:w="300" w:type="pct"/>
                  <w:vMerge w:val="continue"/>
                  <w:tcBorders>
                    <w:tl2br w:val="nil"/>
                    <w:tr2bl w:val="nil"/>
                  </w:tcBorders>
                  <w:shd w:val="clear" w:color="auto" w:fill="auto"/>
                  <w:noWrap/>
                  <w:vAlign w:val="center"/>
                </w:tcPr>
                <w:p w14:paraId="39505AC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EF5C2C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D1739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28.82</w:t>
                  </w:r>
                </w:p>
              </w:tc>
              <w:tc>
                <w:tcPr>
                  <w:tcW w:w="342" w:type="pct"/>
                  <w:tcBorders>
                    <w:tl2br w:val="nil"/>
                    <w:tr2bl w:val="nil"/>
                  </w:tcBorders>
                  <w:shd w:val="clear" w:color="auto" w:fill="auto"/>
                  <w:noWrap/>
                  <w:vAlign w:val="center"/>
                </w:tcPr>
                <w:p w14:paraId="5E66C2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2D42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D1FB2C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CB76EE7">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B54601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442DD1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9BEAA6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C2984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-32.92</w:t>
                  </w:r>
                </w:p>
              </w:tc>
              <w:tc>
                <w:tcPr>
                  <w:tcW w:w="321" w:type="pct"/>
                  <w:tcBorders>
                    <w:tl2br w:val="nil"/>
                    <w:tr2bl w:val="nil"/>
                  </w:tcBorders>
                  <w:shd w:val="clear" w:color="auto" w:fill="auto"/>
                  <w:noWrap/>
                  <w:vAlign w:val="center"/>
                </w:tcPr>
                <w:p w14:paraId="342644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-22.31</w:t>
                  </w:r>
                </w:p>
              </w:tc>
              <w:tc>
                <w:tcPr>
                  <w:tcW w:w="232" w:type="pct"/>
                  <w:tcBorders>
                    <w:tl2br w:val="nil"/>
                    <w:tr2bl w:val="nil"/>
                  </w:tcBorders>
                  <w:shd w:val="clear" w:color="auto" w:fill="auto"/>
                  <w:noWrap/>
                  <w:vAlign w:val="center"/>
                </w:tcPr>
                <w:p w14:paraId="21AAA9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7983AC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9CC74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30.19</w:t>
                  </w:r>
                </w:p>
              </w:tc>
              <w:tc>
                <w:tcPr>
                  <w:tcW w:w="422" w:type="pct"/>
                  <w:tcBorders>
                    <w:tl2br w:val="nil"/>
                    <w:tr2bl w:val="nil"/>
                  </w:tcBorders>
                  <w:shd w:val="clear" w:color="auto" w:fill="auto"/>
                  <w:noWrap/>
                  <w:vAlign w:val="center"/>
                </w:tcPr>
                <w:p w14:paraId="5B6552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54.84</w:t>
                  </w:r>
                </w:p>
              </w:tc>
              <w:tc>
                <w:tcPr>
                  <w:tcW w:w="300" w:type="pct"/>
                  <w:vMerge w:val="continue"/>
                  <w:tcBorders>
                    <w:tl2br w:val="nil"/>
                    <w:tr2bl w:val="nil"/>
                  </w:tcBorders>
                  <w:shd w:val="clear" w:color="auto" w:fill="auto"/>
                  <w:noWrap/>
                  <w:vAlign w:val="center"/>
                </w:tcPr>
                <w:p w14:paraId="2199282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93DB4E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8D442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28.84</w:t>
                  </w:r>
                </w:p>
              </w:tc>
              <w:tc>
                <w:tcPr>
                  <w:tcW w:w="342" w:type="pct"/>
                  <w:tcBorders>
                    <w:tl2br w:val="nil"/>
                    <w:tr2bl w:val="nil"/>
                  </w:tcBorders>
                  <w:shd w:val="clear" w:color="auto" w:fill="auto"/>
                  <w:noWrap/>
                  <w:vAlign w:val="center"/>
                </w:tcPr>
                <w:p w14:paraId="776C70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96E1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C58FB65">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B4A0CD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D0FB7F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5B7821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0CF0CF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00F2A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-32.92</w:t>
                  </w:r>
                </w:p>
              </w:tc>
              <w:tc>
                <w:tcPr>
                  <w:tcW w:w="321" w:type="pct"/>
                  <w:tcBorders>
                    <w:tl2br w:val="nil"/>
                    <w:tr2bl w:val="nil"/>
                  </w:tcBorders>
                  <w:shd w:val="clear" w:color="auto" w:fill="auto"/>
                  <w:noWrap/>
                  <w:vAlign w:val="center"/>
                </w:tcPr>
                <w:p w14:paraId="295A9B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-22.31</w:t>
                  </w:r>
                </w:p>
              </w:tc>
              <w:tc>
                <w:tcPr>
                  <w:tcW w:w="232" w:type="pct"/>
                  <w:tcBorders>
                    <w:tl2br w:val="nil"/>
                    <w:tr2bl w:val="nil"/>
                  </w:tcBorders>
                  <w:shd w:val="clear" w:color="auto" w:fill="auto"/>
                  <w:noWrap/>
                  <w:vAlign w:val="center"/>
                </w:tcPr>
                <w:p w14:paraId="3C7A48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099285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E74CE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9.23</w:t>
                  </w:r>
                </w:p>
              </w:tc>
              <w:tc>
                <w:tcPr>
                  <w:tcW w:w="422" w:type="pct"/>
                  <w:tcBorders>
                    <w:tl2br w:val="nil"/>
                    <w:tr2bl w:val="nil"/>
                  </w:tcBorders>
                  <w:shd w:val="clear" w:color="auto" w:fill="auto"/>
                  <w:noWrap/>
                  <w:vAlign w:val="center"/>
                </w:tcPr>
                <w:p w14:paraId="531A87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55.30</w:t>
                  </w:r>
                </w:p>
              </w:tc>
              <w:tc>
                <w:tcPr>
                  <w:tcW w:w="300" w:type="pct"/>
                  <w:vMerge w:val="continue"/>
                  <w:tcBorders>
                    <w:tl2br w:val="nil"/>
                    <w:tr2bl w:val="nil"/>
                  </w:tcBorders>
                  <w:shd w:val="clear" w:color="auto" w:fill="auto"/>
                  <w:noWrap/>
                  <w:vAlign w:val="center"/>
                </w:tcPr>
                <w:p w14:paraId="3A6A685A">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5D5910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6F8F3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29.30</w:t>
                  </w:r>
                </w:p>
              </w:tc>
              <w:tc>
                <w:tcPr>
                  <w:tcW w:w="342" w:type="pct"/>
                  <w:tcBorders>
                    <w:tl2br w:val="nil"/>
                    <w:tr2bl w:val="nil"/>
                  </w:tcBorders>
                  <w:shd w:val="clear" w:color="auto" w:fill="auto"/>
                  <w:noWrap/>
                  <w:vAlign w:val="center"/>
                </w:tcPr>
                <w:p w14:paraId="6C67B4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6FC8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280D77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c>
                <w:tcPr>
                  <w:tcW w:w="351" w:type="pct"/>
                  <w:vMerge w:val="continue"/>
                  <w:tcBorders>
                    <w:tl2br w:val="nil"/>
                    <w:tr2bl w:val="nil"/>
                  </w:tcBorders>
                  <w:shd w:val="clear" w:color="auto" w:fill="auto"/>
                  <w:noWrap/>
                  <w:vAlign w:val="center"/>
                </w:tcPr>
                <w:p w14:paraId="1EE1B6E1">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69BFE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水泵2</w:t>
                  </w:r>
                </w:p>
              </w:tc>
              <w:tc>
                <w:tcPr>
                  <w:tcW w:w="452" w:type="pct"/>
                  <w:vMerge w:val="restart"/>
                  <w:tcBorders>
                    <w:tl2br w:val="nil"/>
                    <w:tr2bl w:val="nil"/>
                  </w:tcBorders>
                  <w:shd w:val="clear" w:color="auto" w:fill="auto"/>
                  <w:noWrap/>
                  <w:vAlign w:val="center"/>
                </w:tcPr>
                <w:p w14:paraId="364878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562D74B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3F5FE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-20.28</w:t>
                  </w:r>
                </w:p>
              </w:tc>
              <w:tc>
                <w:tcPr>
                  <w:tcW w:w="321" w:type="pct"/>
                  <w:tcBorders>
                    <w:tl2br w:val="nil"/>
                    <w:tr2bl w:val="nil"/>
                  </w:tcBorders>
                  <w:shd w:val="clear" w:color="auto" w:fill="auto"/>
                  <w:noWrap/>
                  <w:vAlign w:val="center"/>
                </w:tcPr>
                <w:p w14:paraId="69B9B3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232" w:type="pct"/>
                  <w:tcBorders>
                    <w:tl2br w:val="nil"/>
                    <w:tr2bl w:val="nil"/>
                  </w:tcBorders>
                  <w:shd w:val="clear" w:color="auto" w:fill="auto"/>
                  <w:noWrap/>
                  <w:vAlign w:val="center"/>
                </w:tcPr>
                <w:p w14:paraId="0A6495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09A940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0C06E9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59.54</w:t>
                  </w:r>
                </w:p>
              </w:tc>
              <w:tc>
                <w:tcPr>
                  <w:tcW w:w="422" w:type="pct"/>
                  <w:tcBorders>
                    <w:tl2br w:val="nil"/>
                    <w:tr2bl w:val="nil"/>
                  </w:tcBorders>
                  <w:shd w:val="clear" w:color="auto" w:fill="auto"/>
                  <w:noWrap/>
                  <w:vAlign w:val="center"/>
                </w:tcPr>
                <w:p w14:paraId="13F336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54.80</w:t>
                  </w:r>
                </w:p>
              </w:tc>
              <w:tc>
                <w:tcPr>
                  <w:tcW w:w="300" w:type="pct"/>
                  <w:vMerge w:val="restart"/>
                  <w:tcBorders>
                    <w:tl2br w:val="nil"/>
                    <w:tr2bl w:val="nil"/>
                  </w:tcBorders>
                  <w:shd w:val="clear" w:color="auto" w:fill="auto"/>
                  <w:noWrap/>
                  <w:vAlign w:val="center"/>
                </w:tcPr>
                <w:p w14:paraId="1253C7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6F9D08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617FF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42" w:type="pct"/>
                  <w:tcBorders>
                    <w:tl2br w:val="nil"/>
                    <w:tr2bl w:val="nil"/>
                  </w:tcBorders>
                  <w:shd w:val="clear" w:color="auto" w:fill="auto"/>
                  <w:noWrap/>
                  <w:vAlign w:val="center"/>
                </w:tcPr>
                <w:p w14:paraId="4434FC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7FAD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80E783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17858D0C">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FF8079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C2EA35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7A7B9F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71560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-20.28</w:t>
                  </w:r>
                </w:p>
              </w:tc>
              <w:tc>
                <w:tcPr>
                  <w:tcW w:w="321" w:type="pct"/>
                  <w:tcBorders>
                    <w:tl2br w:val="nil"/>
                    <w:tr2bl w:val="nil"/>
                  </w:tcBorders>
                  <w:shd w:val="clear" w:color="auto" w:fill="auto"/>
                  <w:noWrap/>
                  <w:vAlign w:val="center"/>
                </w:tcPr>
                <w:p w14:paraId="201B40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232" w:type="pct"/>
                  <w:tcBorders>
                    <w:tl2br w:val="nil"/>
                    <w:tr2bl w:val="nil"/>
                  </w:tcBorders>
                  <w:shd w:val="clear" w:color="auto" w:fill="auto"/>
                  <w:noWrap/>
                  <w:vAlign w:val="center"/>
                </w:tcPr>
                <w:p w14:paraId="5E9998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1EF8AF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4F89F4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27.78</w:t>
                  </w:r>
                </w:p>
              </w:tc>
              <w:tc>
                <w:tcPr>
                  <w:tcW w:w="422" w:type="pct"/>
                  <w:tcBorders>
                    <w:tl2br w:val="nil"/>
                    <w:tr2bl w:val="nil"/>
                  </w:tcBorders>
                  <w:shd w:val="clear" w:color="auto" w:fill="auto"/>
                  <w:noWrap/>
                  <w:vAlign w:val="center"/>
                </w:tcPr>
                <w:p w14:paraId="282EBA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54.85</w:t>
                  </w:r>
                </w:p>
              </w:tc>
              <w:tc>
                <w:tcPr>
                  <w:tcW w:w="300" w:type="pct"/>
                  <w:vMerge w:val="continue"/>
                  <w:tcBorders>
                    <w:tl2br w:val="nil"/>
                    <w:tr2bl w:val="nil"/>
                  </w:tcBorders>
                  <w:shd w:val="clear" w:color="auto" w:fill="auto"/>
                  <w:noWrap/>
                  <w:vAlign w:val="center"/>
                </w:tcPr>
                <w:p w14:paraId="5D7A56A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85CF6D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674B2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28.85</w:t>
                  </w:r>
                </w:p>
              </w:tc>
              <w:tc>
                <w:tcPr>
                  <w:tcW w:w="342" w:type="pct"/>
                  <w:tcBorders>
                    <w:tl2br w:val="nil"/>
                    <w:tr2bl w:val="nil"/>
                  </w:tcBorders>
                  <w:shd w:val="clear" w:color="auto" w:fill="auto"/>
                  <w:noWrap/>
                  <w:vAlign w:val="center"/>
                </w:tcPr>
                <w:p w14:paraId="1EDE3D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00B4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EC605C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8BCF7C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06485D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BC0A40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A0433B1">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2A3D1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-20.28</w:t>
                  </w:r>
                </w:p>
              </w:tc>
              <w:tc>
                <w:tcPr>
                  <w:tcW w:w="321" w:type="pct"/>
                  <w:tcBorders>
                    <w:tl2br w:val="nil"/>
                    <w:tr2bl w:val="nil"/>
                  </w:tcBorders>
                  <w:shd w:val="clear" w:color="auto" w:fill="auto"/>
                  <w:noWrap/>
                  <w:vAlign w:val="center"/>
                </w:tcPr>
                <w:p w14:paraId="4627DA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232" w:type="pct"/>
                  <w:tcBorders>
                    <w:tl2br w:val="nil"/>
                    <w:tr2bl w:val="nil"/>
                  </w:tcBorders>
                  <w:shd w:val="clear" w:color="auto" w:fill="auto"/>
                  <w:noWrap/>
                  <w:vAlign w:val="center"/>
                </w:tcPr>
                <w:p w14:paraId="513AE8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740729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544FA3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28.35</w:t>
                  </w:r>
                </w:p>
              </w:tc>
              <w:tc>
                <w:tcPr>
                  <w:tcW w:w="422" w:type="pct"/>
                  <w:tcBorders>
                    <w:tl2br w:val="nil"/>
                    <w:tr2bl w:val="nil"/>
                  </w:tcBorders>
                  <w:shd w:val="clear" w:color="auto" w:fill="auto"/>
                  <w:noWrap/>
                  <w:vAlign w:val="center"/>
                </w:tcPr>
                <w:p w14:paraId="2B89F0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54.84</w:t>
                  </w:r>
                </w:p>
              </w:tc>
              <w:tc>
                <w:tcPr>
                  <w:tcW w:w="300" w:type="pct"/>
                  <w:vMerge w:val="continue"/>
                  <w:tcBorders>
                    <w:tl2br w:val="nil"/>
                    <w:tr2bl w:val="nil"/>
                  </w:tcBorders>
                  <w:shd w:val="clear" w:color="auto" w:fill="auto"/>
                  <w:noWrap/>
                  <w:vAlign w:val="center"/>
                </w:tcPr>
                <w:p w14:paraId="03B69CDF">
                  <w:pPr>
                    <w:jc w:val="center"/>
                    <w:rPr>
                      <w:rFonts w:hint="default" w:ascii="Times New Roman" w:hAnsi="Times New Roman" w:eastAsia="宋体" w:cs="Times New Roman"/>
                      <w:i w:val="0"/>
                      <w:iCs w:val="0"/>
                      <w:color w:val="auto"/>
                      <w:sz w:val="21"/>
                      <w:szCs w:val="21"/>
                      <w:highlight w:val="none"/>
                      <w:u w:val="none"/>
                    </w:rPr>
                  </w:pPr>
                </w:p>
              </w:tc>
              <w:tc>
                <w:tcPr>
                  <w:tcW w:w="456" w:type="pct"/>
                  <w:vMerge w:val="restart"/>
                  <w:tcBorders>
                    <w:tl2br w:val="nil"/>
                    <w:tr2bl w:val="nil"/>
                  </w:tcBorders>
                  <w:shd w:val="clear" w:color="auto" w:fill="auto"/>
                  <w:noWrap/>
                  <w:vAlign w:val="center"/>
                </w:tcPr>
                <w:p w14:paraId="408122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342" w:type="pct"/>
                  <w:tcBorders>
                    <w:tl2br w:val="nil"/>
                    <w:tr2bl w:val="nil"/>
                  </w:tcBorders>
                  <w:shd w:val="clear" w:color="auto" w:fill="auto"/>
                  <w:noWrap/>
                  <w:vAlign w:val="center"/>
                </w:tcPr>
                <w:p w14:paraId="329888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28.84</w:t>
                  </w:r>
                </w:p>
              </w:tc>
              <w:tc>
                <w:tcPr>
                  <w:tcW w:w="342" w:type="pct"/>
                  <w:tcBorders>
                    <w:tl2br w:val="nil"/>
                    <w:tr2bl w:val="nil"/>
                  </w:tcBorders>
                  <w:shd w:val="clear" w:color="auto" w:fill="auto"/>
                  <w:noWrap/>
                  <w:vAlign w:val="center"/>
                </w:tcPr>
                <w:p w14:paraId="3EB6F8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3314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98E00B3">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63035E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B9139B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BFE75C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D49589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640DB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-20.28</w:t>
                  </w:r>
                </w:p>
              </w:tc>
              <w:tc>
                <w:tcPr>
                  <w:tcW w:w="321" w:type="pct"/>
                  <w:tcBorders>
                    <w:tl2br w:val="nil"/>
                    <w:tr2bl w:val="nil"/>
                  </w:tcBorders>
                  <w:shd w:val="clear" w:color="auto" w:fill="auto"/>
                  <w:noWrap/>
                  <w:vAlign w:val="center"/>
                </w:tcPr>
                <w:p w14:paraId="0E55E0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232" w:type="pct"/>
                  <w:tcBorders>
                    <w:tl2br w:val="nil"/>
                    <w:tr2bl w:val="nil"/>
                  </w:tcBorders>
                  <w:shd w:val="clear" w:color="auto" w:fill="auto"/>
                  <w:noWrap/>
                  <w:vAlign w:val="center"/>
                </w:tcPr>
                <w:p w14:paraId="0790A5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81" w:type="pct"/>
                  <w:tcBorders>
                    <w:tl2br w:val="nil"/>
                    <w:tr2bl w:val="nil"/>
                  </w:tcBorders>
                  <w:shd w:val="clear" w:color="auto" w:fill="auto"/>
                  <w:noWrap/>
                  <w:vAlign w:val="center"/>
                </w:tcPr>
                <w:p w14:paraId="666C27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6334EA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22.02</w:t>
                  </w:r>
                </w:p>
              </w:tc>
              <w:tc>
                <w:tcPr>
                  <w:tcW w:w="422" w:type="pct"/>
                  <w:tcBorders>
                    <w:tl2br w:val="nil"/>
                    <w:tr2bl w:val="nil"/>
                  </w:tcBorders>
                  <w:shd w:val="clear" w:color="auto" w:fill="auto"/>
                  <w:noWrap/>
                  <w:vAlign w:val="center"/>
                </w:tcPr>
                <w:p w14:paraId="26533C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54.88</w:t>
                  </w:r>
                </w:p>
              </w:tc>
              <w:tc>
                <w:tcPr>
                  <w:tcW w:w="300" w:type="pct"/>
                  <w:vMerge w:val="continue"/>
                  <w:tcBorders>
                    <w:tl2br w:val="nil"/>
                    <w:tr2bl w:val="nil"/>
                  </w:tcBorders>
                  <w:shd w:val="clear" w:color="auto" w:fill="auto"/>
                  <w:noWrap/>
                  <w:vAlign w:val="center"/>
                </w:tcPr>
                <w:p w14:paraId="2200B336">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CE5F71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4016F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28.88</w:t>
                  </w:r>
                </w:p>
              </w:tc>
              <w:tc>
                <w:tcPr>
                  <w:tcW w:w="342" w:type="pct"/>
                  <w:tcBorders>
                    <w:tl2br w:val="nil"/>
                    <w:tr2bl w:val="nil"/>
                  </w:tcBorders>
                  <w:shd w:val="clear" w:color="auto" w:fill="auto"/>
                  <w:noWrap/>
                  <w:vAlign w:val="center"/>
                </w:tcPr>
                <w:p w14:paraId="37F78A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9608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5653C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351" w:type="pct"/>
                  <w:vMerge w:val="restart"/>
                  <w:tcBorders>
                    <w:tl2br w:val="nil"/>
                    <w:tr2bl w:val="nil"/>
                  </w:tcBorders>
                  <w:shd w:val="clear" w:color="auto" w:fill="auto"/>
                  <w:noWrap/>
                  <w:vAlign w:val="center"/>
                </w:tcPr>
                <w:p w14:paraId="33FACF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包装车间</w:t>
                  </w:r>
                </w:p>
              </w:tc>
              <w:tc>
                <w:tcPr>
                  <w:tcW w:w="429" w:type="pct"/>
                  <w:vMerge w:val="restart"/>
                  <w:tcBorders>
                    <w:tl2br w:val="nil"/>
                    <w:tr2bl w:val="nil"/>
                  </w:tcBorders>
                  <w:shd w:val="clear" w:color="auto" w:fill="auto"/>
                  <w:noWrap/>
                  <w:vAlign w:val="center"/>
                </w:tcPr>
                <w:p w14:paraId="67D00E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抽油机</w:t>
                  </w:r>
                </w:p>
              </w:tc>
              <w:tc>
                <w:tcPr>
                  <w:tcW w:w="452" w:type="pct"/>
                  <w:vMerge w:val="restart"/>
                  <w:tcBorders>
                    <w:tl2br w:val="nil"/>
                    <w:tr2bl w:val="nil"/>
                  </w:tcBorders>
                  <w:shd w:val="clear" w:color="auto" w:fill="auto"/>
                  <w:noWrap/>
                  <w:vAlign w:val="center"/>
                </w:tcPr>
                <w:p w14:paraId="3B2335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restart"/>
                  <w:tcBorders>
                    <w:tl2br w:val="nil"/>
                    <w:tr2bl w:val="nil"/>
                  </w:tcBorders>
                  <w:shd w:val="clear" w:color="auto" w:fill="auto"/>
                  <w:noWrap/>
                  <w:vAlign w:val="center"/>
                </w:tcPr>
                <w:p w14:paraId="68E88B1A">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隔声、减振</w:t>
                  </w:r>
                </w:p>
              </w:tc>
              <w:tc>
                <w:tcPr>
                  <w:tcW w:w="305" w:type="pct"/>
                  <w:tcBorders>
                    <w:tl2br w:val="nil"/>
                    <w:tr2bl w:val="nil"/>
                  </w:tcBorders>
                  <w:shd w:val="clear" w:color="auto" w:fill="auto"/>
                  <w:noWrap/>
                  <w:vAlign w:val="center"/>
                </w:tcPr>
                <w:p w14:paraId="36BE3D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-6.95</w:t>
                  </w:r>
                </w:p>
              </w:tc>
              <w:tc>
                <w:tcPr>
                  <w:tcW w:w="321" w:type="pct"/>
                  <w:tcBorders>
                    <w:tl2br w:val="nil"/>
                    <w:tr2bl w:val="nil"/>
                  </w:tcBorders>
                  <w:shd w:val="clear" w:color="auto" w:fill="auto"/>
                  <w:noWrap/>
                  <w:vAlign w:val="center"/>
                </w:tcPr>
                <w:p w14:paraId="3878E1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76.04</w:t>
                  </w:r>
                </w:p>
              </w:tc>
              <w:tc>
                <w:tcPr>
                  <w:tcW w:w="232" w:type="pct"/>
                  <w:tcBorders>
                    <w:tl2br w:val="nil"/>
                    <w:tr2bl w:val="nil"/>
                  </w:tcBorders>
                  <w:shd w:val="clear" w:color="auto" w:fill="auto"/>
                  <w:noWrap/>
                  <w:vAlign w:val="center"/>
                </w:tcPr>
                <w:p w14:paraId="12D9F2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03F67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6045D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29.79</w:t>
                  </w:r>
                </w:p>
              </w:tc>
              <w:tc>
                <w:tcPr>
                  <w:tcW w:w="422" w:type="pct"/>
                  <w:tcBorders>
                    <w:tl2br w:val="nil"/>
                    <w:tr2bl w:val="nil"/>
                  </w:tcBorders>
                  <w:shd w:val="clear" w:color="auto" w:fill="auto"/>
                  <w:noWrap/>
                  <w:vAlign w:val="center"/>
                </w:tcPr>
                <w:p w14:paraId="1ED020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54.53</w:t>
                  </w:r>
                </w:p>
              </w:tc>
              <w:tc>
                <w:tcPr>
                  <w:tcW w:w="300" w:type="pct"/>
                  <w:vMerge w:val="restart"/>
                  <w:tcBorders>
                    <w:tl2br w:val="nil"/>
                    <w:tr2bl w:val="nil"/>
                  </w:tcBorders>
                  <w:shd w:val="clear" w:color="auto" w:fill="auto"/>
                  <w:noWrap/>
                  <w:vAlign w:val="center"/>
                </w:tcPr>
                <w:p w14:paraId="661CA3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FBFCA9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2E112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28.53</w:t>
                  </w:r>
                </w:p>
              </w:tc>
              <w:tc>
                <w:tcPr>
                  <w:tcW w:w="342" w:type="pct"/>
                  <w:tcBorders>
                    <w:tl2br w:val="nil"/>
                    <w:tr2bl w:val="nil"/>
                  </w:tcBorders>
                  <w:shd w:val="clear" w:color="auto" w:fill="auto"/>
                  <w:noWrap/>
                  <w:vAlign w:val="center"/>
                </w:tcPr>
                <w:p w14:paraId="618A13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311D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4BF711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A7BF86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8FB1C4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19465B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AA4BB2F">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47317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-6.95</w:t>
                  </w:r>
                </w:p>
              </w:tc>
              <w:tc>
                <w:tcPr>
                  <w:tcW w:w="321" w:type="pct"/>
                  <w:tcBorders>
                    <w:tl2br w:val="nil"/>
                    <w:tr2bl w:val="nil"/>
                  </w:tcBorders>
                  <w:shd w:val="clear" w:color="auto" w:fill="auto"/>
                  <w:noWrap/>
                  <w:vAlign w:val="center"/>
                </w:tcPr>
                <w:p w14:paraId="6C8B1A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76.04</w:t>
                  </w:r>
                </w:p>
              </w:tc>
              <w:tc>
                <w:tcPr>
                  <w:tcW w:w="232" w:type="pct"/>
                  <w:tcBorders>
                    <w:tl2br w:val="nil"/>
                    <w:tr2bl w:val="nil"/>
                  </w:tcBorders>
                  <w:shd w:val="clear" w:color="auto" w:fill="auto"/>
                  <w:noWrap/>
                  <w:vAlign w:val="center"/>
                </w:tcPr>
                <w:p w14:paraId="503DA5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75FD34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49808F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19.00</w:t>
                  </w:r>
                </w:p>
              </w:tc>
              <w:tc>
                <w:tcPr>
                  <w:tcW w:w="422" w:type="pct"/>
                  <w:tcBorders>
                    <w:tl2br w:val="nil"/>
                    <w:tr2bl w:val="nil"/>
                  </w:tcBorders>
                  <w:shd w:val="clear" w:color="auto" w:fill="auto"/>
                  <w:noWrap/>
                  <w:vAlign w:val="center"/>
                </w:tcPr>
                <w:p w14:paraId="76E540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047F70A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6D7319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A5522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3D6519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6E90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FF5A2E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89C720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EA7D94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10CE612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89E2632">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1EB66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-6.95</w:t>
                  </w:r>
                </w:p>
              </w:tc>
              <w:tc>
                <w:tcPr>
                  <w:tcW w:w="321" w:type="pct"/>
                  <w:tcBorders>
                    <w:tl2br w:val="nil"/>
                    <w:tr2bl w:val="nil"/>
                  </w:tcBorders>
                  <w:shd w:val="clear" w:color="auto" w:fill="auto"/>
                  <w:noWrap/>
                  <w:vAlign w:val="center"/>
                </w:tcPr>
                <w:p w14:paraId="13553F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76.04</w:t>
                  </w:r>
                </w:p>
              </w:tc>
              <w:tc>
                <w:tcPr>
                  <w:tcW w:w="232" w:type="pct"/>
                  <w:tcBorders>
                    <w:tl2br w:val="nil"/>
                    <w:tr2bl w:val="nil"/>
                  </w:tcBorders>
                  <w:shd w:val="clear" w:color="auto" w:fill="auto"/>
                  <w:noWrap/>
                  <w:vAlign w:val="center"/>
                </w:tcPr>
                <w:p w14:paraId="1D49A8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4DDFB5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4FBEA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108.14</w:t>
                  </w:r>
                </w:p>
              </w:tc>
              <w:tc>
                <w:tcPr>
                  <w:tcW w:w="422" w:type="pct"/>
                  <w:tcBorders>
                    <w:tl2br w:val="nil"/>
                    <w:tr2bl w:val="nil"/>
                  </w:tcBorders>
                  <w:shd w:val="clear" w:color="auto" w:fill="auto"/>
                  <w:noWrap/>
                  <w:vAlign w:val="center"/>
                </w:tcPr>
                <w:p w14:paraId="530DFC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30DFCF6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2F5E1A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64C0A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01C33B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90AC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09088F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509BA6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35BD39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786C216">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2F63DC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6E095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-6.95</w:t>
                  </w:r>
                </w:p>
              </w:tc>
              <w:tc>
                <w:tcPr>
                  <w:tcW w:w="321" w:type="pct"/>
                  <w:tcBorders>
                    <w:tl2br w:val="nil"/>
                    <w:tr2bl w:val="nil"/>
                  </w:tcBorders>
                  <w:shd w:val="clear" w:color="auto" w:fill="auto"/>
                  <w:noWrap/>
                  <w:vAlign w:val="center"/>
                </w:tcPr>
                <w:p w14:paraId="59C78F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76.04</w:t>
                  </w:r>
                </w:p>
              </w:tc>
              <w:tc>
                <w:tcPr>
                  <w:tcW w:w="232" w:type="pct"/>
                  <w:tcBorders>
                    <w:tl2br w:val="nil"/>
                    <w:tr2bl w:val="nil"/>
                  </w:tcBorders>
                  <w:shd w:val="clear" w:color="auto" w:fill="auto"/>
                  <w:noWrap/>
                  <w:vAlign w:val="center"/>
                </w:tcPr>
                <w:p w14:paraId="230D0D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7DE7E7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125983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13.61</w:t>
                  </w:r>
                </w:p>
              </w:tc>
              <w:tc>
                <w:tcPr>
                  <w:tcW w:w="422" w:type="pct"/>
                  <w:tcBorders>
                    <w:tl2br w:val="nil"/>
                    <w:tr2bl w:val="nil"/>
                  </w:tcBorders>
                  <w:shd w:val="clear" w:color="auto" w:fill="auto"/>
                  <w:noWrap/>
                  <w:vAlign w:val="center"/>
                </w:tcPr>
                <w:p w14:paraId="535C71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54.58</w:t>
                  </w:r>
                </w:p>
              </w:tc>
              <w:tc>
                <w:tcPr>
                  <w:tcW w:w="300" w:type="pct"/>
                  <w:vMerge w:val="continue"/>
                  <w:tcBorders>
                    <w:tl2br w:val="nil"/>
                    <w:tr2bl w:val="nil"/>
                  </w:tcBorders>
                  <w:shd w:val="clear" w:color="auto" w:fill="auto"/>
                  <w:noWrap/>
                  <w:vAlign w:val="center"/>
                </w:tcPr>
                <w:p w14:paraId="088D7B8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1E6648D">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7E9CB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28.58</w:t>
                  </w:r>
                </w:p>
              </w:tc>
              <w:tc>
                <w:tcPr>
                  <w:tcW w:w="342" w:type="pct"/>
                  <w:tcBorders>
                    <w:tl2br w:val="nil"/>
                    <w:tr2bl w:val="nil"/>
                  </w:tcBorders>
                  <w:shd w:val="clear" w:color="auto" w:fill="auto"/>
                  <w:noWrap/>
                  <w:vAlign w:val="center"/>
                </w:tcPr>
                <w:p w14:paraId="52BFF5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BEF4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7B8EBB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351" w:type="pct"/>
                  <w:vMerge w:val="continue"/>
                  <w:tcBorders>
                    <w:tl2br w:val="nil"/>
                    <w:tr2bl w:val="nil"/>
                  </w:tcBorders>
                  <w:shd w:val="clear" w:color="auto" w:fill="auto"/>
                  <w:noWrap/>
                  <w:vAlign w:val="center"/>
                </w:tcPr>
                <w:p w14:paraId="63754000">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5019C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抽油机2</w:t>
                  </w:r>
                </w:p>
              </w:tc>
              <w:tc>
                <w:tcPr>
                  <w:tcW w:w="452" w:type="pct"/>
                  <w:vMerge w:val="restart"/>
                  <w:tcBorders>
                    <w:tl2br w:val="nil"/>
                    <w:tr2bl w:val="nil"/>
                  </w:tcBorders>
                  <w:shd w:val="clear" w:color="auto" w:fill="auto"/>
                  <w:noWrap/>
                  <w:vAlign w:val="center"/>
                </w:tcPr>
                <w:p w14:paraId="12E43E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1575DF3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61CC4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-11.01</w:t>
                  </w:r>
                </w:p>
              </w:tc>
              <w:tc>
                <w:tcPr>
                  <w:tcW w:w="321" w:type="pct"/>
                  <w:tcBorders>
                    <w:tl2br w:val="nil"/>
                    <w:tr2bl w:val="nil"/>
                  </w:tcBorders>
                  <w:shd w:val="clear" w:color="auto" w:fill="auto"/>
                  <w:noWrap/>
                  <w:vAlign w:val="center"/>
                </w:tcPr>
                <w:p w14:paraId="33F402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87.68</w:t>
                  </w:r>
                </w:p>
              </w:tc>
              <w:tc>
                <w:tcPr>
                  <w:tcW w:w="232" w:type="pct"/>
                  <w:tcBorders>
                    <w:tl2br w:val="nil"/>
                    <w:tr2bl w:val="nil"/>
                  </w:tcBorders>
                  <w:shd w:val="clear" w:color="auto" w:fill="auto"/>
                  <w:noWrap/>
                  <w:vAlign w:val="center"/>
                </w:tcPr>
                <w:p w14:paraId="7DEE95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60896F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1EA40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17.50</w:t>
                  </w:r>
                </w:p>
              </w:tc>
              <w:tc>
                <w:tcPr>
                  <w:tcW w:w="422" w:type="pct"/>
                  <w:tcBorders>
                    <w:tl2br w:val="nil"/>
                    <w:tr2bl w:val="nil"/>
                  </w:tcBorders>
                  <w:shd w:val="clear" w:color="auto" w:fill="auto"/>
                  <w:noWrap/>
                  <w:vAlign w:val="center"/>
                </w:tcPr>
                <w:p w14:paraId="15902B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54.56</w:t>
                  </w:r>
                </w:p>
              </w:tc>
              <w:tc>
                <w:tcPr>
                  <w:tcW w:w="300" w:type="pct"/>
                  <w:vMerge w:val="restart"/>
                  <w:tcBorders>
                    <w:tl2br w:val="nil"/>
                    <w:tr2bl w:val="nil"/>
                  </w:tcBorders>
                  <w:shd w:val="clear" w:color="auto" w:fill="auto"/>
                  <w:noWrap/>
                  <w:vAlign w:val="center"/>
                </w:tcPr>
                <w:p w14:paraId="5C8580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740279A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A3735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28.56</w:t>
                  </w:r>
                </w:p>
              </w:tc>
              <w:tc>
                <w:tcPr>
                  <w:tcW w:w="342" w:type="pct"/>
                  <w:tcBorders>
                    <w:tl2br w:val="nil"/>
                    <w:tr2bl w:val="nil"/>
                  </w:tcBorders>
                  <w:shd w:val="clear" w:color="auto" w:fill="auto"/>
                  <w:noWrap/>
                  <w:vAlign w:val="center"/>
                </w:tcPr>
                <w:p w14:paraId="656F56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16A3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16E2FCA">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86C40F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A31171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4823F9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708017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CF919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-11.01</w:t>
                  </w:r>
                </w:p>
              </w:tc>
              <w:tc>
                <w:tcPr>
                  <w:tcW w:w="321" w:type="pct"/>
                  <w:tcBorders>
                    <w:tl2br w:val="nil"/>
                    <w:tr2bl w:val="nil"/>
                  </w:tcBorders>
                  <w:shd w:val="clear" w:color="auto" w:fill="auto"/>
                  <w:noWrap/>
                  <w:vAlign w:val="center"/>
                </w:tcPr>
                <w:p w14:paraId="0F67D2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87.68</w:t>
                  </w:r>
                </w:p>
              </w:tc>
              <w:tc>
                <w:tcPr>
                  <w:tcW w:w="232" w:type="pct"/>
                  <w:tcBorders>
                    <w:tl2br w:val="nil"/>
                    <w:tr2bl w:val="nil"/>
                  </w:tcBorders>
                  <w:shd w:val="clear" w:color="auto" w:fill="auto"/>
                  <w:noWrap/>
                  <w:vAlign w:val="center"/>
                </w:tcPr>
                <w:p w14:paraId="75B52C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7FE3C2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082FE1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18.45</w:t>
                  </w:r>
                </w:p>
              </w:tc>
              <w:tc>
                <w:tcPr>
                  <w:tcW w:w="422" w:type="pct"/>
                  <w:tcBorders>
                    <w:tl2br w:val="nil"/>
                    <w:tr2bl w:val="nil"/>
                  </w:tcBorders>
                  <w:shd w:val="clear" w:color="auto" w:fill="auto"/>
                  <w:noWrap/>
                  <w:vAlign w:val="center"/>
                </w:tcPr>
                <w:p w14:paraId="276DF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01611AD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5FFF7A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66558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15D5DC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C0CB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4D5C56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2AF8F2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77C7BB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48723BA">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9DDAB3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C5E60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-11.01</w:t>
                  </w:r>
                </w:p>
              </w:tc>
              <w:tc>
                <w:tcPr>
                  <w:tcW w:w="321" w:type="pct"/>
                  <w:tcBorders>
                    <w:tl2br w:val="nil"/>
                    <w:tr2bl w:val="nil"/>
                  </w:tcBorders>
                  <w:shd w:val="clear" w:color="auto" w:fill="auto"/>
                  <w:noWrap/>
                  <w:vAlign w:val="center"/>
                </w:tcPr>
                <w:p w14:paraId="49EF5F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87.68</w:t>
                  </w:r>
                </w:p>
              </w:tc>
              <w:tc>
                <w:tcPr>
                  <w:tcW w:w="232" w:type="pct"/>
                  <w:tcBorders>
                    <w:tl2br w:val="nil"/>
                    <w:tr2bl w:val="nil"/>
                  </w:tcBorders>
                  <w:shd w:val="clear" w:color="auto" w:fill="auto"/>
                  <w:noWrap/>
                  <w:vAlign w:val="center"/>
                </w:tcPr>
                <w:p w14:paraId="5D4015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2F6EF9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12BB13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120.46</w:t>
                  </w:r>
                </w:p>
              </w:tc>
              <w:tc>
                <w:tcPr>
                  <w:tcW w:w="422" w:type="pct"/>
                  <w:tcBorders>
                    <w:tl2br w:val="nil"/>
                    <w:tr2bl w:val="nil"/>
                  </w:tcBorders>
                  <w:shd w:val="clear" w:color="auto" w:fill="auto"/>
                  <w:noWrap/>
                  <w:vAlign w:val="center"/>
                </w:tcPr>
                <w:p w14:paraId="40D8AB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1BB9BBB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AE5D09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487335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2C3C99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5B90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DB792C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B9E248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010F39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6E0819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6E2937A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47B2A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-11.01</w:t>
                  </w:r>
                </w:p>
              </w:tc>
              <w:tc>
                <w:tcPr>
                  <w:tcW w:w="321" w:type="pct"/>
                  <w:tcBorders>
                    <w:tl2br w:val="nil"/>
                    <w:tr2bl w:val="nil"/>
                  </w:tcBorders>
                  <w:shd w:val="clear" w:color="auto" w:fill="auto"/>
                  <w:noWrap/>
                  <w:vAlign w:val="center"/>
                </w:tcPr>
                <w:p w14:paraId="0F8992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87.68</w:t>
                  </w:r>
                </w:p>
              </w:tc>
              <w:tc>
                <w:tcPr>
                  <w:tcW w:w="232" w:type="pct"/>
                  <w:tcBorders>
                    <w:tl2br w:val="nil"/>
                    <w:tr2bl w:val="nil"/>
                  </w:tcBorders>
                  <w:shd w:val="clear" w:color="auto" w:fill="auto"/>
                  <w:noWrap/>
                  <w:vAlign w:val="center"/>
                </w:tcPr>
                <w:p w14:paraId="0DB840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B0AFC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7237C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14.28</w:t>
                  </w:r>
                </w:p>
              </w:tc>
              <w:tc>
                <w:tcPr>
                  <w:tcW w:w="422" w:type="pct"/>
                  <w:tcBorders>
                    <w:tl2br w:val="nil"/>
                    <w:tr2bl w:val="nil"/>
                  </w:tcBorders>
                  <w:shd w:val="clear" w:color="auto" w:fill="auto"/>
                  <w:noWrap/>
                  <w:vAlign w:val="center"/>
                </w:tcPr>
                <w:p w14:paraId="45E8A5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54.58</w:t>
                  </w:r>
                </w:p>
              </w:tc>
              <w:tc>
                <w:tcPr>
                  <w:tcW w:w="300" w:type="pct"/>
                  <w:vMerge w:val="continue"/>
                  <w:tcBorders>
                    <w:tl2br w:val="nil"/>
                    <w:tr2bl w:val="nil"/>
                  </w:tcBorders>
                  <w:shd w:val="clear" w:color="auto" w:fill="auto"/>
                  <w:noWrap/>
                  <w:vAlign w:val="center"/>
                </w:tcPr>
                <w:p w14:paraId="634A208D">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6A956FD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82C84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28.58</w:t>
                  </w:r>
                </w:p>
              </w:tc>
              <w:tc>
                <w:tcPr>
                  <w:tcW w:w="342" w:type="pct"/>
                  <w:tcBorders>
                    <w:tl2br w:val="nil"/>
                    <w:tr2bl w:val="nil"/>
                  </w:tcBorders>
                  <w:shd w:val="clear" w:color="auto" w:fill="auto"/>
                  <w:noWrap/>
                  <w:vAlign w:val="center"/>
                </w:tcPr>
                <w:p w14:paraId="4785DB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1212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C0AF2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351" w:type="pct"/>
                  <w:vMerge w:val="continue"/>
                  <w:tcBorders>
                    <w:tl2br w:val="nil"/>
                    <w:tr2bl w:val="nil"/>
                  </w:tcBorders>
                  <w:shd w:val="clear" w:color="auto" w:fill="auto"/>
                  <w:noWrap/>
                  <w:vAlign w:val="center"/>
                </w:tcPr>
                <w:p w14:paraId="3A22AD76">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DD82C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抽油机3</w:t>
                  </w:r>
                </w:p>
              </w:tc>
              <w:tc>
                <w:tcPr>
                  <w:tcW w:w="452" w:type="pct"/>
                  <w:vMerge w:val="restart"/>
                  <w:tcBorders>
                    <w:tl2br w:val="nil"/>
                    <w:tr2bl w:val="nil"/>
                  </w:tcBorders>
                  <w:shd w:val="clear" w:color="auto" w:fill="auto"/>
                  <w:noWrap/>
                  <w:vAlign w:val="center"/>
                </w:tcPr>
                <w:p w14:paraId="04E4D1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5947F20B">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847F1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-3.83</w:t>
                  </w:r>
                </w:p>
              </w:tc>
              <w:tc>
                <w:tcPr>
                  <w:tcW w:w="321" w:type="pct"/>
                  <w:tcBorders>
                    <w:tl2br w:val="nil"/>
                    <w:tr2bl w:val="nil"/>
                  </w:tcBorders>
                  <w:shd w:val="clear" w:color="auto" w:fill="auto"/>
                  <w:noWrap/>
                  <w:vAlign w:val="center"/>
                </w:tcPr>
                <w:p w14:paraId="3C0B3E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67.19</w:t>
                  </w:r>
                </w:p>
              </w:tc>
              <w:tc>
                <w:tcPr>
                  <w:tcW w:w="232" w:type="pct"/>
                  <w:tcBorders>
                    <w:tl2br w:val="nil"/>
                    <w:tr2bl w:val="nil"/>
                  </w:tcBorders>
                  <w:shd w:val="clear" w:color="auto" w:fill="auto"/>
                  <w:noWrap/>
                  <w:vAlign w:val="center"/>
                </w:tcPr>
                <w:p w14:paraId="11D2B2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6F0F64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293A37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39.15</w:t>
                  </w:r>
                </w:p>
              </w:tc>
              <w:tc>
                <w:tcPr>
                  <w:tcW w:w="422" w:type="pct"/>
                  <w:tcBorders>
                    <w:tl2br w:val="nil"/>
                    <w:tr2bl w:val="nil"/>
                  </w:tcBorders>
                  <w:shd w:val="clear" w:color="auto" w:fill="auto"/>
                  <w:noWrap/>
                  <w:vAlign w:val="center"/>
                </w:tcPr>
                <w:p w14:paraId="6F0825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restart"/>
                  <w:tcBorders>
                    <w:tl2br w:val="nil"/>
                    <w:tr2bl w:val="nil"/>
                  </w:tcBorders>
                  <w:shd w:val="clear" w:color="auto" w:fill="auto"/>
                  <w:noWrap/>
                  <w:vAlign w:val="center"/>
                </w:tcPr>
                <w:p w14:paraId="1C18BB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99F684F">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812B0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1C7CE2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3D9D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D69D48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AAE323F">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A6F33E3">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0ACEF3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F006BE0">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5CBE9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-3.83</w:t>
                  </w:r>
                </w:p>
              </w:tc>
              <w:tc>
                <w:tcPr>
                  <w:tcW w:w="321" w:type="pct"/>
                  <w:tcBorders>
                    <w:tl2br w:val="nil"/>
                    <w:tr2bl w:val="nil"/>
                  </w:tcBorders>
                  <w:shd w:val="clear" w:color="auto" w:fill="auto"/>
                  <w:noWrap/>
                  <w:vAlign w:val="center"/>
                </w:tcPr>
                <w:p w14:paraId="0E3566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67.19</w:t>
                  </w:r>
                </w:p>
              </w:tc>
              <w:tc>
                <w:tcPr>
                  <w:tcW w:w="232" w:type="pct"/>
                  <w:tcBorders>
                    <w:tl2br w:val="nil"/>
                    <w:tr2bl w:val="nil"/>
                  </w:tcBorders>
                  <w:shd w:val="clear" w:color="auto" w:fill="auto"/>
                  <w:noWrap/>
                  <w:vAlign w:val="center"/>
                </w:tcPr>
                <w:p w14:paraId="67BE0C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327CF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500505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19.38</w:t>
                  </w:r>
                </w:p>
              </w:tc>
              <w:tc>
                <w:tcPr>
                  <w:tcW w:w="422" w:type="pct"/>
                  <w:tcBorders>
                    <w:tl2br w:val="nil"/>
                    <w:tr2bl w:val="nil"/>
                  </w:tcBorders>
                  <w:shd w:val="clear" w:color="auto" w:fill="auto"/>
                  <w:noWrap/>
                  <w:vAlign w:val="center"/>
                </w:tcPr>
                <w:p w14:paraId="158148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12DEA962">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B63C96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0FCD2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53B91B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B43F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2C662B1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43401C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370DD2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7AC905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ADD4FC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F8ACA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-3.83</w:t>
                  </w:r>
                </w:p>
              </w:tc>
              <w:tc>
                <w:tcPr>
                  <w:tcW w:w="321" w:type="pct"/>
                  <w:tcBorders>
                    <w:tl2br w:val="nil"/>
                    <w:tr2bl w:val="nil"/>
                  </w:tcBorders>
                  <w:shd w:val="clear" w:color="auto" w:fill="auto"/>
                  <w:noWrap/>
                  <w:vAlign w:val="center"/>
                </w:tcPr>
                <w:p w14:paraId="2964C2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67.19</w:t>
                  </w:r>
                </w:p>
              </w:tc>
              <w:tc>
                <w:tcPr>
                  <w:tcW w:w="232" w:type="pct"/>
                  <w:tcBorders>
                    <w:tl2br w:val="nil"/>
                    <w:tr2bl w:val="nil"/>
                  </w:tcBorders>
                  <w:shd w:val="clear" w:color="auto" w:fill="auto"/>
                  <w:noWrap/>
                  <w:vAlign w:val="center"/>
                </w:tcPr>
                <w:p w14:paraId="3E80EA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4F5BB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527744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98.76</w:t>
                  </w:r>
                </w:p>
              </w:tc>
              <w:tc>
                <w:tcPr>
                  <w:tcW w:w="422" w:type="pct"/>
                  <w:tcBorders>
                    <w:tl2br w:val="nil"/>
                    <w:tr2bl w:val="nil"/>
                  </w:tcBorders>
                  <w:shd w:val="clear" w:color="auto" w:fill="auto"/>
                  <w:noWrap/>
                  <w:vAlign w:val="center"/>
                </w:tcPr>
                <w:p w14:paraId="301DF0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58564E41">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34CEB0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BC4FE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3C507B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4E0F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44EE008">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10FE47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BFCB70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35D372D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AEB70D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8701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-3.83</w:t>
                  </w:r>
                </w:p>
              </w:tc>
              <w:tc>
                <w:tcPr>
                  <w:tcW w:w="321" w:type="pct"/>
                  <w:tcBorders>
                    <w:tl2br w:val="nil"/>
                    <w:tr2bl w:val="nil"/>
                  </w:tcBorders>
                  <w:shd w:val="clear" w:color="auto" w:fill="auto"/>
                  <w:noWrap/>
                  <w:vAlign w:val="center"/>
                </w:tcPr>
                <w:p w14:paraId="76D626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67.19</w:t>
                  </w:r>
                </w:p>
              </w:tc>
              <w:tc>
                <w:tcPr>
                  <w:tcW w:w="232" w:type="pct"/>
                  <w:tcBorders>
                    <w:tl2br w:val="nil"/>
                    <w:tr2bl w:val="nil"/>
                  </w:tcBorders>
                  <w:shd w:val="clear" w:color="auto" w:fill="auto"/>
                  <w:noWrap/>
                  <w:vAlign w:val="center"/>
                </w:tcPr>
                <w:p w14:paraId="56EE70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7BA30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743BA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13.13</w:t>
                  </w:r>
                </w:p>
              </w:tc>
              <w:tc>
                <w:tcPr>
                  <w:tcW w:w="422" w:type="pct"/>
                  <w:tcBorders>
                    <w:tl2br w:val="nil"/>
                    <w:tr2bl w:val="nil"/>
                  </w:tcBorders>
                  <w:shd w:val="clear" w:color="auto" w:fill="auto"/>
                  <w:noWrap/>
                  <w:vAlign w:val="center"/>
                </w:tcPr>
                <w:p w14:paraId="683EA8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54.59</w:t>
                  </w:r>
                </w:p>
              </w:tc>
              <w:tc>
                <w:tcPr>
                  <w:tcW w:w="300" w:type="pct"/>
                  <w:vMerge w:val="continue"/>
                  <w:tcBorders>
                    <w:tl2br w:val="nil"/>
                    <w:tr2bl w:val="nil"/>
                  </w:tcBorders>
                  <w:shd w:val="clear" w:color="auto" w:fill="auto"/>
                  <w:noWrap/>
                  <w:vAlign w:val="center"/>
                </w:tcPr>
                <w:p w14:paraId="3ECA4115">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82AA041">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EB194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28.59</w:t>
                  </w:r>
                </w:p>
              </w:tc>
              <w:tc>
                <w:tcPr>
                  <w:tcW w:w="342" w:type="pct"/>
                  <w:tcBorders>
                    <w:tl2br w:val="nil"/>
                    <w:tr2bl w:val="nil"/>
                  </w:tcBorders>
                  <w:shd w:val="clear" w:color="auto" w:fill="auto"/>
                  <w:noWrap/>
                  <w:vAlign w:val="center"/>
                </w:tcPr>
                <w:p w14:paraId="1048BB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2357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0D3CE5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351" w:type="pct"/>
                  <w:vMerge w:val="continue"/>
                  <w:tcBorders>
                    <w:tl2br w:val="nil"/>
                    <w:tr2bl w:val="nil"/>
                  </w:tcBorders>
                  <w:shd w:val="clear" w:color="auto" w:fill="auto"/>
                  <w:noWrap/>
                  <w:vAlign w:val="center"/>
                </w:tcPr>
                <w:p w14:paraId="57862F96">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5C228B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抽油机4</w:t>
                  </w:r>
                </w:p>
              </w:tc>
              <w:tc>
                <w:tcPr>
                  <w:tcW w:w="452" w:type="pct"/>
                  <w:vMerge w:val="restart"/>
                  <w:tcBorders>
                    <w:tl2br w:val="nil"/>
                    <w:tr2bl w:val="nil"/>
                  </w:tcBorders>
                  <w:shd w:val="clear" w:color="auto" w:fill="auto"/>
                  <w:noWrap/>
                  <w:vAlign w:val="center"/>
                </w:tcPr>
                <w:p w14:paraId="7071EB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48447B0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A3650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321" w:type="pct"/>
                  <w:tcBorders>
                    <w:tl2br w:val="nil"/>
                    <w:tr2bl w:val="nil"/>
                  </w:tcBorders>
                  <w:shd w:val="clear" w:color="auto" w:fill="auto"/>
                  <w:noWrap/>
                  <w:vAlign w:val="center"/>
                </w:tcPr>
                <w:p w14:paraId="1AA74C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58.99</w:t>
                  </w:r>
                </w:p>
              </w:tc>
              <w:tc>
                <w:tcPr>
                  <w:tcW w:w="232" w:type="pct"/>
                  <w:tcBorders>
                    <w:tl2br w:val="nil"/>
                    <w:tr2bl w:val="nil"/>
                  </w:tcBorders>
                  <w:shd w:val="clear" w:color="auto" w:fill="auto"/>
                  <w:noWrap/>
                  <w:vAlign w:val="center"/>
                </w:tcPr>
                <w:p w14:paraId="0851D0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0D330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6D38C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48.16</w:t>
                  </w:r>
                </w:p>
              </w:tc>
              <w:tc>
                <w:tcPr>
                  <w:tcW w:w="422" w:type="pct"/>
                  <w:tcBorders>
                    <w:tl2br w:val="nil"/>
                    <w:tr2bl w:val="nil"/>
                  </w:tcBorders>
                  <w:shd w:val="clear" w:color="auto" w:fill="auto"/>
                  <w:noWrap/>
                  <w:vAlign w:val="center"/>
                </w:tcPr>
                <w:p w14:paraId="7BF402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restart"/>
                  <w:tcBorders>
                    <w:tl2br w:val="nil"/>
                    <w:tr2bl w:val="nil"/>
                  </w:tcBorders>
                  <w:shd w:val="clear" w:color="auto" w:fill="auto"/>
                  <w:noWrap/>
                  <w:vAlign w:val="center"/>
                </w:tcPr>
                <w:p w14:paraId="15DDD0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54F04F8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CFFAD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6A302B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61E3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10F40FE">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3884D2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9E2F870">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851B65C">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979E1F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9661F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321" w:type="pct"/>
                  <w:tcBorders>
                    <w:tl2br w:val="nil"/>
                    <w:tr2bl w:val="nil"/>
                  </w:tcBorders>
                  <w:shd w:val="clear" w:color="auto" w:fill="auto"/>
                  <w:noWrap/>
                  <w:vAlign w:val="center"/>
                </w:tcPr>
                <w:p w14:paraId="2CE3A5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58.99</w:t>
                  </w:r>
                </w:p>
              </w:tc>
              <w:tc>
                <w:tcPr>
                  <w:tcW w:w="232" w:type="pct"/>
                  <w:tcBorders>
                    <w:tl2br w:val="nil"/>
                    <w:tr2bl w:val="nil"/>
                  </w:tcBorders>
                  <w:shd w:val="clear" w:color="auto" w:fill="auto"/>
                  <w:noWrap/>
                  <w:vAlign w:val="center"/>
                </w:tcPr>
                <w:p w14:paraId="53E0E1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B129A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63FBEA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18.95</w:t>
                  </w:r>
                </w:p>
              </w:tc>
              <w:tc>
                <w:tcPr>
                  <w:tcW w:w="422" w:type="pct"/>
                  <w:tcBorders>
                    <w:tl2br w:val="nil"/>
                    <w:tr2bl w:val="nil"/>
                  </w:tcBorders>
                  <w:shd w:val="clear" w:color="auto" w:fill="auto"/>
                  <w:noWrap/>
                  <w:vAlign w:val="center"/>
                </w:tcPr>
                <w:p w14:paraId="0BDBC3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049D9598">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5136D1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16547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4F52B4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4308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25897C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FFB4364">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1D08892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45E671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82285D8">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C0B21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321" w:type="pct"/>
                  <w:tcBorders>
                    <w:tl2br w:val="nil"/>
                    <w:tr2bl w:val="nil"/>
                  </w:tcBorders>
                  <w:shd w:val="clear" w:color="auto" w:fill="auto"/>
                  <w:noWrap/>
                  <w:vAlign w:val="center"/>
                </w:tcPr>
                <w:p w14:paraId="05E4DB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58.99</w:t>
                  </w:r>
                </w:p>
              </w:tc>
              <w:tc>
                <w:tcPr>
                  <w:tcW w:w="232" w:type="pct"/>
                  <w:tcBorders>
                    <w:tl2br w:val="nil"/>
                    <w:tr2bl w:val="nil"/>
                  </w:tcBorders>
                  <w:shd w:val="clear" w:color="auto" w:fill="auto"/>
                  <w:noWrap/>
                  <w:vAlign w:val="center"/>
                </w:tcPr>
                <w:p w14:paraId="675B08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B8485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72C1FB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89.76</w:t>
                  </w:r>
                </w:p>
              </w:tc>
              <w:tc>
                <w:tcPr>
                  <w:tcW w:w="422" w:type="pct"/>
                  <w:tcBorders>
                    <w:tl2br w:val="nil"/>
                    <w:tr2bl w:val="nil"/>
                  </w:tcBorders>
                  <w:shd w:val="clear" w:color="auto" w:fill="auto"/>
                  <w:noWrap/>
                  <w:vAlign w:val="center"/>
                </w:tcPr>
                <w:p w14:paraId="26AD31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5D9DF65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1F137E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01DEB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351E31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B533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12B3217">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A67A94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74ADB7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99C69D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A5EC6D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139FEE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321" w:type="pct"/>
                  <w:tcBorders>
                    <w:tl2br w:val="nil"/>
                    <w:tr2bl w:val="nil"/>
                  </w:tcBorders>
                  <w:shd w:val="clear" w:color="auto" w:fill="auto"/>
                  <w:noWrap/>
                  <w:vAlign w:val="center"/>
                </w:tcPr>
                <w:p w14:paraId="71E0F5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58.99</w:t>
                  </w:r>
                </w:p>
              </w:tc>
              <w:tc>
                <w:tcPr>
                  <w:tcW w:w="232" w:type="pct"/>
                  <w:tcBorders>
                    <w:tl2br w:val="nil"/>
                    <w:tr2bl w:val="nil"/>
                  </w:tcBorders>
                  <w:shd w:val="clear" w:color="auto" w:fill="auto"/>
                  <w:noWrap/>
                  <w:vAlign w:val="center"/>
                </w:tcPr>
                <w:p w14:paraId="61398F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3416A9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1A1352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13.47</w:t>
                  </w:r>
                </w:p>
              </w:tc>
              <w:tc>
                <w:tcPr>
                  <w:tcW w:w="422" w:type="pct"/>
                  <w:tcBorders>
                    <w:tl2br w:val="nil"/>
                    <w:tr2bl w:val="nil"/>
                  </w:tcBorders>
                  <w:shd w:val="clear" w:color="auto" w:fill="auto"/>
                  <w:noWrap/>
                  <w:vAlign w:val="center"/>
                </w:tcPr>
                <w:p w14:paraId="1AFBAD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54.58</w:t>
                  </w:r>
                </w:p>
              </w:tc>
              <w:tc>
                <w:tcPr>
                  <w:tcW w:w="300" w:type="pct"/>
                  <w:vMerge w:val="continue"/>
                  <w:tcBorders>
                    <w:tl2br w:val="nil"/>
                    <w:tr2bl w:val="nil"/>
                  </w:tcBorders>
                  <w:shd w:val="clear" w:color="auto" w:fill="auto"/>
                  <w:noWrap/>
                  <w:vAlign w:val="center"/>
                </w:tcPr>
                <w:p w14:paraId="1C27AA5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B00CACC">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6D3D0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28.58</w:t>
                  </w:r>
                </w:p>
              </w:tc>
              <w:tc>
                <w:tcPr>
                  <w:tcW w:w="342" w:type="pct"/>
                  <w:tcBorders>
                    <w:tl2br w:val="nil"/>
                    <w:tr2bl w:val="nil"/>
                  </w:tcBorders>
                  <w:shd w:val="clear" w:color="auto" w:fill="auto"/>
                  <w:noWrap/>
                  <w:vAlign w:val="center"/>
                </w:tcPr>
                <w:p w14:paraId="2E8E1C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828F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359E36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351" w:type="pct"/>
                  <w:vMerge w:val="continue"/>
                  <w:tcBorders>
                    <w:tl2br w:val="nil"/>
                    <w:tr2bl w:val="nil"/>
                  </w:tcBorders>
                  <w:shd w:val="clear" w:color="auto" w:fill="auto"/>
                  <w:noWrap/>
                  <w:vAlign w:val="center"/>
                </w:tcPr>
                <w:p w14:paraId="0379EEB4">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022F02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灌装机1</w:t>
                  </w:r>
                </w:p>
              </w:tc>
              <w:tc>
                <w:tcPr>
                  <w:tcW w:w="452" w:type="pct"/>
                  <w:vMerge w:val="restart"/>
                  <w:tcBorders>
                    <w:tl2br w:val="nil"/>
                    <w:tr2bl w:val="nil"/>
                  </w:tcBorders>
                  <w:shd w:val="clear" w:color="auto" w:fill="auto"/>
                  <w:noWrap/>
                  <w:vAlign w:val="center"/>
                </w:tcPr>
                <w:p w14:paraId="074EDD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287999E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3FC68F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3.63</w:t>
                  </w:r>
                </w:p>
              </w:tc>
              <w:tc>
                <w:tcPr>
                  <w:tcW w:w="321" w:type="pct"/>
                  <w:tcBorders>
                    <w:tl2br w:val="nil"/>
                    <w:tr2bl w:val="nil"/>
                  </w:tcBorders>
                  <w:shd w:val="clear" w:color="auto" w:fill="auto"/>
                  <w:noWrap/>
                  <w:vAlign w:val="center"/>
                </w:tcPr>
                <w:p w14:paraId="398E8E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49.89</w:t>
                  </w:r>
                </w:p>
              </w:tc>
              <w:tc>
                <w:tcPr>
                  <w:tcW w:w="232" w:type="pct"/>
                  <w:tcBorders>
                    <w:tl2br w:val="nil"/>
                    <w:tr2bl w:val="nil"/>
                  </w:tcBorders>
                  <w:shd w:val="clear" w:color="auto" w:fill="auto"/>
                  <w:noWrap/>
                  <w:vAlign w:val="center"/>
                </w:tcPr>
                <w:p w14:paraId="0D8F6D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643E99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33334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57.99</w:t>
                  </w:r>
                </w:p>
              </w:tc>
              <w:tc>
                <w:tcPr>
                  <w:tcW w:w="422" w:type="pct"/>
                  <w:tcBorders>
                    <w:tl2br w:val="nil"/>
                    <w:tr2bl w:val="nil"/>
                  </w:tcBorders>
                  <w:shd w:val="clear" w:color="auto" w:fill="auto"/>
                  <w:noWrap/>
                  <w:vAlign w:val="center"/>
                </w:tcPr>
                <w:p w14:paraId="094C32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restart"/>
                  <w:tcBorders>
                    <w:tl2br w:val="nil"/>
                    <w:tr2bl w:val="nil"/>
                  </w:tcBorders>
                  <w:shd w:val="clear" w:color="auto" w:fill="auto"/>
                  <w:noWrap/>
                  <w:vAlign w:val="center"/>
                </w:tcPr>
                <w:p w14:paraId="0DE479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6EF0F22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324B9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2F017C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35A9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CC4A2B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1DC249B">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B9EBDE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379A38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F3A4A5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3D0D9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3.63</w:t>
                  </w:r>
                </w:p>
              </w:tc>
              <w:tc>
                <w:tcPr>
                  <w:tcW w:w="321" w:type="pct"/>
                  <w:tcBorders>
                    <w:tl2br w:val="nil"/>
                    <w:tr2bl w:val="nil"/>
                  </w:tcBorders>
                  <w:shd w:val="clear" w:color="auto" w:fill="auto"/>
                  <w:noWrap/>
                  <w:vAlign w:val="center"/>
                </w:tcPr>
                <w:p w14:paraId="47B795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49.89</w:t>
                  </w:r>
                </w:p>
              </w:tc>
              <w:tc>
                <w:tcPr>
                  <w:tcW w:w="232" w:type="pct"/>
                  <w:tcBorders>
                    <w:tl2br w:val="nil"/>
                    <w:tr2bl w:val="nil"/>
                  </w:tcBorders>
                  <w:shd w:val="clear" w:color="auto" w:fill="auto"/>
                  <w:noWrap/>
                  <w:vAlign w:val="center"/>
                </w:tcPr>
                <w:p w14:paraId="3DBB0F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7A2612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0624E6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18.87</w:t>
                  </w:r>
                </w:p>
              </w:tc>
              <w:tc>
                <w:tcPr>
                  <w:tcW w:w="422" w:type="pct"/>
                  <w:tcBorders>
                    <w:tl2br w:val="nil"/>
                    <w:tr2bl w:val="nil"/>
                  </w:tcBorders>
                  <w:shd w:val="clear" w:color="auto" w:fill="auto"/>
                  <w:noWrap/>
                  <w:vAlign w:val="center"/>
                </w:tcPr>
                <w:p w14:paraId="2B87F1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33CC0BD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4A648C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A5A61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428457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4824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6DE933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A1DCD69">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78B18F1">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C408A93">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9FB99C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B9AAE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3.63</w:t>
                  </w:r>
                </w:p>
              </w:tc>
              <w:tc>
                <w:tcPr>
                  <w:tcW w:w="321" w:type="pct"/>
                  <w:tcBorders>
                    <w:tl2br w:val="nil"/>
                    <w:tr2bl w:val="nil"/>
                  </w:tcBorders>
                  <w:shd w:val="clear" w:color="auto" w:fill="auto"/>
                  <w:noWrap/>
                  <w:vAlign w:val="center"/>
                </w:tcPr>
                <w:p w14:paraId="51B498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49.89</w:t>
                  </w:r>
                </w:p>
              </w:tc>
              <w:tc>
                <w:tcPr>
                  <w:tcW w:w="232" w:type="pct"/>
                  <w:tcBorders>
                    <w:tl2br w:val="nil"/>
                    <w:tr2bl w:val="nil"/>
                  </w:tcBorders>
                  <w:shd w:val="clear" w:color="auto" w:fill="auto"/>
                  <w:noWrap/>
                  <w:vAlign w:val="center"/>
                </w:tcPr>
                <w:p w14:paraId="32D106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55C39F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2AD4A6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79.93</w:t>
                  </w:r>
                </w:p>
              </w:tc>
              <w:tc>
                <w:tcPr>
                  <w:tcW w:w="422" w:type="pct"/>
                  <w:tcBorders>
                    <w:tl2br w:val="nil"/>
                    <w:tr2bl w:val="nil"/>
                  </w:tcBorders>
                  <w:shd w:val="clear" w:color="auto" w:fill="auto"/>
                  <w:noWrap/>
                  <w:vAlign w:val="center"/>
                </w:tcPr>
                <w:p w14:paraId="60815B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0F968B7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0D87C0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E644D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7E5687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A787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7B9A4E80">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376237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76DA31F">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FD91D77">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6FA466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EAEB3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3.63</w:t>
                  </w:r>
                </w:p>
              </w:tc>
              <w:tc>
                <w:tcPr>
                  <w:tcW w:w="321" w:type="pct"/>
                  <w:tcBorders>
                    <w:tl2br w:val="nil"/>
                    <w:tr2bl w:val="nil"/>
                  </w:tcBorders>
                  <w:shd w:val="clear" w:color="auto" w:fill="auto"/>
                  <w:noWrap/>
                  <w:vAlign w:val="center"/>
                </w:tcPr>
                <w:p w14:paraId="3C1B4A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49.89</w:t>
                  </w:r>
                </w:p>
              </w:tc>
              <w:tc>
                <w:tcPr>
                  <w:tcW w:w="232" w:type="pct"/>
                  <w:tcBorders>
                    <w:tl2br w:val="nil"/>
                    <w:tr2bl w:val="nil"/>
                  </w:tcBorders>
                  <w:shd w:val="clear" w:color="auto" w:fill="auto"/>
                  <w:noWrap/>
                  <w:vAlign w:val="center"/>
                </w:tcPr>
                <w:p w14:paraId="408C19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520D23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7066A3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13.44</w:t>
                  </w:r>
                </w:p>
              </w:tc>
              <w:tc>
                <w:tcPr>
                  <w:tcW w:w="422" w:type="pct"/>
                  <w:tcBorders>
                    <w:tl2br w:val="nil"/>
                    <w:tr2bl w:val="nil"/>
                  </w:tcBorders>
                  <w:shd w:val="clear" w:color="auto" w:fill="auto"/>
                  <w:noWrap/>
                  <w:vAlign w:val="center"/>
                </w:tcPr>
                <w:p w14:paraId="03B058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54.58</w:t>
                  </w:r>
                </w:p>
              </w:tc>
              <w:tc>
                <w:tcPr>
                  <w:tcW w:w="300" w:type="pct"/>
                  <w:vMerge w:val="continue"/>
                  <w:tcBorders>
                    <w:tl2br w:val="nil"/>
                    <w:tr2bl w:val="nil"/>
                  </w:tcBorders>
                  <w:shd w:val="clear" w:color="auto" w:fill="auto"/>
                  <w:noWrap/>
                  <w:vAlign w:val="center"/>
                </w:tcPr>
                <w:p w14:paraId="5CA25714">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4B508F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37697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28.58</w:t>
                  </w:r>
                </w:p>
              </w:tc>
              <w:tc>
                <w:tcPr>
                  <w:tcW w:w="342" w:type="pct"/>
                  <w:tcBorders>
                    <w:tl2br w:val="nil"/>
                    <w:tr2bl w:val="nil"/>
                  </w:tcBorders>
                  <w:shd w:val="clear" w:color="auto" w:fill="auto"/>
                  <w:noWrap/>
                  <w:vAlign w:val="center"/>
                </w:tcPr>
                <w:p w14:paraId="5D6E9B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8038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4D5ADF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351" w:type="pct"/>
                  <w:vMerge w:val="continue"/>
                  <w:tcBorders>
                    <w:tl2br w:val="nil"/>
                    <w:tr2bl w:val="nil"/>
                  </w:tcBorders>
                  <w:shd w:val="clear" w:color="auto" w:fill="auto"/>
                  <w:noWrap/>
                  <w:vAlign w:val="center"/>
                </w:tcPr>
                <w:p w14:paraId="252FA1BF">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6CE30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灌装机2</w:t>
                  </w:r>
                </w:p>
              </w:tc>
              <w:tc>
                <w:tcPr>
                  <w:tcW w:w="452" w:type="pct"/>
                  <w:vMerge w:val="restart"/>
                  <w:tcBorders>
                    <w:tl2br w:val="nil"/>
                    <w:tr2bl w:val="nil"/>
                  </w:tcBorders>
                  <w:shd w:val="clear" w:color="auto" w:fill="auto"/>
                  <w:noWrap/>
                  <w:vAlign w:val="center"/>
                </w:tcPr>
                <w:p w14:paraId="4E6D22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5B86A1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F3751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8.18</w:t>
                  </w:r>
                </w:p>
              </w:tc>
              <w:tc>
                <w:tcPr>
                  <w:tcW w:w="321" w:type="pct"/>
                  <w:tcBorders>
                    <w:tl2br w:val="nil"/>
                    <w:tr2bl w:val="nil"/>
                  </w:tcBorders>
                  <w:shd w:val="clear" w:color="auto" w:fill="auto"/>
                  <w:noWrap/>
                  <w:vAlign w:val="center"/>
                </w:tcPr>
                <w:p w14:paraId="503780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39.97</w:t>
                  </w:r>
                </w:p>
              </w:tc>
              <w:tc>
                <w:tcPr>
                  <w:tcW w:w="232" w:type="pct"/>
                  <w:tcBorders>
                    <w:tl2br w:val="nil"/>
                    <w:tr2bl w:val="nil"/>
                  </w:tcBorders>
                  <w:shd w:val="clear" w:color="auto" w:fill="auto"/>
                  <w:noWrap/>
                  <w:vAlign w:val="center"/>
                </w:tcPr>
                <w:p w14:paraId="53FC46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2AC9A7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59AF46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68.90</w:t>
                  </w:r>
                </w:p>
              </w:tc>
              <w:tc>
                <w:tcPr>
                  <w:tcW w:w="422" w:type="pct"/>
                  <w:tcBorders>
                    <w:tl2br w:val="nil"/>
                    <w:tr2bl w:val="nil"/>
                  </w:tcBorders>
                  <w:shd w:val="clear" w:color="auto" w:fill="auto"/>
                  <w:noWrap/>
                  <w:vAlign w:val="center"/>
                </w:tcPr>
                <w:p w14:paraId="252D33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restart"/>
                  <w:tcBorders>
                    <w:tl2br w:val="nil"/>
                    <w:tr2bl w:val="nil"/>
                  </w:tcBorders>
                  <w:shd w:val="clear" w:color="auto" w:fill="auto"/>
                  <w:noWrap/>
                  <w:vAlign w:val="center"/>
                </w:tcPr>
                <w:p w14:paraId="4EFB36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3E1BF59">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35C44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7DBBD6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3965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424A28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FBC15E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B08D119">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630DFC68">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003155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8DEB0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8.18</w:t>
                  </w:r>
                </w:p>
              </w:tc>
              <w:tc>
                <w:tcPr>
                  <w:tcW w:w="321" w:type="pct"/>
                  <w:tcBorders>
                    <w:tl2br w:val="nil"/>
                    <w:tr2bl w:val="nil"/>
                  </w:tcBorders>
                  <w:shd w:val="clear" w:color="auto" w:fill="auto"/>
                  <w:noWrap/>
                  <w:vAlign w:val="center"/>
                </w:tcPr>
                <w:p w14:paraId="3FEF41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39.97</w:t>
                  </w:r>
                </w:p>
              </w:tc>
              <w:tc>
                <w:tcPr>
                  <w:tcW w:w="232" w:type="pct"/>
                  <w:tcBorders>
                    <w:tl2br w:val="nil"/>
                    <w:tr2bl w:val="nil"/>
                  </w:tcBorders>
                  <w:shd w:val="clear" w:color="auto" w:fill="auto"/>
                  <w:noWrap/>
                  <w:vAlign w:val="center"/>
                </w:tcPr>
                <w:p w14:paraId="4A5316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472698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33B574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18.33</w:t>
                  </w:r>
                </w:p>
              </w:tc>
              <w:tc>
                <w:tcPr>
                  <w:tcW w:w="422" w:type="pct"/>
                  <w:tcBorders>
                    <w:tl2br w:val="nil"/>
                    <w:tr2bl w:val="nil"/>
                  </w:tcBorders>
                  <w:shd w:val="clear" w:color="auto" w:fill="auto"/>
                  <w:noWrap/>
                  <w:vAlign w:val="center"/>
                </w:tcPr>
                <w:p w14:paraId="0A609C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48C9271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7492FFE">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96B54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3490B1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3D27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68F256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03288CDA">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41B06D44">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275D8A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76B0DC66">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EF93B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8.18</w:t>
                  </w:r>
                </w:p>
              </w:tc>
              <w:tc>
                <w:tcPr>
                  <w:tcW w:w="321" w:type="pct"/>
                  <w:tcBorders>
                    <w:tl2br w:val="nil"/>
                    <w:tr2bl w:val="nil"/>
                  </w:tcBorders>
                  <w:shd w:val="clear" w:color="auto" w:fill="auto"/>
                  <w:noWrap/>
                  <w:vAlign w:val="center"/>
                </w:tcPr>
                <w:p w14:paraId="0CCA19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39.97</w:t>
                  </w:r>
                </w:p>
              </w:tc>
              <w:tc>
                <w:tcPr>
                  <w:tcW w:w="232" w:type="pct"/>
                  <w:tcBorders>
                    <w:tl2br w:val="nil"/>
                    <w:tr2bl w:val="nil"/>
                  </w:tcBorders>
                  <w:shd w:val="clear" w:color="auto" w:fill="auto"/>
                  <w:noWrap/>
                  <w:vAlign w:val="center"/>
                </w:tcPr>
                <w:p w14:paraId="0EA6B0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2451EE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379551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69.04</w:t>
                  </w:r>
                </w:p>
              </w:tc>
              <w:tc>
                <w:tcPr>
                  <w:tcW w:w="422" w:type="pct"/>
                  <w:tcBorders>
                    <w:tl2br w:val="nil"/>
                    <w:tr2bl w:val="nil"/>
                  </w:tcBorders>
                  <w:shd w:val="clear" w:color="auto" w:fill="auto"/>
                  <w:noWrap/>
                  <w:vAlign w:val="center"/>
                </w:tcPr>
                <w:p w14:paraId="2F9618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772ACA1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768151E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B0EBB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477CAF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D4BB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5C6D2E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97F00E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9F09DE6">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5AE9CC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D87A55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25CEC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8.18</w:t>
                  </w:r>
                </w:p>
              </w:tc>
              <w:tc>
                <w:tcPr>
                  <w:tcW w:w="321" w:type="pct"/>
                  <w:tcBorders>
                    <w:tl2br w:val="nil"/>
                    <w:tr2bl w:val="nil"/>
                  </w:tcBorders>
                  <w:shd w:val="clear" w:color="auto" w:fill="auto"/>
                  <w:noWrap/>
                  <w:vAlign w:val="center"/>
                </w:tcPr>
                <w:p w14:paraId="36C404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39.97</w:t>
                  </w:r>
                </w:p>
              </w:tc>
              <w:tc>
                <w:tcPr>
                  <w:tcW w:w="232" w:type="pct"/>
                  <w:tcBorders>
                    <w:tl2br w:val="nil"/>
                    <w:tr2bl w:val="nil"/>
                  </w:tcBorders>
                  <w:shd w:val="clear" w:color="auto" w:fill="auto"/>
                  <w:noWrap/>
                  <w:vAlign w:val="center"/>
                </w:tcPr>
                <w:p w14:paraId="4DD2CF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6F7D29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760FC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13.88</w:t>
                  </w:r>
                </w:p>
              </w:tc>
              <w:tc>
                <w:tcPr>
                  <w:tcW w:w="422" w:type="pct"/>
                  <w:tcBorders>
                    <w:tl2br w:val="nil"/>
                    <w:tr2bl w:val="nil"/>
                  </w:tcBorders>
                  <w:shd w:val="clear" w:color="auto" w:fill="auto"/>
                  <w:noWrap/>
                  <w:vAlign w:val="center"/>
                </w:tcPr>
                <w:p w14:paraId="28C8DB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54.58</w:t>
                  </w:r>
                </w:p>
              </w:tc>
              <w:tc>
                <w:tcPr>
                  <w:tcW w:w="300" w:type="pct"/>
                  <w:vMerge w:val="continue"/>
                  <w:tcBorders>
                    <w:tl2br w:val="nil"/>
                    <w:tr2bl w:val="nil"/>
                  </w:tcBorders>
                  <w:shd w:val="clear" w:color="auto" w:fill="auto"/>
                  <w:noWrap/>
                  <w:vAlign w:val="center"/>
                </w:tcPr>
                <w:p w14:paraId="172A56FD">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22AEC3A">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A5B39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28.58</w:t>
                  </w:r>
                </w:p>
              </w:tc>
              <w:tc>
                <w:tcPr>
                  <w:tcW w:w="342" w:type="pct"/>
                  <w:tcBorders>
                    <w:tl2br w:val="nil"/>
                    <w:tr2bl w:val="nil"/>
                  </w:tcBorders>
                  <w:shd w:val="clear" w:color="auto" w:fill="auto"/>
                  <w:noWrap/>
                  <w:vAlign w:val="center"/>
                </w:tcPr>
                <w:p w14:paraId="7D07E3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8392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699E81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51" w:type="pct"/>
                  <w:vMerge w:val="continue"/>
                  <w:tcBorders>
                    <w:tl2br w:val="nil"/>
                    <w:tr2bl w:val="nil"/>
                  </w:tcBorders>
                  <w:shd w:val="clear" w:color="auto" w:fill="auto"/>
                  <w:noWrap/>
                  <w:vAlign w:val="center"/>
                </w:tcPr>
                <w:p w14:paraId="648DA7A5">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76635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灌装机3</w:t>
                  </w:r>
                </w:p>
              </w:tc>
              <w:tc>
                <w:tcPr>
                  <w:tcW w:w="452" w:type="pct"/>
                  <w:vMerge w:val="restart"/>
                  <w:tcBorders>
                    <w:tl2br w:val="nil"/>
                    <w:tr2bl w:val="nil"/>
                  </w:tcBorders>
                  <w:shd w:val="clear" w:color="auto" w:fill="auto"/>
                  <w:noWrap/>
                  <w:vAlign w:val="center"/>
                </w:tcPr>
                <w:p w14:paraId="2C4750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0A2C6B7A">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12861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10.66</w:t>
                  </w:r>
                </w:p>
              </w:tc>
              <w:tc>
                <w:tcPr>
                  <w:tcW w:w="321" w:type="pct"/>
                  <w:tcBorders>
                    <w:tl2br w:val="nil"/>
                    <w:tr2bl w:val="nil"/>
                  </w:tcBorders>
                  <w:shd w:val="clear" w:color="auto" w:fill="auto"/>
                  <w:noWrap/>
                  <w:vAlign w:val="center"/>
                </w:tcPr>
                <w:p w14:paraId="136565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30.05</w:t>
                  </w:r>
                </w:p>
              </w:tc>
              <w:tc>
                <w:tcPr>
                  <w:tcW w:w="232" w:type="pct"/>
                  <w:tcBorders>
                    <w:tl2br w:val="nil"/>
                    <w:tr2bl w:val="nil"/>
                  </w:tcBorders>
                  <w:shd w:val="clear" w:color="auto" w:fill="auto"/>
                  <w:noWrap/>
                  <w:vAlign w:val="center"/>
                </w:tcPr>
                <w:p w14:paraId="63CED4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78A6A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3910BD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78.98</w:t>
                  </w:r>
                </w:p>
              </w:tc>
              <w:tc>
                <w:tcPr>
                  <w:tcW w:w="422" w:type="pct"/>
                  <w:tcBorders>
                    <w:tl2br w:val="nil"/>
                    <w:tr2bl w:val="nil"/>
                  </w:tcBorders>
                  <w:shd w:val="clear" w:color="auto" w:fill="auto"/>
                  <w:noWrap/>
                  <w:vAlign w:val="center"/>
                </w:tcPr>
                <w:p w14:paraId="7FE610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restart"/>
                  <w:tcBorders>
                    <w:tl2br w:val="nil"/>
                    <w:tr2bl w:val="nil"/>
                  </w:tcBorders>
                  <w:shd w:val="clear" w:color="auto" w:fill="auto"/>
                  <w:noWrap/>
                  <w:vAlign w:val="center"/>
                </w:tcPr>
                <w:p w14:paraId="2E2CED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2F3AD20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8D252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122AB1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F8FC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4848851F">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676827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D06931B">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49627DE">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4152FA4">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E50AF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10.66</w:t>
                  </w:r>
                </w:p>
              </w:tc>
              <w:tc>
                <w:tcPr>
                  <w:tcW w:w="321" w:type="pct"/>
                  <w:tcBorders>
                    <w:tl2br w:val="nil"/>
                    <w:tr2bl w:val="nil"/>
                  </w:tcBorders>
                  <w:shd w:val="clear" w:color="auto" w:fill="auto"/>
                  <w:noWrap/>
                  <w:vAlign w:val="center"/>
                </w:tcPr>
                <w:p w14:paraId="4D9D4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30.05</w:t>
                  </w:r>
                </w:p>
              </w:tc>
              <w:tc>
                <w:tcPr>
                  <w:tcW w:w="232" w:type="pct"/>
                  <w:tcBorders>
                    <w:tl2br w:val="nil"/>
                    <w:tr2bl w:val="nil"/>
                  </w:tcBorders>
                  <w:shd w:val="clear" w:color="auto" w:fill="auto"/>
                  <w:noWrap/>
                  <w:vAlign w:val="center"/>
                </w:tcPr>
                <w:p w14:paraId="5D79D1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FB0FA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244578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19.70</w:t>
                  </w:r>
                </w:p>
              </w:tc>
              <w:tc>
                <w:tcPr>
                  <w:tcW w:w="422" w:type="pct"/>
                  <w:tcBorders>
                    <w:tl2br w:val="nil"/>
                    <w:tr2bl w:val="nil"/>
                  </w:tcBorders>
                  <w:shd w:val="clear" w:color="auto" w:fill="auto"/>
                  <w:noWrap/>
                  <w:vAlign w:val="center"/>
                </w:tcPr>
                <w:p w14:paraId="069289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0B0CFD7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1A00B7B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610209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0EBD73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35EA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230F66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3554F01">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1121B5A">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5A686E5">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A1E6AC9">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ACD82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10.66</w:t>
                  </w:r>
                </w:p>
              </w:tc>
              <w:tc>
                <w:tcPr>
                  <w:tcW w:w="321" w:type="pct"/>
                  <w:tcBorders>
                    <w:tl2br w:val="nil"/>
                    <w:tr2bl w:val="nil"/>
                  </w:tcBorders>
                  <w:shd w:val="clear" w:color="auto" w:fill="auto"/>
                  <w:noWrap/>
                  <w:vAlign w:val="center"/>
                </w:tcPr>
                <w:p w14:paraId="5AF808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30.05</w:t>
                  </w:r>
                </w:p>
              </w:tc>
              <w:tc>
                <w:tcPr>
                  <w:tcW w:w="232" w:type="pct"/>
                  <w:tcBorders>
                    <w:tl2br w:val="nil"/>
                    <w:tr2bl w:val="nil"/>
                  </w:tcBorders>
                  <w:shd w:val="clear" w:color="auto" w:fill="auto"/>
                  <w:noWrap/>
                  <w:vAlign w:val="center"/>
                </w:tcPr>
                <w:p w14:paraId="50CAAF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6E6019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7FED08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58.89</w:t>
                  </w:r>
                </w:p>
              </w:tc>
              <w:tc>
                <w:tcPr>
                  <w:tcW w:w="422" w:type="pct"/>
                  <w:tcBorders>
                    <w:tl2br w:val="nil"/>
                    <w:tr2bl w:val="nil"/>
                  </w:tcBorders>
                  <w:shd w:val="clear" w:color="auto" w:fill="auto"/>
                  <w:noWrap/>
                  <w:vAlign w:val="center"/>
                </w:tcPr>
                <w:p w14:paraId="7732B1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62DAB087">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262BBC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12C9A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190A7F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A2DF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54AAB33C">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33164E1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080B636D">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A6CCACB">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F8DD6E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4C9F0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10.66</w:t>
                  </w:r>
                </w:p>
              </w:tc>
              <w:tc>
                <w:tcPr>
                  <w:tcW w:w="321" w:type="pct"/>
                  <w:tcBorders>
                    <w:tl2br w:val="nil"/>
                    <w:tr2bl w:val="nil"/>
                  </w:tcBorders>
                  <w:shd w:val="clear" w:color="auto" w:fill="auto"/>
                  <w:noWrap/>
                  <w:vAlign w:val="center"/>
                </w:tcPr>
                <w:p w14:paraId="106834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30.05</w:t>
                  </w:r>
                </w:p>
              </w:tc>
              <w:tc>
                <w:tcPr>
                  <w:tcW w:w="232" w:type="pct"/>
                  <w:tcBorders>
                    <w:tl2br w:val="nil"/>
                    <w:tr2bl w:val="nil"/>
                  </w:tcBorders>
                  <w:shd w:val="clear" w:color="auto" w:fill="auto"/>
                  <w:noWrap/>
                  <w:vAlign w:val="center"/>
                </w:tcPr>
                <w:p w14:paraId="34BC7B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179FC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4A0FA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12.40</w:t>
                  </w:r>
                </w:p>
              </w:tc>
              <w:tc>
                <w:tcPr>
                  <w:tcW w:w="422" w:type="pct"/>
                  <w:tcBorders>
                    <w:tl2br w:val="nil"/>
                    <w:tr2bl w:val="nil"/>
                  </w:tcBorders>
                  <w:shd w:val="clear" w:color="auto" w:fill="auto"/>
                  <w:noWrap/>
                  <w:vAlign w:val="center"/>
                </w:tcPr>
                <w:p w14:paraId="27686C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54.59</w:t>
                  </w:r>
                </w:p>
              </w:tc>
              <w:tc>
                <w:tcPr>
                  <w:tcW w:w="300" w:type="pct"/>
                  <w:vMerge w:val="continue"/>
                  <w:tcBorders>
                    <w:tl2br w:val="nil"/>
                    <w:tr2bl w:val="nil"/>
                  </w:tcBorders>
                  <w:shd w:val="clear" w:color="auto" w:fill="auto"/>
                  <w:noWrap/>
                  <w:vAlign w:val="center"/>
                </w:tcPr>
                <w:p w14:paraId="1D9B96A9">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EFF9142">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22B27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28.59</w:t>
                  </w:r>
                </w:p>
              </w:tc>
              <w:tc>
                <w:tcPr>
                  <w:tcW w:w="342" w:type="pct"/>
                  <w:tcBorders>
                    <w:tl2br w:val="nil"/>
                    <w:tr2bl w:val="nil"/>
                  </w:tcBorders>
                  <w:shd w:val="clear" w:color="auto" w:fill="auto"/>
                  <w:noWrap/>
                  <w:vAlign w:val="center"/>
                </w:tcPr>
                <w:p w14:paraId="2B0BBC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609D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0E594A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351" w:type="pct"/>
                  <w:vMerge w:val="continue"/>
                  <w:tcBorders>
                    <w:tl2br w:val="nil"/>
                    <w:tr2bl w:val="nil"/>
                  </w:tcBorders>
                  <w:shd w:val="clear" w:color="auto" w:fill="auto"/>
                  <w:noWrap/>
                  <w:vAlign w:val="center"/>
                </w:tcPr>
                <w:p w14:paraId="16363BC3">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3F59D1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灌装机4</w:t>
                  </w:r>
                </w:p>
              </w:tc>
              <w:tc>
                <w:tcPr>
                  <w:tcW w:w="452" w:type="pct"/>
                  <w:vMerge w:val="restart"/>
                  <w:tcBorders>
                    <w:tl2br w:val="nil"/>
                    <w:tr2bl w:val="nil"/>
                  </w:tcBorders>
                  <w:shd w:val="clear" w:color="auto" w:fill="auto"/>
                  <w:noWrap/>
                  <w:vAlign w:val="center"/>
                </w:tcPr>
                <w:p w14:paraId="1D88E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67D3CB0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C3CDF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13.97</w:t>
                  </w:r>
                </w:p>
              </w:tc>
              <w:tc>
                <w:tcPr>
                  <w:tcW w:w="321" w:type="pct"/>
                  <w:tcBorders>
                    <w:tl2br w:val="nil"/>
                    <w:tr2bl w:val="nil"/>
                  </w:tcBorders>
                  <w:shd w:val="clear" w:color="auto" w:fill="auto"/>
                  <w:noWrap/>
                  <w:vAlign w:val="center"/>
                </w:tcPr>
                <w:p w14:paraId="623B4F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23.02</w:t>
                  </w:r>
                </w:p>
              </w:tc>
              <w:tc>
                <w:tcPr>
                  <w:tcW w:w="232" w:type="pct"/>
                  <w:tcBorders>
                    <w:tl2br w:val="nil"/>
                    <w:tr2bl w:val="nil"/>
                  </w:tcBorders>
                  <w:shd w:val="clear" w:color="auto" w:fill="auto"/>
                  <w:noWrap/>
                  <w:vAlign w:val="center"/>
                </w:tcPr>
                <w:p w14:paraId="360D66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71949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67D88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86.75</w:t>
                  </w:r>
                </w:p>
              </w:tc>
              <w:tc>
                <w:tcPr>
                  <w:tcW w:w="422" w:type="pct"/>
                  <w:tcBorders>
                    <w:tl2br w:val="nil"/>
                    <w:tr2bl w:val="nil"/>
                  </w:tcBorders>
                  <w:shd w:val="clear" w:color="auto" w:fill="auto"/>
                  <w:noWrap/>
                  <w:vAlign w:val="center"/>
                </w:tcPr>
                <w:p w14:paraId="6D15FC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restart"/>
                  <w:tcBorders>
                    <w:tl2br w:val="nil"/>
                    <w:tr2bl w:val="nil"/>
                  </w:tcBorders>
                  <w:shd w:val="clear" w:color="auto" w:fill="auto"/>
                  <w:noWrap/>
                  <w:vAlign w:val="center"/>
                </w:tcPr>
                <w:p w14:paraId="05F93F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5DB234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C579C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230AC7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1A12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1E3D984">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590F7FE8">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2D044097">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985D70D">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17394B0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80DA6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13.97</w:t>
                  </w:r>
                </w:p>
              </w:tc>
              <w:tc>
                <w:tcPr>
                  <w:tcW w:w="321" w:type="pct"/>
                  <w:tcBorders>
                    <w:tl2br w:val="nil"/>
                    <w:tr2bl w:val="nil"/>
                  </w:tcBorders>
                  <w:shd w:val="clear" w:color="auto" w:fill="auto"/>
                  <w:noWrap/>
                  <w:vAlign w:val="center"/>
                </w:tcPr>
                <w:p w14:paraId="74EF93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23.02</w:t>
                  </w:r>
                </w:p>
              </w:tc>
              <w:tc>
                <w:tcPr>
                  <w:tcW w:w="232" w:type="pct"/>
                  <w:tcBorders>
                    <w:tl2br w:val="nil"/>
                    <w:tr2bl w:val="nil"/>
                  </w:tcBorders>
                  <w:shd w:val="clear" w:color="auto" w:fill="auto"/>
                  <w:noWrap/>
                  <w:vAlign w:val="center"/>
                </w:tcPr>
                <w:p w14:paraId="5EF440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3935E8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61B1AB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19.23</w:t>
                  </w:r>
                </w:p>
              </w:tc>
              <w:tc>
                <w:tcPr>
                  <w:tcW w:w="422" w:type="pct"/>
                  <w:tcBorders>
                    <w:tl2br w:val="nil"/>
                    <w:tr2bl w:val="nil"/>
                  </w:tcBorders>
                  <w:shd w:val="clear" w:color="auto" w:fill="auto"/>
                  <w:noWrap/>
                  <w:vAlign w:val="center"/>
                </w:tcPr>
                <w:p w14:paraId="1956B0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47801F5C">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06977034">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1BC9EC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4A8878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B3B5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1895191">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F1EF3B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7103F24E">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00EB7FF9">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526923FC">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46151C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13.97</w:t>
                  </w:r>
                </w:p>
              </w:tc>
              <w:tc>
                <w:tcPr>
                  <w:tcW w:w="321" w:type="pct"/>
                  <w:tcBorders>
                    <w:tl2br w:val="nil"/>
                    <w:tr2bl w:val="nil"/>
                  </w:tcBorders>
                  <w:shd w:val="clear" w:color="auto" w:fill="auto"/>
                  <w:noWrap/>
                  <w:vAlign w:val="center"/>
                </w:tcPr>
                <w:p w14:paraId="5000C4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23.02</w:t>
                  </w:r>
                </w:p>
              </w:tc>
              <w:tc>
                <w:tcPr>
                  <w:tcW w:w="232" w:type="pct"/>
                  <w:tcBorders>
                    <w:tl2br w:val="nil"/>
                    <w:tr2bl w:val="nil"/>
                  </w:tcBorders>
                  <w:shd w:val="clear" w:color="auto" w:fill="auto"/>
                  <w:noWrap/>
                  <w:vAlign w:val="center"/>
                </w:tcPr>
                <w:p w14:paraId="24D748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29CF0F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030FD3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51.14</w:t>
                  </w:r>
                </w:p>
              </w:tc>
              <w:tc>
                <w:tcPr>
                  <w:tcW w:w="422" w:type="pct"/>
                  <w:tcBorders>
                    <w:tl2br w:val="nil"/>
                    <w:tr2bl w:val="nil"/>
                  </w:tcBorders>
                  <w:shd w:val="clear" w:color="auto" w:fill="auto"/>
                  <w:noWrap/>
                  <w:vAlign w:val="center"/>
                </w:tcPr>
                <w:p w14:paraId="6C18F6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61E352C0">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5BD8B193">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98D57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415C90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FB1F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6AC574A2">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6C02A332">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8E7AD35">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726F40D0">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0D5351CD">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5A0A93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13.97</w:t>
                  </w:r>
                </w:p>
              </w:tc>
              <w:tc>
                <w:tcPr>
                  <w:tcW w:w="321" w:type="pct"/>
                  <w:tcBorders>
                    <w:tl2br w:val="nil"/>
                    <w:tr2bl w:val="nil"/>
                  </w:tcBorders>
                  <w:shd w:val="clear" w:color="auto" w:fill="auto"/>
                  <w:noWrap/>
                  <w:vAlign w:val="center"/>
                </w:tcPr>
                <w:p w14:paraId="75ADEE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23.02</w:t>
                  </w:r>
                </w:p>
              </w:tc>
              <w:tc>
                <w:tcPr>
                  <w:tcW w:w="232" w:type="pct"/>
                  <w:tcBorders>
                    <w:tl2br w:val="nil"/>
                    <w:tr2bl w:val="nil"/>
                  </w:tcBorders>
                  <w:shd w:val="clear" w:color="auto" w:fill="auto"/>
                  <w:noWrap/>
                  <w:vAlign w:val="center"/>
                </w:tcPr>
                <w:p w14:paraId="1836F4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64DF1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236B35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12.78</w:t>
                  </w:r>
                </w:p>
              </w:tc>
              <w:tc>
                <w:tcPr>
                  <w:tcW w:w="422" w:type="pct"/>
                  <w:tcBorders>
                    <w:tl2br w:val="nil"/>
                    <w:tr2bl w:val="nil"/>
                  </w:tcBorders>
                  <w:shd w:val="clear" w:color="auto" w:fill="auto"/>
                  <w:noWrap/>
                  <w:vAlign w:val="center"/>
                </w:tcPr>
                <w:p w14:paraId="572B3E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54.59</w:t>
                  </w:r>
                </w:p>
              </w:tc>
              <w:tc>
                <w:tcPr>
                  <w:tcW w:w="300" w:type="pct"/>
                  <w:vMerge w:val="continue"/>
                  <w:tcBorders>
                    <w:tl2br w:val="nil"/>
                    <w:tr2bl w:val="nil"/>
                  </w:tcBorders>
                  <w:shd w:val="clear" w:color="auto" w:fill="auto"/>
                  <w:noWrap/>
                  <w:vAlign w:val="center"/>
                </w:tcPr>
                <w:p w14:paraId="7E347916">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915188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2D9ACC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28.59</w:t>
                  </w:r>
                </w:p>
              </w:tc>
              <w:tc>
                <w:tcPr>
                  <w:tcW w:w="342" w:type="pct"/>
                  <w:tcBorders>
                    <w:tl2br w:val="nil"/>
                    <w:tr2bl w:val="nil"/>
                  </w:tcBorders>
                  <w:shd w:val="clear" w:color="auto" w:fill="auto"/>
                  <w:noWrap/>
                  <w:vAlign w:val="center"/>
                </w:tcPr>
                <w:p w14:paraId="4D6D5E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0C3C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restart"/>
                  <w:tcBorders>
                    <w:tl2br w:val="nil"/>
                    <w:tr2bl w:val="nil"/>
                  </w:tcBorders>
                  <w:shd w:val="clear" w:color="auto" w:fill="auto"/>
                  <w:noWrap/>
                  <w:vAlign w:val="center"/>
                </w:tcPr>
                <w:p w14:paraId="488B5F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351" w:type="pct"/>
                  <w:vMerge w:val="continue"/>
                  <w:tcBorders>
                    <w:tl2br w:val="nil"/>
                    <w:tr2bl w:val="nil"/>
                  </w:tcBorders>
                  <w:shd w:val="clear" w:color="auto" w:fill="auto"/>
                  <w:noWrap/>
                  <w:vAlign w:val="center"/>
                </w:tcPr>
                <w:p w14:paraId="75A24994">
                  <w:pPr>
                    <w:jc w:val="center"/>
                    <w:rPr>
                      <w:rFonts w:hint="default" w:ascii="Times New Roman" w:hAnsi="Times New Roman" w:eastAsia="宋体" w:cs="Times New Roman"/>
                      <w:i w:val="0"/>
                      <w:iCs w:val="0"/>
                      <w:color w:val="auto"/>
                      <w:sz w:val="21"/>
                      <w:szCs w:val="21"/>
                      <w:highlight w:val="none"/>
                      <w:u w:val="none"/>
                    </w:rPr>
                  </w:pPr>
                </w:p>
              </w:tc>
              <w:tc>
                <w:tcPr>
                  <w:tcW w:w="429" w:type="pct"/>
                  <w:vMerge w:val="restart"/>
                  <w:tcBorders>
                    <w:tl2br w:val="nil"/>
                    <w:tr2bl w:val="nil"/>
                  </w:tcBorders>
                  <w:shd w:val="clear" w:color="auto" w:fill="auto"/>
                  <w:noWrap/>
                  <w:vAlign w:val="center"/>
                </w:tcPr>
                <w:p w14:paraId="7DB66C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灌装机5</w:t>
                  </w:r>
                </w:p>
              </w:tc>
              <w:tc>
                <w:tcPr>
                  <w:tcW w:w="452" w:type="pct"/>
                  <w:vMerge w:val="restart"/>
                  <w:tcBorders>
                    <w:tl2br w:val="nil"/>
                    <w:tr2bl w:val="nil"/>
                  </w:tcBorders>
                  <w:shd w:val="clear" w:color="auto" w:fill="auto"/>
                  <w:noWrap/>
                  <w:vAlign w:val="center"/>
                </w:tcPr>
                <w:p w14:paraId="7D5000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320" w:type="pct"/>
                  <w:vMerge w:val="continue"/>
                  <w:tcBorders>
                    <w:tl2br w:val="nil"/>
                    <w:tr2bl w:val="nil"/>
                  </w:tcBorders>
                  <w:shd w:val="clear" w:color="auto" w:fill="auto"/>
                  <w:noWrap/>
                  <w:vAlign w:val="center"/>
                </w:tcPr>
                <w:p w14:paraId="2ACC731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763CE3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19.12</w:t>
                  </w:r>
                </w:p>
              </w:tc>
              <w:tc>
                <w:tcPr>
                  <w:tcW w:w="321" w:type="pct"/>
                  <w:tcBorders>
                    <w:tl2br w:val="nil"/>
                    <w:tr2bl w:val="nil"/>
                  </w:tcBorders>
                  <w:shd w:val="clear" w:color="auto" w:fill="auto"/>
                  <w:noWrap/>
                  <w:vAlign w:val="center"/>
                </w:tcPr>
                <w:p w14:paraId="6B8767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9.53</w:t>
                  </w:r>
                </w:p>
              </w:tc>
              <w:tc>
                <w:tcPr>
                  <w:tcW w:w="232" w:type="pct"/>
                  <w:tcBorders>
                    <w:tl2br w:val="nil"/>
                    <w:tr2bl w:val="nil"/>
                  </w:tcBorders>
                  <w:shd w:val="clear" w:color="auto" w:fill="auto"/>
                  <w:noWrap/>
                  <w:vAlign w:val="center"/>
                </w:tcPr>
                <w:p w14:paraId="1B93FC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18BF50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351" w:type="pct"/>
                  <w:tcBorders>
                    <w:tl2br w:val="nil"/>
                    <w:tr2bl w:val="nil"/>
                  </w:tcBorders>
                  <w:shd w:val="clear" w:color="auto" w:fill="auto"/>
                  <w:noWrap/>
                  <w:vAlign w:val="center"/>
                </w:tcPr>
                <w:p w14:paraId="45DD34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101.17</w:t>
                  </w:r>
                </w:p>
              </w:tc>
              <w:tc>
                <w:tcPr>
                  <w:tcW w:w="422" w:type="pct"/>
                  <w:tcBorders>
                    <w:tl2br w:val="nil"/>
                    <w:tr2bl w:val="nil"/>
                  </w:tcBorders>
                  <w:shd w:val="clear" w:color="auto" w:fill="auto"/>
                  <w:noWrap/>
                  <w:vAlign w:val="center"/>
                </w:tcPr>
                <w:p w14:paraId="068727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restart"/>
                  <w:tcBorders>
                    <w:tl2br w:val="nil"/>
                    <w:tr2bl w:val="nil"/>
                  </w:tcBorders>
                  <w:shd w:val="clear" w:color="auto" w:fill="auto"/>
                  <w:noWrap/>
                  <w:vAlign w:val="center"/>
                </w:tcPr>
                <w:p w14:paraId="15152E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全天</w:t>
                  </w:r>
                </w:p>
              </w:tc>
              <w:tc>
                <w:tcPr>
                  <w:tcW w:w="456" w:type="pct"/>
                  <w:vMerge w:val="continue"/>
                  <w:tcBorders>
                    <w:tl2br w:val="nil"/>
                    <w:tr2bl w:val="nil"/>
                  </w:tcBorders>
                  <w:shd w:val="clear" w:color="auto" w:fill="auto"/>
                  <w:noWrap/>
                  <w:vAlign w:val="center"/>
                </w:tcPr>
                <w:p w14:paraId="3D1C2D70">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03E225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34BEDB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53F2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37092857">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266AB2A0">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3A5515C2">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5D01A402">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37CDFCAE">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046508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19.12</w:t>
                  </w:r>
                </w:p>
              </w:tc>
              <w:tc>
                <w:tcPr>
                  <w:tcW w:w="321" w:type="pct"/>
                  <w:tcBorders>
                    <w:tl2br w:val="nil"/>
                    <w:tr2bl w:val="nil"/>
                  </w:tcBorders>
                  <w:shd w:val="clear" w:color="auto" w:fill="auto"/>
                  <w:noWrap/>
                  <w:vAlign w:val="center"/>
                </w:tcPr>
                <w:p w14:paraId="3890E1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9.53</w:t>
                  </w:r>
                </w:p>
              </w:tc>
              <w:tc>
                <w:tcPr>
                  <w:tcW w:w="232" w:type="pct"/>
                  <w:tcBorders>
                    <w:tl2br w:val="nil"/>
                    <w:tr2bl w:val="nil"/>
                  </w:tcBorders>
                  <w:shd w:val="clear" w:color="auto" w:fill="auto"/>
                  <w:noWrap/>
                  <w:vAlign w:val="center"/>
                </w:tcPr>
                <w:p w14:paraId="092FCE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5116EE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351" w:type="pct"/>
                  <w:tcBorders>
                    <w:tl2br w:val="nil"/>
                    <w:tr2bl w:val="nil"/>
                  </w:tcBorders>
                  <w:shd w:val="clear" w:color="auto" w:fill="auto"/>
                  <w:noWrap/>
                  <w:vAlign w:val="center"/>
                </w:tcPr>
                <w:p w14:paraId="16B3FD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19.45</w:t>
                  </w:r>
                </w:p>
              </w:tc>
              <w:tc>
                <w:tcPr>
                  <w:tcW w:w="422" w:type="pct"/>
                  <w:tcBorders>
                    <w:tl2br w:val="nil"/>
                    <w:tr2bl w:val="nil"/>
                  </w:tcBorders>
                  <w:shd w:val="clear" w:color="auto" w:fill="auto"/>
                  <w:noWrap/>
                  <w:vAlign w:val="center"/>
                </w:tcPr>
                <w:p w14:paraId="71B9AC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54.55</w:t>
                  </w:r>
                </w:p>
              </w:tc>
              <w:tc>
                <w:tcPr>
                  <w:tcW w:w="300" w:type="pct"/>
                  <w:vMerge w:val="continue"/>
                  <w:tcBorders>
                    <w:tl2br w:val="nil"/>
                    <w:tr2bl w:val="nil"/>
                  </w:tcBorders>
                  <w:shd w:val="clear" w:color="auto" w:fill="auto"/>
                  <w:noWrap/>
                  <w:vAlign w:val="center"/>
                </w:tcPr>
                <w:p w14:paraId="7CACF8BF">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4F0071F7">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7F64FA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28.55</w:t>
                  </w:r>
                </w:p>
              </w:tc>
              <w:tc>
                <w:tcPr>
                  <w:tcW w:w="342" w:type="pct"/>
                  <w:tcBorders>
                    <w:tl2br w:val="nil"/>
                    <w:tr2bl w:val="nil"/>
                  </w:tcBorders>
                  <w:shd w:val="clear" w:color="auto" w:fill="auto"/>
                  <w:noWrap/>
                  <w:vAlign w:val="center"/>
                </w:tcPr>
                <w:p w14:paraId="49C724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8A13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135D43E9">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77F6A055">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57CDD93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46747B3F">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4B602A45">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290773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19.12</w:t>
                  </w:r>
                </w:p>
              </w:tc>
              <w:tc>
                <w:tcPr>
                  <w:tcW w:w="321" w:type="pct"/>
                  <w:tcBorders>
                    <w:tl2br w:val="nil"/>
                    <w:tr2bl w:val="nil"/>
                  </w:tcBorders>
                  <w:shd w:val="clear" w:color="auto" w:fill="auto"/>
                  <w:noWrap/>
                  <w:vAlign w:val="center"/>
                </w:tcPr>
                <w:p w14:paraId="455CDF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9.53</w:t>
                  </w:r>
                </w:p>
              </w:tc>
              <w:tc>
                <w:tcPr>
                  <w:tcW w:w="232" w:type="pct"/>
                  <w:tcBorders>
                    <w:tl2br w:val="nil"/>
                    <w:tr2bl w:val="nil"/>
                  </w:tcBorders>
                  <w:shd w:val="clear" w:color="auto" w:fill="auto"/>
                  <w:noWrap/>
                  <w:vAlign w:val="center"/>
                </w:tcPr>
                <w:p w14:paraId="37B522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6E727F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351" w:type="pct"/>
                  <w:tcBorders>
                    <w:tl2br w:val="nil"/>
                    <w:tr2bl w:val="nil"/>
                  </w:tcBorders>
                  <w:shd w:val="clear" w:color="auto" w:fill="auto"/>
                  <w:noWrap/>
                  <w:vAlign w:val="center"/>
                </w:tcPr>
                <w:p w14:paraId="4774C4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36.70</w:t>
                  </w:r>
                </w:p>
              </w:tc>
              <w:tc>
                <w:tcPr>
                  <w:tcW w:w="422" w:type="pct"/>
                  <w:tcBorders>
                    <w:tl2br w:val="nil"/>
                    <w:tr2bl w:val="nil"/>
                  </w:tcBorders>
                  <w:shd w:val="clear" w:color="auto" w:fill="auto"/>
                  <w:noWrap/>
                  <w:vAlign w:val="center"/>
                </w:tcPr>
                <w:p w14:paraId="321F7F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54.52</w:t>
                  </w:r>
                </w:p>
              </w:tc>
              <w:tc>
                <w:tcPr>
                  <w:tcW w:w="300" w:type="pct"/>
                  <w:vMerge w:val="continue"/>
                  <w:tcBorders>
                    <w:tl2br w:val="nil"/>
                    <w:tr2bl w:val="nil"/>
                  </w:tcBorders>
                  <w:shd w:val="clear" w:color="auto" w:fill="auto"/>
                  <w:noWrap/>
                  <w:vAlign w:val="center"/>
                </w:tcPr>
                <w:p w14:paraId="31DAD7ED">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2A8457F6">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540224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28.52</w:t>
                  </w:r>
                </w:p>
              </w:tc>
              <w:tc>
                <w:tcPr>
                  <w:tcW w:w="342" w:type="pct"/>
                  <w:tcBorders>
                    <w:tl2br w:val="nil"/>
                    <w:tr2bl w:val="nil"/>
                  </w:tcBorders>
                  <w:shd w:val="clear" w:color="auto" w:fill="auto"/>
                  <w:noWrap/>
                  <w:vAlign w:val="center"/>
                </w:tcPr>
                <w:p w14:paraId="61D048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2A58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89" w:type="pct"/>
                  <w:vMerge w:val="continue"/>
                  <w:tcBorders>
                    <w:tl2br w:val="nil"/>
                    <w:tr2bl w:val="nil"/>
                  </w:tcBorders>
                  <w:shd w:val="clear" w:color="auto" w:fill="auto"/>
                  <w:noWrap/>
                  <w:vAlign w:val="center"/>
                </w:tcPr>
                <w:p w14:paraId="0AAB460B">
                  <w:pPr>
                    <w:jc w:val="center"/>
                    <w:rPr>
                      <w:rFonts w:hint="default" w:ascii="Times New Roman" w:hAnsi="Times New Roman" w:eastAsia="宋体" w:cs="Times New Roman"/>
                      <w:i w:val="0"/>
                      <w:iCs w:val="0"/>
                      <w:color w:val="auto"/>
                      <w:sz w:val="21"/>
                      <w:szCs w:val="21"/>
                      <w:highlight w:val="none"/>
                      <w:u w:val="none"/>
                    </w:rPr>
                  </w:pPr>
                </w:p>
              </w:tc>
              <w:tc>
                <w:tcPr>
                  <w:tcW w:w="351" w:type="pct"/>
                  <w:vMerge w:val="continue"/>
                  <w:tcBorders>
                    <w:tl2br w:val="nil"/>
                    <w:tr2bl w:val="nil"/>
                  </w:tcBorders>
                  <w:shd w:val="clear" w:color="auto" w:fill="auto"/>
                  <w:noWrap/>
                  <w:vAlign w:val="center"/>
                </w:tcPr>
                <w:p w14:paraId="4F397B33">
                  <w:pPr>
                    <w:jc w:val="center"/>
                    <w:rPr>
                      <w:rFonts w:hint="default" w:ascii="Times New Roman" w:hAnsi="Times New Roman" w:eastAsia="宋体" w:cs="Times New Roman"/>
                      <w:i w:val="0"/>
                      <w:iCs w:val="0"/>
                      <w:color w:val="auto"/>
                      <w:sz w:val="21"/>
                      <w:szCs w:val="21"/>
                      <w:highlight w:val="none"/>
                      <w:u w:val="none"/>
                    </w:rPr>
                  </w:pPr>
                </w:p>
              </w:tc>
              <w:tc>
                <w:tcPr>
                  <w:tcW w:w="429" w:type="pct"/>
                  <w:vMerge w:val="continue"/>
                  <w:tcBorders>
                    <w:tl2br w:val="nil"/>
                    <w:tr2bl w:val="nil"/>
                  </w:tcBorders>
                  <w:shd w:val="clear" w:color="auto" w:fill="auto"/>
                  <w:noWrap/>
                  <w:vAlign w:val="center"/>
                </w:tcPr>
                <w:p w14:paraId="653EA538">
                  <w:pPr>
                    <w:jc w:val="center"/>
                    <w:rPr>
                      <w:rFonts w:hint="default" w:ascii="Times New Roman" w:hAnsi="Times New Roman" w:eastAsia="宋体" w:cs="Times New Roman"/>
                      <w:i w:val="0"/>
                      <w:iCs w:val="0"/>
                      <w:color w:val="auto"/>
                      <w:sz w:val="21"/>
                      <w:szCs w:val="21"/>
                      <w:highlight w:val="none"/>
                      <w:u w:val="none"/>
                    </w:rPr>
                  </w:pPr>
                </w:p>
              </w:tc>
              <w:tc>
                <w:tcPr>
                  <w:tcW w:w="452" w:type="pct"/>
                  <w:vMerge w:val="continue"/>
                  <w:tcBorders>
                    <w:tl2br w:val="nil"/>
                    <w:tr2bl w:val="nil"/>
                  </w:tcBorders>
                  <w:shd w:val="clear" w:color="auto" w:fill="auto"/>
                  <w:noWrap/>
                  <w:vAlign w:val="center"/>
                </w:tcPr>
                <w:p w14:paraId="2F6ADCF1">
                  <w:pPr>
                    <w:jc w:val="center"/>
                    <w:rPr>
                      <w:rFonts w:hint="default" w:ascii="Times New Roman" w:hAnsi="Times New Roman" w:eastAsia="宋体" w:cs="Times New Roman"/>
                      <w:i w:val="0"/>
                      <w:iCs w:val="0"/>
                      <w:color w:val="auto"/>
                      <w:sz w:val="21"/>
                      <w:szCs w:val="21"/>
                      <w:highlight w:val="none"/>
                      <w:u w:val="none"/>
                    </w:rPr>
                  </w:pPr>
                </w:p>
              </w:tc>
              <w:tc>
                <w:tcPr>
                  <w:tcW w:w="320" w:type="pct"/>
                  <w:vMerge w:val="continue"/>
                  <w:tcBorders>
                    <w:tl2br w:val="nil"/>
                    <w:tr2bl w:val="nil"/>
                  </w:tcBorders>
                  <w:shd w:val="clear" w:color="auto" w:fill="auto"/>
                  <w:noWrap/>
                  <w:vAlign w:val="center"/>
                </w:tcPr>
                <w:p w14:paraId="21218083">
                  <w:pPr>
                    <w:jc w:val="center"/>
                    <w:rPr>
                      <w:rFonts w:hint="default" w:ascii="Times New Roman" w:hAnsi="Times New Roman" w:eastAsia="宋体" w:cs="Times New Roman"/>
                      <w:i w:val="0"/>
                      <w:iCs w:val="0"/>
                      <w:color w:val="auto"/>
                      <w:sz w:val="21"/>
                      <w:szCs w:val="21"/>
                      <w:highlight w:val="none"/>
                      <w:u w:val="none"/>
                    </w:rPr>
                  </w:pPr>
                </w:p>
              </w:tc>
              <w:tc>
                <w:tcPr>
                  <w:tcW w:w="305" w:type="pct"/>
                  <w:tcBorders>
                    <w:tl2br w:val="nil"/>
                    <w:tr2bl w:val="nil"/>
                  </w:tcBorders>
                  <w:shd w:val="clear" w:color="auto" w:fill="auto"/>
                  <w:noWrap/>
                  <w:vAlign w:val="center"/>
                </w:tcPr>
                <w:p w14:paraId="6B499B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19.12</w:t>
                  </w:r>
                </w:p>
              </w:tc>
              <w:tc>
                <w:tcPr>
                  <w:tcW w:w="321" w:type="pct"/>
                  <w:tcBorders>
                    <w:tl2br w:val="nil"/>
                    <w:tr2bl w:val="nil"/>
                  </w:tcBorders>
                  <w:shd w:val="clear" w:color="auto" w:fill="auto"/>
                  <w:noWrap/>
                  <w:vAlign w:val="center"/>
                </w:tcPr>
                <w:p w14:paraId="5A7819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9.53</w:t>
                  </w:r>
                </w:p>
              </w:tc>
              <w:tc>
                <w:tcPr>
                  <w:tcW w:w="232" w:type="pct"/>
                  <w:tcBorders>
                    <w:tl2br w:val="nil"/>
                    <w:tr2bl w:val="nil"/>
                  </w:tcBorders>
                  <w:shd w:val="clear" w:color="auto" w:fill="auto"/>
                  <w:noWrap/>
                  <w:vAlign w:val="center"/>
                </w:tcPr>
                <w:p w14:paraId="0C6429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1" w:type="pct"/>
                  <w:tcBorders>
                    <w:tl2br w:val="nil"/>
                    <w:tr2bl w:val="nil"/>
                  </w:tcBorders>
                  <w:shd w:val="clear" w:color="auto" w:fill="auto"/>
                  <w:noWrap/>
                  <w:vAlign w:val="center"/>
                </w:tcPr>
                <w:p w14:paraId="038148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351" w:type="pct"/>
                  <w:tcBorders>
                    <w:tl2br w:val="nil"/>
                    <w:tr2bl w:val="nil"/>
                  </w:tcBorders>
                  <w:shd w:val="clear" w:color="auto" w:fill="auto"/>
                  <w:noWrap/>
                  <w:vAlign w:val="center"/>
                </w:tcPr>
                <w:p w14:paraId="0C60D1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12.42</w:t>
                  </w:r>
                </w:p>
              </w:tc>
              <w:tc>
                <w:tcPr>
                  <w:tcW w:w="422" w:type="pct"/>
                  <w:tcBorders>
                    <w:tl2br w:val="nil"/>
                    <w:tr2bl w:val="nil"/>
                  </w:tcBorders>
                  <w:shd w:val="clear" w:color="auto" w:fill="auto"/>
                  <w:noWrap/>
                  <w:vAlign w:val="center"/>
                </w:tcPr>
                <w:p w14:paraId="2C28EA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54.59</w:t>
                  </w:r>
                </w:p>
              </w:tc>
              <w:tc>
                <w:tcPr>
                  <w:tcW w:w="300" w:type="pct"/>
                  <w:vMerge w:val="continue"/>
                  <w:tcBorders>
                    <w:tl2br w:val="nil"/>
                    <w:tr2bl w:val="nil"/>
                  </w:tcBorders>
                  <w:shd w:val="clear" w:color="auto" w:fill="auto"/>
                  <w:noWrap/>
                  <w:vAlign w:val="center"/>
                </w:tcPr>
                <w:p w14:paraId="19CA893B">
                  <w:pPr>
                    <w:jc w:val="center"/>
                    <w:rPr>
                      <w:rFonts w:hint="default" w:ascii="Times New Roman" w:hAnsi="Times New Roman" w:eastAsia="宋体" w:cs="Times New Roman"/>
                      <w:i w:val="0"/>
                      <w:iCs w:val="0"/>
                      <w:color w:val="auto"/>
                      <w:sz w:val="21"/>
                      <w:szCs w:val="21"/>
                      <w:highlight w:val="none"/>
                      <w:u w:val="none"/>
                    </w:rPr>
                  </w:pPr>
                </w:p>
              </w:tc>
              <w:tc>
                <w:tcPr>
                  <w:tcW w:w="456" w:type="pct"/>
                  <w:vMerge w:val="continue"/>
                  <w:tcBorders>
                    <w:tl2br w:val="nil"/>
                    <w:tr2bl w:val="nil"/>
                  </w:tcBorders>
                  <w:shd w:val="clear" w:color="auto" w:fill="auto"/>
                  <w:noWrap/>
                  <w:vAlign w:val="center"/>
                </w:tcPr>
                <w:p w14:paraId="347455FB">
                  <w:pPr>
                    <w:jc w:val="center"/>
                    <w:rPr>
                      <w:rFonts w:hint="default" w:ascii="Times New Roman" w:hAnsi="Times New Roman" w:eastAsia="宋体" w:cs="Times New Roman"/>
                      <w:i w:val="0"/>
                      <w:iCs w:val="0"/>
                      <w:color w:val="auto"/>
                      <w:sz w:val="21"/>
                      <w:szCs w:val="21"/>
                      <w:highlight w:val="none"/>
                      <w:u w:val="none"/>
                    </w:rPr>
                  </w:pPr>
                </w:p>
              </w:tc>
              <w:tc>
                <w:tcPr>
                  <w:tcW w:w="342" w:type="pct"/>
                  <w:tcBorders>
                    <w:tl2br w:val="nil"/>
                    <w:tr2bl w:val="nil"/>
                  </w:tcBorders>
                  <w:shd w:val="clear" w:color="auto" w:fill="auto"/>
                  <w:noWrap/>
                  <w:vAlign w:val="center"/>
                </w:tcPr>
                <w:p w14:paraId="330272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28.59</w:t>
                  </w:r>
                </w:p>
              </w:tc>
              <w:tc>
                <w:tcPr>
                  <w:tcW w:w="342" w:type="pct"/>
                  <w:tcBorders>
                    <w:tl2br w:val="nil"/>
                    <w:tr2bl w:val="nil"/>
                  </w:tcBorders>
                  <w:shd w:val="clear" w:color="auto" w:fill="auto"/>
                  <w:noWrap/>
                  <w:vAlign w:val="center"/>
                </w:tcPr>
                <w:p w14:paraId="2F0740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bl>
          <w:p w14:paraId="6DED23A2">
            <w:pPr>
              <w:pStyle w:val="24"/>
              <w:keepNext w:val="0"/>
              <w:keepLines w:val="0"/>
              <w:pageBreakBefore w:val="0"/>
              <w:widowControl w:val="0"/>
              <w:kinsoku/>
              <w:wordWrap/>
              <w:overflowPunct w:val="0"/>
              <w:topLinePunct/>
              <w:autoSpaceDE/>
              <w:autoSpaceDN/>
              <w:bidi w:val="0"/>
              <w:adjustRightInd/>
              <w:snapToGrid/>
              <w:spacing w:line="460" w:lineRule="exact"/>
              <w:ind w:left="0" w:firstLine="0" w:firstLineChars="0"/>
              <w:jc w:val="center"/>
              <w:textAlignment w:val="auto"/>
              <w:rPr>
                <w:rFonts w:hint="default" w:ascii="Times New Roman" w:hAnsi="Times New Roman" w:eastAsia="宋体" w:cs="Times New Roman"/>
                <w:b/>
                <w:color w:val="auto"/>
                <w:kern w:val="0"/>
                <w:sz w:val="24"/>
                <w:szCs w:val="24"/>
                <w:highlight w:val="none"/>
                <w:vertAlign w:val="baseline"/>
                <w:lang w:val="en-US" w:eastAsia="zh-CN"/>
              </w:rPr>
            </w:pPr>
            <w:r>
              <w:rPr>
                <w:rFonts w:hint="default" w:ascii="Times New Roman" w:hAnsi="Times New Roman" w:eastAsia="宋体" w:cs="Times New Roman"/>
                <w:b/>
                <w:color w:val="auto"/>
                <w:kern w:val="0"/>
                <w:sz w:val="24"/>
                <w:szCs w:val="24"/>
                <w:highlight w:val="none"/>
                <w:vertAlign w:val="baseline"/>
                <w:lang w:val="en-US" w:eastAsia="zh-CN"/>
              </w:rPr>
              <w:t>表4.2-</w:t>
            </w:r>
            <w:r>
              <w:rPr>
                <w:rFonts w:hint="eastAsia" w:ascii="Times New Roman" w:hAnsi="Times New Roman" w:cs="Times New Roman"/>
                <w:b/>
                <w:color w:val="auto"/>
                <w:kern w:val="0"/>
                <w:sz w:val="24"/>
                <w:szCs w:val="24"/>
                <w:highlight w:val="none"/>
                <w:vertAlign w:val="baseline"/>
                <w:lang w:val="en-US" w:eastAsia="zh-CN"/>
              </w:rPr>
              <w:t>11本项目全厂</w:t>
            </w:r>
            <w:r>
              <w:rPr>
                <w:rFonts w:hint="default" w:ascii="Times New Roman" w:hAnsi="Times New Roman" w:eastAsia="宋体" w:cs="Times New Roman"/>
                <w:b/>
                <w:color w:val="auto"/>
                <w:kern w:val="0"/>
                <w:sz w:val="24"/>
                <w:szCs w:val="24"/>
                <w:highlight w:val="none"/>
                <w:vertAlign w:val="baseline"/>
                <w:lang w:val="en-US" w:eastAsia="zh-CN"/>
              </w:rPr>
              <w:t>噪声源强调查清单（室外声源）单位：源强dB（A）</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0"/>
              <w:gridCol w:w="1391"/>
              <w:gridCol w:w="2001"/>
              <w:gridCol w:w="1657"/>
              <w:gridCol w:w="1756"/>
              <w:gridCol w:w="1864"/>
              <w:gridCol w:w="1748"/>
              <w:gridCol w:w="1391"/>
            </w:tblGrid>
            <w:tr w14:paraId="35CC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35" w:type="pct"/>
                  <w:vMerge w:val="restart"/>
                  <w:tcBorders>
                    <w:tl2br w:val="nil"/>
                    <w:tr2bl w:val="nil"/>
                  </w:tcBorders>
                  <w:shd w:val="clear" w:color="auto" w:fill="auto"/>
                  <w:noWrap/>
                  <w:vAlign w:val="center"/>
                </w:tcPr>
                <w:p w14:paraId="278AFD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549" w:type="pct"/>
                  <w:vMerge w:val="restart"/>
                  <w:tcBorders>
                    <w:tl2br w:val="nil"/>
                    <w:tr2bl w:val="nil"/>
                  </w:tcBorders>
                  <w:shd w:val="clear" w:color="auto" w:fill="auto"/>
                  <w:noWrap/>
                  <w:vAlign w:val="center"/>
                </w:tcPr>
                <w:p w14:paraId="19322F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声源名称</w:t>
                  </w:r>
                </w:p>
              </w:tc>
              <w:tc>
                <w:tcPr>
                  <w:tcW w:w="2138" w:type="pct"/>
                  <w:gridSpan w:val="3"/>
                  <w:tcBorders>
                    <w:tl2br w:val="nil"/>
                    <w:tr2bl w:val="nil"/>
                  </w:tcBorders>
                  <w:shd w:val="clear" w:color="auto" w:fill="auto"/>
                  <w:noWrap/>
                  <w:vAlign w:val="center"/>
                </w:tcPr>
                <w:p w14:paraId="11E2B6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空间相对位置/m</w:t>
                  </w:r>
                </w:p>
              </w:tc>
              <w:tc>
                <w:tcPr>
                  <w:tcW w:w="736" w:type="pct"/>
                  <w:tcBorders>
                    <w:tl2br w:val="nil"/>
                    <w:tr2bl w:val="nil"/>
                  </w:tcBorders>
                  <w:shd w:val="clear" w:color="auto" w:fill="auto"/>
                  <w:noWrap/>
                  <w:vAlign w:val="center"/>
                </w:tcPr>
                <w:p w14:paraId="4E472F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w:t>
                  </w:r>
                  <w:r>
                    <w:rPr>
                      <w:rFonts w:hint="eastAsia" w:cs="Times New Roman"/>
                      <w:i w:val="0"/>
                      <w:iCs w:val="0"/>
                      <w:color w:val="auto"/>
                      <w:kern w:val="0"/>
                      <w:sz w:val="21"/>
                      <w:szCs w:val="21"/>
                      <w:highlight w:val="none"/>
                      <w:u w:val="none"/>
                      <w:lang w:val="en-US" w:eastAsia="zh-CN" w:bidi="ar"/>
                    </w:rPr>
                    <w:t>源</w:t>
                  </w:r>
                  <w:r>
                    <w:rPr>
                      <w:rFonts w:hint="default" w:ascii="Times New Roman" w:hAnsi="Times New Roman" w:eastAsia="宋体" w:cs="Times New Roman"/>
                      <w:i w:val="0"/>
                      <w:iCs w:val="0"/>
                      <w:color w:val="auto"/>
                      <w:kern w:val="0"/>
                      <w:sz w:val="21"/>
                      <w:szCs w:val="21"/>
                      <w:highlight w:val="none"/>
                      <w:u w:val="none"/>
                      <w:lang w:val="en-US" w:eastAsia="zh-CN" w:bidi="ar"/>
                    </w:rPr>
                    <w:t>强</w:t>
                  </w:r>
                </w:p>
              </w:tc>
              <w:tc>
                <w:tcPr>
                  <w:tcW w:w="690" w:type="pct"/>
                  <w:vMerge w:val="restart"/>
                  <w:tcBorders>
                    <w:tl2br w:val="nil"/>
                    <w:tr2bl w:val="nil"/>
                  </w:tcBorders>
                  <w:shd w:val="clear" w:color="auto" w:fill="auto"/>
                  <w:noWrap/>
                  <w:vAlign w:val="center"/>
                </w:tcPr>
                <w:p w14:paraId="3C1190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声源控制措施</w:t>
                  </w:r>
                </w:p>
              </w:tc>
              <w:tc>
                <w:tcPr>
                  <w:tcW w:w="549" w:type="pct"/>
                  <w:vMerge w:val="restart"/>
                  <w:tcBorders>
                    <w:tl2br w:val="nil"/>
                    <w:tr2bl w:val="nil"/>
                  </w:tcBorders>
                  <w:shd w:val="clear" w:color="auto" w:fill="auto"/>
                  <w:noWrap/>
                  <w:vAlign w:val="center"/>
                </w:tcPr>
                <w:p w14:paraId="6AAAC5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运行时段</w:t>
                  </w:r>
                </w:p>
              </w:tc>
            </w:tr>
            <w:tr w14:paraId="0C61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35" w:type="pct"/>
                  <w:vMerge w:val="continue"/>
                  <w:tcBorders>
                    <w:tl2br w:val="nil"/>
                    <w:tr2bl w:val="nil"/>
                  </w:tcBorders>
                  <w:shd w:val="clear" w:color="auto" w:fill="auto"/>
                  <w:noWrap/>
                  <w:vAlign w:val="center"/>
                </w:tcPr>
                <w:p w14:paraId="73A95C58">
                  <w:pPr>
                    <w:jc w:val="center"/>
                    <w:rPr>
                      <w:rFonts w:hint="default" w:ascii="Times New Roman" w:hAnsi="Times New Roman" w:eastAsia="宋体" w:cs="Times New Roman"/>
                      <w:i w:val="0"/>
                      <w:iCs w:val="0"/>
                      <w:color w:val="auto"/>
                      <w:sz w:val="21"/>
                      <w:szCs w:val="21"/>
                      <w:highlight w:val="none"/>
                      <w:u w:val="none"/>
                    </w:rPr>
                  </w:pPr>
                </w:p>
              </w:tc>
              <w:tc>
                <w:tcPr>
                  <w:tcW w:w="549" w:type="pct"/>
                  <w:vMerge w:val="continue"/>
                  <w:tcBorders>
                    <w:tl2br w:val="nil"/>
                    <w:tr2bl w:val="nil"/>
                  </w:tcBorders>
                  <w:shd w:val="clear" w:color="auto" w:fill="auto"/>
                  <w:noWrap/>
                  <w:vAlign w:val="center"/>
                </w:tcPr>
                <w:p w14:paraId="7CE97832">
                  <w:pPr>
                    <w:jc w:val="center"/>
                    <w:rPr>
                      <w:rFonts w:hint="default" w:ascii="Times New Roman" w:hAnsi="Times New Roman" w:eastAsia="宋体" w:cs="Times New Roman"/>
                      <w:i w:val="0"/>
                      <w:iCs w:val="0"/>
                      <w:color w:val="auto"/>
                      <w:sz w:val="21"/>
                      <w:szCs w:val="21"/>
                      <w:highlight w:val="none"/>
                      <w:u w:val="none"/>
                    </w:rPr>
                  </w:pPr>
                </w:p>
              </w:tc>
              <w:tc>
                <w:tcPr>
                  <w:tcW w:w="790" w:type="pct"/>
                  <w:tcBorders>
                    <w:tl2br w:val="nil"/>
                    <w:tr2bl w:val="nil"/>
                  </w:tcBorders>
                  <w:shd w:val="clear" w:color="auto" w:fill="auto"/>
                  <w:noWrap/>
                  <w:vAlign w:val="center"/>
                </w:tcPr>
                <w:p w14:paraId="1129FE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X</w:t>
                  </w:r>
                </w:p>
              </w:tc>
              <w:tc>
                <w:tcPr>
                  <w:tcW w:w="654" w:type="pct"/>
                  <w:tcBorders>
                    <w:tl2br w:val="nil"/>
                    <w:tr2bl w:val="nil"/>
                  </w:tcBorders>
                  <w:shd w:val="clear" w:color="auto" w:fill="auto"/>
                  <w:noWrap/>
                  <w:vAlign w:val="center"/>
                </w:tcPr>
                <w:p w14:paraId="53EEF7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Y</w:t>
                  </w:r>
                </w:p>
              </w:tc>
              <w:tc>
                <w:tcPr>
                  <w:tcW w:w="693" w:type="pct"/>
                  <w:tcBorders>
                    <w:tl2br w:val="nil"/>
                    <w:tr2bl w:val="nil"/>
                  </w:tcBorders>
                  <w:shd w:val="clear" w:color="auto" w:fill="auto"/>
                  <w:noWrap/>
                  <w:vAlign w:val="center"/>
                </w:tcPr>
                <w:p w14:paraId="0ADCDB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Z</w:t>
                  </w:r>
                </w:p>
              </w:tc>
              <w:tc>
                <w:tcPr>
                  <w:tcW w:w="736" w:type="pct"/>
                  <w:tcBorders>
                    <w:tl2br w:val="nil"/>
                    <w:tr2bl w:val="nil"/>
                  </w:tcBorders>
                  <w:shd w:val="clear" w:color="auto" w:fill="auto"/>
                  <w:vAlign w:val="center"/>
                </w:tcPr>
                <w:p w14:paraId="6C31C0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声功率级/dB(A</w:t>
                  </w:r>
                </w:p>
              </w:tc>
              <w:tc>
                <w:tcPr>
                  <w:tcW w:w="690" w:type="pct"/>
                  <w:vMerge w:val="continue"/>
                  <w:tcBorders>
                    <w:tl2br w:val="nil"/>
                    <w:tr2bl w:val="nil"/>
                  </w:tcBorders>
                  <w:shd w:val="clear" w:color="auto" w:fill="auto"/>
                  <w:noWrap/>
                  <w:vAlign w:val="center"/>
                </w:tcPr>
                <w:p w14:paraId="11596EFC">
                  <w:pPr>
                    <w:jc w:val="center"/>
                    <w:rPr>
                      <w:rFonts w:hint="default" w:ascii="Times New Roman" w:hAnsi="Times New Roman" w:eastAsia="宋体" w:cs="Times New Roman"/>
                      <w:i w:val="0"/>
                      <w:iCs w:val="0"/>
                      <w:color w:val="auto"/>
                      <w:sz w:val="21"/>
                      <w:szCs w:val="21"/>
                      <w:highlight w:val="none"/>
                      <w:u w:val="none"/>
                    </w:rPr>
                  </w:pPr>
                </w:p>
              </w:tc>
              <w:tc>
                <w:tcPr>
                  <w:tcW w:w="549" w:type="pct"/>
                  <w:vMerge w:val="continue"/>
                  <w:tcBorders>
                    <w:tl2br w:val="nil"/>
                    <w:tr2bl w:val="nil"/>
                  </w:tcBorders>
                  <w:shd w:val="clear" w:color="auto" w:fill="auto"/>
                  <w:noWrap/>
                  <w:vAlign w:val="center"/>
                </w:tcPr>
                <w:p w14:paraId="3BAB9819">
                  <w:pPr>
                    <w:jc w:val="center"/>
                    <w:rPr>
                      <w:rFonts w:hint="default" w:ascii="Times New Roman" w:hAnsi="Times New Roman" w:eastAsia="宋体" w:cs="Times New Roman"/>
                      <w:i w:val="0"/>
                      <w:iCs w:val="0"/>
                      <w:color w:val="auto"/>
                      <w:sz w:val="21"/>
                      <w:szCs w:val="21"/>
                      <w:highlight w:val="none"/>
                      <w:u w:val="none"/>
                    </w:rPr>
                  </w:pPr>
                </w:p>
              </w:tc>
            </w:tr>
            <w:tr w14:paraId="0EB8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35" w:type="pct"/>
                  <w:tcBorders>
                    <w:tl2br w:val="nil"/>
                    <w:tr2bl w:val="nil"/>
                  </w:tcBorders>
                  <w:shd w:val="clear" w:color="auto" w:fill="auto"/>
                  <w:noWrap/>
                  <w:vAlign w:val="center"/>
                </w:tcPr>
                <w:p w14:paraId="6FF4F0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49" w:type="pct"/>
                  <w:tcBorders>
                    <w:tl2br w:val="nil"/>
                    <w:tr2bl w:val="nil"/>
                  </w:tcBorders>
                  <w:shd w:val="clear" w:color="auto" w:fill="auto"/>
                  <w:noWrap/>
                  <w:vAlign w:val="center"/>
                </w:tcPr>
                <w:p w14:paraId="67F028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污水泵</w:t>
                  </w:r>
                </w:p>
              </w:tc>
              <w:tc>
                <w:tcPr>
                  <w:tcW w:w="790" w:type="pct"/>
                  <w:tcBorders>
                    <w:tl2br w:val="nil"/>
                    <w:tr2bl w:val="nil"/>
                  </w:tcBorders>
                  <w:shd w:val="clear" w:color="auto" w:fill="auto"/>
                  <w:noWrap/>
                  <w:vAlign w:val="center"/>
                </w:tcPr>
                <w:p w14:paraId="23AA5E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53.37</w:t>
                  </w:r>
                </w:p>
              </w:tc>
              <w:tc>
                <w:tcPr>
                  <w:tcW w:w="654" w:type="pct"/>
                  <w:tcBorders>
                    <w:tl2br w:val="nil"/>
                    <w:tr2bl w:val="nil"/>
                  </w:tcBorders>
                  <w:shd w:val="clear" w:color="auto" w:fill="auto"/>
                  <w:noWrap/>
                  <w:vAlign w:val="center"/>
                </w:tcPr>
                <w:p w14:paraId="798CA5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158.25</w:t>
                  </w:r>
                </w:p>
              </w:tc>
              <w:tc>
                <w:tcPr>
                  <w:tcW w:w="693" w:type="pct"/>
                  <w:tcBorders>
                    <w:tl2br w:val="nil"/>
                    <w:tr2bl w:val="nil"/>
                  </w:tcBorders>
                  <w:shd w:val="clear" w:color="auto" w:fill="auto"/>
                  <w:noWrap/>
                  <w:vAlign w:val="center"/>
                </w:tcPr>
                <w:p w14:paraId="37EB1B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736" w:type="pct"/>
                  <w:tcBorders>
                    <w:tl2br w:val="nil"/>
                    <w:tr2bl w:val="nil"/>
                  </w:tcBorders>
                  <w:shd w:val="clear" w:color="auto" w:fill="auto"/>
                  <w:noWrap/>
                  <w:vAlign w:val="center"/>
                </w:tcPr>
                <w:p w14:paraId="653CEF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90" w:type="pct"/>
                  <w:vMerge w:val="restart"/>
                  <w:tcBorders>
                    <w:tl2br w:val="nil"/>
                    <w:tr2bl w:val="nil"/>
                  </w:tcBorders>
                  <w:shd w:val="clear" w:color="auto" w:fill="auto"/>
                  <w:noWrap/>
                  <w:vAlign w:val="center"/>
                </w:tcPr>
                <w:p w14:paraId="6A462127">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c>
                <w:tcPr>
                  <w:tcW w:w="549" w:type="pct"/>
                  <w:tcBorders>
                    <w:tl2br w:val="nil"/>
                    <w:tr2bl w:val="nil"/>
                  </w:tcBorders>
                  <w:shd w:val="clear" w:color="auto" w:fill="auto"/>
                  <w:noWrap/>
                  <w:vAlign w:val="center"/>
                </w:tcPr>
                <w:p w14:paraId="630E72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r>
            <w:tr w14:paraId="7339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35" w:type="pct"/>
                  <w:tcBorders>
                    <w:tl2br w:val="nil"/>
                    <w:tr2bl w:val="nil"/>
                  </w:tcBorders>
                  <w:shd w:val="clear" w:color="auto" w:fill="auto"/>
                  <w:noWrap/>
                  <w:vAlign w:val="center"/>
                </w:tcPr>
                <w:p w14:paraId="71B4A0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49" w:type="pct"/>
                  <w:tcBorders>
                    <w:tl2br w:val="nil"/>
                    <w:tr2bl w:val="nil"/>
                  </w:tcBorders>
                  <w:shd w:val="clear" w:color="auto" w:fill="auto"/>
                  <w:noWrap/>
                  <w:vAlign w:val="center"/>
                </w:tcPr>
                <w:p w14:paraId="04FE6A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冷却塔</w:t>
                  </w:r>
                </w:p>
              </w:tc>
              <w:tc>
                <w:tcPr>
                  <w:tcW w:w="790" w:type="pct"/>
                  <w:tcBorders>
                    <w:tl2br w:val="nil"/>
                    <w:tr2bl w:val="nil"/>
                  </w:tcBorders>
                  <w:shd w:val="clear" w:color="auto" w:fill="auto"/>
                  <w:noWrap/>
                  <w:vAlign w:val="center"/>
                </w:tcPr>
                <w:p w14:paraId="73DAC2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-49.49</w:t>
                  </w:r>
                </w:p>
              </w:tc>
              <w:tc>
                <w:tcPr>
                  <w:tcW w:w="654" w:type="pct"/>
                  <w:tcBorders>
                    <w:tl2br w:val="nil"/>
                    <w:tr2bl w:val="nil"/>
                  </w:tcBorders>
                  <w:shd w:val="clear" w:color="auto" w:fill="auto"/>
                  <w:noWrap/>
                  <w:vAlign w:val="center"/>
                </w:tcPr>
                <w:p w14:paraId="0755CE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35.9</w:t>
                  </w:r>
                </w:p>
              </w:tc>
              <w:tc>
                <w:tcPr>
                  <w:tcW w:w="693" w:type="pct"/>
                  <w:tcBorders>
                    <w:tl2br w:val="nil"/>
                    <w:tr2bl w:val="nil"/>
                  </w:tcBorders>
                  <w:shd w:val="clear" w:color="auto" w:fill="auto"/>
                  <w:noWrap/>
                  <w:vAlign w:val="center"/>
                </w:tcPr>
                <w:p w14:paraId="72476B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36" w:type="pct"/>
                  <w:tcBorders>
                    <w:tl2br w:val="nil"/>
                    <w:tr2bl w:val="nil"/>
                  </w:tcBorders>
                  <w:shd w:val="clear" w:color="auto" w:fill="auto"/>
                  <w:noWrap/>
                  <w:vAlign w:val="center"/>
                </w:tcPr>
                <w:p w14:paraId="4F0685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690" w:type="pct"/>
                  <w:vMerge w:val="continue"/>
                  <w:tcBorders>
                    <w:tl2br w:val="nil"/>
                    <w:tr2bl w:val="nil"/>
                  </w:tcBorders>
                  <w:shd w:val="clear" w:color="auto" w:fill="auto"/>
                  <w:noWrap/>
                  <w:vAlign w:val="center"/>
                </w:tcPr>
                <w:p w14:paraId="0EC7B936">
                  <w:pPr>
                    <w:jc w:val="center"/>
                    <w:rPr>
                      <w:rFonts w:hint="default" w:ascii="Times New Roman" w:hAnsi="Times New Roman" w:eastAsia="宋体" w:cs="Times New Roman"/>
                      <w:i w:val="0"/>
                      <w:iCs w:val="0"/>
                      <w:color w:val="auto"/>
                      <w:sz w:val="21"/>
                      <w:szCs w:val="21"/>
                      <w:highlight w:val="none"/>
                      <w:u w:val="none"/>
                    </w:rPr>
                  </w:pPr>
                </w:p>
              </w:tc>
              <w:tc>
                <w:tcPr>
                  <w:tcW w:w="549" w:type="pct"/>
                  <w:tcBorders>
                    <w:tl2br w:val="nil"/>
                    <w:tr2bl w:val="nil"/>
                  </w:tcBorders>
                  <w:shd w:val="clear" w:color="auto" w:fill="auto"/>
                  <w:noWrap/>
                  <w:vAlign w:val="center"/>
                </w:tcPr>
                <w:p w14:paraId="48B7C4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r>
            <w:tr w14:paraId="3500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335" w:type="pct"/>
                  <w:tcBorders>
                    <w:tl2br w:val="nil"/>
                    <w:tr2bl w:val="nil"/>
                  </w:tcBorders>
                  <w:shd w:val="clear" w:color="auto" w:fill="auto"/>
                  <w:noWrap/>
                  <w:vAlign w:val="center"/>
                </w:tcPr>
                <w:p w14:paraId="17AE10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549" w:type="pct"/>
                  <w:tcBorders>
                    <w:tl2br w:val="nil"/>
                    <w:tr2bl w:val="nil"/>
                  </w:tcBorders>
                  <w:shd w:val="clear" w:color="auto" w:fill="auto"/>
                  <w:noWrap/>
                  <w:vAlign w:val="center"/>
                </w:tcPr>
                <w:p w14:paraId="1E3A18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污水泵2</w:t>
                  </w:r>
                </w:p>
              </w:tc>
              <w:tc>
                <w:tcPr>
                  <w:tcW w:w="790" w:type="pct"/>
                  <w:tcBorders>
                    <w:tl2br w:val="nil"/>
                    <w:tr2bl w:val="nil"/>
                  </w:tcBorders>
                  <w:shd w:val="clear" w:color="auto" w:fill="auto"/>
                  <w:noWrap/>
                  <w:vAlign w:val="center"/>
                </w:tcPr>
                <w:p w14:paraId="4C90B3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51.46</w:t>
                  </w:r>
                </w:p>
              </w:tc>
              <w:tc>
                <w:tcPr>
                  <w:tcW w:w="654" w:type="pct"/>
                  <w:tcBorders>
                    <w:tl2br w:val="nil"/>
                    <w:tr2bl w:val="nil"/>
                  </w:tcBorders>
                  <w:shd w:val="clear" w:color="auto" w:fill="auto"/>
                  <w:noWrap/>
                  <w:vAlign w:val="center"/>
                </w:tcPr>
                <w:p w14:paraId="3294D8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166.82</w:t>
                  </w:r>
                </w:p>
              </w:tc>
              <w:tc>
                <w:tcPr>
                  <w:tcW w:w="693" w:type="pct"/>
                  <w:tcBorders>
                    <w:tl2br w:val="nil"/>
                    <w:tr2bl w:val="nil"/>
                  </w:tcBorders>
                  <w:shd w:val="clear" w:color="auto" w:fill="auto"/>
                  <w:noWrap/>
                  <w:vAlign w:val="center"/>
                </w:tcPr>
                <w:p w14:paraId="53313C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736" w:type="pct"/>
                  <w:tcBorders>
                    <w:tl2br w:val="nil"/>
                    <w:tr2bl w:val="nil"/>
                  </w:tcBorders>
                  <w:shd w:val="clear" w:color="auto" w:fill="auto"/>
                  <w:noWrap/>
                  <w:vAlign w:val="center"/>
                </w:tcPr>
                <w:p w14:paraId="4F5D8A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690" w:type="pct"/>
                  <w:vMerge w:val="continue"/>
                  <w:tcBorders>
                    <w:tl2br w:val="nil"/>
                    <w:tr2bl w:val="nil"/>
                  </w:tcBorders>
                  <w:shd w:val="clear" w:color="auto" w:fill="auto"/>
                  <w:noWrap/>
                  <w:vAlign w:val="center"/>
                </w:tcPr>
                <w:p w14:paraId="6A8DDC9C">
                  <w:pPr>
                    <w:jc w:val="center"/>
                    <w:rPr>
                      <w:rFonts w:hint="default" w:ascii="Times New Roman" w:hAnsi="Times New Roman" w:eastAsia="宋体" w:cs="Times New Roman"/>
                      <w:i w:val="0"/>
                      <w:iCs w:val="0"/>
                      <w:color w:val="auto"/>
                      <w:sz w:val="21"/>
                      <w:szCs w:val="21"/>
                      <w:highlight w:val="none"/>
                      <w:u w:val="none"/>
                    </w:rPr>
                  </w:pPr>
                </w:p>
              </w:tc>
              <w:tc>
                <w:tcPr>
                  <w:tcW w:w="549" w:type="pct"/>
                  <w:tcBorders>
                    <w:tl2br w:val="nil"/>
                    <w:tr2bl w:val="nil"/>
                  </w:tcBorders>
                  <w:shd w:val="clear" w:color="auto" w:fill="auto"/>
                  <w:noWrap/>
                  <w:vAlign w:val="center"/>
                </w:tcPr>
                <w:p w14:paraId="6E547B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昼夜</w:t>
                  </w:r>
                </w:p>
              </w:tc>
            </w:tr>
          </w:tbl>
          <w:p w14:paraId="58CBA23C">
            <w:pPr>
              <w:pageBreakBefore w:val="0"/>
              <w:kinsoku/>
              <w:wordWrap/>
              <w:overflowPunct w:val="0"/>
              <w:topLinePunct/>
              <w:bidi w:val="0"/>
              <w:adjustRightInd w:val="0"/>
              <w:snapToGrid w:val="0"/>
              <w:spacing w:line="360" w:lineRule="auto"/>
              <w:rPr>
                <w:rFonts w:hint="default" w:ascii="Times New Roman" w:hAnsi="Times New Roman" w:eastAsia="宋体" w:cs="Times New Roman"/>
                <w:b/>
                <w:color w:val="auto"/>
                <w:kern w:val="0"/>
                <w:sz w:val="28"/>
                <w:szCs w:val="28"/>
                <w:highlight w:val="none"/>
                <w:vertAlign w:val="baseline"/>
                <w:lang w:val="en-US" w:eastAsia="zh-CN"/>
              </w:rPr>
            </w:pPr>
          </w:p>
        </w:tc>
      </w:tr>
    </w:tbl>
    <w:p w14:paraId="3A04567C">
      <w:pPr>
        <w:pageBreakBefore w:val="0"/>
        <w:kinsoku/>
        <w:wordWrap/>
        <w:overflowPunct w:val="0"/>
        <w:topLinePunct/>
        <w:bidi w:val="0"/>
        <w:adjustRightInd w:val="0"/>
        <w:snapToGrid w:val="0"/>
        <w:spacing w:line="360" w:lineRule="auto"/>
        <w:rPr>
          <w:rFonts w:hint="default" w:ascii="Times New Roman" w:hAnsi="Times New Roman" w:eastAsia="宋体" w:cs="Times New Roman"/>
          <w:b/>
          <w:color w:val="auto"/>
          <w:kern w:val="0"/>
          <w:sz w:val="28"/>
          <w:szCs w:val="28"/>
          <w:highlight w:val="none"/>
        </w:rPr>
        <w:sectPr>
          <w:pgSz w:w="16840" w:h="11907" w:orient="landscape"/>
          <w:pgMar w:top="1531" w:right="1701" w:bottom="1531" w:left="2127" w:header="851" w:footer="187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
        <w:gridCol w:w="8123"/>
      </w:tblGrid>
      <w:tr w14:paraId="1914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6" w:hRule="atLeast"/>
        </w:trPr>
        <w:tc>
          <w:tcPr>
            <w:tcW w:w="436" w:type="dxa"/>
            <w:noWrap w:val="0"/>
            <w:vAlign w:val="top"/>
          </w:tcPr>
          <w:p w14:paraId="25AD1318">
            <w:pPr>
              <w:pageBreakBefore w:val="0"/>
              <w:kinsoku/>
              <w:wordWrap/>
              <w:overflowPunct w:val="0"/>
              <w:topLinePunct/>
              <w:bidi w:val="0"/>
              <w:adjustRightInd w:val="0"/>
              <w:snapToGrid w:val="0"/>
              <w:spacing w:line="360" w:lineRule="auto"/>
              <w:rPr>
                <w:rFonts w:hint="default" w:ascii="Times New Roman" w:hAnsi="Times New Roman" w:eastAsia="宋体" w:cs="Times New Roman"/>
                <w:b/>
                <w:color w:val="auto"/>
                <w:kern w:val="0"/>
                <w:sz w:val="28"/>
                <w:szCs w:val="28"/>
                <w:highlight w:val="none"/>
                <w:vertAlign w:val="baseline"/>
              </w:rPr>
            </w:pPr>
          </w:p>
        </w:tc>
        <w:tc>
          <w:tcPr>
            <w:tcW w:w="8086" w:type="dxa"/>
            <w:noWrap w:val="0"/>
            <w:vAlign w:val="center"/>
          </w:tcPr>
          <w:p w14:paraId="53A8F56A">
            <w:pPr>
              <w:pStyle w:val="55"/>
              <w:numPr>
                <w:ilvl w:val="3"/>
                <w:numId w:val="0"/>
              </w:numPr>
              <w:tabs>
                <w:tab w:val="clear" w:pos="255"/>
              </w:tabs>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eastAsia="新宋体" w:cs="Times New Roman"/>
                <w:b w:val="0"/>
                <w:i w:val="0"/>
                <w:color w:val="auto"/>
                <w:kern w:val="2"/>
                <w:sz w:val="24"/>
                <w:szCs w:val="24"/>
                <w:highlight w:val="none"/>
                <w:lang w:val="en-US" w:eastAsia="zh-CN" w:bidi="ar-SA"/>
              </w:rPr>
              <w:t>（2）</w:t>
            </w:r>
            <w:r>
              <w:rPr>
                <w:rFonts w:hint="default" w:ascii="Times New Roman" w:hAnsi="Times New Roman" w:cs="Times New Roman"/>
                <w:color w:val="auto"/>
                <w:sz w:val="24"/>
                <w:szCs w:val="24"/>
                <w:highlight w:val="none"/>
              </w:rPr>
              <w:t>预测点设置</w:t>
            </w:r>
          </w:p>
          <w:p w14:paraId="41EDD016">
            <w:pPr>
              <w:pStyle w:val="43"/>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现场调查表明，项目周边50m范围内存在</w:t>
            </w:r>
            <w:r>
              <w:rPr>
                <w:rFonts w:hint="default" w:ascii="Times New Roman" w:hAnsi="Times New Roman" w:eastAsia="宋体" w:cs="Times New Roman"/>
                <w:color w:val="auto"/>
                <w:sz w:val="24"/>
                <w:szCs w:val="24"/>
                <w:highlight w:val="none"/>
                <w:lang w:val="en-US" w:eastAsia="zh-CN"/>
              </w:rPr>
              <w:t>少量</w:t>
            </w:r>
            <w:r>
              <w:rPr>
                <w:rFonts w:hint="default" w:ascii="Times New Roman" w:hAnsi="Times New Roman" w:eastAsia="宋体" w:cs="Times New Roman"/>
                <w:color w:val="auto"/>
                <w:sz w:val="24"/>
                <w:szCs w:val="24"/>
                <w:highlight w:val="none"/>
              </w:rPr>
              <w:t>声环境保护目标。因而</w:t>
            </w:r>
            <w:r>
              <w:rPr>
                <w:rFonts w:hint="default" w:ascii="Times New Roman" w:hAnsi="Times New Roman" w:eastAsia="宋体" w:cs="Times New Roman"/>
                <w:color w:val="auto"/>
                <w:sz w:val="24"/>
                <w:szCs w:val="24"/>
                <w:highlight w:val="none"/>
                <w:lang w:val="en-US" w:eastAsia="zh-CN"/>
              </w:rPr>
              <w:t>本次预测</w:t>
            </w:r>
            <w:r>
              <w:rPr>
                <w:rFonts w:hint="default" w:ascii="Times New Roman" w:hAnsi="Times New Roman" w:eastAsia="宋体" w:cs="Times New Roman"/>
                <w:color w:val="auto"/>
                <w:sz w:val="24"/>
                <w:szCs w:val="24"/>
                <w:highlight w:val="none"/>
              </w:rPr>
              <w:t>考虑厂界</w:t>
            </w:r>
            <w:r>
              <w:rPr>
                <w:rFonts w:hint="default" w:ascii="Times New Roman" w:hAnsi="Times New Roman" w:eastAsia="宋体" w:cs="Times New Roman"/>
                <w:color w:val="auto"/>
                <w:sz w:val="24"/>
                <w:szCs w:val="24"/>
                <w:highlight w:val="none"/>
                <w:lang w:val="en-US" w:eastAsia="zh-CN"/>
              </w:rPr>
              <w:t>和声环境保护目标</w:t>
            </w:r>
            <w:r>
              <w:rPr>
                <w:rFonts w:hint="default" w:ascii="Times New Roman" w:hAnsi="Times New Roman" w:eastAsia="宋体" w:cs="Times New Roman"/>
                <w:color w:val="auto"/>
                <w:sz w:val="24"/>
                <w:szCs w:val="24"/>
                <w:highlight w:val="none"/>
              </w:rPr>
              <w:t>噪声影响值。</w:t>
            </w:r>
          </w:p>
          <w:p w14:paraId="70892031">
            <w:pPr>
              <w:pStyle w:val="55"/>
              <w:numPr>
                <w:ilvl w:val="3"/>
                <w:numId w:val="0"/>
              </w:numPr>
              <w:tabs>
                <w:tab w:val="clear" w:pos="255"/>
              </w:tabs>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eastAsia="新宋体" w:cs="Times New Roman"/>
                <w:b w:val="0"/>
                <w:i w:val="0"/>
                <w:color w:val="auto"/>
                <w:kern w:val="2"/>
                <w:sz w:val="24"/>
                <w:szCs w:val="24"/>
                <w:highlight w:val="none"/>
                <w:lang w:val="en-US" w:eastAsia="zh-CN" w:bidi="ar-SA"/>
              </w:rPr>
              <w:t>（3）</w:t>
            </w:r>
            <w:r>
              <w:rPr>
                <w:rFonts w:hint="default" w:ascii="Times New Roman" w:hAnsi="Times New Roman" w:cs="Times New Roman"/>
                <w:color w:val="auto"/>
                <w:sz w:val="24"/>
                <w:szCs w:val="24"/>
                <w:highlight w:val="none"/>
              </w:rPr>
              <w:t>预测内容</w:t>
            </w:r>
          </w:p>
          <w:p w14:paraId="31A4B2DE">
            <w:pPr>
              <w:pStyle w:val="43"/>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厂界噪声预测：预测厂界噪声</w:t>
            </w:r>
            <w:r>
              <w:rPr>
                <w:rFonts w:hint="default" w:ascii="Times New Roman" w:hAnsi="Times New Roman" w:eastAsia="宋体" w:cs="Times New Roman"/>
                <w:color w:val="auto"/>
                <w:sz w:val="24"/>
                <w:szCs w:val="24"/>
                <w:highlight w:val="none"/>
                <w:lang w:val="en-US" w:eastAsia="zh-CN"/>
              </w:rPr>
              <w:t>和声环境保护目标</w:t>
            </w:r>
            <w:r>
              <w:rPr>
                <w:rFonts w:hint="default" w:ascii="Times New Roman" w:hAnsi="Times New Roman" w:eastAsia="宋体" w:cs="Times New Roman"/>
                <w:color w:val="auto"/>
                <w:sz w:val="24"/>
                <w:szCs w:val="24"/>
                <w:highlight w:val="none"/>
              </w:rPr>
              <w:t>达标情况。</w:t>
            </w:r>
          </w:p>
          <w:p w14:paraId="53A3D61B">
            <w:pPr>
              <w:pStyle w:val="55"/>
              <w:numPr>
                <w:ilvl w:val="3"/>
                <w:numId w:val="0"/>
              </w:numPr>
              <w:tabs>
                <w:tab w:val="clear" w:pos="255"/>
              </w:tabs>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eastAsia="新宋体" w:cs="Times New Roman"/>
                <w:b w:val="0"/>
                <w:i w:val="0"/>
                <w:color w:val="auto"/>
                <w:kern w:val="2"/>
                <w:sz w:val="24"/>
                <w:szCs w:val="24"/>
                <w:highlight w:val="none"/>
                <w:lang w:val="en-US" w:eastAsia="zh-CN" w:bidi="ar-SA"/>
              </w:rPr>
              <w:t>（4）</w:t>
            </w:r>
            <w:r>
              <w:rPr>
                <w:rFonts w:hint="default" w:ascii="Times New Roman" w:hAnsi="Times New Roman" w:cs="Times New Roman"/>
                <w:color w:val="auto"/>
                <w:sz w:val="24"/>
                <w:szCs w:val="24"/>
                <w:highlight w:val="none"/>
              </w:rPr>
              <w:t>预测模式</w:t>
            </w:r>
          </w:p>
          <w:p w14:paraId="1F11A7AE">
            <w:pPr>
              <w:pStyle w:val="43"/>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厂界噪声影响预测采用《环境影响评价技术导则声环境》（HJ2.4-2021）附录A和B中推荐的公式，公式如下：</w:t>
            </w:r>
          </w:p>
          <w:p w14:paraId="4C83DF8D">
            <w:pPr>
              <w:pStyle w:val="43"/>
              <w:spacing w:line="360" w:lineRule="auto"/>
              <w:ind w:firstLine="522"/>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①室内声源等效室外声源声功率级计算方法</w:t>
            </w:r>
          </w:p>
          <w:p w14:paraId="70C361D1">
            <w:pPr>
              <w:pStyle w:val="43"/>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A、某一室内声源靠近围护结构处的倍频带声压级或A声级</w:t>
            </w:r>
          </w:p>
          <w:p w14:paraId="5ACA6F4D">
            <w:pPr>
              <w:adjustRightInd w:val="0"/>
              <w:snapToGrid w:val="0"/>
              <w:spacing w:line="360" w:lineRule="auto"/>
              <w:ind w:firstLine="480" w:firstLineChars="200"/>
              <w:jc w:val="center"/>
              <w:rPr>
                <w:rFonts w:hint="default" w:ascii="Times New Roman" w:hAnsi="Times New Roman" w:cs="Times New Roman"/>
                <w:b/>
                <w:color w:val="auto"/>
                <w:sz w:val="24"/>
                <w:szCs w:val="24"/>
                <w:highlight w:val="none"/>
              </w:rPr>
            </w:pPr>
            <w:r>
              <w:rPr>
                <w:rFonts w:hint="default" w:ascii="Times New Roman" w:hAnsi="Times New Roman" w:cs="Times New Roman"/>
                <w:bCs/>
                <w:color w:val="auto"/>
                <w:sz w:val="24"/>
                <w:szCs w:val="24"/>
                <w:highlight w:val="none"/>
              </w:rPr>
              <w:object>
                <v:shape id="_x0000_i1034" o:spt="75" type="#_x0000_t75" style="height:33.5pt;width:137.25pt;" o:ole="t" filled="f" o:preferrelative="t" stroked="f" coordsize="21600,21600">
                  <v:path/>
                  <v:fill on="f" focussize="0,0"/>
                  <v:stroke on="f"/>
                  <v:imagedata r:id="rId27" o:title=""/>
                  <o:lock v:ext="edit" aspectratio="t"/>
                  <w10:wrap type="none"/>
                  <w10:anchorlock/>
                </v:shape>
                <o:OLEObject Type="Embed" ProgID="Equations" ShapeID="_x0000_i1034" DrawAspect="Content" ObjectID="_1468075734" r:id="rId26">
                  <o:LockedField>false</o:LockedField>
                </o:OLEObject>
              </w:object>
            </w:r>
          </w:p>
          <w:p w14:paraId="6C0B88DC">
            <w:pPr>
              <w:pStyle w:val="43"/>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p1</w:t>
            </w:r>
            <w:r>
              <w:rPr>
                <w:rFonts w:hint="default" w:ascii="Times New Roman" w:hAnsi="Times New Roman" w:eastAsia="宋体" w:cs="Times New Roman"/>
                <w:color w:val="auto"/>
                <w:sz w:val="24"/>
                <w:szCs w:val="24"/>
                <w:highlight w:val="none"/>
              </w:rPr>
              <w:t>—靠近开口处（或窗户）室内某倍频带的声压级或A声级，dB；</w:t>
            </w:r>
          </w:p>
          <w:p w14:paraId="3CD8AB76">
            <w:pPr>
              <w:pStyle w:val="43"/>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w:t>
            </w:r>
            <w:r>
              <w:rPr>
                <w:rFonts w:hint="default" w:ascii="Times New Roman" w:hAnsi="Times New Roman" w:eastAsia="宋体" w:cs="Times New Roman"/>
                <w:color w:val="auto"/>
                <w:sz w:val="24"/>
                <w:szCs w:val="24"/>
                <w:highlight w:val="none"/>
              </w:rPr>
              <w:t>—点声源声功率级（A计权或倍频带），dB；</w:t>
            </w:r>
          </w:p>
          <w:p w14:paraId="3BE06223">
            <w:pPr>
              <w:pStyle w:val="43"/>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Q—指向性因数：通常对无指向性声源，当声源放在房间中心时，Q=1；当放在一面墙的中心时，Q=2；当放在两面墙夹角处时，Q=4；当放在三面墙夹角处时，Q=8；</w:t>
            </w:r>
          </w:p>
          <w:p w14:paraId="11927D25">
            <w:pPr>
              <w:pStyle w:val="43"/>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R—房间常数，R=Sα/（1-α），S为房间内表面面积，㎡，α为平均吸声系数；</w:t>
            </w:r>
          </w:p>
          <w:p w14:paraId="32D5C44F">
            <w:pPr>
              <w:pStyle w:val="43"/>
              <w:spacing w:line="360" w:lineRule="auto"/>
              <w:ind w:firstLine="1200" w:firstLineChars="500"/>
              <w:rPr>
                <w:rFonts w:hint="default" w:ascii="Times New Roman" w:hAnsi="Times New Roman" w:eastAsia="宋体" w:cs="Times New Roman"/>
                <w:color w:val="auto"/>
                <w:kern w:val="24"/>
                <w:sz w:val="24"/>
                <w:szCs w:val="24"/>
                <w:highlight w:val="none"/>
              </w:rPr>
            </w:pPr>
            <w:r>
              <w:rPr>
                <w:rFonts w:hint="default" w:ascii="Times New Roman" w:hAnsi="Times New Roman" w:eastAsia="宋体" w:cs="Times New Roman"/>
                <w:color w:val="auto"/>
                <w:sz w:val="24"/>
                <w:szCs w:val="24"/>
                <w:highlight w:val="none"/>
              </w:rPr>
              <w:t>r—声源到靠近围护结构某点处的距离，m。</w:t>
            </w:r>
          </w:p>
          <w:p w14:paraId="10827BED">
            <w:pPr>
              <w:pStyle w:val="43"/>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B、所有室内声源在围护结构处产生的i倍频带叠加声压级</w:t>
            </w:r>
          </w:p>
          <w:p w14:paraId="5F116FF5">
            <w:pPr>
              <w:adjustRightInd w:val="0"/>
              <w:snapToGrid w:val="0"/>
              <w:spacing w:line="360" w:lineRule="auto"/>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object>
                <v:shape id="_x0000_i1035" o:spt="75" type="#_x0000_t75" style="height:37.65pt;width:133.1pt;" o:ole="t" filled="f" o:preferrelative="t" stroked="f" coordsize="21600,21600">
                  <v:path/>
                  <v:fill on="f" focussize="0,0"/>
                  <v:stroke on="f"/>
                  <v:imagedata r:id="rId29" o:title=""/>
                  <o:lock v:ext="edit" aspectratio="t"/>
                  <w10:wrap type="none"/>
                  <w10:anchorlock/>
                </v:shape>
                <o:OLEObject Type="Embed" ProgID="Equations" ShapeID="_x0000_i1035" DrawAspect="Content" ObjectID="_1468075735" r:id="rId28">
                  <o:LockedField>false</o:LockedField>
                </o:OLEObject>
              </w:object>
            </w:r>
          </w:p>
          <w:p w14:paraId="2DC75198">
            <w:pPr>
              <w:adjustRightInd w:val="0"/>
              <w:snapToGrid w:val="0"/>
              <w:spacing w:line="360" w:lineRule="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式中：L</w:t>
            </w:r>
            <w:r>
              <w:rPr>
                <w:rFonts w:hint="default" w:ascii="Times New Roman" w:hAnsi="Times New Roman" w:cs="Times New Roman"/>
                <w:bCs/>
                <w:color w:val="auto"/>
                <w:sz w:val="24"/>
                <w:szCs w:val="24"/>
                <w:highlight w:val="none"/>
                <w:vertAlign w:val="subscript"/>
              </w:rPr>
              <w:t>p1i</w:t>
            </w:r>
            <w:r>
              <w:rPr>
                <w:rFonts w:hint="default" w:ascii="Times New Roman" w:hAnsi="Times New Roman" w:cs="Times New Roman"/>
                <w:bCs/>
                <w:color w:val="auto"/>
                <w:sz w:val="24"/>
                <w:szCs w:val="24"/>
                <w:highlight w:val="none"/>
              </w:rPr>
              <w:t>（T）—靠近围护结构处室内N个声源i倍频带的叠加声压级，</w:t>
            </w:r>
            <w:r>
              <w:rPr>
                <w:rFonts w:hint="default" w:ascii="Times New Roman" w:hAnsi="Times New Roman" w:cs="Times New Roman"/>
                <w:color w:val="auto"/>
                <w:sz w:val="24"/>
                <w:szCs w:val="24"/>
                <w:highlight w:val="none"/>
              </w:rPr>
              <w:t>dB；</w:t>
            </w:r>
          </w:p>
          <w:p w14:paraId="0D5DFB8F">
            <w:pPr>
              <w:adjustRightInd w:val="0"/>
              <w:snapToGrid w:val="0"/>
              <w:spacing w:line="360" w:lineRule="auto"/>
              <w:ind w:firstLine="720" w:firstLineChars="3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L</w:t>
            </w:r>
            <w:r>
              <w:rPr>
                <w:rFonts w:hint="default" w:ascii="Times New Roman" w:hAnsi="Times New Roman" w:cs="Times New Roman"/>
                <w:bCs/>
                <w:color w:val="auto"/>
                <w:sz w:val="24"/>
                <w:szCs w:val="24"/>
                <w:highlight w:val="none"/>
                <w:vertAlign w:val="subscript"/>
              </w:rPr>
              <w:t>p1ij</w:t>
            </w:r>
            <w:r>
              <w:rPr>
                <w:rFonts w:hint="default" w:ascii="Times New Roman" w:hAnsi="Times New Roman" w:cs="Times New Roman"/>
                <w:bCs/>
                <w:color w:val="auto"/>
                <w:sz w:val="24"/>
                <w:szCs w:val="24"/>
                <w:highlight w:val="none"/>
              </w:rPr>
              <w:t>—室内j声源i倍频带的声压级，</w:t>
            </w:r>
            <w:r>
              <w:rPr>
                <w:rFonts w:hint="default" w:ascii="Times New Roman" w:hAnsi="Times New Roman" w:cs="Times New Roman"/>
                <w:color w:val="auto"/>
                <w:sz w:val="24"/>
                <w:szCs w:val="24"/>
                <w:highlight w:val="none"/>
              </w:rPr>
              <w:t>dB；</w:t>
            </w:r>
          </w:p>
          <w:p w14:paraId="6BAA691B">
            <w:pPr>
              <w:adjustRightInd w:val="0"/>
              <w:snapToGrid w:val="0"/>
              <w:spacing w:line="360" w:lineRule="auto"/>
              <w:ind w:firstLine="720" w:firstLineChars="3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N—室内声源总数。</w:t>
            </w:r>
          </w:p>
          <w:p w14:paraId="25737C03">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C、按下式计算出</w:t>
            </w:r>
            <w:r>
              <w:rPr>
                <w:rFonts w:hint="default" w:ascii="Times New Roman" w:hAnsi="Times New Roman" w:cs="Times New Roman"/>
                <w:color w:val="auto"/>
                <w:sz w:val="24"/>
                <w:szCs w:val="24"/>
                <w:highlight w:val="none"/>
              </w:rPr>
              <w:t>靠近室外围护结构处的声压级</w:t>
            </w:r>
          </w:p>
          <w:p w14:paraId="70C1033D">
            <w:pPr>
              <w:adjustRightInd w:val="0"/>
              <w:snapToGrid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36" o:spt="75" type="#_x0000_t75" style="height:19.25pt;width:135.6pt;" o:ole="t" filled="f" o:preferrelative="t" stroked="f" coordsize="21600,21600">
                  <v:path/>
                  <v:fill on="f" focussize="0,0"/>
                  <v:stroke on="f"/>
                  <v:imagedata r:id="rId31" o:title=""/>
                  <o:lock v:ext="edit" aspectratio="t"/>
                  <w10:wrap type="none"/>
                  <w10:anchorlock/>
                </v:shape>
                <o:OLEObject Type="Embed" ProgID="Equations" ShapeID="_x0000_i1036" DrawAspect="Content" ObjectID="_1468075736" r:id="rId30">
                  <o:LockedField>false</o:LockedField>
                </o:OLEObject>
              </w:object>
            </w:r>
          </w:p>
          <w:p w14:paraId="11541546">
            <w:pPr>
              <w:adjustRightInd w:val="0"/>
              <w:snapToGrid w:val="0"/>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式中：L</w:t>
            </w:r>
            <w:r>
              <w:rPr>
                <w:rFonts w:hint="default" w:ascii="Times New Roman" w:hAnsi="Times New Roman" w:cs="Times New Roman"/>
                <w:bCs/>
                <w:color w:val="auto"/>
                <w:sz w:val="24"/>
                <w:szCs w:val="24"/>
                <w:highlight w:val="none"/>
                <w:vertAlign w:val="subscript"/>
              </w:rPr>
              <w:t>p2i</w:t>
            </w:r>
            <w:r>
              <w:rPr>
                <w:rFonts w:hint="default" w:ascii="Times New Roman" w:hAnsi="Times New Roman" w:cs="Times New Roman"/>
                <w:bCs/>
                <w:color w:val="auto"/>
                <w:sz w:val="24"/>
                <w:szCs w:val="24"/>
                <w:highlight w:val="none"/>
              </w:rPr>
              <w:t>（T）—靠近围护结构处室外N个声源i倍频带的叠加声压级，</w:t>
            </w:r>
            <w:r>
              <w:rPr>
                <w:rFonts w:hint="default" w:ascii="Times New Roman" w:hAnsi="Times New Roman" w:cs="Times New Roman"/>
                <w:color w:val="auto"/>
                <w:sz w:val="24"/>
                <w:szCs w:val="24"/>
                <w:highlight w:val="none"/>
              </w:rPr>
              <w:t>dB；</w:t>
            </w:r>
          </w:p>
          <w:p w14:paraId="23F46836">
            <w:pPr>
              <w:adjustRightInd w:val="0"/>
              <w:snapToGrid w:val="0"/>
              <w:spacing w:line="360" w:lineRule="auto"/>
              <w:ind w:firstLine="720" w:firstLineChars="3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L</w:t>
            </w:r>
            <w:r>
              <w:rPr>
                <w:rFonts w:hint="default" w:ascii="Times New Roman" w:hAnsi="Times New Roman" w:cs="Times New Roman"/>
                <w:bCs/>
                <w:color w:val="auto"/>
                <w:sz w:val="24"/>
                <w:szCs w:val="24"/>
                <w:highlight w:val="none"/>
                <w:vertAlign w:val="subscript"/>
              </w:rPr>
              <w:t>p1i</w:t>
            </w:r>
            <w:r>
              <w:rPr>
                <w:rFonts w:hint="default" w:ascii="Times New Roman" w:hAnsi="Times New Roman" w:cs="Times New Roman"/>
                <w:bCs/>
                <w:color w:val="auto"/>
                <w:sz w:val="24"/>
                <w:szCs w:val="24"/>
                <w:highlight w:val="none"/>
              </w:rPr>
              <w:t>（T）—靠近围护结构处室内N个声源i倍频带的叠加声压级，</w:t>
            </w:r>
            <w:r>
              <w:rPr>
                <w:rFonts w:hint="default" w:ascii="Times New Roman" w:hAnsi="Times New Roman" w:cs="Times New Roman"/>
                <w:color w:val="auto"/>
                <w:sz w:val="24"/>
                <w:szCs w:val="24"/>
                <w:highlight w:val="none"/>
              </w:rPr>
              <w:t>dB；</w:t>
            </w:r>
          </w:p>
          <w:p w14:paraId="527F2F9B">
            <w:pPr>
              <w:adjustRightInd w:val="0"/>
              <w:snapToGrid w:val="0"/>
              <w:spacing w:line="360" w:lineRule="auto"/>
              <w:ind w:firstLine="720" w:firstLineChars="3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TL</w:t>
            </w:r>
            <w:r>
              <w:rPr>
                <w:rFonts w:hint="default" w:ascii="Times New Roman" w:hAnsi="Times New Roman" w:cs="Times New Roman"/>
                <w:bCs/>
                <w:color w:val="auto"/>
                <w:sz w:val="24"/>
                <w:szCs w:val="24"/>
                <w:highlight w:val="none"/>
                <w:vertAlign w:val="subscript"/>
              </w:rPr>
              <w:t>i</w:t>
            </w:r>
            <w:r>
              <w:rPr>
                <w:rFonts w:hint="default" w:ascii="Times New Roman" w:hAnsi="Times New Roman" w:cs="Times New Roman"/>
                <w:bCs/>
                <w:color w:val="auto"/>
                <w:sz w:val="24"/>
                <w:szCs w:val="24"/>
                <w:highlight w:val="none"/>
              </w:rPr>
              <w:t>—围护结构i倍频带的隔声量，</w:t>
            </w:r>
            <w:r>
              <w:rPr>
                <w:rFonts w:hint="default" w:ascii="Times New Roman" w:hAnsi="Times New Roman" w:cs="Times New Roman"/>
                <w:color w:val="auto"/>
                <w:sz w:val="24"/>
                <w:szCs w:val="24"/>
                <w:highlight w:val="none"/>
              </w:rPr>
              <w:t>dB。</w:t>
            </w:r>
          </w:p>
          <w:p w14:paraId="2B092FA8">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Cs/>
                <w:color w:val="auto"/>
                <w:sz w:val="24"/>
                <w:szCs w:val="24"/>
                <w:highlight w:val="none"/>
              </w:rPr>
              <w:t>D、按下式将室外声源的声压级和透过面积换算成等效的室外声源，计算出</w:t>
            </w:r>
            <w:r>
              <w:rPr>
                <w:rFonts w:hint="default" w:ascii="Times New Roman" w:hAnsi="Times New Roman" w:cs="Times New Roman"/>
                <w:color w:val="auto"/>
                <w:sz w:val="24"/>
                <w:szCs w:val="24"/>
                <w:highlight w:val="none"/>
              </w:rPr>
              <w:t>中心位置位于透声面积（S）处的等效声源的倍频带声功率级</w:t>
            </w:r>
          </w:p>
          <w:p w14:paraId="13C920AB">
            <w:pPr>
              <w:adjustRightInd w:val="0"/>
              <w:snapToGrid w:val="0"/>
              <w:spacing w:line="360" w:lineRule="auto"/>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37" o:spt="75" type="#_x0000_t75" style="height:19.25pt;width:102.1pt;" o:ole="t" filled="f" o:preferrelative="t" stroked="f" coordsize="21600,21600">
                  <v:path/>
                  <v:fill on="f" focussize="0,0"/>
                  <v:stroke on="f"/>
                  <v:imagedata r:id="rId33" o:title=""/>
                  <o:lock v:ext="edit" aspectratio="t"/>
                  <w10:wrap type="none"/>
                  <w10:anchorlock/>
                </v:shape>
                <o:OLEObject Type="Embed" ProgID="Equations" ShapeID="_x0000_i1037" DrawAspect="Content" ObjectID="_1468075737" r:id="rId32">
                  <o:LockedField>false</o:LockedField>
                </o:OLEObject>
              </w:object>
            </w:r>
          </w:p>
          <w:p w14:paraId="11742B64">
            <w:pPr>
              <w:pStyle w:val="4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式中：Lw—中心位置位于透声面积（S）处的等效声源的倍频带声功率级，dB；</w:t>
            </w:r>
          </w:p>
          <w:p w14:paraId="1620D2E0">
            <w:pPr>
              <w:pStyle w:val="43"/>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p2</w:t>
            </w:r>
            <w:r>
              <w:rPr>
                <w:rFonts w:hint="default" w:ascii="Times New Roman" w:hAnsi="Times New Roman" w:eastAsia="宋体" w:cs="Times New Roman"/>
                <w:color w:val="auto"/>
                <w:sz w:val="24"/>
                <w:szCs w:val="24"/>
                <w:highlight w:val="none"/>
              </w:rPr>
              <w:t>（T）——靠近围护结构处室外声源的声压级，dB；</w:t>
            </w:r>
          </w:p>
          <w:p w14:paraId="3D2CF1CC">
            <w:pPr>
              <w:pStyle w:val="43"/>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S—透声面积，㎡。</w:t>
            </w:r>
          </w:p>
          <w:p w14:paraId="6C405AC9">
            <w:pPr>
              <w:pStyle w:val="43"/>
              <w:ind w:firstLine="522"/>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②室外声源预测模式</w:t>
            </w:r>
          </w:p>
          <w:p w14:paraId="4B679BE4">
            <w:pPr>
              <w:pStyle w:val="4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结合项目平面布置情况和外环境关系，本次噪声预测只考虑几何发散衰减，其室外声源预测方法计算预测点处的A声级如下所示：</w:t>
            </w:r>
          </w:p>
          <w:p w14:paraId="0968C7FF">
            <w:pPr>
              <w:adjustRightInd w:val="0"/>
              <w:snapToGrid w:val="0"/>
              <w:spacing w:line="360" w:lineRule="auto"/>
              <w:jc w:val="center"/>
              <w:rPr>
                <w:rFonts w:hint="default" w:ascii="Times New Roman" w:hAnsi="Times New Roman" w:cs="Times New Roman"/>
                <w:color w:val="auto"/>
                <w:position w:val="-14"/>
                <w:sz w:val="24"/>
                <w:szCs w:val="24"/>
                <w:highlight w:val="none"/>
              </w:rPr>
            </w:pPr>
            <w:r>
              <w:rPr>
                <w:rFonts w:hint="default" w:ascii="Times New Roman" w:hAnsi="Times New Roman" w:cs="Times New Roman"/>
                <w:color w:val="auto"/>
                <w:position w:val="-12"/>
                <w:sz w:val="24"/>
                <w:szCs w:val="24"/>
                <w:highlight w:val="none"/>
              </w:rPr>
              <w:object>
                <v:shape id="_x0000_i1038" o:spt="75" type="#_x0000_t75" style="height:18pt;width:97.4pt;" o:ole="t" filled="f" o:preferrelative="t" stroked="f" coordsize="21600,21600">
                  <v:path/>
                  <v:fill on="f" focussize="0,0"/>
                  <v:stroke on="f"/>
                  <v:imagedata r:id="rId35" o:title=""/>
                  <o:lock v:ext="edit" aspectratio="t"/>
                  <w10:wrap type="none"/>
                  <w10:anchorlock/>
                </v:shape>
                <o:OLEObject Type="Embed" ProgID="Equation.3" ShapeID="_x0000_i1038" DrawAspect="Content" ObjectID="_1468075738" r:id="rId34">
                  <o:LockedField>false</o:LockedField>
                </o:OLEObject>
              </w:object>
            </w:r>
          </w:p>
          <w:p w14:paraId="6E65047E">
            <w:pPr>
              <w:pStyle w:val="4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color w:val="auto"/>
                <w:position w:val="-10"/>
                <w:sz w:val="24"/>
                <w:szCs w:val="24"/>
                <w:highlight w:val="none"/>
              </w:rPr>
              <w:object>
                <v:shape id="_x0000_i1039" o:spt="75" type="#_x0000_t75" style="height:17.7pt;width:28.25pt;" o:ole="t" filled="f" o:preferrelative="t" stroked="f" coordsize="21600,21600">
                  <v:path/>
                  <v:fill on="f" focussize="0,0"/>
                  <v:stroke on="f"/>
                  <v:imagedata r:id="rId37" o:title=""/>
                  <o:lock v:ext="edit" aspectratio="t"/>
                  <w10:wrap type="none"/>
                  <w10:anchorlock/>
                </v:shape>
                <o:OLEObject Type="Embed" ProgID="Equation.3" ShapeID="_x0000_i1039" DrawAspect="Content" ObjectID="_1468075739" r:id="rId36">
                  <o:LockedField>false</o:LockedField>
                </o:OLEObject>
              </w:object>
            </w:r>
            <w:r>
              <w:rPr>
                <w:rFonts w:hint="default" w:ascii="Times New Roman" w:hAnsi="Times New Roman" w:eastAsia="宋体" w:cs="Times New Roman"/>
                <w:color w:val="auto"/>
                <w:sz w:val="24"/>
                <w:szCs w:val="24"/>
                <w:highlight w:val="none"/>
              </w:rPr>
              <w:t>—距离声源r处的A声级，dB（A）；</w:t>
            </w:r>
          </w:p>
          <w:p w14:paraId="3E69D6E0">
            <w:pPr>
              <w:pStyle w:val="43"/>
              <w:ind w:firstLine="1200" w:firstLineChars="500"/>
              <w:rPr>
                <w:rFonts w:hint="default" w:ascii="Times New Roman" w:hAnsi="Times New Roman" w:eastAsia="宋体" w:cs="Times New Roman"/>
                <w:color w:val="auto"/>
                <w:position w:val="-12"/>
                <w:sz w:val="24"/>
                <w:szCs w:val="24"/>
                <w:highlight w:val="none"/>
              </w:rPr>
            </w:pPr>
            <w:r>
              <w:rPr>
                <w:rFonts w:hint="default" w:ascii="Times New Roman" w:hAnsi="Times New Roman" w:eastAsia="宋体" w:cs="Times New Roman"/>
                <w:color w:val="auto"/>
                <w:position w:val="-12"/>
                <w:sz w:val="24"/>
                <w:szCs w:val="24"/>
                <w:highlight w:val="none"/>
              </w:rPr>
              <w:object>
                <v:shape id="_x0000_i1040" o:spt="75" type="#_x0000_t75" style="height:18.75pt;width:31.15pt;" o:ole="t" filled="f" o:preferrelative="t" stroked="f" coordsize="21600,21600">
                  <v:path/>
                  <v:fill on="f" focussize="0,0"/>
                  <v:stroke on="f"/>
                  <v:imagedata r:id="rId39" o:title=""/>
                  <o:lock v:ext="edit" aspectratio="t"/>
                  <w10:wrap type="none"/>
                  <w10:anchorlock/>
                </v:shape>
                <o:OLEObject Type="Embed" ProgID="Equation.3" ShapeID="_x0000_i1040" DrawAspect="Content" ObjectID="_1468075740" r:id="rId38">
                  <o:LockedField>false</o:LockedField>
                </o:OLEObject>
              </w:object>
            </w:r>
            <w:r>
              <w:rPr>
                <w:rFonts w:hint="default" w:ascii="Times New Roman" w:hAnsi="Times New Roman" w:eastAsia="宋体" w:cs="Times New Roman"/>
                <w:color w:val="auto"/>
                <w:sz w:val="24"/>
                <w:szCs w:val="24"/>
                <w:highlight w:val="none"/>
              </w:rPr>
              <w:t>—距离声源r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处的A声级，dB（A）；</w:t>
            </w:r>
          </w:p>
          <w:p w14:paraId="437A3B24">
            <w:pPr>
              <w:pStyle w:val="43"/>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041" o:spt="75" type="#_x0000_t75" style="height:19pt;width:20.4pt;" o:ole="t" filled="f" o:preferrelative="t" stroked="f" coordsize="21600,21600">
                  <v:path/>
                  <v:fill on="f" focussize="0,0"/>
                  <v:stroke on="f"/>
                  <v:imagedata r:id="rId41" o:title=""/>
                  <o:lock v:ext="edit" aspectratio="t"/>
                  <w10:wrap type="none"/>
                  <w10:anchorlock/>
                </v:shape>
                <o:OLEObject Type="Embed" ProgID="Equation.3" ShapeID="_x0000_i1041" DrawAspect="Content" ObjectID="_1468075741" r:id="rId40">
                  <o:LockedField>false</o:LockedField>
                </o:OLEObject>
              </w:object>
            </w:r>
            <w:r>
              <w:rPr>
                <w:rFonts w:hint="default" w:ascii="Times New Roman" w:hAnsi="Times New Roman" w:eastAsia="宋体" w:cs="Times New Roman"/>
                <w:color w:val="auto"/>
                <w:sz w:val="24"/>
                <w:szCs w:val="24"/>
                <w:highlight w:val="none"/>
              </w:rPr>
              <w:t>—几何发散引起的倍频带衰减，dB，A</w:t>
            </w:r>
            <w:r>
              <w:rPr>
                <w:rFonts w:hint="default" w:ascii="Times New Roman" w:hAnsi="Times New Roman" w:eastAsia="宋体" w:cs="Times New Roman"/>
                <w:color w:val="auto"/>
                <w:sz w:val="24"/>
                <w:szCs w:val="24"/>
                <w:highlight w:val="none"/>
                <w:vertAlign w:val="subscript"/>
              </w:rPr>
              <w:t>div</w:t>
            </w:r>
            <w:r>
              <w:rPr>
                <w:rFonts w:hint="default" w:ascii="Times New Roman" w:hAnsi="Times New Roman" w:eastAsia="宋体" w:cs="Times New Roman"/>
                <w:color w:val="auto"/>
                <w:sz w:val="24"/>
                <w:szCs w:val="24"/>
                <w:highlight w:val="none"/>
              </w:rPr>
              <w:t>=20lg（r/r</w:t>
            </w:r>
            <w:r>
              <w:rPr>
                <w:rFonts w:hint="default" w:ascii="Times New Roman" w:hAnsi="Times New Roman" w:eastAsia="宋体" w:cs="Times New Roman"/>
                <w:color w:val="auto"/>
                <w:sz w:val="24"/>
                <w:szCs w:val="24"/>
                <w:highlight w:val="none"/>
                <w:vertAlign w:val="subscript"/>
              </w:rPr>
              <w:t>o</w:t>
            </w:r>
            <w:r>
              <w:rPr>
                <w:rFonts w:hint="default" w:ascii="Times New Roman" w:hAnsi="Times New Roman" w:eastAsia="宋体" w:cs="Times New Roman"/>
                <w:color w:val="auto"/>
                <w:sz w:val="24"/>
                <w:szCs w:val="24"/>
                <w:highlight w:val="none"/>
              </w:rPr>
              <w:t>）；</w:t>
            </w:r>
          </w:p>
          <w:p w14:paraId="00F154A6">
            <w:pPr>
              <w:pStyle w:val="43"/>
              <w:ind w:firstLine="52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val="0"/>
                <w:color w:val="auto"/>
                <w:sz w:val="24"/>
                <w:szCs w:val="24"/>
                <w:highlight w:val="none"/>
              </w:rPr>
              <w:fldChar w:fldCharType="begin"/>
            </w:r>
            <w:r>
              <w:rPr>
                <w:rFonts w:hint="default" w:ascii="Times New Roman" w:hAnsi="Times New Roman" w:eastAsia="宋体" w:cs="Times New Roman"/>
                <w:b/>
                <w:bCs w:val="0"/>
                <w:color w:val="auto"/>
                <w:sz w:val="24"/>
                <w:szCs w:val="24"/>
                <w:highlight w:val="none"/>
              </w:rPr>
              <w:instrText xml:space="preserve"> = 3 \* GB3 \* MERGEFORMAT </w:instrText>
            </w:r>
            <w:r>
              <w:rPr>
                <w:rFonts w:hint="default" w:ascii="Times New Roman" w:hAnsi="Times New Roman" w:eastAsia="宋体" w:cs="Times New Roman"/>
                <w:b/>
                <w:bCs w:val="0"/>
                <w:color w:val="auto"/>
                <w:sz w:val="24"/>
                <w:szCs w:val="24"/>
                <w:highlight w:val="none"/>
              </w:rPr>
              <w:fldChar w:fldCharType="separate"/>
            </w:r>
            <w:r>
              <w:rPr>
                <w:rFonts w:hint="default" w:ascii="Times New Roman" w:hAnsi="Times New Roman" w:eastAsia="宋体" w:cs="Times New Roman"/>
                <w:b/>
                <w:bCs w:val="0"/>
                <w:color w:val="auto"/>
                <w:sz w:val="24"/>
                <w:szCs w:val="24"/>
                <w:highlight w:val="none"/>
              </w:rPr>
              <w:t>③</w:t>
            </w:r>
            <w:r>
              <w:rPr>
                <w:rFonts w:hint="default" w:ascii="Times New Roman" w:hAnsi="Times New Roman" w:eastAsia="宋体" w:cs="Times New Roman"/>
                <w:b/>
                <w:bCs w:val="0"/>
                <w:color w:val="auto"/>
                <w:sz w:val="24"/>
                <w:szCs w:val="24"/>
                <w:highlight w:val="none"/>
              </w:rPr>
              <w:fldChar w:fldCharType="end"/>
            </w:r>
            <w:r>
              <w:rPr>
                <w:rFonts w:hint="default" w:ascii="Times New Roman" w:hAnsi="Times New Roman" w:eastAsia="宋体" w:cs="Times New Roman"/>
                <w:b/>
                <w:bCs w:val="0"/>
                <w:color w:val="auto"/>
                <w:sz w:val="24"/>
                <w:szCs w:val="24"/>
                <w:highlight w:val="none"/>
              </w:rPr>
              <w:t>计算结果：</w:t>
            </w:r>
            <w:r>
              <w:rPr>
                <w:rFonts w:hint="default" w:ascii="Times New Roman" w:hAnsi="Times New Roman" w:eastAsia="宋体" w:cs="Times New Roman"/>
                <w:color w:val="auto"/>
                <w:sz w:val="24"/>
                <w:szCs w:val="24"/>
                <w:highlight w:val="none"/>
              </w:rPr>
              <w:t>多个室外声源对预测点的贡献值（</w:t>
            </w:r>
            <w:r>
              <w:rPr>
                <w:rFonts w:hint="default" w:ascii="Times New Roman" w:hAnsi="Times New Roman" w:eastAsia="宋体" w:cs="Times New Roman"/>
                <w:i/>
                <w:iCs/>
                <w:color w:val="auto"/>
                <w:sz w:val="24"/>
                <w:szCs w:val="24"/>
                <w:highlight w:val="none"/>
              </w:rPr>
              <w:t>L</w:t>
            </w:r>
            <w:r>
              <w:rPr>
                <w:rFonts w:hint="default" w:ascii="Times New Roman" w:hAnsi="Times New Roman" w:eastAsia="宋体" w:cs="Times New Roman"/>
                <w:color w:val="auto"/>
                <w:sz w:val="24"/>
                <w:szCs w:val="24"/>
                <w:highlight w:val="none"/>
                <w:vertAlign w:val="subscript"/>
              </w:rPr>
              <w:t>eqg</w:t>
            </w:r>
            <w:r>
              <w:rPr>
                <w:rFonts w:hint="default" w:ascii="Times New Roman" w:hAnsi="Times New Roman" w:eastAsia="宋体" w:cs="Times New Roman"/>
                <w:color w:val="auto"/>
                <w:sz w:val="24"/>
                <w:szCs w:val="24"/>
                <w:highlight w:val="none"/>
              </w:rPr>
              <w:t>）</w:t>
            </w:r>
          </w:p>
          <w:p w14:paraId="14C67433">
            <w:pPr>
              <w:adjustRightInd w:val="0"/>
              <w:snapToGrid w:val="0"/>
              <w:spacing w:line="360" w:lineRule="auto"/>
              <w:ind w:firstLine="607" w:firstLineChars="253"/>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34"/>
                <w:sz w:val="24"/>
                <w:szCs w:val="24"/>
                <w:highlight w:val="none"/>
              </w:rPr>
              <w:object>
                <v:shape id="_x0000_i1042" o:spt="75" type="#_x0000_t75" style="height:40.75pt;width:205.15pt;" o:ole="t" filled="f" o:preferrelative="t" stroked="f" coordsize="21600,21600">
                  <v:path/>
                  <v:fill on="f" focussize="0,0"/>
                  <v:stroke on="f"/>
                  <v:imagedata r:id="rId43" o:title=""/>
                  <o:lock v:ext="edit" aspectratio="t"/>
                  <w10:wrap type="none"/>
                  <w10:anchorlock/>
                </v:shape>
                <o:OLEObject Type="Embed" ProgID="Equation.3" ShapeID="_x0000_i1042" DrawAspect="Content" ObjectID="_1468075742" r:id="rId42">
                  <o:LockedField>false</o:LockedField>
                </o:OLEObject>
              </w:object>
            </w:r>
          </w:p>
          <w:p w14:paraId="3EFD2E4B">
            <w:pPr>
              <w:pStyle w:val="4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iCs/>
                <w:color w:val="auto"/>
                <w:sz w:val="24"/>
                <w:szCs w:val="24"/>
                <w:highlight w:val="none"/>
              </w:rPr>
              <w:t>L</w:t>
            </w:r>
            <w:r>
              <w:rPr>
                <w:rFonts w:hint="default" w:ascii="Times New Roman" w:hAnsi="Times New Roman" w:eastAsia="宋体" w:cs="Times New Roman"/>
                <w:color w:val="auto"/>
                <w:sz w:val="24"/>
                <w:szCs w:val="24"/>
                <w:highlight w:val="none"/>
                <w:vertAlign w:val="subscript"/>
              </w:rPr>
              <w:t>eqg——</w:t>
            </w:r>
            <w:r>
              <w:rPr>
                <w:rFonts w:hint="default" w:ascii="Times New Roman" w:hAnsi="Times New Roman" w:eastAsia="宋体" w:cs="Times New Roman"/>
                <w:color w:val="auto"/>
                <w:sz w:val="24"/>
                <w:szCs w:val="24"/>
                <w:highlight w:val="none"/>
              </w:rPr>
              <w:t>建设项目声源在预测点产生的噪声贡献值，dB</w:t>
            </w:r>
          </w:p>
          <w:p w14:paraId="4B58BB31">
            <w:pPr>
              <w:pStyle w:val="43"/>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4"/>
                <w:sz w:val="24"/>
                <w:szCs w:val="24"/>
                <w:highlight w:val="none"/>
              </w:rPr>
              <w:object>
                <v:shape id="_x0000_i1043" o:spt="75" type="#_x0000_t75" style="height:19pt;width:12.25pt;" o:ole="t" filled="f" o:preferrelative="t" stroked="f" coordsize="21600,21600">
                  <v:path/>
                  <v:fill on="f" focussize="0,0"/>
                  <v:stroke on="f"/>
                  <v:imagedata r:id="rId45" o:title=""/>
                  <o:lock v:ext="edit" aspectratio="t"/>
                  <w10:wrap type="none"/>
                  <w10:anchorlock/>
                </v:shape>
                <o:OLEObject Type="Embed" ProgID="Equation.3" ShapeID="_x0000_i1043" DrawAspect="Content" ObjectID="_1468075743" r:id="rId44">
                  <o:LockedField>false</o:LockedField>
                </o:OLEObject>
              </w:object>
            </w:r>
            <w:r>
              <w:rPr>
                <w:rFonts w:hint="default" w:ascii="Times New Roman" w:hAnsi="Times New Roman" w:eastAsia="宋体" w:cs="Times New Roman"/>
                <w:color w:val="auto"/>
                <w:sz w:val="24"/>
                <w:szCs w:val="24"/>
                <w:highlight w:val="none"/>
              </w:rPr>
              <w:t>—在T时间内j声源工作时间，s；</w:t>
            </w:r>
          </w:p>
          <w:p w14:paraId="7E0A2F2E">
            <w:pPr>
              <w:pStyle w:val="43"/>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2"/>
                <w:sz w:val="24"/>
                <w:szCs w:val="24"/>
                <w:highlight w:val="none"/>
              </w:rPr>
              <w:object>
                <v:shape id="_x0000_i1044" o:spt="75" type="#_x0000_t75" style="height:19pt;width:11.55pt;" o:ole="t" filled="f" o:preferrelative="t" stroked="f" coordsize="21600,21600">
                  <v:path/>
                  <v:fill on="f" focussize="0,0"/>
                  <v:stroke on="f"/>
                  <v:imagedata r:id="rId47" o:title=""/>
                  <o:lock v:ext="edit" aspectratio="t"/>
                  <w10:wrap type="none"/>
                  <w10:anchorlock/>
                </v:shape>
                <o:OLEObject Type="Embed" ProgID="Equation.3" ShapeID="_x0000_i1044" DrawAspect="Content" ObjectID="_1468075744" r:id="rId46">
                  <o:LockedField>false</o:LockedField>
                </o:OLEObject>
              </w:object>
            </w:r>
            <w:r>
              <w:rPr>
                <w:rFonts w:hint="default" w:ascii="Times New Roman" w:hAnsi="Times New Roman" w:eastAsia="宋体" w:cs="Times New Roman"/>
                <w:color w:val="auto"/>
                <w:sz w:val="24"/>
                <w:szCs w:val="24"/>
                <w:highlight w:val="none"/>
              </w:rPr>
              <w:t>—在T时间内i声源工作时间，s；</w:t>
            </w:r>
          </w:p>
          <w:p w14:paraId="2AD70208">
            <w:pPr>
              <w:pStyle w:val="43"/>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T—用于计算等效声级的时间，s；</w:t>
            </w:r>
          </w:p>
          <w:p w14:paraId="013C2AD7">
            <w:pPr>
              <w:pStyle w:val="43"/>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N—室外声源个数；</w:t>
            </w:r>
          </w:p>
          <w:p w14:paraId="2372EF32">
            <w:pPr>
              <w:pStyle w:val="43"/>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14:paraId="211D6200">
            <w:pPr>
              <w:pStyle w:val="55"/>
              <w:numPr>
                <w:ilvl w:val="3"/>
                <w:numId w:val="0"/>
              </w:numPr>
              <w:tabs>
                <w:tab w:val="clear" w:pos="255"/>
              </w:tabs>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eastAsia="新宋体" w:cs="Times New Roman"/>
                <w:b w:val="0"/>
                <w:i w:val="0"/>
                <w:color w:val="auto"/>
                <w:kern w:val="2"/>
                <w:sz w:val="24"/>
                <w:szCs w:val="24"/>
                <w:highlight w:val="none"/>
                <w:lang w:val="en-US" w:eastAsia="zh-CN" w:bidi="ar-SA"/>
              </w:rPr>
              <w:t>（5）</w:t>
            </w:r>
            <w:r>
              <w:rPr>
                <w:rFonts w:hint="default" w:ascii="Times New Roman" w:hAnsi="Times New Roman" w:cs="Times New Roman"/>
                <w:color w:val="auto"/>
                <w:sz w:val="24"/>
                <w:szCs w:val="24"/>
                <w:highlight w:val="none"/>
              </w:rPr>
              <w:t>预测结果与评价</w:t>
            </w:r>
          </w:p>
          <w:p w14:paraId="66C6A829">
            <w:pPr>
              <w:pStyle w:val="43"/>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cs="Times New Roman"/>
                <w:color w:val="auto"/>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val="en-US" w:eastAsia="zh-CN"/>
              </w:rPr>
              <w:t>厂界噪声预测结果</w:t>
            </w:r>
          </w:p>
          <w:p w14:paraId="0B9041A9">
            <w:pPr>
              <w:pStyle w:val="4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综合考虑噪声源分布及防噪降噪措施，按模式计算出声源对各厂界最大的影响结果，见表4.2-</w:t>
            </w:r>
            <w:r>
              <w:rPr>
                <w:rFonts w:hint="eastAsia"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p>
          <w:p w14:paraId="3EBC89A7">
            <w:pPr>
              <w:pStyle w:val="47"/>
              <w:spacing w:before="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表4.2-</w:t>
            </w:r>
            <w:r>
              <w:rPr>
                <w:rFonts w:hint="eastAsia" w:eastAsia="宋体" w:cs="Times New Roman"/>
                <w:color w:val="auto"/>
                <w:highlight w:val="none"/>
                <w:lang w:val="en-US" w:eastAsia="zh-CN"/>
              </w:rPr>
              <w:t xml:space="preserve">13 </w:t>
            </w:r>
            <w:r>
              <w:rPr>
                <w:rFonts w:hint="default" w:ascii="Times New Roman" w:hAnsi="Times New Roman" w:eastAsia="宋体" w:cs="Times New Roman"/>
                <w:color w:val="auto"/>
                <w:highlight w:val="none"/>
              </w:rPr>
              <w:t>厂界噪声预测结果</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t>单位：dB（A）</w:t>
            </w:r>
          </w:p>
          <w:tbl>
            <w:tblPr>
              <w:tblStyle w:val="18"/>
              <w:tblW w:w="49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52"/>
              <w:gridCol w:w="919"/>
              <w:gridCol w:w="2113"/>
              <w:gridCol w:w="1139"/>
              <w:gridCol w:w="1145"/>
              <w:gridCol w:w="1686"/>
            </w:tblGrid>
            <w:tr w14:paraId="55D54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1127" w:type="pct"/>
                  <w:gridSpan w:val="2"/>
                  <w:vMerge w:val="restart"/>
                  <w:noWrap w:val="0"/>
                  <w:vAlign w:val="center"/>
                </w:tcPr>
                <w:p w14:paraId="146CCF37">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1345" w:type="pct"/>
                  <w:vMerge w:val="restart"/>
                  <w:noWrap w:val="0"/>
                  <w:vAlign w:val="center"/>
                </w:tcPr>
                <w:p w14:paraId="64B45E92">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厂界贡献值</w:t>
                  </w:r>
                </w:p>
              </w:tc>
              <w:tc>
                <w:tcPr>
                  <w:tcW w:w="1454" w:type="pct"/>
                  <w:gridSpan w:val="2"/>
                  <w:noWrap w:val="0"/>
                  <w:vAlign w:val="center"/>
                </w:tcPr>
                <w:p w14:paraId="65B0447D">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c>
                <w:tcPr>
                  <w:tcW w:w="1073" w:type="pct"/>
                  <w:vMerge w:val="restart"/>
                  <w:noWrap w:val="0"/>
                  <w:vAlign w:val="center"/>
                </w:tcPr>
                <w:p w14:paraId="7045066F">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达标情况</w:t>
                  </w:r>
                </w:p>
              </w:tc>
            </w:tr>
            <w:tr w14:paraId="1A182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1127" w:type="pct"/>
                  <w:gridSpan w:val="2"/>
                  <w:vMerge w:val="continue"/>
                  <w:noWrap w:val="0"/>
                  <w:vAlign w:val="center"/>
                </w:tcPr>
                <w:p w14:paraId="3740BC94">
                  <w:pPr>
                    <w:pStyle w:val="44"/>
                    <w:rPr>
                      <w:rFonts w:hint="default" w:ascii="Times New Roman" w:hAnsi="Times New Roman" w:cs="Times New Roman"/>
                      <w:color w:val="auto"/>
                      <w:highlight w:val="none"/>
                    </w:rPr>
                  </w:pPr>
                </w:p>
              </w:tc>
              <w:tc>
                <w:tcPr>
                  <w:tcW w:w="1345" w:type="pct"/>
                  <w:vMerge w:val="continue"/>
                  <w:noWrap w:val="0"/>
                  <w:vAlign w:val="center"/>
                </w:tcPr>
                <w:p w14:paraId="138C78DF">
                  <w:pPr>
                    <w:pStyle w:val="44"/>
                    <w:rPr>
                      <w:rFonts w:hint="default" w:ascii="Times New Roman" w:hAnsi="Times New Roman" w:cs="Times New Roman"/>
                      <w:color w:val="auto"/>
                      <w:highlight w:val="none"/>
                    </w:rPr>
                  </w:pPr>
                </w:p>
              </w:tc>
              <w:tc>
                <w:tcPr>
                  <w:tcW w:w="725" w:type="pct"/>
                  <w:noWrap w:val="0"/>
                  <w:vAlign w:val="center"/>
                </w:tcPr>
                <w:p w14:paraId="3A19BD27">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728" w:type="pct"/>
                  <w:noWrap w:val="0"/>
                  <w:vAlign w:val="center"/>
                </w:tcPr>
                <w:p w14:paraId="41F5A8BE">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c>
                <w:tcPr>
                  <w:tcW w:w="1073" w:type="pct"/>
                  <w:vMerge w:val="continue"/>
                  <w:noWrap w:val="0"/>
                  <w:vAlign w:val="center"/>
                </w:tcPr>
                <w:p w14:paraId="55DE78D7">
                  <w:pPr>
                    <w:pStyle w:val="44"/>
                    <w:rPr>
                      <w:rFonts w:hint="default" w:ascii="Times New Roman" w:hAnsi="Times New Roman" w:cs="Times New Roman"/>
                      <w:color w:val="auto"/>
                      <w:highlight w:val="none"/>
                    </w:rPr>
                  </w:pPr>
                </w:p>
              </w:tc>
            </w:tr>
            <w:tr w14:paraId="0C098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542" w:type="pct"/>
                  <w:noWrap w:val="0"/>
                  <w:vAlign w:val="center"/>
                </w:tcPr>
                <w:p w14:paraId="653E85BB">
                  <w:pPr>
                    <w:pStyle w:val="44"/>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南</w:t>
                  </w:r>
                </w:p>
              </w:tc>
              <w:tc>
                <w:tcPr>
                  <w:tcW w:w="584" w:type="pct"/>
                  <w:noWrap w:val="0"/>
                  <w:vAlign w:val="center"/>
                </w:tcPr>
                <w:p w14:paraId="3F238046">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昼、夜</w:t>
                  </w:r>
                </w:p>
              </w:tc>
              <w:tc>
                <w:tcPr>
                  <w:tcW w:w="1345" w:type="pct"/>
                  <w:noWrap w:val="0"/>
                  <w:vAlign w:val="center"/>
                </w:tcPr>
                <w:p w14:paraId="77A381E5">
                  <w:pPr>
                    <w:pStyle w:val="44"/>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45.4</w:t>
                  </w:r>
                </w:p>
              </w:tc>
              <w:tc>
                <w:tcPr>
                  <w:tcW w:w="725" w:type="pct"/>
                  <w:vMerge w:val="restart"/>
                  <w:noWrap w:val="0"/>
                  <w:vAlign w:val="center"/>
                </w:tcPr>
                <w:p w14:paraId="44F61CBC">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65</w:t>
                  </w:r>
                </w:p>
              </w:tc>
              <w:tc>
                <w:tcPr>
                  <w:tcW w:w="728" w:type="pct"/>
                  <w:vMerge w:val="restart"/>
                  <w:noWrap w:val="0"/>
                  <w:vAlign w:val="center"/>
                </w:tcPr>
                <w:p w14:paraId="2480968F">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c>
                <w:tcPr>
                  <w:tcW w:w="1073" w:type="pct"/>
                  <w:noWrap w:val="0"/>
                  <w:vAlign w:val="center"/>
                </w:tcPr>
                <w:p w14:paraId="78AB0B98">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339A9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542" w:type="pct"/>
                  <w:shd w:val="clear" w:color="auto" w:fill="auto"/>
                  <w:noWrap w:val="0"/>
                  <w:vAlign w:val="center"/>
                </w:tcPr>
                <w:p w14:paraId="3814AC97">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北</w:t>
                  </w:r>
                </w:p>
              </w:tc>
              <w:tc>
                <w:tcPr>
                  <w:tcW w:w="584" w:type="pct"/>
                  <w:shd w:val="clear" w:color="auto" w:fill="auto"/>
                  <w:noWrap w:val="0"/>
                  <w:vAlign w:val="center"/>
                </w:tcPr>
                <w:p w14:paraId="6A184FB2">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昼、夜</w:t>
                  </w:r>
                </w:p>
              </w:tc>
              <w:tc>
                <w:tcPr>
                  <w:tcW w:w="1345" w:type="pct"/>
                  <w:shd w:val="clear" w:color="auto" w:fill="auto"/>
                  <w:noWrap w:val="0"/>
                  <w:vAlign w:val="center"/>
                </w:tcPr>
                <w:p w14:paraId="2B2A7B93">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46.6</w:t>
                  </w:r>
                </w:p>
              </w:tc>
              <w:tc>
                <w:tcPr>
                  <w:tcW w:w="725" w:type="pct"/>
                  <w:vMerge w:val="continue"/>
                  <w:noWrap w:val="0"/>
                  <w:vAlign w:val="center"/>
                </w:tcPr>
                <w:p w14:paraId="21E7E871">
                  <w:pPr>
                    <w:pStyle w:val="44"/>
                    <w:rPr>
                      <w:rFonts w:hint="default" w:ascii="Times New Roman" w:hAnsi="Times New Roman" w:cs="Times New Roman"/>
                      <w:color w:val="auto"/>
                      <w:highlight w:val="none"/>
                    </w:rPr>
                  </w:pPr>
                </w:p>
              </w:tc>
              <w:tc>
                <w:tcPr>
                  <w:tcW w:w="728" w:type="pct"/>
                  <w:vMerge w:val="continue"/>
                  <w:noWrap w:val="0"/>
                  <w:vAlign w:val="center"/>
                </w:tcPr>
                <w:p w14:paraId="65696C64">
                  <w:pPr>
                    <w:pStyle w:val="44"/>
                    <w:rPr>
                      <w:rFonts w:hint="default" w:ascii="Times New Roman" w:hAnsi="Times New Roman" w:cs="Times New Roman"/>
                      <w:color w:val="auto"/>
                      <w:highlight w:val="none"/>
                    </w:rPr>
                  </w:pPr>
                </w:p>
              </w:tc>
              <w:tc>
                <w:tcPr>
                  <w:tcW w:w="1073" w:type="pct"/>
                  <w:noWrap w:val="0"/>
                  <w:vAlign w:val="center"/>
                </w:tcPr>
                <w:p w14:paraId="0CFF3B96">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321C9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542" w:type="pct"/>
                  <w:shd w:val="clear" w:color="auto" w:fill="auto"/>
                  <w:noWrap w:val="0"/>
                  <w:vAlign w:val="center"/>
                </w:tcPr>
                <w:p w14:paraId="55D6833C">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西</w:t>
                  </w:r>
                </w:p>
              </w:tc>
              <w:tc>
                <w:tcPr>
                  <w:tcW w:w="584" w:type="pct"/>
                  <w:shd w:val="clear" w:color="auto" w:fill="auto"/>
                  <w:noWrap w:val="0"/>
                  <w:vAlign w:val="center"/>
                </w:tcPr>
                <w:p w14:paraId="3F0CA3C0">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昼、夜</w:t>
                  </w:r>
                </w:p>
              </w:tc>
              <w:tc>
                <w:tcPr>
                  <w:tcW w:w="1345" w:type="pct"/>
                  <w:shd w:val="clear" w:color="auto" w:fill="auto"/>
                  <w:noWrap w:val="0"/>
                  <w:vAlign w:val="center"/>
                </w:tcPr>
                <w:p w14:paraId="041C18F6">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51.8</w:t>
                  </w:r>
                </w:p>
              </w:tc>
              <w:tc>
                <w:tcPr>
                  <w:tcW w:w="725" w:type="pct"/>
                  <w:vMerge w:val="continue"/>
                  <w:noWrap w:val="0"/>
                  <w:vAlign w:val="center"/>
                </w:tcPr>
                <w:p w14:paraId="00006FDC">
                  <w:pPr>
                    <w:pStyle w:val="44"/>
                    <w:rPr>
                      <w:rFonts w:hint="default" w:ascii="Times New Roman" w:hAnsi="Times New Roman" w:cs="Times New Roman"/>
                      <w:color w:val="auto"/>
                      <w:highlight w:val="none"/>
                    </w:rPr>
                  </w:pPr>
                </w:p>
              </w:tc>
              <w:tc>
                <w:tcPr>
                  <w:tcW w:w="728" w:type="pct"/>
                  <w:vMerge w:val="continue"/>
                  <w:noWrap w:val="0"/>
                  <w:vAlign w:val="center"/>
                </w:tcPr>
                <w:p w14:paraId="6F215001">
                  <w:pPr>
                    <w:pStyle w:val="44"/>
                    <w:rPr>
                      <w:rFonts w:hint="default" w:ascii="Times New Roman" w:hAnsi="Times New Roman" w:cs="Times New Roman"/>
                      <w:color w:val="auto"/>
                      <w:highlight w:val="none"/>
                    </w:rPr>
                  </w:pPr>
                </w:p>
              </w:tc>
              <w:tc>
                <w:tcPr>
                  <w:tcW w:w="1073" w:type="pct"/>
                  <w:noWrap w:val="0"/>
                  <w:vAlign w:val="center"/>
                </w:tcPr>
                <w:p w14:paraId="17DA6273">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62F7A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jc w:val="center"/>
              </w:trPr>
              <w:tc>
                <w:tcPr>
                  <w:tcW w:w="542" w:type="pct"/>
                  <w:shd w:val="clear" w:color="auto" w:fill="auto"/>
                  <w:noWrap w:val="0"/>
                  <w:vAlign w:val="center"/>
                </w:tcPr>
                <w:p w14:paraId="7B268FBF">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东</w:t>
                  </w:r>
                </w:p>
              </w:tc>
              <w:tc>
                <w:tcPr>
                  <w:tcW w:w="584" w:type="pct"/>
                  <w:shd w:val="clear" w:color="auto" w:fill="auto"/>
                  <w:noWrap w:val="0"/>
                  <w:vAlign w:val="center"/>
                </w:tcPr>
                <w:p w14:paraId="7C92F6E0">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昼、夜</w:t>
                  </w:r>
                </w:p>
              </w:tc>
              <w:tc>
                <w:tcPr>
                  <w:tcW w:w="1345" w:type="pct"/>
                  <w:shd w:val="clear" w:color="auto" w:fill="auto"/>
                  <w:noWrap w:val="0"/>
                  <w:vAlign w:val="center"/>
                </w:tcPr>
                <w:p w14:paraId="57D423D6">
                  <w:pPr>
                    <w:pStyle w:val="44"/>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31.7</w:t>
                  </w:r>
                </w:p>
              </w:tc>
              <w:tc>
                <w:tcPr>
                  <w:tcW w:w="725" w:type="pct"/>
                  <w:noWrap w:val="0"/>
                  <w:vAlign w:val="center"/>
                </w:tcPr>
                <w:p w14:paraId="1D9C9D78">
                  <w:pPr>
                    <w:pStyle w:val="44"/>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70</w:t>
                  </w:r>
                </w:p>
              </w:tc>
              <w:tc>
                <w:tcPr>
                  <w:tcW w:w="728" w:type="pct"/>
                  <w:noWrap w:val="0"/>
                  <w:vAlign w:val="center"/>
                </w:tcPr>
                <w:p w14:paraId="3E183821">
                  <w:pPr>
                    <w:pStyle w:val="44"/>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55</w:t>
                  </w:r>
                </w:p>
              </w:tc>
              <w:tc>
                <w:tcPr>
                  <w:tcW w:w="1073" w:type="pct"/>
                  <w:noWrap w:val="0"/>
                  <w:vAlign w:val="center"/>
                </w:tcPr>
                <w:p w14:paraId="5EA873E0">
                  <w:pPr>
                    <w:pStyle w:val="44"/>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达标</w:t>
                  </w:r>
                </w:p>
              </w:tc>
            </w:tr>
          </w:tbl>
          <w:p w14:paraId="61F24D0E">
            <w:pPr>
              <w:pStyle w:val="43"/>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根据表4.2-</w:t>
            </w:r>
            <w:r>
              <w:rPr>
                <w:rFonts w:hint="eastAsia" w:eastAsia="宋体" w:cs="Times New Roman"/>
                <w:color w:val="auto"/>
                <w:sz w:val="24"/>
                <w:highlight w:val="none"/>
                <w:lang w:val="en-US" w:eastAsia="zh-CN"/>
              </w:rPr>
              <w:t>13</w:t>
            </w:r>
            <w:r>
              <w:rPr>
                <w:rFonts w:hint="default" w:ascii="Times New Roman" w:hAnsi="Times New Roman" w:eastAsia="宋体" w:cs="Times New Roman"/>
                <w:color w:val="auto"/>
                <w:sz w:val="24"/>
                <w:highlight w:val="none"/>
              </w:rPr>
              <w:t>，</w:t>
            </w:r>
            <w:r>
              <w:rPr>
                <w:rFonts w:hint="eastAsia"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建成后</w:t>
            </w:r>
            <w:r>
              <w:rPr>
                <w:rFonts w:hint="eastAsia" w:eastAsia="宋体" w:cs="Times New Roman"/>
                <w:color w:val="auto"/>
                <w:sz w:val="24"/>
                <w:highlight w:val="none"/>
                <w:lang w:val="en-US" w:eastAsia="zh-CN"/>
              </w:rPr>
              <w:t>北侧、南侧及西侧</w:t>
            </w:r>
            <w:r>
              <w:rPr>
                <w:rFonts w:hint="default" w:ascii="Times New Roman" w:hAnsi="Times New Roman" w:eastAsia="宋体" w:cs="Times New Roman"/>
                <w:color w:val="auto"/>
                <w:sz w:val="24"/>
                <w:highlight w:val="none"/>
              </w:rPr>
              <w:t>厂界噪声</w:t>
            </w:r>
            <w:r>
              <w:rPr>
                <w:rFonts w:hint="default" w:ascii="Times New Roman" w:hAnsi="Times New Roman" w:eastAsia="宋体" w:cs="Times New Roman"/>
                <w:color w:val="auto"/>
                <w:sz w:val="24"/>
                <w:highlight w:val="none"/>
                <w:lang w:val="en-US" w:eastAsia="zh-CN"/>
              </w:rPr>
              <w:t>贡献值</w:t>
            </w:r>
            <w:r>
              <w:rPr>
                <w:rFonts w:hint="default" w:ascii="Times New Roman" w:hAnsi="Times New Roman" w:eastAsia="宋体" w:cs="Times New Roman"/>
                <w:color w:val="auto"/>
                <w:sz w:val="24"/>
                <w:highlight w:val="none"/>
              </w:rPr>
              <w:t>均满足《工业企业厂界环境噪声排放标准》3类标准要求</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东侧厂界噪声贡献值满足</w:t>
            </w:r>
            <w:r>
              <w:rPr>
                <w:rFonts w:hint="default" w:ascii="Times New Roman" w:hAnsi="Times New Roman" w:eastAsia="宋体" w:cs="Times New Roman"/>
                <w:color w:val="auto"/>
                <w:sz w:val="24"/>
                <w:highlight w:val="none"/>
              </w:rPr>
              <w:t>《工业企业厂界环境噪声排放标准》</w:t>
            </w:r>
            <w:r>
              <w:rPr>
                <w:rFonts w:hint="eastAsia"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类标准要求。</w:t>
            </w:r>
          </w:p>
          <w:p w14:paraId="1DBF34BB">
            <w:pPr>
              <w:pStyle w:val="43"/>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en-US" w:eastAsia="zh-CN"/>
              </w:rPr>
              <w:t>声环境保护目标预测结果</w:t>
            </w:r>
          </w:p>
          <w:p w14:paraId="530F32CB">
            <w:pPr>
              <w:pStyle w:val="4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综合考虑噪声源分布及防噪降噪措施，按模式计算出声源对</w:t>
            </w:r>
            <w:r>
              <w:rPr>
                <w:rFonts w:hint="default" w:ascii="Times New Roman" w:hAnsi="Times New Roman" w:eastAsia="宋体" w:cs="Times New Roman"/>
                <w:color w:val="auto"/>
                <w:sz w:val="24"/>
                <w:szCs w:val="24"/>
                <w:highlight w:val="none"/>
                <w:lang w:val="en-US" w:eastAsia="zh-CN"/>
              </w:rPr>
              <w:t>厂界周边50m范围内的声环境保护目标</w:t>
            </w:r>
            <w:r>
              <w:rPr>
                <w:rFonts w:hint="default" w:ascii="Times New Roman" w:hAnsi="Times New Roman" w:eastAsia="宋体" w:cs="Times New Roman"/>
                <w:color w:val="auto"/>
                <w:sz w:val="24"/>
                <w:szCs w:val="24"/>
                <w:highlight w:val="none"/>
              </w:rPr>
              <w:t>最大的影响结果，</w:t>
            </w:r>
            <w:r>
              <w:rPr>
                <w:rFonts w:hint="eastAsia" w:eastAsia="宋体" w:cs="Times New Roman"/>
                <w:color w:val="auto"/>
                <w:sz w:val="24"/>
                <w:szCs w:val="24"/>
                <w:highlight w:val="none"/>
                <w:lang w:val="en-US" w:eastAsia="zh-CN"/>
              </w:rPr>
              <w:t>现状值取现状代表敏感点噪声监测最大值，预测结果</w:t>
            </w:r>
            <w:r>
              <w:rPr>
                <w:rFonts w:hint="default" w:ascii="Times New Roman" w:hAnsi="Times New Roman" w:eastAsia="宋体" w:cs="Times New Roman"/>
                <w:color w:val="auto"/>
                <w:sz w:val="24"/>
                <w:szCs w:val="24"/>
                <w:highlight w:val="none"/>
              </w:rPr>
              <w:t>见表4.2-</w:t>
            </w:r>
            <w:r>
              <w:rPr>
                <w:rFonts w:hint="eastAsia"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w:t>
            </w:r>
          </w:p>
          <w:p w14:paraId="2AD6FF5E">
            <w:pPr>
              <w:pStyle w:val="47"/>
              <w:spacing w:before="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表4.2-</w:t>
            </w:r>
            <w:r>
              <w:rPr>
                <w:rFonts w:hint="eastAsia" w:eastAsia="宋体" w:cs="Times New Roman"/>
                <w:color w:val="auto"/>
                <w:highlight w:val="none"/>
                <w:lang w:val="en-US" w:eastAsia="zh-CN"/>
              </w:rPr>
              <w:t>14</w:t>
            </w:r>
            <w:r>
              <w:rPr>
                <w:rFonts w:hint="default" w:ascii="Times New Roman" w:hAnsi="Times New Roman" w:eastAsia="宋体" w:cs="Times New Roman"/>
                <w:color w:val="auto"/>
                <w:highlight w:val="none"/>
                <w:lang w:val="en-US" w:eastAsia="zh-CN"/>
              </w:rPr>
              <w:t>声环境保护目标</w:t>
            </w:r>
            <w:r>
              <w:rPr>
                <w:rFonts w:hint="default" w:ascii="Times New Roman" w:hAnsi="Times New Roman" w:eastAsia="宋体" w:cs="Times New Roman"/>
                <w:color w:val="auto"/>
                <w:highlight w:val="none"/>
              </w:rPr>
              <w:t>噪声预测结果</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t>单位：dB（A）</w:t>
            </w:r>
          </w:p>
          <w:tbl>
            <w:tblPr>
              <w:tblStyle w:val="18"/>
              <w:tblW w:w="7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951"/>
              <w:gridCol w:w="809"/>
              <w:gridCol w:w="662"/>
              <w:gridCol w:w="676"/>
              <w:gridCol w:w="770"/>
              <w:gridCol w:w="782"/>
              <w:gridCol w:w="740"/>
              <w:gridCol w:w="746"/>
              <w:gridCol w:w="542"/>
              <w:gridCol w:w="550"/>
            </w:tblGrid>
            <w:tr w14:paraId="05F8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23" w:type="pct"/>
                  <w:vMerge w:val="restart"/>
                  <w:tcBorders>
                    <w:top w:val="single" w:color="auto" w:sz="4" w:space="0"/>
                    <w:left w:val="single" w:color="auto" w:sz="4" w:space="0"/>
                    <w:right w:val="single" w:color="auto" w:sz="4" w:space="0"/>
                  </w:tcBorders>
                  <w:noWrap w:val="0"/>
                  <w:vAlign w:val="center"/>
                </w:tcPr>
                <w:p w14:paraId="238CD5D2">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敏感点</w:t>
                  </w:r>
                </w:p>
              </w:tc>
              <w:tc>
                <w:tcPr>
                  <w:tcW w:w="602" w:type="pct"/>
                  <w:vMerge w:val="restart"/>
                  <w:tcBorders>
                    <w:top w:val="single" w:color="auto" w:sz="4" w:space="0"/>
                    <w:left w:val="single" w:color="auto" w:sz="4" w:space="0"/>
                    <w:right w:val="single" w:color="auto" w:sz="4" w:space="0"/>
                  </w:tcBorders>
                  <w:noWrap w:val="0"/>
                  <w:vAlign w:val="center"/>
                </w:tcPr>
                <w:p w14:paraId="4D70E39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距厂界距离/m</w:t>
                  </w:r>
                </w:p>
              </w:tc>
              <w:tc>
                <w:tcPr>
                  <w:tcW w:w="512" w:type="pct"/>
                  <w:vMerge w:val="restart"/>
                  <w:tcBorders>
                    <w:top w:val="single" w:color="auto" w:sz="4" w:space="0"/>
                    <w:left w:val="single" w:color="auto" w:sz="4" w:space="0"/>
                    <w:bottom w:val="single" w:color="auto" w:sz="4" w:space="0"/>
                    <w:right w:val="single" w:color="auto" w:sz="4" w:space="0"/>
                  </w:tcBorders>
                  <w:noWrap w:val="0"/>
                  <w:vAlign w:val="center"/>
                </w:tcPr>
                <w:p w14:paraId="74C718C0">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贡献值</w:t>
                  </w:r>
                </w:p>
              </w:tc>
              <w:tc>
                <w:tcPr>
                  <w:tcW w:w="847" w:type="pct"/>
                  <w:gridSpan w:val="2"/>
                  <w:tcBorders>
                    <w:top w:val="single" w:color="auto" w:sz="4" w:space="0"/>
                    <w:left w:val="single" w:color="auto" w:sz="4" w:space="0"/>
                    <w:bottom w:val="single" w:color="auto" w:sz="4" w:space="0"/>
                    <w:right w:val="single" w:color="auto" w:sz="4" w:space="0"/>
                  </w:tcBorders>
                  <w:noWrap w:val="0"/>
                  <w:vAlign w:val="center"/>
                </w:tcPr>
                <w:p w14:paraId="2A58786E">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lang w:val="en-US" w:eastAsia="zh-CN"/>
                    </w:rPr>
                    <w:t>现状</w:t>
                  </w:r>
                  <w:r>
                    <w:rPr>
                      <w:rFonts w:hint="default" w:ascii="Times New Roman" w:hAnsi="Times New Roman" w:cs="Times New Roman"/>
                      <w:b/>
                      <w:color w:val="auto"/>
                      <w:kern w:val="0"/>
                      <w:sz w:val="20"/>
                      <w:szCs w:val="20"/>
                      <w:highlight w:val="none"/>
                    </w:rPr>
                    <w:t>值</w:t>
                  </w:r>
                </w:p>
              </w:tc>
              <w:tc>
                <w:tcPr>
                  <w:tcW w:w="982" w:type="pct"/>
                  <w:gridSpan w:val="2"/>
                  <w:tcBorders>
                    <w:top w:val="single" w:color="auto" w:sz="4" w:space="0"/>
                    <w:left w:val="single" w:color="auto" w:sz="4" w:space="0"/>
                    <w:bottom w:val="single" w:color="auto" w:sz="4" w:space="0"/>
                    <w:right w:val="single" w:color="auto" w:sz="4" w:space="0"/>
                  </w:tcBorders>
                  <w:noWrap w:val="0"/>
                  <w:vAlign w:val="center"/>
                </w:tcPr>
                <w:p w14:paraId="7B6DB897">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lang w:val="en-US" w:eastAsia="zh-CN"/>
                    </w:rPr>
                    <w:t>叠加</w:t>
                  </w:r>
                  <w:r>
                    <w:rPr>
                      <w:rFonts w:hint="default" w:ascii="Times New Roman" w:hAnsi="Times New Roman" w:cs="Times New Roman"/>
                      <w:b/>
                      <w:color w:val="auto"/>
                      <w:kern w:val="0"/>
                      <w:sz w:val="20"/>
                      <w:szCs w:val="20"/>
                      <w:highlight w:val="none"/>
                    </w:rPr>
                    <w:t>值</w:t>
                  </w:r>
                </w:p>
              </w:tc>
              <w:tc>
                <w:tcPr>
                  <w:tcW w:w="940" w:type="pct"/>
                  <w:gridSpan w:val="2"/>
                  <w:tcBorders>
                    <w:top w:val="single" w:color="auto" w:sz="4" w:space="0"/>
                    <w:left w:val="single" w:color="auto" w:sz="4" w:space="0"/>
                    <w:bottom w:val="single" w:color="auto" w:sz="4" w:space="0"/>
                    <w:right w:val="single" w:color="auto" w:sz="4" w:space="0"/>
                  </w:tcBorders>
                  <w:noWrap w:val="0"/>
                  <w:vAlign w:val="center"/>
                </w:tcPr>
                <w:p w14:paraId="250935A7">
                  <w:pPr>
                    <w:adjustRightInd w:val="0"/>
                    <w:snapToGrid w:val="0"/>
                    <w:jc w:val="center"/>
                    <w:outlineLvl w:val="1"/>
                    <w:rPr>
                      <w:rFonts w:hint="default" w:ascii="Times New Roman" w:hAnsi="Times New Roman" w:eastAsia="宋体" w:cs="Times New Roman"/>
                      <w:b/>
                      <w:color w:val="auto"/>
                      <w:kern w:val="0"/>
                      <w:sz w:val="20"/>
                      <w:szCs w:val="20"/>
                      <w:highlight w:val="none"/>
                      <w:lang w:val="en-US" w:eastAsia="zh-CN"/>
                    </w:rPr>
                  </w:pPr>
                  <w:r>
                    <w:rPr>
                      <w:rFonts w:hint="default" w:ascii="Times New Roman" w:hAnsi="Times New Roman" w:cs="Times New Roman"/>
                      <w:b/>
                      <w:bCs/>
                      <w:color w:val="auto"/>
                      <w:sz w:val="20"/>
                      <w:szCs w:val="20"/>
                      <w:highlight w:val="none"/>
                    </w:rPr>
                    <w:t>评价标准</w:t>
                  </w:r>
                </w:p>
              </w:tc>
              <w:tc>
                <w:tcPr>
                  <w:tcW w:w="691" w:type="pct"/>
                  <w:gridSpan w:val="2"/>
                  <w:tcBorders>
                    <w:top w:val="single" w:color="auto" w:sz="4" w:space="0"/>
                    <w:left w:val="single" w:color="auto" w:sz="4" w:space="0"/>
                    <w:bottom w:val="single" w:color="auto" w:sz="4" w:space="0"/>
                    <w:right w:val="single" w:color="auto" w:sz="4" w:space="0"/>
                  </w:tcBorders>
                  <w:noWrap w:val="0"/>
                  <w:vAlign w:val="center"/>
                </w:tcPr>
                <w:p w14:paraId="353A491E">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是否</w:t>
                  </w:r>
                </w:p>
                <w:p w14:paraId="394AFB55">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达标</w:t>
                  </w:r>
                </w:p>
              </w:tc>
            </w:tr>
            <w:tr w14:paraId="3647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23" w:type="pct"/>
                  <w:vMerge w:val="continue"/>
                  <w:tcBorders>
                    <w:left w:val="single" w:color="auto" w:sz="4" w:space="0"/>
                    <w:bottom w:val="single" w:color="auto" w:sz="4" w:space="0"/>
                    <w:right w:val="single" w:color="auto" w:sz="4" w:space="0"/>
                  </w:tcBorders>
                  <w:noWrap w:val="0"/>
                  <w:vAlign w:val="center"/>
                </w:tcPr>
                <w:p w14:paraId="4C252953">
                  <w:pPr>
                    <w:widowControl/>
                    <w:adjustRightInd w:val="0"/>
                    <w:snapToGrid w:val="0"/>
                    <w:jc w:val="center"/>
                    <w:rPr>
                      <w:rFonts w:hint="default" w:ascii="Times New Roman" w:hAnsi="Times New Roman" w:eastAsia="宋体" w:cs="Times New Roman"/>
                      <w:b/>
                      <w:color w:val="auto"/>
                      <w:kern w:val="0"/>
                      <w:sz w:val="20"/>
                      <w:szCs w:val="20"/>
                      <w:highlight w:val="none"/>
                      <w:lang w:val="en-US" w:eastAsia="zh-CN"/>
                    </w:rPr>
                  </w:pPr>
                </w:p>
              </w:tc>
              <w:tc>
                <w:tcPr>
                  <w:tcW w:w="602" w:type="pct"/>
                  <w:vMerge w:val="continue"/>
                  <w:tcBorders>
                    <w:left w:val="single" w:color="auto" w:sz="4" w:space="0"/>
                    <w:bottom w:val="single" w:color="auto" w:sz="4" w:space="0"/>
                    <w:right w:val="single" w:color="auto" w:sz="4" w:space="0"/>
                  </w:tcBorders>
                  <w:noWrap w:val="0"/>
                  <w:vAlign w:val="center"/>
                </w:tcPr>
                <w:p w14:paraId="36E785DC">
                  <w:pPr>
                    <w:widowControl/>
                    <w:adjustRightInd w:val="0"/>
                    <w:snapToGrid w:val="0"/>
                    <w:jc w:val="center"/>
                    <w:rPr>
                      <w:rFonts w:hint="default" w:ascii="Times New Roman" w:hAnsi="Times New Roman" w:cs="Times New Roman"/>
                      <w:b/>
                      <w:color w:val="auto"/>
                      <w:kern w:val="0"/>
                      <w:sz w:val="20"/>
                      <w:szCs w:val="20"/>
                      <w:highlight w:val="none"/>
                    </w:rPr>
                  </w:pPr>
                </w:p>
              </w:tc>
              <w:tc>
                <w:tcPr>
                  <w:tcW w:w="512" w:type="pct"/>
                  <w:vMerge w:val="continue"/>
                  <w:tcBorders>
                    <w:top w:val="single" w:color="auto" w:sz="4" w:space="0"/>
                    <w:left w:val="single" w:color="auto" w:sz="4" w:space="0"/>
                    <w:bottom w:val="single" w:color="auto" w:sz="4" w:space="0"/>
                    <w:right w:val="single" w:color="auto" w:sz="4" w:space="0"/>
                  </w:tcBorders>
                  <w:noWrap w:val="0"/>
                  <w:vAlign w:val="center"/>
                </w:tcPr>
                <w:p w14:paraId="35F200C9">
                  <w:pPr>
                    <w:widowControl/>
                    <w:adjustRightInd w:val="0"/>
                    <w:snapToGrid w:val="0"/>
                    <w:jc w:val="center"/>
                    <w:rPr>
                      <w:rFonts w:hint="default" w:ascii="Times New Roman" w:hAnsi="Times New Roman" w:cs="Times New Roman"/>
                      <w:b/>
                      <w:color w:val="auto"/>
                      <w:kern w:val="0"/>
                      <w:sz w:val="20"/>
                      <w:szCs w:val="20"/>
                      <w:highlight w:val="none"/>
                    </w:rPr>
                  </w:pPr>
                </w:p>
              </w:tc>
              <w:tc>
                <w:tcPr>
                  <w:tcW w:w="419" w:type="pct"/>
                  <w:tcBorders>
                    <w:top w:val="single" w:color="auto" w:sz="4" w:space="0"/>
                    <w:left w:val="single" w:color="auto" w:sz="4" w:space="0"/>
                    <w:bottom w:val="single" w:color="auto" w:sz="4" w:space="0"/>
                    <w:right w:val="single" w:color="auto" w:sz="4" w:space="0"/>
                  </w:tcBorders>
                  <w:noWrap w:val="0"/>
                  <w:vAlign w:val="center"/>
                </w:tcPr>
                <w:p w14:paraId="3FEA947E">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昼间</w:t>
                  </w:r>
                </w:p>
              </w:tc>
              <w:tc>
                <w:tcPr>
                  <w:tcW w:w="427" w:type="pct"/>
                  <w:tcBorders>
                    <w:top w:val="single" w:color="auto" w:sz="4" w:space="0"/>
                    <w:left w:val="single" w:color="auto" w:sz="4" w:space="0"/>
                    <w:bottom w:val="single" w:color="auto" w:sz="4" w:space="0"/>
                    <w:right w:val="single" w:color="auto" w:sz="4" w:space="0"/>
                  </w:tcBorders>
                  <w:noWrap w:val="0"/>
                  <w:vAlign w:val="center"/>
                </w:tcPr>
                <w:p w14:paraId="49CF5A7E">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夜间</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1E721FFC">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昼间</w:t>
                  </w:r>
                </w:p>
              </w:tc>
              <w:tc>
                <w:tcPr>
                  <w:tcW w:w="494" w:type="pct"/>
                  <w:tcBorders>
                    <w:top w:val="single" w:color="auto" w:sz="4" w:space="0"/>
                    <w:left w:val="single" w:color="auto" w:sz="4" w:space="0"/>
                    <w:bottom w:val="single" w:color="auto" w:sz="4" w:space="0"/>
                    <w:right w:val="single" w:color="auto" w:sz="4" w:space="0"/>
                  </w:tcBorders>
                  <w:noWrap w:val="0"/>
                  <w:vAlign w:val="center"/>
                </w:tcPr>
                <w:p w14:paraId="5374459C">
                  <w:pPr>
                    <w:adjustRightInd w:val="0"/>
                    <w:snapToGrid w:val="0"/>
                    <w:jc w:val="center"/>
                    <w:outlineLvl w:val="1"/>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夜间</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747428B9">
                  <w:pPr>
                    <w:adjustRightInd w:val="0"/>
                    <w:snapToGrid w:val="0"/>
                    <w:jc w:val="center"/>
                    <w:outlineLvl w:val="1"/>
                    <w:rPr>
                      <w:rFonts w:hint="default" w:ascii="Times New Roman" w:hAnsi="Times New Roman" w:eastAsia="宋体" w:cs="Times New Roman"/>
                      <w:b/>
                      <w:color w:val="auto"/>
                      <w:kern w:val="0"/>
                      <w:sz w:val="20"/>
                      <w:szCs w:val="20"/>
                      <w:highlight w:val="none"/>
                      <w:lang w:val="en-US" w:eastAsia="zh-CN"/>
                    </w:rPr>
                  </w:pPr>
                  <w:r>
                    <w:rPr>
                      <w:rFonts w:hint="default" w:ascii="Times New Roman" w:hAnsi="Times New Roman" w:cs="Times New Roman"/>
                      <w:b/>
                      <w:color w:val="auto"/>
                      <w:kern w:val="0"/>
                      <w:sz w:val="20"/>
                      <w:szCs w:val="20"/>
                      <w:highlight w:val="none"/>
                      <w:lang w:val="en-US" w:eastAsia="zh-CN"/>
                    </w:rPr>
                    <w:t>昼间</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2F991D6C">
                  <w:pPr>
                    <w:adjustRightInd w:val="0"/>
                    <w:snapToGrid w:val="0"/>
                    <w:jc w:val="center"/>
                    <w:outlineLvl w:val="1"/>
                    <w:rPr>
                      <w:rFonts w:hint="default" w:ascii="Times New Roman" w:hAnsi="Times New Roman" w:eastAsia="宋体" w:cs="Times New Roman"/>
                      <w:b/>
                      <w:color w:val="auto"/>
                      <w:kern w:val="0"/>
                      <w:sz w:val="20"/>
                      <w:szCs w:val="20"/>
                      <w:highlight w:val="none"/>
                      <w:lang w:val="en-US" w:eastAsia="zh-CN"/>
                    </w:rPr>
                  </w:pPr>
                  <w:r>
                    <w:rPr>
                      <w:rFonts w:hint="default" w:ascii="Times New Roman" w:hAnsi="Times New Roman" w:cs="Times New Roman"/>
                      <w:b/>
                      <w:color w:val="auto"/>
                      <w:kern w:val="0"/>
                      <w:sz w:val="20"/>
                      <w:szCs w:val="20"/>
                      <w:highlight w:val="none"/>
                      <w:lang w:val="en-US" w:eastAsia="zh-CN"/>
                    </w:rPr>
                    <w:t>夜间</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380DD150">
                  <w:pPr>
                    <w:adjustRightInd w:val="0"/>
                    <w:snapToGrid w:val="0"/>
                    <w:jc w:val="center"/>
                    <w:outlineLvl w:val="1"/>
                    <w:rPr>
                      <w:rFonts w:hint="default" w:ascii="Times New Roman" w:hAnsi="Times New Roman" w:eastAsia="宋体" w:cs="Times New Roman"/>
                      <w:b/>
                      <w:color w:val="auto"/>
                      <w:kern w:val="0"/>
                      <w:sz w:val="20"/>
                      <w:szCs w:val="20"/>
                      <w:highlight w:val="none"/>
                      <w:lang w:val="en-US" w:eastAsia="zh-CN"/>
                    </w:rPr>
                  </w:pPr>
                  <w:r>
                    <w:rPr>
                      <w:rFonts w:hint="default" w:ascii="Times New Roman" w:hAnsi="Times New Roman" w:cs="Times New Roman"/>
                      <w:b/>
                      <w:color w:val="auto"/>
                      <w:kern w:val="0"/>
                      <w:sz w:val="20"/>
                      <w:szCs w:val="20"/>
                      <w:highlight w:val="none"/>
                    </w:rPr>
                    <w:t>昼</w:t>
                  </w:r>
                  <w:r>
                    <w:rPr>
                      <w:rFonts w:hint="default" w:ascii="Times New Roman" w:hAnsi="Times New Roman" w:cs="Times New Roman"/>
                      <w:b/>
                      <w:color w:val="auto"/>
                      <w:kern w:val="0"/>
                      <w:sz w:val="20"/>
                      <w:szCs w:val="20"/>
                      <w:highlight w:val="none"/>
                      <w:lang w:val="en-US" w:eastAsia="zh-CN"/>
                    </w:rPr>
                    <w:t>间</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543B304A">
                  <w:pPr>
                    <w:adjustRightInd w:val="0"/>
                    <w:snapToGrid w:val="0"/>
                    <w:jc w:val="center"/>
                    <w:outlineLvl w:val="1"/>
                    <w:rPr>
                      <w:rFonts w:hint="default" w:ascii="Times New Roman" w:hAnsi="Times New Roman" w:eastAsia="宋体" w:cs="Times New Roman"/>
                      <w:b/>
                      <w:color w:val="auto"/>
                      <w:kern w:val="0"/>
                      <w:sz w:val="20"/>
                      <w:szCs w:val="20"/>
                      <w:highlight w:val="none"/>
                      <w:lang w:val="en-US" w:eastAsia="zh-CN"/>
                    </w:rPr>
                  </w:pPr>
                  <w:r>
                    <w:rPr>
                      <w:rFonts w:hint="default" w:ascii="Times New Roman" w:hAnsi="Times New Roman" w:cs="Times New Roman"/>
                      <w:b/>
                      <w:color w:val="auto"/>
                      <w:kern w:val="0"/>
                      <w:sz w:val="20"/>
                      <w:szCs w:val="20"/>
                      <w:highlight w:val="none"/>
                    </w:rPr>
                    <w:t>夜</w:t>
                  </w:r>
                  <w:r>
                    <w:rPr>
                      <w:rFonts w:hint="default" w:ascii="Times New Roman" w:hAnsi="Times New Roman" w:cs="Times New Roman"/>
                      <w:b/>
                      <w:color w:val="auto"/>
                      <w:kern w:val="0"/>
                      <w:sz w:val="20"/>
                      <w:szCs w:val="20"/>
                      <w:highlight w:val="none"/>
                      <w:lang w:val="en-US" w:eastAsia="zh-CN"/>
                    </w:rPr>
                    <w:t>间</w:t>
                  </w:r>
                </w:p>
              </w:tc>
            </w:tr>
            <w:tr w14:paraId="3B62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14:paraId="4F139B90">
                  <w:pPr>
                    <w:keepNext w:val="0"/>
                    <w:keepLines w:val="0"/>
                    <w:widowControl/>
                    <w:suppressLineNumbers w:val="0"/>
                    <w:jc w:val="center"/>
                    <w:textAlignment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p>
              </w:tc>
              <w:tc>
                <w:tcPr>
                  <w:tcW w:w="602" w:type="pct"/>
                  <w:tcBorders>
                    <w:top w:val="single" w:color="auto" w:sz="4" w:space="0"/>
                    <w:left w:val="single" w:color="auto" w:sz="4" w:space="0"/>
                    <w:bottom w:val="single" w:color="auto" w:sz="4" w:space="0"/>
                    <w:right w:val="single" w:color="auto" w:sz="4" w:space="0"/>
                  </w:tcBorders>
                  <w:noWrap w:val="0"/>
                  <w:vAlign w:val="center"/>
                </w:tcPr>
                <w:p w14:paraId="38383D0F">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sz w:val="20"/>
                      <w:szCs w:val="20"/>
                      <w:highlight w:val="none"/>
                      <w:u w:val="none"/>
                      <w:lang w:val="en-US" w:eastAsia="zh-CN"/>
                    </w:rPr>
                  </w:pPr>
                  <w:r>
                    <w:rPr>
                      <w:rFonts w:hint="default" w:ascii="Times New Roman" w:hAnsi="Times New Roman" w:cs="Times New Roman"/>
                      <w:color w:val="auto"/>
                      <w:kern w:val="2"/>
                      <w:sz w:val="21"/>
                      <w:szCs w:val="21"/>
                      <w:highlight w:val="none"/>
                      <w:lang w:val="en-US" w:eastAsia="zh-CN"/>
                    </w:rPr>
                    <w:t>25</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515895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highlight w:val="none"/>
                    </w:rPr>
                    <w:t>33.7</w:t>
                  </w:r>
                </w:p>
              </w:tc>
              <w:tc>
                <w:tcPr>
                  <w:tcW w:w="419" w:type="pct"/>
                  <w:tcBorders>
                    <w:top w:val="single" w:color="auto" w:sz="4" w:space="0"/>
                    <w:left w:val="single" w:color="auto" w:sz="4" w:space="0"/>
                    <w:bottom w:val="single" w:color="auto" w:sz="4" w:space="0"/>
                    <w:right w:val="single" w:color="auto" w:sz="4" w:space="0"/>
                  </w:tcBorders>
                  <w:noWrap w:val="0"/>
                  <w:vAlign w:val="center"/>
                </w:tcPr>
                <w:p w14:paraId="2059F8D1">
                  <w:pPr>
                    <w:adjustRightInd w:val="0"/>
                    <w:snapToGrid w:val="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427" w:type="pct"/>
                  <w:tcBorders>
                    <w:top w:val="single" w:color="auto" w:sz="4" w:space="0"/>
                    <w:left w:val="single" w:color="auto" w:sz="4" w:space="0"/>
                    <w:bottom w:val="single" w:color="auto" w:sz="4" w:space="0"/>
                    <w:right w:val="single" w:color="auto" w:sz="4" w:space="0"/>
                  </w:tcBorders>
                  <w:noWrap w:val="0"/>
                  <w:vAlign w:val="center"/>
                </w:tcPr>
                <w:p w14:paraId="7F1D50CB">
                  <w:pPr>
                    <w:adjustRightInd w:val="0"/>
                    <w:snapToGrid w:val="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1"/>
                      <w:szCs w:val="21"/>
                      <w:highlight w:val="none"/>
                      <w:lang w:val="en-US" w:eastAsia="zh-CN"/>
                    </w:rPr>
                    <w:t>44</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0837357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54.0</w:t>
                  </w:r>
                </w:p>
              </w:tc>
              <w:tc>
                <w:tcPr>
                  <w:tcW w:w="494" w:type="pct"/>
                  <w:tcBorders>
                    <w:top w:val="single" w:color="auto" w:sz="4" w:space="0"/>
                    <w:left w:val="single" w:color="auto" w:sz="4" w:space="0"/>
                    <w:bottom w:val="single" w:color="auto" w:sz="4" w:space="0"/>
                    <w:right w:val="single" w:color="auto" w:sz="4" w:space="0"/>
                  </w:tcBorders>
                  <w:noWrap w:val="0"/>
                  <w:vAlign w:val="center"/>
                </w:tcPr>
                <w:p w14:paraId="1DBC92E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44.4</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1ED9999E">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60.0</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72DABF64">
                  <w:pPr>
                    <w:pStyle w:val="56"/>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50.0</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7B156FDB">
                  <w:pPr>
                    <w:pStyle w:val="5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是</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03CF9C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是</w:t>
                  </w:r>
                </w:p>
              </w:tc>
            </w:tr>
            <w:tr w14:paraId="22EE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14:paraId="6FC63B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602" w:type="pct"/>
                  <w:tcBorders>
                    <w:top w:val="single" w:color="auto" w:sz="4" w:space="0"/>
                    <w:left w:val="single" w:color="auto" w:sz="4" w:space="0"/>
                    <w:bottom w:val="single" w:color="auto" w:sz="4" w:space="0"/>
                    <w:right w:val="single" w:color="auto" w:sz="4" w:space="0"/>
                  </w:tcBorders>
                  <w:noWrap w:val="0"/>
                  <w:vAlign w:val="center"/>
                </w:tcPr>
                <w:p w14:paraId="49953A3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sz w:val="20"/>
                      <w:szCs w:val="20"/>
                      <w:highlight w:val="none"/>
                      <w:u w:val="none"/>
                      <w:lang w:val="en-US" w:eastAsia="zh-CN"/>
                    </w:rPr>
                  </w:pPr>
                  <w:r>
                    <w:rPr>
                      <w:rFonts w:hint="default" w:ascii="Times New Roman" w:hAnsi="Times New Roman" w:cs="Times New Roman"/>
                      <w:color w:val="auto"/>
                      <w:kern w:val="2"/>
                      <w:sz w:val="21"/>
                      <w:szCs w:val="21"/>
                      <w:highlight w:val="none"/>
                      <w:lang w:val="en-US" w:eastAsia="zh-CN"/>
                    </w:rPr>
                    <w:t>6</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30F015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highlight w:val="none"/>
                    </w:rPr>
                    <w:t>30.3</w:t>
                  </w:r>
                </w:p>
              </w:tc>
              <w:tc>
                <w:tcPr>
                  <w:tcW w:w="419" w:type="pct"/>
                  <w:tcBorders>
                    <w:top w:val="single" w:color="auto" w:sz="4" w:space="0"/>
                    <w:left w:val="single" w:color="auto" w:sz="4" w:space="0"/>
                    <w:bottom w:val="single" w:color="auto" w:sz="4" w:space="0"/>
                    <w:right w:val="single" w:color="auto" w:sz="4" w:space="0"/>
                  </w:tcBorders>
                  <w:noWrap w:val="0"/>
                  <w:vAlign w:val="center"/>
                </w:tcPr>
                <w:p w14:paraId="007CA236">
                  <w:pPr>
                    <w:adjustRightInd w:val="0"/>
                    <w:snapToGrid w:val="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427" w:type="pct"/>
                  <w:tcBorders>
                    <w:top w:val="single" w:color="auto" w:sz="4" w:space="0"/>
                    <w:left w:val="single" w:color="auto" w:sz="4" w:space="0"/>
                    <w:bottom w:val="single" w:color="auto" w:sz="4" w:space="0"/>
                    <w:right w:val="single" w:color="auto" w:sz="4" w:space="0"/>
                  </w:tcBorders>
                  <w:noWrap w:val="0"/>
                  <w:vAlign w:val="center"/>
                </w:tcPr>
                <w:p w14:paraId="517CAF5E">
                  <w:pPr>
                    <w:adjustRightInd w:val="0"/>
                    <w:snapToGrid w:val="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1"/>
                      <w:szCs w:val="21"/>
                      <w:highlight w:val="none"/>
                      <w:lang w:val="en-US" w:eastAsia="zh-CN"/>
                    </w:rPr>
                    <w:t>44</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3A39D3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54.0</w:t>
                  </w:r>
                </w:p>
              </w:tc>
              <w:tc>
                <w:tcPr>
                  <w:tcW w:w="494" w:type="pct"/>
                  <w:tcBorders>
                    <w:top w:val="single" w:color="auto" w:sz="4" w:space="0"/>
                    <w:left w:val="single" w:color="auto" w:sz="4" w:space="0"/>
                    <w:bottom w:val="single" w:color="auto" w:sz="4" w:space="0"/>
                    <w:right w:val="single" w:color="auto" w:sz="4" w:space="0"/>
                  </w:tcBorders>
                  <w:noWrap w:val="0"/>
                  <w:vAlign w:val="center"/>
                </w:tcPr>
                <w:p w14:paraId="3549F0B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37E0A168">
                  <w:pPr>
                    <w:pStyle w:val="5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60.0</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587291C7">
                  <w:pPr>
                    <w:pStyle w:val="5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50.0</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3A1D63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是</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02F6EC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是</w:t>
                  </w:r>
                </w:p>
              </w:tc>
            </w:tr>
            <w:tr w14:paraId="50CF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14:paraId="54FBE9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602" w:type="pct"/>
                  <w:tcBorders>
                    <w:top w:val="single" w:color="auto" w:sz="4" w:space="0"/>
                    <w:left w:val="single" w:color="auto" w:sz="4" w:space="0"/>
                    <w:bottom w:val="single" w:color="auto" w:sz="4" w:space="0"/>
                    <w:right w:val="single" w:color="auto" w:sz="4" w:space="0"/>
                  </w:tcBorders>
                  <w:noWrap w:val="0"/>
                  <w:vAlign w:val="center"/>
                </w:tcPr>
                <w:p w14:paraId="35B1636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sz w:val="20"/>
                      <w:szCs w:val="20"/>
                      <w:highlight w:val="none"/>
                      <w:u w:val="none"/>
                      <w:lang w:val="en-US" w:eastAsia="zh-CN"/>
                    </w:rPr>
                  </w:pPr>
                  <w:r>
                    <w:rPr>
                      <w:rFonts w:hint="default" w:ascii="Times New Roman" w:hAnsi="Times New Roman" w:cs="Times New Roman"/>
                      <w:color w:val="auto"/>
                      <w:kern w:val="2"/>
                      <w:sz w:val="21"/>
                      <w:szCs w:val="21"/>
                      <w:highlight w:val="none"/>
                      <w:lang w:val="en-US" w:eastAsia="zh-CN"/>
                    </w:rPr>
                    <w:t>34</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47811C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6</w:t>
                  </w:r>
                </w:p>
              </w:tc>
              <w:tc>
                <w:tcPr>
                  <w:tcW w:w="419" w:type="pct"/>
                  <w:tcBorders>
                    <w:top w:val="single" w:color="auto" w:sz="4" w:space="0"/>
                    <w:left w:val="single" w:color="auto" w:sz="4" w:space="0"/>
                    <w:bottom w:val="single" w:color="auto" w:sz="4" w:space="0"/>
                    <w:right w:val="single" w:color="auto" w:sz="4" w:space="0"/>
                  </w:tcBorders>
                  <w:noWrap w:val="0"/>
                  <w:vAlign w:val="center"/>
                </w:tcPr>
                <w:p w14:paraId="4C5C0ACA">
                  <w:pPr>
                    <w:adjustRightInd w:val="0"/>
                    <w:snapToGrid w:val="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427" w:type="pct"/>
                  <w:tcBorders>
                    <w:top w:val="single" w:color="auto" w:sz="4" w:space="0"/>
                    <w:left w:val="single" w:color="auto" w:sz="4" w:space="0"/>
                    <w:bottom w:val="single" w:color="auto" w:sz="4" w:space="0"/>
                    <w:right w:val="single" w:color="auto" w:sz="4" w:space="0"/>
                  </w:tcBorders>
                  <w:noWrap w:val="0"/>
                  <w:vAlign w:val="center"/>
                </w:tcPr>
                <w:p w14:paraId="11DC864B">
                  <w:pPr>
                    <w:adjustRightInd w:val="0"/>
                    <w:snapToGrid w:val="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1"/>
                      <w:szCs w:val="21"/>
                      <w:highlight w:val="none"/>
                      <w:lang w:val="en-US" w:eastAsia="zh-CN"/>
                    </w:rPr>
                    <w:t>44</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6E1414E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54.3</w:t>
                  </w:r>
                </w:p>
              </w:tc>
              <w:tc>
                <w:tcPr>
                  <w:tcW w:w="494" w:type="pct"/>
                  <w:tcBorders>
                    <w:top w:val="single" w:color="auto" w:sz="4" w:space="0"/>
                    <w:left w:val="single" w:color="auto" w:sz="4" w:space="0"/>
                    <w:bottom w:val="single" w:color="auto" w:sz="4" w:space="0"/>
                    <w:right w:val="single" w:color="auto" w:sz="4" w:space="0"/>
                  </w:tcBorders>
                  <w:noWrap w:val="0"/>
                  <w:vAlign w:val="center"/>
                </w:tcPr>
                <w:p w14:paraId="1CE267D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46.4</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5A4F6DE0">
                  <w:pPr>
                    <w:pStyle w:val="5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60.0</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23585EDB">
                  <w:pPr>
                    <w:pStyle w:val="5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50.0</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390D3D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是</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4230CF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color w:val="auto"/>
                      <w:sz w:val="20"/>
                      <w:szCs w:val="20"/>
                      <w:highlight w:val="none"/>
                      <w:lang w:val="en-US" w:eastAsia="zh-CN"/>
                    </w:rPr>
                    <w:t>是</w:t>
                  </w:r>
                </w:p>
              </w:tc>
            </w:tr>
            <w:tr w14:paraId="2594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23" w:type="pct"/>
                  <w:tcBorders>
                    <w:top w:val="single" w:color="auto" w:sz="4" w:space="0"/>
                    <w:left w:val="single" w:color="auto" w:sz="4" w:space="0"/>
                    <w:bottom w:val="single" w:color="auto" w:sz="4" w:space="0"/>
                    <w:right w:val="single" w:color="auto" w:sz="4" w:space="0"/>
                  </w:tcBorders>
                  <w:noWrap w:val="0"/>
                  <w:vAlign w:val="center"/>
                </w:tcPr>
                <w:p w14:paraId="0F255A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w:t>
                  </w:r>
                </w:p>
              </w:tc>
              <w:tc>
                <w:tcPr>
                  <w:tcW w:w="602" w:type="pct"/>
                  <w:tcBorders>
                    <w:top w:val="single" w:color="auto" w:sz="4" w:space="0"/>
                    <w:left w:val="single" w:color="auto" w:sz="4" w:space="0"/>
                    <w:bottom w:val="single" w:color="auto" w:sz="4" w:space="0"/>
                    <w:right w:val="single" w:color="auto" w:sz="4" w:space="0"/>
                  </w:tcBorders>
                  <w:noWrap w:val="0"/>
                  <w:vAlign w:val="center"/>
                </w:tcPr>
                <w:p w14:paraId="3D7C699E">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sz w:val="20"/>
                      <w:szCs w:val="20"/>
                      <w:highlight w:val="none"/>
                      <w:u w:val="none"/>
                      <w:lang w:val="en-US" w:eastAsia="zh-CN"/>
                    </w:rPr>
                  </w:pPr>
                  <w:r>
                    <w:rPr>
                      <w:rFonts w:hint="default" w:ascii="Times New Roman" w:hAnsi="Times New Roman" w:cs="Times New Roman"/>
                      <w:color w:val="auto"/>
                      <w:kern w:val="2"/>
                      <w:sz w:val="21"/>
                      <w:szCs w:val="21"/>
                      <w:highlight w:val="none"/>
                      <w:lang w:val="en-US" w:eastAsia="zh-CN"/>
                    </w:rPr>
                    <w:t>19</w:t>
                  </w:r>
                </w:p>
              </w:tc>
              <w:tc>
                <w:tcPr>
                  <w:tcW w:w="512" w:type="pct"/>
                  <w:tcBorders>
                    <w:top w:val="single" w:color="auto" w:sz="4" w:space="0"/>
                    <w:left w:val="single" w:color="auto" w:sz="4" w:space="0"/>
                    <w:bottom w:val="single" w:color="auto" w:sz="4" w:space="0"/>
                    <w:right w:val="single" w:color="auto" w:sz="4" w:space="0"/>
                  </w:tcBorders>
                  <w:noWrap w:val="0"/>
                  <w:vAlign w:val="center"/>
                </w:tcPr>
                <w:p w14:paraId="7289B8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highlight w:val="none"/>
                    </w:rPr>
                    <w:t>32.3</w:t>
                  </w:r>
                </w:p>
              </w:tc>
              <w:tc>
                <w:tcPr>
                  <w:tcW w:w="419" w:type="pct"/>
                  <w:tcBorders>
                    <w:top w:val="single" w:color="auto" w:sz="4" w:space="0"/>
                    <w:left w:val="single" w:color="auto" w:sz="4" w:space="0"/>
                    <w:bottom w:val="single" w:color="auto" w:sz="4" w:space="0"/>
                    <w:right w:val="single" w:color="auto" w:sz="4" w:space="0"/>
                  </w:tcBorders>
                  <w:noWrap w:val="0"/>
                  <w:vAlign w:val="center"/>
                </w:tcPr>
                <w:p w14:paraId="1DE78A65">
                  <w:pPr>
                    <w:adjustRightInd w:val="0"/>
                    <w:snapToGrid w:val="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427" w:type="pct"/>
                  <w:tcBorders>
                    <w:top w:val="single" w:color="auto" w:sz="4" w:space="0"/>
                    <w:left w:val="single" w:color="auto" w:sz="4" w:space="0"/>
                    <w:bottom w:val="single" w:color="auto" w:sz="4" w:space="0"/>
                    <w:right w:val="single" w:color="auto" w:sz="4" w:space="0"/>
                  </w:tcBorders>
                  <w:noWrap w:val="0"/>
                  <w:vAlign w:val="center"/>
                </w:tcPr>
                <w:p w14:paraId="239DDCBB">
                  <w:pPr>
                    <w:adjustRightInd w:val="0"/>
                    <w:snapToGrid w:val="0"/>
                    <w:jc w:val="center"/>
                    <w:rPr>
                      <w:rFonts w:hint="default" w:ascii="Times New Roman" w:hAnsi="Times New Roman" w:eastAsia="宋体" w:cs="Times New Roman"/>
                      <w:color w:val="auto"/>
                      <w:sz w:val="20"/>
                      <w:szCs w:val="20"/>
                      <w:highlight w:val="none"/>
                      <w:lang w:val="en-US" w:eastAsia="zh-CN"/>
                    </w:rPr>
                  </w:pPr>
                  <w:r>
                    <w:rPr>
                      <w:rFonts w:hint="eastAsia" w:cs="Times New Roman"/>
                      <w:color w:val="auto"/>
                      <w:sz w:val="21"/>
                      <w:szCs w:val="21"/>
                      <w:highlight w:val="none"/>
                      <w:lang w:val="en-US" w:eastAsia="zh-CN"/>
                    </w:rPr>
                    <w:t>44</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645BE88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54.0</w:t>
                  </w:r>
                </w:p>
              </w:tc>
              <w:tc>
                <w:tcPr>
                  <w:tcW w:w="494" w:type="pct"/>
                  <w:tcBorders>
                    <w:top w:val="single" w:color="auto" w:sz="4" w:space="0"/>
                    <w:left w:val="single" w:color="auto" w:sz="4" w:space="0"/>
                    <w:bottom w:val="single" w:color="auto" w:sz="4" w:space="0"/>
                    <w:right w:val="single" w:color="auto" w:sz="4" w:space="0"/>
                  </w:tcBorders>
                  <w:noWrap w:val="0"/>
                  <w:vAlign w:val="center"/>
                </w:tcPr>
                <w:p w14:paraId="34D592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44.3</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71E3A462">
                  <w:pPr>
                    <w:pStyle w:val="5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60.0</w:t>
                  </w:r>
                </w:p>
              </w:tc>
              <w:tc>
                <w:tcPr>
                  <w:tcW w:w="472" w:type="pct"/>
                  <w:tcBorders>
                    <w:top w:val="single" w:color="auto" w:sz="4" w:space="0"/>
                    <w:left w:val="single" w:color="auto" w:sz="4" w:space="0"/>
                    <w:bottom w:val="single" w:color="auto" w:sz="4" w:space="0"/>
                    <w:right w:val="single" w:color="auto" w:sz="4" w:space="0"/>
                  </w:tcBorders>
                  <w:noWrap w:val="0"/>
                  <w:vAlign w:val="center"/>
                </w:tcPr>
                <w:p w14:paraId="1408C4F9">
                  <w:pPr>
                    <w:pStyle w:val="5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50.0</w:t>
                  </w:r>
                </w:p>
              </w:tc>
              <w:tc>
                <w:tcPr>
                  <w:tcW w:w="343" w:type="pct"/>
                  <w:tcBorders>
                    <w:top w:val="single" w:color="auto" w:sz="4" w:space="0"/>
                    <w:left w:val="single" w:color="auto" w:sz="4" w:space="0"/>
                    <w:bottom w:val="single" w:color="auto" w:sz="4" w:space="0"/>
                    <w:right w:val="single" w:color="auto" w:sz="4" w:space="0"/>
                  </w:tcBorders>
                  <w:noWrap w:val="0"/>
                  <w:vAlign w:val="center"/>
                </w:tcPr>
                <w:p w14:paraId="04CE6E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是</w:t>
                  </w:r>
                </w:p>
              </w:tc>
              <w:tc>
                <w:tcPr>
                  <w:tcW w:w="347" w:type="pct"/>
                  <w:tcBorders>
                    <w:top w:val="single" w:color="auto" w:sz="4" w:space="0"/>
                    <w:left w:val="single" w:color="auto" w:sz="4" w:space="0"/>
                    <w:bottom w:val="single" w:color="auto" w:sz="4" w:space="0"/>
                    <w:right w:val="single" w:color="auto" w:sz="4" w:space="0"/>
                  </w:tcBorders>
                  <w:noWrap w:val="0"/>
                  <w:vAlign w:val="center"/>
                </w:tcPr>
                <w:p w14:paraId="38B2D3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color w:val="auto"/>
                      <w:sz w:val="20"/>
                      <w:szCs w:val="20"/>
                      <w:highlight w:val="none"/>
                      <w:lang w:val="en-US" w:eastAsia="zh-CN"/>
                    </w:rPr>
                    <w:t>是</w:t>
                  </w:r>
                </w:p>
              </w:tc>
            </w:tr>
          </w:tbl>
          <w:p w14:paraId="13D2748D">
            <w:pPr>
              <w:pStyle w:val="43"/>
              <w:keepNext w:val="0"/>
              <w:keepLines w:val="0"/>
              <w:pageBreakBefore w:val="0"/>
              <w:widowControl w:val="0"/>
              <w:kinsoku/>
              <w:wordWrap/>
              <w:overflowPunct/>
              <w:topLinePunct w:val="0"/>
              <w:autoSpaceDE/>
              <w:autoSpaceDN/>
              <w:bidi w:val="0"/>
              <w:adjustRightInd/>
              <w:snapToGrid w:val="0"/>
              <w:spacing w:before="157" w:beforeLines="50" w:line="240" w:lineRule="auto"/>
              <w:ind w:left="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3883025" cy="2694305"/>
                  <wp:effectExtent l="0" t="0" r="3175" b="1079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48"/>
                          <a:stretch>
                            <a:fillRect/>
                          </a:stretch>
                        </pic:blipFill>
                        <pic:spPr>
                          <a:xfrm>
                            <a:off x="0" y="0"/>
                            <a:ext cx="3883025" cy="2694305"/>
                          </a:xfrm>
                          <a:prstGeom prst="rect">
                            <a:avLst/>
                          </a:prstGeom>
                          <a:noFill/>
                          <a:ln>
                            <a:noFill/>
                          </a:ln>
                        </pic:spPr>
                      </pic:pic>
                    </a:graphicData>
                  </a:graphic>
                </wp:inline>
              </w:drawing>
            </w:r>
          </w:p>
          <w:p w14:paraId="4FEAB526">
            <w:pPr>
              <w:pStyle w:val="43"/>
              <w:ind w:left="0" w:leftChars="0" w:firstLine="0" w:firstLineChars="0"/>
              <w:jc w:val="center"/>
              <w:rPr>
                <w:rFonts w:hint="default" w:ascii="Times New Roman" w:hAnsi="Times New Roman" w:eastAsia="宋体" w:cs="Times New Roman"/>
                <w:b/>
                <w:bCs w:val="0"/>
                <w:color w:val="auto"/>
                <w:sz w:val="22"/>
                <w:szCs w:val="21"/>
                <w:highlight w:val="none"/>
                <w:lang w:val="en-US" w:eastAsia="zh-CN"/>
              </w:rPr>
            </w:pPr>
            <w:r>
              <w:rPr>
                <w:rFonts w:hint="default" w:ascii="Times New Roman" w:hAnsi="Times New Roman" w:eastAsia="宋体" w:cs="Times New Roman"/>
                <w:b/>
                <w:bCs w:val="0"/>
                <w:color w:val="auto"/>
                <w:sz w:val="22"/>
                <w:szCs w:val="21"/>
                <w:highlight w:val="none"/>
                <w:lang w:val="en-US" w:eastAsia="zh-CN"/>
              </w:rPr>
              <w:t>图4</w:t>
            </w:r>
            <w:r>
              <w:rPr>
                <w:rFonts w:hint="eastAsia" w:eastAsia="宋体" w:cs="Times New Roman"/>
                <w:b/>
                <w:bCs w:val="0"/>
                <w:color w:val="auto"/>
                <w:sz w:val="22"/>
                <w:szCs w:val="21"/>
                <w:highlight w:val="none"/>
                <w:lang w:val="en-US" w:eastAsia="zh-CN"/>
              </w:rPr>
              <w:t>.2</w:t>
            </w:r>
            <w:r>
              <w:rPr>
                <w:rFonts w:hint="default" w:ascii="Times New Roman" w:hAnsi="Times New Roman" w:eastAsia="宋体" w:cs="Times New Roman"/>
                <w:b/>
                <w:bCs w:val="0"/>
                <w:color w:val="auto"/>
                <w:sz w:val="22"/>
                <w:szCs w:val="21"/>
                <w:highlight w:val="none"/>
                <w:lang w:val="en-US" w:eastAsia="zh-CN"/>
              </w:rPr>
              <w:t>-1厂界噪声预测等值线图</w:t>
            </w:r>
          </w:p>
          <w:p w14:paraId="11E492F1">
            <w:pPr>
              <w:pStyle w:val="43"/>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val="en-US" w:eastAsia="zh-CN"/>
              </w:rPr>
              <w:t>根据表4.2-</w:t>
            </w:r>
            <w:r>
              <w:rPr>
                <w:rFonts w:hint="eastAsia" w:eastAsia="宋体" w:cs="Times New Roman"/>
                <w:color w:val="auto"/>
                <w:sz w:val="24"/>
                <w:szCs w:val="22"/>
                <w:highlight w:val="none"/>
                <w:lang w:val="en-US" w:eastAsia="zh-CN"/>
              </w:rPr>
              <w:t>14</w:t>
            </w:r>
            <w:r>
              <w:rPr>
                <w:rFonts w:hint="default" w:ascii="Times New Roman" w:hAnsi="Times New Roman" w:eastAsia="宋体" w:cs="Times New Roman"/>
                <w:color w:val="auto"/>
                <w:sz w:val="24"/>
                <w:szCs w:val="22"/>
                <w:highlight w:val="none"/>
                <w:lang w:val="en-US" w:eastAsia="zh-CN"/>
              </w:rPr>
              <w:t>和图4</w:t>
            </w:r>
            <w:r>
              <w:rPr>
                <w:rFonts w:hint="eastAsia"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rPr>
              <w:t>，</w:t>
            </w:r>
            <w:r>
              <w:rPr>
                <w:rFonts w:hint="eastAsia"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lang w:val="en-US" w:eastAsia="zh-CN"/>
              </w:rPr>
              <w:t>建成后厂界周边50m范围内声环境保护目标噪声预测值均满足</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2"/>
                <w:highlight w:val="none"/>
                <w:lang w:val="en-US" w:eastAsia="zh-CN"/>
              </w:rPr>
              <w:t>声环境质量标准</w:t>
            </w: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rPr>
              <w:t>类标准要求。</w:t>
            </w:r>
          </w:p>
          <w:p w14:paraId="44ABC076">
            <w:pPr>
              <w:pStyle w:val="55"/>
              <w:keepNext w:val="0"/>
              <w:keepLines w:val="0"/>
              <w:pageBreakBefore w:val="0"/>
              <w:widowControl w:val="0"/>
              <w:numPr>
                <w:ilvl w:val="3"/>
                <w:numId w:val="0"/>
              </w:numPr>
              <w:tabs>
                <w:tab w:val="clear" w:pos="255"/>
              </w:tabs>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eastAsia" w:eastAsia="新宋体" w:cs="Times New Roman"/>
                <w:b w:val="0"/>
                <w:i w:val="0"/>
                <w:color w:val="auto"/>
                <w:kern w:val="2"/>
                <w:sz w:val="24"/>
                <w:szCs w:val="24"/>
                <w:highlight w:val="none"/>
                <w:lang w:val="en-US" w:eastAsia="zh-CN" w:bidi="ar-SA"/>
              </w:rPr>
              <w:t>（6）</w:t>
            </w:r>
            <w:r>
              <w:rPr>
                <w:rFonts w:hint="default" w:ascii="Times New Roman" w:hAnsi="Times New Roman" w:cs="Times New Roman"/>
                <w:color w:val="auto"/>
                <w:sz w:val="24"/>
                <w:szCs w:val="24"/>
                <w:highlight w:val="none"/>
              </w:rPr>
              <w:t>进一步噪声防治措施</w:t>
            </w:r>
          </w:p>
          <w:p w14:paraId="6835EE64">
            <w:pPr>
              <w:pStyle w:val="43"/>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建设方拟采取安装减振垫、基础固定等措施减少对周围环境干扰，评价建议采取的噪声污染防治措施如下：</w:t>
            </w:r>
          </w:p>
          <w:p w14:paraId="503064F8">
            <w:pPr>
              <w:pStyle w:val="43"/>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1）在设备选型、订货时尽量选用性能先进、高效节能、低噪声的设备，要求设备生产厂家提供符合噪声允许标准的产品和消声减振的相关配件，同时加强对设备的维护管理，从源头上控制噪声的产生；</w:t>
            </w:r>
          </w:p>
          <w:p w14:paraId="03C85660">
            <w:pPr>
              <w:pStyle w:val="43"/>
              <w:rPr>
                <w:rFonts w:hint="default" w:ascii="Times New Roman" w:hAnsi="Times New Roman" w:eastAsia="宋体" w:cs="Times New Roman"/>
                <w:color w:val="auto"/>
                <w:sz w:val="24"/>
                <w:szCs w:val="22"/>
                <w:highlight w:val="none"/>
              </w:rPr>
            </w:pPr>
            <w:bookmarkStart w:id="6" w:name="7.2.5 废水排入东区污水处理厂可行性"/>
            <w:bookmarkEnd w:id="6"/>
            <w:r>
              <w:rPr>
                <w:rFonts w:hint="default"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rPr>
              <w:t>）合理布局，将产生噪声较大的设备集中布置在远离厂界的一侧，并将高噪声设备布置在厂房内；</w:t>
            </w:r>
          </w:p>
          <w:p w14:paraId="16D7BFFD">
            <w:pPr>
              <w:pStyle w:val="43"/>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lang w:val="en-US" w:eastAsia="zh-CN"/>
              </w:rPr>
              <w:t>3</w:t>
            </w:r>
            <w:r>
              <w:rPr>
                <w:rFonts w:hint="default" w:ascii="Times New Roman" w:hAnsi="Times New Roman" w:eastAsia="宋体" w:cs="Times New Roman"/>
                <w:color w:val="auto"/>
                <w:sz w:val="24"/>
                <w:szCs w:val="22"/>
                <w:highlight w:val="none"/>
              </w:rPr>
              <w:t>）项目设计、施工过程中泵体与供水管采用软接头连接，管道与墙体接触的地方采用弹性</w:t>
            </w:r>
            <w:r>
              <w:rPr>
                <w:rFonts w:hint="eastAsia" w:eastAsia="宋体" w:cs="Times New Roman"/>
                <w:color w:val="auto"/>
                <w:sz w:val="24"/>
                <w:szCs w:val="22"/>
                <w:highlight w:val="none"/>
                <w:lang w:eastAsia="zh-CN"/>
              </w:rPr>
              <w:t>支撑</w:t>
            </w:r>
            <w:r>
              <w:rPr>
                <w:rFonts w:hint="default" w:ascii="Times New Roman" w:hAnsi="Times New Roman" w:eastAsia="宋体" w:cs="Times New Roman"/>
                <w:color w:val="auto"/>
                <w:sz w:val="24"/>
                <w:szCs w:val="22"/>
                <w:highlight w:val="none"/>
              </w:rPr>
              <w:t>，穿墙管道安装弹性垫层，挖低水泥基础，主要噪声设备机座与基础使用</w:t>
            </w:r>
            <w:bookmarkStart w:id="7" w:name="符合性分析"/>
            <w:bookmarkEnd w:id="7"/>
            <w:r>
              <w:rPr>
                <w:rFonts w:hint="default" w:ascii="Times New Roman" w:hAnsi="Times New Roman" w:eastAsia="宋体" w:cs="Times New Roman"/>
                <w:color w:val="auto"/>
                <w:sz w:val="24"/>
                <w:szCs w:val="22"/>
                <w:highlight w:val="none"/>
              </w:rPr>
              <w:t>减振器连接等措施。</w:t>
            </w:r>
          </w:p>
          <w:p w14:paraId="325172B7">
            <w:pPr>
              <w:pStyle w:val="43"/>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上述噪声污染防治措施，在各企业采用多年，实践证明是成熟、可靠的，因而是可行的。</w:t>
            </w:r>
          </w:p>
          <w:p w14:paraId="63E2C8A7">
            <w:pPr>
              <w:pStyle w:val="43"/>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采取以上治理措施后，可以有效降低</w:t>
            </w:r>
            <w:r>
              <w:rPr>
                <w:rFonts w:hint="default" w:ascii="Times New Roman" w:hAnsi="Times New Roman" w:eastAsia="宋体" w:cs="Times New Roman"/>
                <w:color w:val="auto"/>
                <w:sz w:val="24"/>
                <w:szCs w:val="22"/>
                <w:highlight w:val="none"/>
                <w:lang w:val="en-US" w:eastAsia="zh-CN"/>
              </w:rPr>
              <w:t>噪声</w:t>
            </w:r>
            <w:r>
              <w:rPr>
                <w:rFonts w:hint="default" w:ascii="Times New Roman" w:hAnsi="Times New Roman" w:eastAsia="宋体" w:cs="Times New Roman"/>
                <w:color w:val="auto"/>
                <w:sz w:val="24"/>
                <w:szCs w:val="22"/>
                <w:highlight w:val="none"/>
              </w:rPr>
              <w:t>，</w:t>
            </w:r>
            <w:bookmarkStart w:id="8" w:name="符合"/>
            <w:bookmarkEnd w:id="8"/>
            <w:r>
              <w:rPr>
                <w:rFonts w:hint="eastAsia" w:eastAsia="宋体" w:cs="Times New Roman"/>
                <w:color w:val="auto"/>
                <w:sz w:val="24"/>
                <w:szCs w:val="22"/>
                <w:highlight w:val="none"/>
                <w:lang w:val="en-US" w:eastAsia="zh-CN"/>
              </w:rPr>
              <w:t>本项目</w:t>
            </w:r>
            <w:r>
              <w:rPr>
                <w:rFonts w:hint="default" w:ascii="Times New Roman" w:hAnsi="Times New Roman" w:eastAsia="宋体" w:cs="Times New Roman"/>
                <w:color w:val="auto"/>
                <w:sz w:val="24"/>
                <w:szCs w:val="22"/>
                <w:highlight w:val="none"/>
              </w:rPr>
              <w:t>厂界噪声能够满足《工业企业厂界环境噪声排放标准》中</w:t>
            </w:r>
            <w:r>
              <w:rPr>
                <w:rFonts w:hint="eastAsia" w:eastAsia="宋体" w:cs="Times New Roman"/>
                <w:color w:val="auto"/>
                <w:sz w:val="24"/>
                <w:szCs w:val="22"/>
                <w:highlight w:val="none"/>
                <w:lang w:val="en-US" w:eastAsia="zh-CN"/>
              </w:rPr>
              <w:t>相应</w:t>
            </w:r>
            <w:r>
              <w:rPr>
                <w:rFonts w:hint="default" w:ascii="Times New Roman" w:hAnsi="Times New Roman" w:eastAsia="宋体" w:cs="Times New Roman"/>
                <w:color w:val="auto"/>
                <w:sz w:val="24"/>
                <w:szCs w:val="22"/>
                <w:highlight w:val="none"/>
              </w:rPr>
              <w:t>标准的要求。</w:t>
            </w:r>
          </w:p>
          <w:p w14:paraId="02ABCB8F">
            <w:pPr>
              <w:pStyle w:val="55"/>
              <w:numPr>
                <w:ilvl w:val="3"/>
                <w:numId w:val="0"/>
              </w:numPr>
              <w:tabs>
                <w:tab w:val="clear" w:pos="255"/>
              </w:tabs>
              <w:ind w:left="0" w:leftChars="0" w:firstLine="0" w:firstLineChars="0"/>
              <w:jc w:val="left"/>
              <w:rPr>
                <w:rFonts w:hint="default" w:ascii="Times New Roman" w:hAnsi="Times New Roman" w:cs="Times New Roman"/>
                <w:color w:val="auto"/>
                <w:sz w:val="24"/>
                <w:szCs w:val="24"/>
                <w:highlight w:val="none"/>
              </w:rPr>
            </w:pPr>
            <w:r>
              <w:rPr>
                <w:rFonts w:hint="eastAsia" w:eastAsia="新宋体" w:cs="Times New Roman"/>
                <w:b w:val="0"/>
                <w:i w:val="0"/>
                <w:color w:val="auto"/>
                <w:kern w:val="2"/>
                <w:sz w:val="24"/>
                <w:szCs w:val="24"/>
                <w:highlight w:val="none"/>
                <w:lang w:val="en-US" w:eastAsia="zh-CN" w:bidi="ar-SA"/>
              </w:rPr>
              <w:t>（7）</w:t>
            </w:r>
            <w:r>
              <w:rPr>
                <w:rFonts w:hint="default" w:ascii="Times New Roman" w:hAnsi="Times New Roman" w:cs="Times New Roman"/>
                <w:color w:val="auto"/>
                <w:sz w:val="24"/>
                <w:szCs w:val="24"/>
                <w:highlight w:val="none"/>
              </w:rPr>
              <w:t>噪声监测计划</w:t>
            </w:r>
          </w:p>
          <w:p w14:paraId="7F1E590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color w:val="auto"/>
                <w:sz w:val="24"/>
                <w:szCs w:val="22"/>
                <w:highlight w:val="none"/>
              </w:rPr>
            </w:pPr>
            <w:r>
              <w:rPr>
                <w:rFonts w:hint="default" w:ascii="Times New Roman" w:hAnsi="Times New Roman" w:eastAsia="宋体" w:cs="Times New Roman"/>
                <w:b w:val="0"/>
                <w:bCs/>
                <w:color w:val="auto"/>
                <w:kern w:val="2"/>
                <w:sz w:val="24"/>
                <w:szCs w:val="22"/>
                <w:highlight w:val="none"/>
                <w:lang w:val="en-US" w:eastAsia="zh-CN" w:bidi="ar-SA"/>
              </w:rPr>
              <w:t>根据《</w:t>
            </w:r>
            <w:r>
              <w:rPr>
                <w:rFonts w:hint="eastAsia" w:ascii="Times New Roman" w:hAnsi="Times New Roman" w:eastAsia="宋体" w:cs="Times New Roman"/>
                <w:b w:val="0"/>
                <w:bCs/>
                <w:color w:val="auto"/>
                <w:kern w:val="2"/>
                <w:sz w:val="24"/>
                <w:szCs w:val="22"/>
                <w:highlight w:val="none"/>
                <w:lang w:val="en-US" w:eastAsia="zh-CN" w:bidi="ar-SA"/>
              </w:rPr>
              <w:t>排污许可证申请与核发技术规范工业噪声</w:t>
            </w:r>
            <w:r>
              <w:rPr>
                <w:rFonts w:hint="default" w:ascii="Times New Roman" w:hAnsi="Times New Roman" w:eastAsia="宋体" w:cs="Times New Roman"/>
                <w:b w:val="0"/>
                <w:bCs/>
                <w:color w:val="auto"/>
                <w:kern w:val="2"/>
                <w:sz w:val="24"/>
                <w:szCs w:val="22"/>
                <w:highlight w:val="none"/>
                <w:lang w:val="en-US" w:eastAsia="zh-CN" w:bidi="ar-SA"/>
              </w:rPr>
              <w:t>》（</w:t>
            </w:r>
            <w:r>
              <w:rPr>
                <w:rFonts w:hint="eastAsia" w:ascii="Times New Roman" w:hAnsi="Times New Roman" w:eastAsia="宋体" w:cs="Times New Roman"/>
                <w:b w:val="0"/>
                <w:bCs/>
                <w:color w:val="auto"/>
                <w:kern w:val="2"/>
                <w:sz w:val="24"/>
                <w:szCs w:val="22"/>
                <w:highlight w:val="none"/>
                <w:lang w:val="en-US" w:eastAsia="zh-CN" w:bidi="ar-SA"/>
              </w:rPr>
              <w:t>HJ1301—2023</w:t>
            </w:r>
            <w:r>
              <w:rPr>
                <w:rFonts w:hint="default" w:ascii="Times New Roman" w:hAnsi="Times New Roman" w:eastAsia="宋体" w:cs="Times New Roman"/>
                <w:b w:val="0"/>
                <w:bCs/>
                <w:color w:val="auto"/>
                <w:sz w:val="24"/>
                <w:szCs w:val="22"/>
                <w:highlight w:val="none"/>
              </w:rPr>
              <w:t>），</w:t>
            </w:r>
            <w:r>
              <w:rPr>
                <w:rFonts w:hint="eastAsia" w:cs="Times New Roman"/>
                <w:b w:val="0"/>
                <w:bCs/>
                <w:color w:val="auto"/>
                <w:sz w:val="24"/>
                <w:szCs w:val="22"/>
                <w:highlight w:val="none"/>
                <w:lang w:val="en-US" w:eastAsia="zh-CN"/>
              </w:rPr>
              <w:t>本项目</w:t>
            </w:r>
            <w:r>
              <w:rPr>
                <w:rFonts w:hint="default" w:ascii="Times New Roman" w:hAnsi="Times New Roman" w:eastAsia="宋体" w:cs="Times New Roman"/>
                <w:b w:val="0"/>
                <w:bCs/>
                <w:color w:val="auto"/>
                <w:sz w:val="24"/>
                <w:szCs w:val="22"/>
                <w:highlight w:val="none"/>
              </w:rPr>
              <w:t>噪声监测计划见表4.2-</w:t>
            </w:r>
            <w:r>
              <w:rPr>
                <w:rFonts w:hint="default" w:ascii="Times New Roman" w:hAnsi="Times New Roman" w:eastAsia="宋体" w:cs="Times New Roman"/>
                <w:b w:val="0"/>
                <w:bCs/>
                <w:color w:val="auto"/>
                <w:sz w:val="24"/>
                <w:szCs w:val="22"/>
                <w:highlight w:val="none"/>
                <w:lang w:val="en-US" w:eastAsia="zh-CN"/>
              </w:rPr>
              <w:t>1</w:t>
            </w:r>
            <w:r>
              <w:rPr>
                <w:rFonts w:hint="eastAsia" w:cs="Times New Roman"/>
                <w:b w:val="0"/>
                <w:bCs/>
                <w:color w:val="auto"/>
                <w:sz w:val="24"/>
                <w:szCs w:val="22"/>
                <w:highlight w:val="none"/>
                <w:lang w:val="en-US" w:eastAsia="zh-CN"/>
              </w:rPr>
              <w:t>5</w:t>
            </w:r>
            <w:r>
              <w:rPr>
                <w:rFonts w:hint="default" w:ascii="Times New Roman" w:hAnsi="Times New Roman" w:eastAsia="宋体" w:cs="Times New Roman"/>
                <w:b w:val="0"/>
                <w:bCs/>
                <w:color w:val="auto"/>
                <w:sz w:val="24"/>
                <w:szCs w:val="22"/>
                <w:highlight w:val="none"/>
              </w:rPr>
              <w:t>。</w:t>
            </w:r>
          </w:p>
          <w:p w14:paraId="39849AF5">
            <w:pPr>
              <w:pStyle w:val="47"/>
              <w:spacing w:before="12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表4.2-</w:t>
            </w:r>
            <w:r>
              <w:rPr>
                <w:rFonts w:hint="default" w:ascii="Times New Roman" w:hAnsi="Times New Roman" w:eastAsia="宋体" w:cs="Times New Roman"/>
                <w:color w:val="auto"/>
                <w:highlight w:val="none"/>
                <w:lang w:val="en-US" w:eastAsia="zh-CN"/>
              </w:rPr>
              <w:t>1</w:t>
            </w:r>
            <w:r>
              <w:rPr>
                <w:rFonts w:hint="eastAsia" w:eastAsia="宋体" w:cs="Times New Roman"/>
                <w:color w:val="auto"/>
                <w:highlight w:val="none"/>
                <w:lang w:val="en-US" w:eastAsia="zh-CN"/>
              </w:rPr>
              <w:t>5本项目</w:t>
            </w:r>
            <w:r>
              <w:rPr>
                <w:rFonts w:hint="default" w:ascii="Times New Roman" w:hAnsi="Times New Roman" w:eastAsia="宋体" w:cs="Times New Roman"/>
                <w:color w:val="auto"/>
                <w:highlight w:val="none"/>
              </w:rPr>
              <w:t>噪声监测计划表</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17"/>
              <w:gridCol w:w="2409"/>
              <w:gridCol w:w="2745"/>
              <w:gridCol w:w="1426"/>
            </w:tblGrid>
            <w:tr w14:paraId="785E8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52" w:type="dxa"/>
                  <w:noWrap w:val="0"/>
                  <w:vAlign w:val="center"/>
                </w:tcPr>
                <w:p w14:paraId="6BE303B6">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监测时段</w:t>
                  </w:r>
                </w:p>
              </w:tc>
              <w:tc>
                <w:tcPr>
                  <w:tcW w:w="2679" w:type="dxa"/>
                  <w:noWrap w:val="0"/>
                  <w:vAlign w:val="center"/>
                </w:tcPr>
                <w:p w14:paraId="30302852">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3056" w:type="dxa"/>
                  <w:noWrap w:val="0"/>
                  <w:vAlign w:val="center"/>
                </w:tcPr>
                <w:p w14:paraId="024D289A">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1575" w:type="dxa"/>
                  <w:noWrap w:val="0"/>
                  <w:vAlign w:val="center"/>
                </w:tcPr>
                <w:p w14:paraId="7BF4B083">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监测频率</w:t>
                  </w:r>
                </w:p>
              </w:tc>
            </w:tr>
            <w:tr w14:paraId="63EFE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452" w:type="dxa"/>
                  <w:noWrap w:val="0"/>
                  <w:vAlign w:val="center"/>
                </w:tcPr>
                <w:p w14:paraId="482CAF4C">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w:t>
                  </w:r>
                </w:p>
              </w:tc>
              <w:tc>
                <w:tcPr>
                  <w:tcW w:w="2679" w:type="dxa"/>
                  <w:noWrap w:val="0"/>
                  <w:vAlign w:val="center"/>
                </w:tcPr>
                <w:p w14:paraId="192E5DA7">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四周厂界</w:t>
                  </w:r>
                </w:p>
              </w:tc>
              <w:tc>
                <w:tcPr>
                  <w:tcW w:w="3056" w:type="dxa"/>
                  <w:noWrap w:val="0"/>
                  <w:vAlign w:val="center"/>
                </w:tcPr>
                <w:p w14:paraId="60993893">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昼夜等效A声级</w:t>
                  </w:r>
                </w:p>
              </w:tc>
              <w:tc>
                <w:tcPr>
                  <w:tcW w:w="1575" w:type="dxa"/>
                  <w:noWrap w:val="0"/>
                  <w:vAlign w:val="center"/>
                </w:tcPr>
                <w:p w14:paraId="4B27D43A">
                  <w:pPr>
                    <w:pStyle w:val="44"/>
                    <w:rPr>
                      <w:rFonts w:hint="default" w:ascii="Times New Roman" w:hAnsi="Times New Roman" w:cs="Times New Roman"/>
                      <w:color w:val="auto"/>
                      <w:highlight w:val="none"/>
                    </w:rPr>
                  </w:pPr>
                  <w:r>
                    <w:rPr>
                      <w:rFonts w:hint="default" w:ascii="Times New Roman" w:hAnsi="Times New Roman" w:cs="Times New Roman"/>
                      <w:color w:val="auto"/>
                      <w:highlight w:val="none"/>
                    </w:rPr>
                    <w:t>1次/季</w:t>
                  </w:r>
                </w:p>
              </w:tc>
            </w:tr>
          </w:tbl>
          <w:p w14:paraId="26B3910C">
            <w:pPr>
              <w:pStyle w:val="24"/>
              <w:keepNext w:val="0"/>
              <w:keepLines w:val="0"/>
              <w:pageBreakBefore w:val="0"/>
              <w:widowControl w:val="0"/>
              <w:kinsoku/>
              <w:wordWrap/>
              <w:overflowPunct w:val="0"/>
              <w:topLinePunct/>
              <w:autoSpaceDE/>
              <w:autoSpaceDN/>
              <w:bidi w:val="0"/>
              <w:spacing w:line="460" w:lineRule="exact"/>
              <w:ind w:left="0" w:right="0" w:firstLine="470" w:firstLineChars="200"/>
              <w:jc w:val="both"/>
              <w:textAlignment w:val="auto"/>
              <w:rPr>
                <w:rFonts w:hint="default" w:ascii="Times New Roman" w:hAnsi="Times New Roman" w:eastAsia="宋体" w:cs="Times New Roman"/>
                <w:b/>
                <w:bCs/>
                <w:color w:val="auto"/>
                <w:spacing w:val="-3"/>
                <w:sz w:val="24"/>
                <w:szCs w:val="24"/>
                <w:highlight w:val="none"/>
              </w:rPr>
            </w:pPr>
            <w:r>
              <w:rPr>
                <w:rFonts w:hint="default" w:ascii="Times New Roman" w:hAnsi="Times New Roman" w:eastAsia="宋体" w:cs="Times New Roman"/>
                <w:b/>
                <w:bCs/>
                <w:color w:val="auto"/>
                <w:spacing w:val="-3"/>
                <w:sz w:val="24"/>
                <w:szCs w:val="24"/>
                <w:highlight w:val="none"/>
              </w:rPr>
              <w:t>4</w:t>
            </w:r>
            <w:r>
              <w:rPr>
                <w:rFonts w:hint="default" w:ascii="Times New Roman" w:hAnsi="Times New Roman" w:eastAsia="宋体" w:cs="Times New Roman"/>
                <w:b/>
                <w:bCs/>
                <w:color w:val="auto"/>
                <w:spacing w:val="-3"/>
                <w:sz w:val="24"/>
                <w:szCs w:val="24"/>
                <w:highlight w:val="none"/>
                <w:lang w:val="en-US" w:eastAsia="zh-CN"/>
              </w:rPr>
              <w:t>.2.4</w:t>
            </w:r>
            <w:r>
              <w:rPr>
                <w:rFonts w:hint="default" w:ascii="Times New Roman" w:hAnsi="Times New Roman" w:eastAsia="宋体" w:cs="Times New Roman"/>
                <w:b/>
                <w:bCs/>
                <w:color w:val="auto"/>
                <w:spacing w:val="-3"/>
                <w:sz w:val="24"/>
                <w:szCs w:val="24"/>
                <w:highlight w:val="none"/>
                <w:lang w:eastAsia="zh-CN"/>
              </w:rPr>
              <w:t>.</w:t>
            </w:r>
            <w:r>
              <w:rPr>
                <w:rFonts w:hint="default" w:ascii="Times New Roman" w:hAnsi="Times New Roman" w:eastAsia="宋体" w:cs="Times New Roman"/>
                <w:b/>
                <w:bCs/>
                <w:color w:val="auto"/>
                <w:spacing w:val="-3"/>
                <w:sz w:val="24"/>
                <w:szCs w:val="24"/>
                <w:highlight w:val="none"/>
              </w:rPr>
              <w:t>固废环境影响分析</w:t>
            </w:r>
          </w:p>
          <w:p w14:paraId="0D2A083E">
            <w:pPr>
              <w:pStyle w:val="24"/>
              <w:keepNext w:val="0"/>
              <w:keepLines w:val="0"/>
              <w:pageBreakBefore w:val="0"/>
              <w:widowControl w:val="0"/>
              <w:kinsoku/>
              <w:wordWrap/>
              <w:overflowPunct w:val="0"/>
              <w:topLinePunct/>
              <w:autoSpaceDE/>
              <w:autoSpaceDN/>
              <w:bidi w:val="0"/>
              <w:spacing w:line="460" w:lineRule="exact"/>
              <w:ind w:left="0" w:right="0" w:firstLine="46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lang w:val="en-US" w:eastAsia="zh-CN"/>
              </w:rPr>
              <w:t>1</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固体废物产生</w:t>
            </w:r>
            <w:r>
              <w:rPr>
                <w:rFonts w:hint="default" w:ascii="Times New Roman" w:hAnsi="Times New Roman" w:eastAsia="宋体" w:cs="Times New Roman"/>
                <w:color w:val="auto"/>
                <w:spacing w:val="-3"/>
                <w:sz w:val="24"/>
                <w:szCs w:val="24"/>
                <w:highlight w:val="none"/>
                <w:lang w:val="en-US" w:eastAsia="zh-CN"/>
              </w:rPr>
              <w:t>情况</w:t>
            </w:r>
          </w:p>
          <w:p w14:paraId="58A72134">
            <w:pPr>
              <w:keepNext w:val="0"/>
              <w:keepLines w:val="0"/>
              <w:pageBreakBefore w:val="0"/>
              <w:widowControl w:val="0"/>
              <w:suppressLineNumbers w:val="0"/>
              <w:kinsoku/>
              <w:wordWrap/>
              <w:overflowPunct w:val="0"/>
              <w:topLinePunct/>
              <w:autoSpaceDE/>
              <w:autoSpaceDN/>
              <w:bidi w:val="0"/>
              <w:adjustRightInd w:val="0"/>
              <w:snapToGrid w:val="0"/>
              <w:spacing w:beforeAutospacing="0" w:after="0" w:afterAutospacing="0" w:line="460" w:lineRule="exact"/>
              <w:ind w:left="0" w:leftChars="0" w:right="0" w:firstLine="468" w:firstLineChars="200"/>
              <w:textAlignment w:val="auto"/>
              <w:rPr>
                <w:rFonts w:hint="default" w:ascii="Times New Roman" w:hAnsi="Times New Roman" w:eastAsia="宋体" w:cs="Times New Roman"/>
                <w:color w:val="auto"/>
                <w:spacing w:val="-3"/>
                <w:sz w:val="24"/>
                <w:szCs w:val="24"/>
                <w:highlight w:val="none"/>
              </w:rPr>
            </w:pPr>
            <w:r>
              <w:rPr>
                <w:rFonts w:hint="eastAsia" w:cs="Times New Roman"/>
                <w:color w:val="auto"/>
                <w:spacing w:val="-3"/>
                <w:sz w:val="24"/>
                <w:szCs w:val="24"/>
                <w:highlight w:val="none"/>
                <w:lang w:eastAsia="zh-CN"/>
              </w:rPr>
              <w:t>本项目</w:t>
            </w:r>
            <w:r>
              <w:rPr>
                <w:rFonts w:hint="default" w:ascii="Times New Roman" w:hAnsi="Times New Roman" w:eastAsia="宋体" w:cs="Times New Roman"/>
                <w:color w:val="auto"/>
                <w:spacing w:val="-3"/>
                <w:sz w:val="24"/>
                <w:szCs w:val="24"/>
                <w:highlight w:val="none"/>
                <w:lang w:val="en-US" w:eastAsia="zh-CN"/>
              </w:rPr>
              <w:t>运营期</w:t>
            </w:r>
            <w:r>
              <w:rPr>
                <w:rFonts w:hint="default" w:ascii="Times New Roman" w:hAnsi="Times New Roman" w:cs="Times New Roman"/>
                <w:color w:val="auto"/>
                <w:spacing w:val="-3"/>
                <w:sz w:val="24"/>
                <w:szCs w:val="24"/>
                <w:highlight w:val="none"/>
                <w:lang w:val="en-US" w:eastAsia="zh-CN"/>
              </w:rPr>
              <w:t>不新增劳动定员，无新增生活垃圾。</w:t>
            </w:r>
            <w:r>
              <w:rPr>
                <w:rFonts w:hint="default" w:ascii="Times New Roman" w:hAnsi="Times New Roman" w:eastAsia="宋体" w:cs="Times New Roman"/>
                <w:color w:val="auto"/>
                <w:spacing w:val="-3"/>
                <w:sz w:val="24"/>
                <w:szCs w:val="24"/>
                <w:highlight w:val="none"/>
              </w:rPr>
              <w:t>固体废物主要包括</w:t>
            </w:r>
            <w:r>
              <w:rPr>
                <w:rFonts w:hint="default" w:ascii="Times New Roman" w:hAnsi="Times New Roman" w:cs="Times New Roman"/>
                <w:color w:val="auto"/>
                <w:spacing w:val="-3"/>
                <w:sz w:val="24"/>
                <w:szCs w:val="24"/>
                <w:highlight w:val="none"/>
                <w:lang w:val="en-US" w:eastAsia="zh-CN"/>
              </w:rPr>
              <w:t>废白土、废过滤剂、皂脚、过滤产生的杂质、脂肪酸、废包装袋、废RO膜</w:t>
            </w:r>
            <w:r>
              <w:rPr>
                <w:rFonts w:hint="eastAsia" w:cs="Times New Roman"/>
                <w:color w:val="auto"/>
                <w:spacing w:val="-3"/>
                <w:sz w:val="24"/>
                <w:szCs w:val="24"/>
                <w:highlight w:val="none"/>
                <w:lang w:val="en-US" w:eastAsia="zh-CN"/>
              </w:rPr>
              <w:t>、废活性炭</w:t>
            </w:r>
            <w:r>
              <w:rPr>
                <w:rFonts w:hint="default" w:ascii="Times New Roman" w:hAnsi="Times New Roman" w:cs="Times New Roman"/>
                <w:color w:val="auto"/>
                <w:spacing w:val="-3"/>
                <w:sz w:val="24"/>
                <w:szCs w:val="24"/>
                <w:highlight w:val="none"/>
                <w:lang w:val="en-US" w:eastAsia="zh-CN"/>
              </w:rPr>
              <w:t>。</w:t>
            </w:r>
          </w:p>
          <w:p w14:paraId="418DFD99">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eastAsia="宋体" w:cs="Times New Roman"/>
                <w:color w:val="auto"/>
                <w:spacing w:val="-3"/>
                <w:kern w:val="2"/>
                <w:sz w:val="24"/>
                <w:szCs w:val="24"/>
                <w:highlight w:val="none"/>
                <w:lang w:val="en-US" w:eastAsia="zh-CN" w:bidi="ar-SA"/>
              </w:rPr>
            </w:pPr>
            <w:r>
              <w:rPr>
                <w:rFonts w:hint="default" w:ascii="Times New Roman" w:hAnsi="Times New Roman" w:eastAsia="宋体" w:cs="Times New Roman"/>
                <w:color w:val="auto"/>
                <w:spacing w:val="-3"/>
                <w:kern w:val="2"/>
                <w:sz w:val="24"/>
                <w:szCs w:val="24"/>
                <w:highlight w:val="none"/>
                <w:lang w:val="en-US" w:eastAsia="zh-CN" w:bidi="ar-SA"/>
              </w:rPr>
              <w:t>①</w:t>
            </w:r>
            <w:r>
              <w:rPr>
                <w:rFonts w:hint="default" w:ascii="Times New Roman" w:hAnsi="Times New Roman" w:cs="Times New Roman"/>
                <w:color w:val="auto"/>
                <w:spacing w:val="-3"/>
                <w:kern w:val="2"/>
                <w:sz w:val="24"/>
                <w:szCs w:val="24"/>
                <w:highlight w:val="none"/>
                <w:lang w:val="en-US" w:eastAsia="zh-CN" w:bidi="ar-SA"/>
              </w:rPr>
              <w:t>过滤杂质S1</w:t>
            </w:r>
          </w:p>
          <w:p w14:paraId="479975E5">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eastAsia="宋体" w:cs="Times New Roman"/>
                <w:color w:val="auto"/>
                <w:spacing w:val="-3"/>
                <w:kern w:val="2"/>
                <w:sz w:val="24"/>
                <w:szCs w:val="24"/>
                <w:highlight w:val="none"/>
                <w:lang w:val="en-US" w:eastAsia="zh-CN" w:bidi="ar-SA"/>
              </w:rPr>
            </w:pPr>
            <w:r>
              <w:rPr>
                <w:rFonts w:hint="eastAsia" w:cs="Times New Roman"/>
                <w:color w:val="auto"/>
                <w:spacing w:val="-3"/>
                <w:kern w:val="2"/>
                <w:sz w:val="24"/>
                <w:szCs w:val="24"/>
                <w:highlight w:val="none"/>
                <w:lang w:val="en-US" w:eastAsia="zh-CN" w:bidi="ar-SA"/>
              </w:rPr>
              <w:t>本项目</w:t>
            </w:r>
            <w:r>
              <w:rPr>
                <w:rFonts w:hint="default" w:ascii="Times New Roman" w:hAnsi="Times New Roman" w:cs="Times New Roman"/>
                <w:color w:val="auto"/>
                <w:spacing w:val="-3"/>
                <w:kern w:val="2"/>
                <w:sz w:val="24"/>
                <w:szCs w:val="24"/>
                <w:highlight w:val="none"/>
                <w:lang w:val="en-US" w:eastAsia="zh-CN" w:bidi="ar-SA"/>
              </w:rPr>
              <w:t>毛油需经毛油过滤器对毛油进行过滤，此过程中产生过滤杂质，属于一般工业固废，代码为：900-099-S59，其产生量约为</w:t>
            </w:r>
            <w:r>
              <w:rPr>
                <w:rFonts w:hint="eastAsia" w:cs="Times New Roman"/>
                <w:color w:val="auto"/>
                <w:spacing w:val="-3"/>
                <w:kern w:val="2"/>
                <w:sz w:val="24"/>
                <w:szCs w:val="24"/>
                <w:highlight w:val="none"/>
                <w:lang w:val="en-US" w:eastAsia="zh-CN" w:bidi="ar-SA"/>
              </w:rPr>
              <w:t>1</w:t>
            </w:r>
            <w:r>
              <w:rPr>
                <w:rFonts w:hint="default" w:ascii="Times New Roman" w:hAnsi="Times New Roman" w:cs="Times New Roman"/>
                <w:color w:val="auto"/>
                <w:spacing w:val="-3"/>
                <w:kern w:val="2"/>
                <w:sz w:val="24"/>
                <w:szCs w:val="24"/>
                <w:highlight w:val="none"/>
                <w:lang w:val="en-US" w:eastAsia="zh-CN" w:bidi="ar-SA"/>
              </w:rPr>
              <w:t>t/a，经收集后</w:t>
            </w:r>
            <w:r>
              <w:rPr>
                <w:rFonts w:hint="eastAsia" w:ascii="Times New Roman" w:hAnsi="Times New Roman" w:eastAsia="宋体" w:cs="Times New Roman"/>
                <w:color w:val="auto"/>
                <w:spacing w:val="-3"/>
                <w:kern w:val="2"/>
                <w:sz w:val="24"/>
                <w:szCs w:val="24"/>
                <w:highlight w:val="none"/>
                <w:lang w:val="en-US" w:eastAsia="zh-CN" w:bidi="ar-SA"/>
              </w:rPr>
              <w:t>交四川宝汉丰废弃资源综合利用有限公司处置</w:t>
            </w:r>
            <w:r>
              <w:rPr>
                <w:rFonts w:hint="default" w:ascii="Times New Roman" w:hAnsi="Times New Roman" w:eastAsia="宋体" w:cs="Times New Roman"/>
                <w:color w:val="auto"/>
                <w:spacing w:val="-3"/>
                <w:kern w:val="2"/>
                <w:sz w:val="24"/>
                <w:szCs w:val="24"/>
                <w:highlight w:val="none"/>
                <w:lang w:val="en-US" w:eastAsia="zh-CN" w:bidi="ar-SA"/>
              </w:rPr>
              <w:t>。</w:t>
            </w:r>
          </w:p>
          <w:p w14:paraId="3ABEF46B">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default" w:ascii="Times New Roman" w:hAnsi="Times New Roman" w:cs="Times New Roman"/>
                <w:color w:val="auto"/>
                <w:spacing w:val="-3"/>
                <w:kern w:val="2"/>
                <w:sz w:val="24"/>
                <w:szCs w:val="24"/>
                <w:highlight w:val="none"/>
                <w:lang w:val="en-US" w:eastAsia="zh-CN" w:bidi="ar-SA"/>
              </w:rPr>
              <w:t>②皂脚S2</w:t>
            </w:r>
          </w:p>
          <w:p w14:paraId="1033C894">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eastAsia" w:cs="Times New Roman"/>
                <w:color w:val="auto"/>
                <w:spacing w:val="-3"/>
                <w:kern w:val="2"/>
                <w:sz w:val="24"/>
                <w:szCs w:val="24"/>
                <w:highlight w:val="none"/>
                <w:lang w:val="en-US" w:eastAsia="zh-CN" w:bidi="ar-SA"/>
              </w:rPr>
              <w:t>本项目</w:t>
            </w:r>
            <w:r>
              <w:rPr>
                <w:rFonts w:hint="default" w:ascii="Times New Roman" w:hAnsi="Times New Roman" w:cs="Times New Roman"/>
                <w:color w:val="auto"/>
                <w:spacing w:val="-3"/>
                <w:kern w:val="2"/>
                <w:sz w:val="24"/>
                <w:szCs w:val="24"/>
                <w:highlight w:val="none"/>
                <w:lang w:val="en-US" w:eastAsia="zh-CN" w:bidi="ar-SA"/>
              </w:rPr>
              <w:t>精炼车间脱酸-中和过程中碱液与毛油中脂肪酸、磷脂胶质等进行离心分离，产生皂脚，产生量为</w:t>
            </w:r>
            <w:r>
              <w:rPr>
                <w:rFonts w:hint="eastAsia" w:cs="Times New Roman"/>
                <w:color w:val="auto"/>
                <w:spacing w:val="-3"/>
                <w:kern w:val="2"/>
                <w:sz w:val="24"/>
                <w:szCs w:val="24"/>
                <w:highlight w:val="none"/>
                <w:lang w:val="en-US" w:eastAsia="zh-CN" w:bidi="ar-SA"/>
              </w:rPr>
              <w:t>5770</w:t>
            </w:r>
            <w:r>
              <w:rPr>
                <w:rFonts w:hint="default" w:ascii="Times New Roman" w:hAnsi="Times New Roman" w:cs="Times New Roman"/>
                <w:color w:val="auto"/>
                <w:spacing w:val="-3"/>
                <w:kern w:val="2"/>
                <w:sz w:val="24"/>
                <w:szCs w:val="24"/>
                <w:highlight w:val="none"/>
                <w:lang w:val="en-US" w:eastAsia="zh-CN" w:bidi="ar-SA"/>
              </w:rPr>
              <w:t>t/a，属于一般工业固废，代码为133-002-S13，</w:t>
            </w:r>
            <w:r>
              <w:rPr>
                <w:rFonts w:hint="eastAsia" w:cs="Times New Roman"/>
                <w:color w:val="auto"/>
                <w:spacing w:val="-3"/>
                <w:kern w:val="2"/>
                <w:sz w:val="24"/>
                <w:szCs w:val="24"/>
                <w:highlight w:val="none"/>
                <w:lang w:val="en-US" w:eastAsia="zh-CN" w:bidi="ar-SA"/>
              </w:rPr>
              <w:t>项目采用固废不落地系统，设置皂脚罐3个（</w:t>
            </w:r>
            <w:r>
              <w:rPr>
                <w:rFonts w:hint="default" w:ascii="Times New Roman" w:hAnsi="Times New Roman" w:cs="Times New Roman"/>
                <w:color w:val="auto"/>
                <w:spacing w:val="8"/>
                <w:sz w:val="24"/>
                <w:szCs w:val="24"/>
                <w:highlight w:val="none"/>
                <w:lang w:val="en-US" w:eastAsia="zh-CN"/>
              </w:rPr>
              <w:t>70m</w:t>
            </w:r>
            <w:r>
              <w:rPr>
                <w:rFonts w:hint="default" w:ascii="Times New Roman" w:hAnsi="Times New Roman" w:cs="Times New Roman"/>
                <w:color w:val="auto"/>
                <w:spacing w:val="8"/>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/个</w:t>
            </w:r>
            <w:r>
              <w:rPr>
                <w:rFonts w:hint="eastAsia" w:cs="Times New Roman"/>
                <w:color w:val="auto"/>
                <w:spacing w:val="-3"/>
                <w:kern w:val="2"/>
                <w:sz w:val="24"/>
                <w:szCs w:val="24"/>
                <w:highlight w:val="none"/>
                <w:lang w:val="en-US" w:eastAsia="zh-CN" w:bidi="ar-SA"/>
              </w:rPr>
              <w:t>），</w:t>
            </w:r>
            <w:r>
              <w:rPr>
                <w:rFonts w:hint="default" w:ascii="Times New Roman" w:hAnsi="Times New Roman" w:cs="Times New Roman"/>
                <w:color w:val="auto"/>
                <w:spacing w:val="-3"/>
                <w:kern w:val="2"/>
                <w:sz w:val="24"/>
                <w:szCs w:val="24"/>
                <w:highlight w:val="none"/>
                <w:lang w:val="en-US" w:eastAsia="zh-CN" w:bidi="ar-SA"/>
              </w:rPr>
              <w:t>经皂脚罐收集后定期</w:t>
            </w:r>
            <w:r>
              <w:rPr>
                <w:rFonts w:hint="eastAsia" w:ascii="Times New Roman" w:hAnsi="Times New Roman" w:eastAsia="宋体" w:cs="Times New Roman"/>
                <w:color w:val="auto"/>
                <w:spacing w:val="-3"/>
                <w:kern w:val="2"/>
                <w:sz w:val="24"/>
                <w:szCs w:val="24"/>
                <w:highlight w:val="none"/>
                <w:lang w:val="en-US" w:eastAsia="zh-CN" w:bidi="ar-SA"/>
              </w:rPr>
              <w:t>交四川宝汉丰废弃资源综合利用有限公司处置，</w:t>
            </w:r>
            <w:r>
              <w:rPr>
                <w:rFonts w:hint="default" w:ascii="Times New Roman" w:hAnsi="Times New Roman" w:cs="Times New Roman"/>
                <w:color w:val="auto"/>
                <w:spacing w:val="-3"/>
                <w:kern w:val="2"/>
                <w:sz w:val="24"/>
                <w:szCs w:val="24"/>
                <w:highlight w:val="none"/>
                <w:lang w:val="en-US" w:eastAsia="zh-CN" w:bidi="ar-SA"/>
              </w:rPr>
              <w:t>。</w:t>
            </w:r>
          </w:p>
          <w:p w14:paraId="23A5B72B">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default" w:ascii="Times New Roman" w:hAnsi="Times New Roman" w:cs="Times New Roman"/>
                <w:color w:val="auto"/>
                <w:spacing w:val="-3"/>
                <w:kern w:val="2"/>
                <w:sz w:val="24"/>
                <w:szCs w:val="24"/>
                <w:highlight w:val="none"/>
                <w:lang w:val="en-US" w:eastAsia="zh-CN" w:bidi="ar-SA"/>
              </w:rPr>
              <w:t>③废白土S3</w:t>
            </w:r>
          </w:p>
          <w:p w14:paraId="0FE750C3">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default" w:ascii="Times New Roman" w:hAnsi="Times New Roman" w:cs="Times New Roman"/>
                <w:color w:val="auto"/>
                <w:spacing w:val="-3"/>
                <w:kern w:val="2"/>
                <w:sz w:val="24"/>
                <w:szCs w:val="24"/>
                <w:highlight w:val="none"/>
                <w:lang w:val="en-US" w:eastAsia="zh-CN" w:bidi="ar-SA"/>
              </w:rPr>
              <w:t>项目脱色工段产生废白土，属于一般工业固废，代码为133-001-S13，产生量为</w:t>
            </w:r>
            <w:r>
              <w:rPr>
                <w:rFonts w:hint="eastAsia" w:cs="Times New Roman"/>
                <w:color w:val="auto"/>
                <w:spacing w:val="-3"/>
                <w:kern w:val="2"/>
                <w:sz w:val="24"/>
                <w:szCs w:val="24"/>
                <w:highlight w:val="none"/>
                <w:lang w:val="en-US" w:eastAsia="zh-CN" w:bidi="ar-SA"/>
              </w:rPr>
              <w:t>580</w:t>
            </w:r>
            <w:r>
              <w:rPr>
                <w:rFonts w:hint="default" w:ascii="Times New Roman" w:hAnsi="Times New Roman" w:cs="Times New Roman"/>
                <w:color w:val="auto"/>
                <w:spacing w:val="-3"/>
                <w:kern w:val="2"/>
                <w:sz w:val="24"/>
                <w:szCs w:val="24"/>
                <w:highlight w:val="none"/>
                <w:lang w:val="en-US" w:eastAsia="zh-CN" w:bidi="ar-SA"/>
              </w:rPr>
              <w:t>t/a，</w:t>
            </w:r>
            <w:r>
              <w:rPr>
                <w:rFonts w:hint="eastAsia" w:cs="Times New Roman"/>
                <w:color w:val="auto"/>
                <w:spacing w:val="-3"/>
                <w:kern w:val="2"/>
                <w:sz w:val="24"/>
                <w:szCs w:val="24"/>
                <w:highlight w:val="none"/>
                <w:lang w:val="en-US" w:eastAsia="zh-CN" w:bidi="ar-SA"/>
              </w:rPr>
              <w:t>项目采用固废不落地系统，</w:t>
            </w:r>
            <w:r>
              <w:rPr>
                <w:rFonts w:hint="default" w:ascii="Times New Roman" w:hAnsi="Times New Roman" w:cs="Times New Roman"/>
                <w:color w:val="auto"/>
                <w:spacing w:val="-3"/>
                <w:kern w:val="2"/>
                <w:sz w:val="24"/>
                <w:szCs w:val="24"/>
                <w:highlight w:val="none"/>
                <w:lang w:val="en-US" w:eastAsia="zh-CN" w:bidi="ar-SA"/>
              </w:rPr>
              <w:t>经收集后暂存于废白土间（面积80m</w:t>
            </w:r>
            <w:r>
              <w:rPr>
                <w:rFonts w:hint="default" w:ascii="Times New Roman" w:hAnsi="Times New Roman" w:cs="Times New Roman"/>
                <w:color w:val="auto"/>
                <w:spacing w:val="-3"/>
                <w:kern w:val="2"/>
                <w:sz w:val="24"/>
                <w:szCs w:val="24"/>
                <w:highlight w:val="none"/>
                <w:vertAlign w:val="superscript"/>
                <w:lang w:val="en-US" w:eastAsia="zh-CN" w:bidi="ar-SA"/>
              </w:rPr>
              <w:t>2</w:t>
            </w:r>
            <w:r>
              <w:rPr>
                <w:rFonts w:hint="default" w:ascii="Times New Roman" w:hAnsi="Times New Roman" w:cs="Times New Roman"/>
                <w:color w:val="auto"/>
                <w:spacing w:val="-3"/>
                <w:kern w:val="2"/>
                <w:sz w:val="24"/>
                <w:szCs w:val="24"/>
                <w:highlight w:val="none"/>
                <w:lang w:val="en-US" w:eastAsia="zh-CN" w:bidi="ar-SA"/>
              </w:rPr>
              <w:t>）内设的废白土收集箱（2个，单个19m</w:t>
            </w:r>
            <w:r>
              <w:rPr>
                <w:rFonts w:hint="default" w:ascii="Times New Roman" w:hAnsi="Times New Roman" w:cs="Times New Roman"/>
                <w:color w:val="auto"/>
                <w:spacing w:val="-3"/>
                <w:kern w:val="2"/>
                <w:sz w:val="24"/>
                <w:szCs w:val="24"/>
                <w:highlight w:val="none"/>
                <w:vertAlign w:val="superscript"/>
                <w:lang w:val="en-US" w:eastAsia="zh-CN" w:bidi="ar-SA"/>
              </w:rPr>
              <w:t>3</w:t>
            </w:r>
            <w:r>
              <w:rPr>
                <w:rFonts w:hint="default" w:ascii="Times New Roman" w:hAnsi="Times New Roman" w:cs="Times New Roman"/>
                <w:color w:val="auto"/>
                <w:spacing w:val="-3"/>
                <w:kern w:val="2"/>
                <w:sz w:val="24"/>
                <w:szCs w:val="24"/>
                <w:highlight w:val="none"/>
                <w:lang w:val="en-US" w:eastAsia="zh-CN" w:bidi="ar-SA"/>
              </w:rPr>
              <w:t>）内，定期</w:t>
            </w:r>
            <w:r>
              <w:rPr>
                <w:rFonts w:hint="eastAsia" w:ascii="Times New Roman" w:hAnsi="Times New Roman" w:eastAsia="宋体" w:cs="Times New Roman"/>
                <w:color w:val="auto"/>
                <w:spacing w:val="-3"/>
                <w:kern w:val="2"/>
                <w:sz w:val="24"/>
                <w:szCs w:val="24"/>
                <w:highlight w:val="none"/>
                <w:lang w:val="en-US" w:eastAsia="zh-CN" w:bidi="ar-SA"/>
              </w:rPr>
              <w:t>交四川宝汉丰废弃资源综合利用有限公司处置</w:t>
            </w:r>
            <w:r>
              <w:rPr>
                <w:rFonts w:hint="default" w:ascii="Times New Roman" w:hAnsi="Times New Roman" w:cs="Times New Roman"/>
                <w:color w:val="auto"/>
                <w:spacing w:val="-3"/>
                <w:kern w:val="2"/>
                <w:sz w:val="24"/>
                <w:szCs w:val="24"/>
                <w:highlight w:val="none"/>
                <w:lang w:val="en-US" w:eastAsia="zh-CN" w:bidi="ar-SA"/>
              </w:rPr>
              <w:t>。</w:t>
            </w:r>
          </w:p>
          <w:p w14:paraId="64C5E19E">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default" w:ascii="Times New Roman" w:hAnsi="Times New Roman" w:cs="Times New Roman"/>
                <w:color w:val="auto"/>
                <w:spacing w:val="-3"/>
                <w:kern w:val="2"/>
                <w:sz w:val="24"/>
                <w:szCs w:val="24"/>
                <w:highlight w:val="none"/>
                <w:lang w:val="en-US" w:eastAsia="zh-CN" w:bidi="ar-SA"/>
              </w:rPr>
              <w:t>④废助滤剂S4</w:t>
            </w:r>
          </w:p>
          <w:p w14:paraId="1CB05DB0">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eastAsia" w:cs="Times New Roman"/>
                <w:color w:val="auto"/>
                <w:spacing w:val="-3"/>
                <w:kern w:val="2"/>
                <w:sz w:val="24"/>
                <w:szCs w:val="24"/>
                <w:highlight w:val="none"/>
                <w:lang w:val="en-US" w:eastAsia="zh-CN" w:bidi="ar-SA"/>
              </w:rPr>
              <w:t>本项目</w:t>
            </w:r>
            <w:r>
              <w:rPr>
                <w:rFonts w:hint="default" w:ascii="Times New Roman" w:hAnsi="Times New Roman" w:cs="Times New Roman"/>
                <w:color w:val="auto"/>
                <w:spacing w:val="-3"/>
                <w:kern w:val="2"/>
                <w:sz w:val="24"/>
                <w:szCs w:val="24"/>
                <w:highlight w:val="none"/>
                <w:lang w:val="en-US" w:eastAsia="zh-CN" w:bidi="ar-SA"/>
              </w:rPr>
              <w:t>脱蜡工段添加助滤剂（硅藻土），脱蜡工段产生废助滤剂，属于一般工业固废，代码为：900-009-S59，其产生量为</w:t>
            </w:r>
            <w:r>
              <w:rPr>
                <w:rFonts w:hint="eastAsia" w:cs="Times New Roman"/>
                <w:color w:val="auto"/>
                <w:spacing w:val="-3"/>
                <w:kern w:val="2"/>
                <w:sz w:val="24"/>
                <w:szCs w:val="24"/>
                <w:highlight w:val="none"/>
                <w:lang w:val="en-US" w:eastAsia="zh-CN" w:bidi="ar-SA"/>
              </w:rPr>
              <w:t>30</w:t>
            </w:r>
            <w:r>
              <w:rPr>
                <w:rFonts w:hint="default" w:ascii="Times New Roman" w:hAnsi="Times New Roman" w:cs="Times New Roman"/>
                <w:color w:val="auto"/>
                <w:spacing w:val="-3"/>
                <w:kern w:val="2"/>
                <w:sz w:val="24"/>
                <w:szCs w:val="24"/>
                <w:highlight w:val="none"/>
                <w:lang w:val="en-US" w:eastAsia="zh-CN" w:bidi="ar-SA"/>
              </w:rPr>
              <w:t>t/a；经收集后暂存于废助滤剂间（面积80m</w:t>
            </w:r>
            <w:r>
              <w:rPr>
                <w:rFonts w:hint="default" w:ascii="Times New Roman" w:hAnsi="Times New Roman" w:cs="Times New Roman"/>
                <w:color w:val="auto"/>
                <w:spacing w:val="-3"/>
                <w:kern w:val="2"/>
                <w:sz w:val="24"/>
                <w:szCs w:val="24"/>
                <w:highlight w:val="none"/>
                <w:vertAlign w:val="superscript"/>
                <w:lang w:val="en-US" w:eastAsia="zh-CN" w:bidi="ar-SA"/>
              </w:rPr>
              <w:t>2</w:t>
            </w:r>
            <w:r>
              <w:rPr>
                <w:rFonts w:hint="default" w:ascii="Times New Roman" w:hAnsi="Times New Roman" w:cs="Times New Roman"/>
                <w:color w:val="auto"/>
                <w:spacing w:val="-3"/>
                <w:kern w:val="2"/>
                <w:sz w:val="24"/>
                <w:szCs w:val="24"/>
                <w:highlight w:val="none"/>
                <w:lang w:val="en-US" w:eastAsia="zh-CN" w:bidi="ar-SA"/>
              </w:rPr>
              <w:t>）内设的废助滤剂存料箱（2个，单个19m</w:t>
            </w:r>
            <w:r>
              <w:rPr>
                <w:rFonts w:hint="default" w:ascii="Times New Roman" w:hAnsi="Times New Roman" w:cs="Times New Roman"/>
                <w:color w:val="auto"/>
                <w:spacing w:val="-3"/>
                <w:kern w:val="2"/>
                <w:sz w:val="24"/>
                <w:szCs w:val="24"/>
                <w:highlight w:val="none"/>
                <w:vertAlign w:val="superscript"/>
                <w:lang w:val="en-US" w:eastAsia="zh-CN" w:bidi="ar-SA"/>
              </w:rPr>
              <w:t>3</w:t>
            </w:r>
            <w:r>
              <w:rPr>
                <w:rFonts w:hint="default" w:ascii="Times New Roman" w:hAnsi="Times New Roman" w:cs="Times New Roman"/>
                <w:color w:val="auto"/>
                <w:spacing w:val="-3"/>
                <w:kern w:val="2"/>
                <w:sz w:val="24"/>
                <w:szCs w:val="24"/>
                <w:highlight w:val="none"/>
                <w:lang w:val="en-US" w:eastAsia="zh-CN" w:bidi="ar-SA"/>
              </w:rPr>
              <w:t>）内，定期</w:t>
            </w:r>
            <w:r>
              <w:rPr>
                <w:rFonts w:hint="eastAsia" w:ascii="Times New Roman" w:hAnsi="Times New Roman" w:eastAsia="宋体" w:cs="Times New Roman"/>
                <w:color w:val="auto"/>
                <w:spacing w:val="-3"/>
                <w:kern w:val="2"/>
                <w:sz w:val="24"/>
                <w:szCs w:val="24"/>
                <w:highlight w:val="none"/>
                <w:lang w:val="en-US" w:eastAsia="zh-CN" w:bidi="ar-SA"/>
              </w:rPr>
              <w:t>交四川宝汉丰废弃资源综合利用有限公司处置</w:t>
            </w:r>
            <w:r>
              <w:rPr>
                <w:rFonts w:hint="default" w:ascii="Times New Roman" w:hAnsi="Times New Roman" w:cs="Times New Roman"/>
                <w:color w:val="auto"/>
                <w:spacing w:val="-3"/>
                <w:kern w:val="2"/>
                <w:sz w:val="24"/>
                <w:szCs w:val="24"/>
                <w:highlight w:val="none"/>
                <w:lang w:val="en-US" w:eastAsia="zh-CN" w:bidi="ar-SA"/>
              </w:rPr>
              <w:t>。</w:t>
            </w:r>
          </w:p>
          <w:p w14:paraId="4542D559">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default" w:ascii="Times New Roman" w:hAnsi="Times New Roman" w:cs="Times New Roman"/>
                <w:color w:val="auto"/>
                <w:spacing w:val="-3"/>
                <w:kern w:val="2"/>
                <w:sz w:val="24"/>
                <w:szCs w:val="24"/>
                <w:highlight w:val="none"/>
                <w:lang w:val="en-US" w:eastAsia="zh-CN" w:bidi="ar-SA"/>
              </w:rPr>
              <w:t>⑤废RO膜S5</w:t>
            </w:r>
          </w:p>
          <w:p w14:paraId="1FA9BF2F">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default" w:ascii="Times New Roman" w:hAnsi="Times New Roman" w:cs="Times New Roman"/>
                <w:color w:val="auto"/>
                <w:spacing w:val="-3"/>
                <w:kern w:val="2"/>
                <w:sz w:val="24"/>
                <w:szCs w:val="24"/>
                <w:highlight w:val="none"/>
                <w:lang w:val="en-US" w:eastAsia="zh-CN" w:bidi="ar-SA"/>
              </w:rPr>
              <w:t>纯水制备需要定期更换反渗透膜，一般</w:t>
            </w:r>
            <w:r>
              <w:rPr>
                <w:rFonts w:hint="eastAsia" w:cs="Times New Roman"/>
                <w:color w:val="auto"/>
                <w:spacing w:val="-3"/>
                <w:kern w:val="2"/>
                <w:sz w:val="24"/>
                <w:szCs w:val="24"/>
                <w:highlight w:val="none"/>
                <w:lang w:val="en-US" w:eastAsia="zh-CN" w:bidi="ar-SA"/>
              </w:rPr>
              <w:t>3</w:t>
            </w:r>
            <w:r>
              <w:rPr>
                <w:rFonts w:hint="default" w:ascii="Times New Roman" w:hAnsi="Times New Roman" w:cs="Times New Roman"/>
                <w:color w:val="auto"/>
                <w:spacing w:val="-3"/>
                <w:kern w:val="2"/>
                <w:sz w:val="24"/>
                <w:szCs w:val="24"/>
                <w:highlight w:val="none"/>
                <w:lang w:val="en-US" w:eastAsia="zh-CN" w:bidi="ar-SA"/>
              </w:rPr>
              <w:t>年更换一次，产生量为5kg/a，由厂家定期更换并回收</w:t>
            </w:r>
            <w:r>
              <w:rPr>
                <w:rFonts w:hint="eastAsia" w:cs="Times New Roman"/>
                <w:color w:val="auto"/>
                <w:spacing w:val="-3"/>
                <w:kern w:val="2"/>
                <w:sz w:val="24"/>
                <w:szCs w:val="24"/>
                <w:highlight w:val="none"/>
                <w:lang w:val="en-US" w:eastAsia="zh-CN" w:bidi="ar-SA"/>
              </w:rPr>
              <w:t>。</w:t>
            </w:r>
          </w:p>
          <w:p w14:paraId="2826BEBA">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default" w:ascii="Times New Roman" w:hAnsi="Times New Roman" w:cs="Times New Roman"/>
                <w:color w:val="auto"/>
                <w:spacing w:val="-3"/>
                <w:kern w:val="2"/>
                <w:sz w:val="24"/>
                <w:szCs w:val="24"/>
                <w:highlight w:val="none"/>
                <w:lang w:val="en-US" w:eastAsia="zh-CN" w:bidi="ar-SA"/>
              </w:rPr>
              <w:t>⑥脂肪酸</w:t>
            </w:r>
            <w:r>
              <w:rPr>
                <w:rFonts w:hint="eastAsia" w:cs="Times New Roman"/>
                <w:color w:val="auto"/>
                <w:spacing w:val="-3"/>
                <w:kern w:val="2"/>
                <w:sz w:val="24"/>
                <w:szCs w:val="24"/>
                <w:highlight w:val="none"/>
                <w:lang w:val="en-US" w:eastAsia="zh-CN" w:bidi="ar-SA"/>
              </w:rPr>
              <w:t>S6</w:t>
            </w:r>
          </w:p>
          <w:p w14:paraId="634A0240">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eastAsia" w:cs="Times New Roman"/>
                <w:color w:val="auto"/>
                <w:spacing w:val="-3"/>
                <w:kern w:val="2"/>
                <w:sz w:val="24"/>
                <w:szCs w:val="24"/>
                <w:highlight w:val="none"/>
                <w:lang w:val="en-US" w:eastAsia="zh-CN" w:bidi="ar-SA"/>
              </w:rPr>
              <w:t>本项目</w:t>
            </w:r>
            <w:r>
              <w:rPr>
                <w:rFonts w:hint="default" w:ascii="Times New Roman" w:hAnsi="Times New Roman" w:cs="Times New Roman"/>
                <w:color w:val="auto"/>
                <w:spacing w:val="-3"/>
                <w:kern w:val="2"/>
                <w:sz w:val="24"/>
                <w:szCs w:val="24"/>
                <w:highlight w:val="none"/>
                <w:lang w:val="en-US" w:eastAsia="zh-CN" w:bidi="ar-SA"/>
              </w:rPr>
              <w:t>脱臭工序采用脂肪酸捕集器对分离后产生的脂肪酸，经捕集后的脂肪酸冷却后暂存于脂肪酸罐</w:t>
            </w:r>
            <w:r>
              <w:rPr>
                <w:rFonts w:hint="eastAsia" w:cs="Times New Roman"/>
                <w:color w:val="auto"/>
                <w:spacing w:val="-3"/>
                <w:kern w:val="2"/>
                <w:sz w:val="24"/>
                <w:szCs w:val="24"/>
                <w:highlight w:val="none"/>
                <w:lang w:val="en-US" w:eastAsia="zh-CN" w:bidi="ar-SA"/>
              </w:rPr>
              <w:t>（</w:t>
            </w:r>
            <w:r>
              <w:rPr>
                <w:rFonts w:hint="default" w:ascii="Times New Roman" w:hAnsi="Times New Roman" w:cs="Times New Roman"/>
                <w:color w:val="auto"/>
                <w:spacing w:val="8"/>
                <w:sz w:val="24"/>
                <w:szCs w:val="24"/>
                <w:highlight w:val="none"/>
                <w:lang w:val="en-US" w:eastAsia="zh-CN"/>
              </w:rPr>
              <w:t>70m</w:t>
            </w:r>
            <w:r>
              <w:rPr>
                <w:rFonts w:hint="default" w:ascii="Times New Roman" w:hAnsi="Times New Roman" w:cs="Times New Roman"/>
                <w:color w:val="auto"/>
                <w:spacing w:val="8"/>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/个</w:t>
            </w:r>
            <w:r>
              <w:rPr>
                <w:rFonts w:hint="default" w:ascii="Times New Roman" w:hAnsi="Times New Roman" w:cs="Times New Roman"/>
                <w:color w:val="auto"/>
                <w:spacing w:val="8"/>
                <w:sz w:val="24"/>
                <w:szCs w:val="24"/>
                <w:highlight w:val="none"/>
                <w:lang w:val="en-US" w:eastAsia="zh-CN"/>
              </w:rPr>
              <w:t>，</w:t>
            </w:r>
            <w:r>
              <w:rPr>
                <w:rFonts w:hint="eastAsia" w:cs="Times New Roman"/>
                <w:color w:val="auto"/>
                <w:spacing w:val="8"/>
                <w:sz w:val="24"/>
                <w:szCs w:val="24"/>
                <w:highlight w:val="none"/>
                <w:lang w:val="en-US" w:eastAsia="zh-CN"/>
              </w:rPr>
              <w:t>2</w:t>
            </w:r>
            <w:r>
              <w:rPr>
                <w:rFonts w:hint="default" w:ascii="Times New Roman" w:hAnsi="Times New Roman" w:cs="Times New Roman"/>
                <w:color w:val="auto"/>
                <w:spacing w:val="8"/>
                <w:sz w:val="24"/>
                <w:szCs w:val="24"/>
                <w:highlight w:val="none"/>
                <w:lang w:val="en-US" w:eastAsia="zh-CN"/>
              </w:rPr>
              <w:t>个</w:t>
            </w:r>
            <w:r>
              <w:rPr>
                <w:rFonts w:hint="eastAsia" w:cs="Times New Roman"/>
                <w:color w:val="auto"/>
                <w:spacing w:val="-3"/>
                <w:kern w:val="2"/>
                <w:sz w:val="24"/>
                <w:szCs w:val="24"/>
                <w:highlight w:val="none"/>
                <w:lang w:val="en-US" w:eastAsia="zh-CN" w:bidi="ar-SA"/>
              </w:rPr>
              <w:t>）</w:t>
            </w:r>
            <w:r>
              <w:rPr>
                <w:rFonts w:hint="default" w:ascii="Times New Roman" w:hAnsi="Times New Roman" w:cs="Times New Roman"/>
                <w:color w:val="auto"/>
                <w:spacing w:val="-3"/>
                <w:kern w:val="2"/>
                <w:sz w:val="24"/>
                <w:szCs w:val="24"/>
                <w:highlight w:val="none"/>
                <w:lang w:val="en-US" w:eastAsia="zh-CN" w:bidi="ar-SA"/>
              </w:rPr>
              <w:t>，属于一般工业固废，代码为：900-009-S59，其产生量为15t/a，定期</w:t>
            </w:r>
            <w:r>
              <w:rPr>
                <w:rFonts w:hint="eastAsia" w:ascii="Times New Roman" w:hAnsi="Times New Roman" w:eastAsia="宋体" w:cs="Times New Roman"/>
                <w:color w:val="auto"/>
                <w:spacing w:val="-3"/>
                <w:kern w:val="2"/>
                <w:sz w:val="24"/>
                <w:szCs w:val="24"/>
                <w:highlight w:val="none"/>
                <w:lang w:val="en-US" w:eastAsia="zh-CN" w:bidi="ar-SA"/>
              </w:rPr>
              <w:t>交四川宝汉丰废弃资源综合利用有限公司处置</w:t>
            </w:r>
            <w:r>
              <w:rPr>
                <w:rFonts w:hint="default" w:ascii="Times New Roman" w:hAnsi="Times New Roman" w:cs="Times New Roman"/>
                <w:color w:val="auto"/>
                <w:spacing w:val="-3"/>
                <w:kern w:val="2"/>
                <w:sz w:val="24"/>
                <w:szCs w:val="24"/>
                <w:highlight w:val="none"/>
                <w:lang w:val="en-US" w:eastAsia="zh-CN" w:bidi="ar-SA"/>
              </w:rPr>
              <w:t>。</w:t>
            </w:r>
          </w:p>
          <w:p w14:paraId="134A4B0B">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default" w:ascii="Times New Roman" w:hAnsi="Times New Roman" w:cs="Times New Roman"/>
                <w:color w:val="auto"/>
                <w:spacing w:val="-3"/>
                <w:kern w:val="2"/>
                <w:sz w:val="24"/>
                <w:szCs w:val="24"/>
                <w:highlight w:val="none"/>
                <w:lang w:val="en-US" w:eastAsia="zh-CN" w:bidi="ar-SA"/>
              </w:rPr>
              <w:t>⑦废包装袋S</w:t>
            </w:r>
            <w:r>
              <w:rPr>
                <w:rFonts w:hint="eastAsia" w:cs="Times New Roman"/>
                <w:color w:val="auto"/>
                <w:spacing w:val="-3"/>
                <w:kern w:val="2"/>
                <w:sz w:val="24"/>
                <w:szCs w:val="24"/>
                <w:highlight w:val="none"/>
                <w:lang w:val="en-US" w:eastAsia="zh-CN" w:bidi="ar-SA"/>
              </w:rPr>
              <w:t>7</w:t>
            </w:r>
          </w:p>
          <w:p w14:paraId="7E9C583A">
            <w:pPr>
              <w:keepNext w:val="0"/>
              <w:keepLines w:val="0"/>
              <w:pageBreakBefore w:val="0"/>
              <w:widowControl/>
              <w:suppressLineNumbers w:val="0"/>
              <w:kinsoku/>
              <w:wordWrap/>
              <w:overflowPunct w:val="0"/>
              <w:topLinePunct/>
              <w:autoSpaceDE/>
              <w:autoSpaceDN/>
              <w:bidi w:val="0"/>
              <w:adjustRightInd/>
              <w:snapToGrid/>
              <w:spacing w:line="460" w:lineRule="exact"/>
              <w:ind w:firstLine="468" w:firstLineChars="200"/>
              <w:jc w:val="left"/>
              <w:textAlignment w:val="auto"/>
              <w:rPr>
                <w:rFonts w:hint="default" w:ascii="Times New Roman" w:hAnsi="Times New Roman" w:cs="Times New Roman"/>
                <w:color w:val="auto"/>
                <w:spacing w:val="-3"/>
                <w:kern w:val="2"/>
                <w:sz w:val="24"/>
                <w:szCs w:val="24"/>
                <w:highlight w:val="none"/>
                <w:lang w:val="en-US" w:eastAsia="zh-CN" w:bidi="ar-SA"/>
              </w:rPr>
            </w:pPr>
            <w:r>
              <w:rPr>
                <w:rFonts w:hint="eastAsia" w:cs="Times New Roman"/>
                <w:color w:val="auto"/>
                <w:spacing w:val="-3"/>
                <w:kern w:val="2"/>
                <w:sz w:val="24"/>
                <w:szCs w:val="24"/>
                <w:highlight w:val="none"/>
                <w:lang w:val="en-US" w:eastAsia="zh-CN" w:bidi="ar-SA"/>
              </w:rPr>
              <w:t>本项目</w:t>
            </w:r>
            <w:r>
              <w:rPr>
                <w:rFonts w:hint="default" w:ascii="Times New Roman" w:hAnsi="Times New Roman" w:cs="Times New Roman"/>
                <w:color w:val="auto"/>
                <w:spacing w:val="-3"/>
                <w:kern w:val="2"/>
                <w:sz w:val="24"/>
                <w:szCs w:val="24"/>
                <w:highlight w:val="none"/>
                <w:lang w:val="en-US" w:eastAsia="zh-CN" w:bidi="ar-SA"/>
              </w:rPr>
              <w:t>白土、过滤剂等采用包装袋包装，生产过程中产生废包装袋，属于一般工业固体废物，代码为900-009-S59，产生量为</w:t>
            </w:r>
            <w:r>
              <w:rPr>
                <w:rFonts w:hint="eastAsia" w:cs="Times New Roman"/>
                <w:color w:val="auto"/>
                <w:spacing w:val="-3"/>
                <w:kern w:val="2"/>
                <w:sz w:val="24"/>
                <w:szCs w:val="24"/>
                <w:highlight w:val="none"/>
                <w:lang w:val="en-US" w:eastAsia="zh-CN" w:bidi="ar-SA"/>
              </w:rPr>
              <w:t>1.5</w:t>
            </w:r>
            <w:r>
              <w:rPr>
                <w:rFonts w:hint="default" w:ascii="Times New Roman" w:hAnsi="Times New Roman" w:cs="Times New Roman"/>
                <w:color w:val="auto"/>
                <w:spacing w:val="-3"/>
                <w:kern w:val="2"/>
                <w:sz w:val="24"/>
                <w:szCs w:val="24"/>
                <w:highlight w:val="none"/>
                <w:lang w:val="en-US" w:eastAsia="zh-CN" w:bidi="ar-SA"/>
              </w:rPr>
              <w:t>t/a，收集后</w:t>
            </w:r>
            <w:r>
              <w:rPr>
                <w:rFonts w:hint="eastAsia" w:cs="Times New Roman"/>
                <w:color w:val="auto"/>
                <w:spacing w:val="-3"/>
                <w:kern w:val="2"/>
                <w:sz w:val="24"/>
                <w:szCs w:val="24"/>
                <w:highlight w:val="none"/>
                <w:lang w:val="en-US" w:eastAsia="zh-CN" w:bidi="ar-SA"/>
              </w:rPr>
              <w:t>交回收单位处置</w:t>
            </w:r>
            <w:r>
              <w:rPr>
                <w:rFonts w:hint="default" w:ascii="Times New Roman" w:hAnsi="Times New Roman" w:cs="Times New Roman"/>
                <w:color w:val="auto"/>
                <w:spacing w:val="-3"/>
                <w:kern w:val="2"/>
                <w:sz w:val="24"/>
                <w:szCs w:val="24"/>
                <w:highlight w:val="none"/>
                <w:lang w:val="en-US" w:eastAsia="zh-CN" w:bidi="ar-SA"/>
              </w:rPr>
              <w:t>。</w:t>
            </w:r>
          </w:p>
          <w:p w14:paraId="611DB78B">
            <w:pPr>
              <w:pStyle w:val="24"/>
              <w:keepNext w:val="0"/>
              <w:keepLines w:val="0"/>
              <w:pageBreakBefore w:val="0"/>
              <w:widowControl w:val="0"/>
              <w:kinsoku/>
              <w:wordWrap/>
              <w:overflowPunct w:val="0"/>
              <w:topLinePunct/>
              <w:autoSpaceDE/>
              <w:autoSpaceDN/>
              <w:bidi w:val="0"/>
              <w:adjustRightInd/>
              <w:snapToGrid/>
              <w:spacing w:line="360" w:lineRule="auto"/>
              <w:ind w:firstLine="472" w:firstLineChars="200"/>
              <w:jc w:val="both"/>
              <w:textAlignment w:val="auto"/>
              <w:rPr>
                <w:rFonts w:hint="default" w:ascii="Times New Roman" w:hAnsi="Times New Roman" w:eastAsia="宋体" w:cs="Times New Roman"/>
                <w:b w:val="0"/>
                <w:bCs w:val="0"/>
                <w:color w:val="auto"/>
                <w:spacing w:val="8"/>
                <w:sz w:val="22"/>
                <w:szCs w:val="22"/>
                <w:highlight w:val="none"/>
                <w:lang w:val="en-US" w:eastAsia="zh-CN"/>
              </w:rPr>
            </w:pPr>
            <w:r>
              <w:rPr>
                <w:rFonts w:hint="default" w:ascii="Times New Roman" w:hAnsi="Times New Roman" w:cs="Times New Roman"/>
                <w:b w:val="0"/>
                <w:bCs w:val="0"/>
                <w:color w:val="auto"/>
                <w:spacing w:val="8"/>
                <w:sz w:val="22"/>
                <w:szCs w:val="22"/>
                <w:highlight w:val="none"/>
              </w:rPr>
              <w:t>⑧</w:t>
            </w:r>
            <w:r>
              <w:rPr>
                <w:rFonts w:hint="eastAsia" w:ascii="Times New Roman" w:hAnsi="Times New Roman" w:cs="Times New Roman"/>
                <w:b w:val="0"/>
                <w:bCs w:val="0"/>
                <w:color w:val="auto"/>
                <w:spacing w:val="8"/>
                <w:sz w:val="22"/>
                <w:szCs w:val="22"/>
                <w:highlight w:val="none"/>
                <w:lang w:val="en-US" w:eastAsia="zh-CN"/>
              </w:rPr>
              <w:t>废活性炭</w:t>
            </w:r>
          </w:p>
          <w:p w14:paraId="297E62CF">
            <w:pPr>
              <w:pStyle w:val="24"/>
              <w:keepNext w:val="0"/>
              <w:keepLines w:val="0"/>
              <w:pageBreakBefore w:val="0"/>
              <w:widowControl w:val="0"/>
              <w:kinsoku/>
              <w:wordWrap/>
              <w:overflowPunct w:val="0"/>
              <w:topLinePunct/>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sz w:val="24"/>
                <w:szCs w:val="32"/>
                <w:highlight w:val="none"/>
                <w:shd w:val="clear" w:color="auto" w:fill="auto"/>
                <w:lang w:val="en-US" w:eastAsia="zh-CN"/>
              </w:rPr>
            </w:pPr>
            <w:r>
              <w:rPr>
                <w:rFonts w:hint="eastAsia" w:ascii="Times New Roman" w:hAnsi="Times New Roman" w:cs="Times New Roman"/>
                <w:snapToGrid w:val="0"/>
                <w:color w:val="auto"/>
                <w:sz w:val="24"/>
                <w:szCs w:val="32"/>
                <w:highlight w:val="none"/>
                <w:lang w:val="en-US" w:eastAsia="zh-CN"/>
              </w:rPr>
              <w:t>本</w:t>
            </w:r>
            <w:r>
              <w:rPr>
                <w:rFonts w:hint="default" w:ascii="Times New Roman" w:hAnsi="Times New Roman" w:cs="Times New Roman"/>
                <w:snapToGrid w:val="0"/>
                <w:color w:val="auto"/>
                <w:sz w:val="24"/>
                <w:szCs w:val="32"/>
                <w:highlight w:val="none"/>
                <w:lang w:val="en-US" w:eastAsia="zh-CN"/>
              </w:rPr>
              <w:t>项目使用活性炭处理</w:t>
            </w:r>
            <w:r>
              <w:rPr>
                <w:rFonts w:hint="eastAsia" w:ascii="Times New Roman" w:hAnsi="Times New Roman" w:cs="Times New Roman"/>
                <w:snapToGrid w:val="0"/>
                <w:color w:val="auto"/>
                <w:sz w:val="24"/>
                <w:szCs w:val="32"/>
                <w:highlight w:val="none"/>
                <w:lang w:val="en-US" w:eastAsia="zh-CN"/>
              </w:rPr>
              <w:t>精炼</w:t>
            </w:r>
            <w:r>
              <w:rPr>
                <w:rFonts w:hint="default" w:ascii="Times New Roman" w:hAnsi="Times New Roman" w:cs="Times New Roman"/>
                <w:snapToGrid w:val="0"/>
                <w:color w:val="auto"/>
                <w:sz w:val="24"/>
                <w:szCs w:val="32"/>
                <w:highlight w:val="none"/>
                <w:lang w:val="en-US" w:eastAsia="zh-CN"/>
              </w:rPr>
              <w:t>工序中产生的</w:t>
            </w:r>
            <w:r>
              <w:rPr>
                <w:rFonts w:hint="eastAsia" w:ascii="Times New Roman" w:hAnsi="Times New Roman" w:cs="Times New Roman"/>
                <w:snapToGrid w:val="0"/>
                <w:color w:val="auto"/>
                <w:sz w:val="24"/>
                <w:szCs w:val="32"/>
                <w:highlight w:val="none"/>
                <w:lang w:val="en-US" w:eastAsia="zh-CN"/>
              </w:rPr>
              <w:t>游离脂肪酸（以非甲烷总烃计）</w:t>
            </w:r>
            <w:r>
              <w:rPr>
                <w:rFonts w:hint="default" w:ascii="Times New Roman" w:hAnsi="Times New Roman" w:cs="Times New Roman"/>
                <w:snapToGrid w:val="0"/>
                <w:color w:val="auto"/>
                <w:sz w:val="24"/>
                <w:szCs w:val="32"/>
                <w:highlight w:val="none"/>
                <w:lang w:val="en-US" w:eastAsia="zh-CN"/>
              </w:rPr>
              <w:t>，根据分析，项目活性</w:t>
            </w:r>
            <w:r>
              <w:rPr>
                <w:rFonts w:hint="default" w:ascii="Times New Roman" w:hAnsi="Times New Roman" w:cs="Times New Roman"/>
                <w:snapToGrid w:val="0"/>
                <w:color w:val="auto"/>
                <w:sz w:val="24"/>
                <w:szCs w:val="32"/>
                <w:highlight w:val="none"/>
                <w:shd w:val="clear" w:color="auto" w:fill="auto"/>
                <w:lang w:val="en-US" w:eastAsia="zh-CN"/>
              </w:rPr>
              <w:t>炭吸附的非甲烷总烃废气量约</w:t>
            </w:r>
            <w:r>
              <w:rPr>
                <w:rFonts w:hint="eastAsia" w:ascii="Times New Roman" w:hAnsi="Times New Roman" w:cs="Times New Roman"/>
                <w:snapToGrid w:val="0"/>
                <w:color w:val="auto"/>
                <w:sz w:val="24"/>
                <w:szCs w:val="32"/>
                <w:highlight w:val="none"/>
                <w:shd w:val="clear" w:color="auto" w:fill="auto"/>
                <w:lang w:val="en-US" w:eastAsia="zh-CN"/>
              </w:rPr>
              <w:t>0.6</w:t>
            </w:r>
            <w:r>
              <w:rPr>
                <w:rFonts w:hint="default" w:ascii="Times New Roman" w:hAnsi="Times New Roman" w:cs="Times New Roman"/>
                <w:snapToGrid w:val="0"/>
                <w:color w:val="auto"/>
                <w:sz w:val="24"/>
                <w:szCs w:val="32"/>
                <w:highlight w:val="none"/>
                <w:shd w:val="clear" w:color="auto" w:fill="auto"/>
                <w:lang w:val="en-US" w:eastAsia="zh-CN"/>
              </w:rPr>
              <w:t>t/a。根据《重庆市生态环境委员会办公室关于印发&lt;2023年重庆市夏秋季臭氧污染防治攻坚工作方案&gt;的函》，“采用一次性颗粒状活性炭处理VOCs废气，年活性炭使用量宜不应低于VOCs产生量的5倍，即1吨VOCs产生量，需5吨活性炭用于吸附”，则拟建项目需要活性炭约</w:t>
            </w:r>
            <w:r>
              <w:rPr>
                <w:rFonts w:hint="eastAsia" w:ascii="Times New Roman" w:hAnsi="Times New Roman" w:cs="Times New Roman"/>
                <w:snapToGrid w:val="0"/>
                <w:color w:val="auto"/>
                <w:sz w:val="24"/>
                <w:szCs w:val="32"/>
                <w:highlight w:val="none"/>
                <w:shd w:val="clear" w:color="auto" w:fill="auto"/>
                <w:lang w:val="en-US" w:eastAsia="zh-CN"/>
              </w:rPr>
              <w:t>3</w:t>
            </w:r>
            <w:r>
              <w:rPr>
                <w:rFonts w:hint="default" w:ascii="Times New Roman" w:hAnsi="Times New Roman" w:cs="Times New Roman"/>
                <w:snapToGrid w:val="0"/>
                <w:color w:val="auto"/>
                <w:sz w:val="24"/>
                <w:szCs w:val="32"/>
                <w:highlight w:val="none"/>
                <w:shd w:val="clear" w:color="auto" w:fill="auto"/>
                <w:lang w:val="en-US" w:eastAsia="zh-CN"/>
              </w:rPr>
              <w:t>t/a。</w:t>
            </w:r>
          </w:p>
          <w:p w14:paraId="287134CE">
            <w:pPr>
              <w:pStyle w:val="64"/>
              <w:keepNext w:val="0"/>
              <w:keepLines w:val="0"/>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cs="Times New Roman"/>
                <w:snapToGrid w:val="0"/>
                <w:color w:val="auto"/>
                <w:sz w:val="24"/>
                <w:szCs w:val="32"/>
                <w:highlight w:val="none"/>
                <w:lang w:val="en-US" w:eastAsia="zh-CN"/>
              </w:rPr>
            </w:pPr>
            <w:r>
              <w:rPr>
                <w:rFonts w:hint="default" w:ascii="Times New Roman" w:hAnsi="Times New Roman" w:cs="Times New Roman"/>
                <w:snapToGrid w:val="0"/>
                <w:color w:val="auto"/>
                <w:sz w:val="24"/>
                <w:szCs w:val="32"/>
                <w:highlight w:val="none"/>
                <w:lang w:val="en-US" w:eastAsia="zh-CN"/>
              </w:rPr>
              <w:t>根据《活性炭手册》，处理风量10000m</w:t>
            </w:r>
            <w:r>
              <w:rPr>
                <w:rFonts w:hint="default" w:ascii="Times New Roman" w:hAnsi="Times New Roman" w:cs="Times New Roman"/>
                <w:snapToGrid w:val="0"/>
                <w:color w:val="auto"/>
                <w:sz w:val="24"/>
                <w:szCs w:val="32"/>
                <w:highlight w:val="none"/>
                <w:vertAlign w:val="superscript"/>
                <w:lang w:val="en-US" w:eastAsia="zh-CN"/>
              </w:rPr>
              <w:t>3</w:t>
            </w:r>
            <w:r>
              <w:rPr>
                <w:rFonts w:hint="default" w:ascii="Times New Roman" w:hAnsi="Times New Roman" w:cs="Times New Roman"/>
                <w:snapToGrid w:val="0"/>
                <w:color w:val="auto"/>
                <w:sz w:val="24"/>
                <w:szCs w:val="32"/>
                <w:highlight w:val="none"/>
                <w:lang w:val="en-US" w:eastAsia="zh-CN"/>
              </w:rPr>
              <w:t>/h的废气活性炭装填量宜0.2~0.3t。项目处理设施风机风量为</w:t>
            </w:r>
            <w:r>
              <w:rPr>
                <w:rFonts w:hint="eastAsia" w:cs="Times New Roman"/>
                <w:snapToGrid w:val="0"/>
                <w:color w:val="auto"/>
                <w:sz w:val="24"/>
                <w:szCs w:val="32"/>
                <w:highlight w:val="none"/>
                <w:lang w:val="en-US" w:eastAsia="zh-CN"/>
              </w:rPr>
              <w:t>5</w:t>
            </w:r>
            <w:r>
              <w:rPr>
                <w:rFonts w:hint="eastAsia" w:ascii="Times New Roman" w:hAnsi="Times New Roman" w:cs="Times New Roman"/>
                <w:snapToGrid w:val="0"/>
                <w:color w:val="auto"/>
                <w:sz w:val="24"/>
                <w:szCs w:val="32"/>
                <w:highlight w:val="none"/>
                <w:lang w:val="en-US" w:eastAsia="zh-CN"/>
              </w:rPr>
              <w:t>0</w:t>
            </w:r>
            <w:r>
              <w:rPr>
                <w:rFonts w:hint="default" w:ascii="Times New Roman" w:hAnsi="Times New Roman" w:cs="Times New Roman"/>
                <w:snapToGrid w:val="0"/>
                <w:color w:val="auto"/>
                <w:sz w:val="24"/>
                <w:szCs w:val="32"/>
                <w:highlight w:val="none"/>
                <w:lang w:val="en-US" w:eastAsia="zh-CN"/>
              </w:rPr>
              <w:t>00m</w:t>
            </w:r>
            <w:r>
              <w:rPr>
                <w:rFonts w:hint="default" w:ascii="Times New Roman" w:hAnsi="Times New Roman" w:cs="Times New Roman"/>
                <w:snapToGrid w:val="0"/>
                <w:color w:val="auto"/>
                <w:sz w:val="24"/>
                <w:szCs w:val="32"/>
                <w:highlight w:val="none"/>
                <w:vertAlign w:val="superscript"/>
                <w:lang w:val="en-US" w:eastAsia="zh-CN"/>
              </w:rPr>
              <w:t>3</w:t>
            </w:r>
            <w:r>
              <w:rPr>
                <w:rFonts w:hint="default" w:ascii="Times New Roman" w:hAnsi="Times New Roman" w:cs="Times New Roman"/>
                <w:snapToGrid w:val="0"/>
                <w:color w:val="auto"/>
                <w:sz w:val="24"/>
                <w:szCs w:val="32"/>
                <w:highlight w:val="none"/>
                <w:lang w:val="en-US" w:eastAsia="zh-CN"/>
              </w:rPr>
              <w:t>/h，单次活性炭装填量取0.</w:t>
            </w:r>
            <w:r>
              <w:rPr>
                <w:rFonts w:hint="eastAsia" w:cs="Times New Roman"/>
                <w:snapToGrid w:val="0"/>
                <w:color w:val="auto"/>
                <w:sz w:val="24"/>
                <w:szCs w:val="32"/>
                <w:highlight w:val="none"/>
                <w:lang w:val="en-US" w:eastAsia="zh-CN"/>
              </w:rPr>
              <w:t>15</w:t>
            </w:r>
            <w:r>
              <w:rPr>
                <w:rFonts w:hint="default" w:ascii="Times New Roman" w:hAnsi="Times New Roman" w:cs="Times New Roman"/>
                <w:snapToGrid w:val="0"/>
                <w:color w:val="auto"/>
                <w:sz w:val="24"/>
                <w:szCs w:val="32"/>
                <w:highlight w:val="none"/>
                <w:lang w:val="en-US" w:eastAsia="zh-CN"/>
              </w:rPr>
              <w:t>t。</w:t>
            </w:r>
          </w:p>
          <w:p w14:paraId="5F3FBEEB">
            <w:pPr>
              <w:pStyle w:val="24"/>
              <w:keepNext w:val="0"/>
              <w:keepLines w:val="0"/>
              <w:pageBreakBefore w:val="0"/>
              <w:widowControl w:val="0"/>
              <w:kinsoku/>
              <w:wordWrap/>
              <w:overflowPunct w:val="0"/>
              <w:topLinePunct/>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sz w:val="24"/>
                <w:szCs w:val="32"/>
                <w:highlight w:val="none"/>
                <w:shd w:val="clear" w:color="auto" w:fill="auto"/>
                <w:lang w:val="en-US" w:eastAsia="zh-CN"/>
              </w:rPr>
            </w:pPr>
            <w:r>
              <w:rPr>
                <w:rFonts w:hint="default" w:ascii="Times New Roman" w:hAnsi="Times New Roman" w:cs="Times New Roman"/>
                <w:snapToGrid w:val="0"/>
                <w:color w:val="auto"/>
                <w:sz w:val="24"/>
                <w:szCs w:val="32"/>
                <w:highlight w:val="none"/>
                <w:lang w:val="en-US" w:eastAsia="zh-CN"/>
              </w:rPr>
              <w:t>活性炭在满负荷吸附废气后，将对废活性炭进行更换。为了保证活性炭吸附装置的处理效果，采用碘值不低于800mg/g的活性炭作为吸附剂。活性炭装为保证有机废气去除效率，活性炭应及时更换，建议每个月更换1次，则更换下来的废活性炭（</w:t>
            </w:r>
            <w:r>
              <w:rPr>
                <w:rFonts w:hint="default" w:ascii="Times New Roman" w:hAnsi="Times New Roman" w:cs="Times New Roman"/>
                <w:snapToGrid w:val="0"/>
                <w:color w:val="auto"/>
                <w:sz w:val="24"/>
                <w:szCs w:val="24"/>
                <w:highlight w:val="none"/>
                <w:lang w:val="en-US" w:eastAsia="zh-CN"/>
              </w:rPr>
              <w:t>编号：</w:t>
            </w:r>
            <w:r>
              <w:rPr>
                <w:rFonts w:hint="default" w:ascii="Times New Roman" w:hAnsi="Times New Roman" w:cs="Times New Roman"/>
                <w:color w:val="auto"/>
                <w:sz w:val="24"/>
                <w:szCs w:val="24"/>
                <w:highlight w:val="none"/>
              </w:rPr>
              <w:t>900-0</w:t>
            </w:r>
            <w:r>
              <w:rPr>
                <w:rFonts w:hint="default" w:ascii="Times New Roman" w:hAnsi="Times New Roman" w:cs="Times New Roman"/>
                <w:color w:val="auto"/>
                <w:sz w:val="24"/>
                <w:szCs w:val="24"/>
                <w:highlight w:val="none"/>
                <w:lang w:val="en-US" w:eastAsia="zh-CN"/>
              </w:rPr>
              <w:t>39</w:t>
            </w:r>
            <w:r>
              <w:rPr>
                <w:rFonts w:hint="default" w:ascii="Times New Roman" w:hAnsi="Times New Roman" w:cs="Times New Roman"/>
                <w:color w:val="auto"/>
                <w:sz w:val="24"/>
                <w:szCs w:val="24"/>
                <w:highlight w:val="none"/>
              </w:rPr>
              <w:t>-49</w:t>
            </w:r>
            <w:r>
              <w:rPr>
                <w:rFonts w:hint="default" w:ascii="Times New Roman" w:hAnsi="Times New Roman" w:cs="Times New Roman"/>
                <w:snapToGrid w:val="0"/>
                <w:color w:val="auto"/>
                <w:sz w:val="24"/>
                <w:szCs w:val="32"/>
                <w:highlight w:val="none"/>
                <w:lang w:val="en-US" w:eastAsia="zh-CN"/>
              </w:rPr>
              <w:t>）产生量约</w:t>
            </w:r>
            <w:r>
              <w:rPr>
                <w:rFonts w:hint="eastAsia" w:ascii="Times New Roman" w:hAnsi="Times New Roman" w:cs="Times New Roman"/>
                <w:snapToGrid w:val="0"/>
                <w:color w:val="auto"/>
                <w:sz w:val="24"/>
                <w:szCs w:val="32"/>
                <w:highlight w:val="none"/>
                <w:lang w:val="en-US" w:eastAsia="zh-CN"/>
              </w:rPr>
              <w:t>3.6</w:t>
            </w:r>
            <w:r>
              <w:rPr>
                <w:rFonts w:hint="default" w:ascii="Times New Roman" w:hAnsi="Times New Roman" w:cs="Times New Roman"/>
                <w:snapToGrid w:val="0"/>
                <w:color w:val="auto"/>
                <w:sz w:val="24"/>
                <w:szCs w:val="32"/>
                <w:highlight w:val="none"/>
                <w:lang w:val="en-US" w:eastAsia="zh-CN"/>
              </w:rPr>
              <w:t>t。收集后分类暂存于危险废物贮存</w:t>
            </w:r>
            <w:r>
              <w:rPr>
                <w:rFonts w:hint="eastAsia" w:ascii="Times New Roman" w:hAnsi="Times New Roman" w:cs="Times New Roman"/>
                <w:snapToGrid w:val="0"/>
                <w:color w:val="auto"/>
                <w:sz w:val="24"/>
                <w:szCs w:val="32"/>
                <w:highlight w:val="none"/>
                <w:lang w:val="en-US" w:eastAsia="zh-CN"/>
              </w:rPr>
              <w:t>点</w:t>
            </w:r>
            <w:r>
              <w:rPr>
                <w:rFonts w:hint="default" w:ascii="Times New Roman" w:hAnsi="Times New Roman" w:cs="Times New Roman"/>
                <w:snapToGrid w:val="0"/>
                <w:color w:val="auto"/>
                <w:sz w:val="24"/>
                <w:szCs w:val="32"/>
                <w:highlight w:val="none"/>
                <w:lang w:val="en-US" w:eastAsia="zh-CN"/>
              </w:rPr>
              <w:t>，交由有危废处置资质的单位处置。</w:t>
            </w:r>
          </w:p>
          <w:p w14:paraId="5ADEB6A0">
            <w:pPr>
              <w:pStyle w:val="24"/>
              <w:keepNext w:val="0"/>
              <w:keepLines w:val="0"/>
              <w:pageBreakBefore w:val="0"/>
              <w:widowControl w:val="0"/>
              <w:kinsoku/>
              <w:wordWrap/>
              <w:overflowPunct w:val="0"/>
              <w:topLinePunct/>
              <w:autoSpaceDE/>
              <w:autoSpaceDN/>
              <w:bidi w:val="0"/>
              <w:spacing w:line="460" w:lineRule="exact"/>
              <w:jc w:val="center"/>
              <w:textAlignment w:val="auto"/>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spacing w:val="8"/>
                <w:sz w:val="22"/>
                <w:szCs w:val="22"/>
                <w:highlight w:val="none"/>
              </w:rPr>
              <w:t>表</w:t>
            </w:r>
            <w:r>
              <w:rPr>
                <w:rFonts w:hint="default" w:ascii="Times New Roman" w:hAnsi="Times New Roman" w:eastAsia="Times New Roman" w:cs="Times New Roman"/>
                <w:b/>
                <w:bCs/>
                <w:color w:val="auto"/>
                <w:spacing w:val="8"/>
                <w:sz w:val="22"/>
                <w:szCs w:val="22"/>
                <w:highlight w:val="none"/>
              </w:rPr>
              <w:t>4</w:t>
            </w:r>
            <w:r>
              <w:rPr>
                <w:rFonts w:hint="default" w:ascii="Times New Roman" w:hAnsi="Times New Roman" w:eastAsia="宋体" w:cs="Times New Roman"/>
                <w:b/>
                <w:bCs/>
                <w:color w:val="auto"/>
                <w:spacing w:val="8"/>
                <w:sz w:val="22"/>
                <w:szCs w:val="22"/>
                <w:highlight w:val="none"/>
                <w:lang w:val="en-US" w:eastAsia="zh-CN"/>
              </w:rPr>
              <w:t>.2-</w:t>
            </w:r>
            <w:r>
              <w:rPr>
                <w:rFonts w:hint="eastAsia" w:ascii="Times New Roman" w:hAnsi="Times New Roman" w:cs="Times New Roman"/>
                <w:b/>
                <w:bCs/>
                <w:color w:val="auto"/>
                <w:spacing w:val="8"/>
                <w:sz w:val="22"/>
                <w:szCs w:val="22"/>
                <w:highlight w:val="none"/>
                <w:lang w:val="en-US" w:eastAsia="zh-CN"/>
              </w:rPr>
              <w:t>16本项目</w:t>
            </w:r>
            <w:r>
              <w:rPr>
                <w:rFonts w:hint="default" w:ascii="Times New Roman" w:hAnsi="Times New Roman" w:cs="Times New Roman"/>
                <w:b/>
                <w:bCs/>
                <w:color w:val="auto"/>
                <w:spacing w:val="8"/>
                <w:sz w:val="22"/>
                <w:szCs w:val="22"/>
                <w:highlight w:val="none"/>
              </w:rPr>
              <w:t>固废产生情况及处理措施一览表</w:t>
            </w:r>
          </w:p>
          <w:p w14:paraId="6CF54217">
            <w:pPr>
              <w:pageBreakBefore w:val="0"/>
              <w:kinsoku/>
              <w:wordWrap/>
              <w:overflowPunct w:val="0"/>
              <w:topLinePunct/>
              <w:bidi w:val="0"/>
              <w:spacing w:line="93" w:lineRule="exact"/>
              <w:rPr>
                <w:rFonts w:hint="default" w:ascii="Times New Roman" w:hAnsi="Times New Roman" w:cs="Times New Roman"/>
                <w:color w:val="auto"/>
                <w:highlight w:val="none"/>
              </w:rPr>
            </w:pPr>
          </w:p>
          <w:tbl>
            <w:tblPr>
              <w:tblStyle w:val="38"/>
              <w:tblW w:w="4992" w:type="pct"/>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15"/>
              <w:gridCol w:w="1046"/>
              <w:gridCol w:w="748"/>
              <w:gridCol w:w="1987"/>
              <w:gridCol w:w="2793"/>
            </w:tblGrid>
            <w:tr w14:paraId="6FAC5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noWrap w:val="0"/>
                  <w:vAlign w:val="center"/>
                </w:tcPr>
                <w:p w14:paraId="1143906B">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名称</w:t>
                  </w:r>
                </w:p>
              </w:tc>
              <w:tc>
                <w:tcPr>
                  <w:tcW w:w="663" w:type="pct"/>
                  <w:tcBorders>
                    <w:tl2br w:val="nil"/>
                    <w:tr2bl w:val="nil"/>
                  </w:tcBorders>
                  <w:noWrap w:val="0"/>
                  <w:vAlign w:val="center"/>
                </w:tcPr>
                <w:p w14:paraId="749CFEFE">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产生量</w:t>
                  </w:r>
                </w:p>
              </w:tc>
              <w:tc>
                <w:tcPr>
                  <w:tcW w:w="474" w:type="pct"/>
                  <w:tcBorders>
                    <w:tl2br w:val="nil"/>
                    <w:tr2bl w:val="nil"/>
                  </w:tcBorders>
                  <w:noWrap w:val="0"/>
                  <w:vAlign w:val="center"/>
                </w:tcPr>
                <w:p w14:paraId="07D987DF">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单位</w:t>
                  </w:r>
                </w:p>
              </w:tc>
              <w:tc>
                <w:tcPr>
                  <w:tcW w:w="1259" w:type="pct"/>
                  <w:tcBorders>
                    <w:tl2br w:val="nil"/>
                    <w:tr2bl w:val="nil"/>
                  </w:tcBorders>
                  <w:noWrap w:val="0"/>
                  <w:vAlign w:val="center"/>
                </w:tcPr>
                <w:p w14:paraId="64101BEA">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废物类别</w:t>
                  </w:r>
                </w:p>
              </w:tc>
              <w:tc>
                <w:tcPr>
                  <w:tcW w:w="1769" w:type="pct"/>
                  <w:tcBorders>
                    <w:tl2br w:val="nil"/>
                    <w:tr2bl w:val="nil"/>
                  </w:tcBorders>
                  <w:noWrap w:val="0"/>
                  <w:vAlign w:val="center"/>
                </w:tcPr>
                <w:p w14:paraId="1B894420">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处理措施</w:t>
                  </w:r>
                </w:p>
              </w:tc>
            </w:tr>
            <w:tr w14:paraId="47848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noWrap w:val="0"/>
                  <w:vAlign w:val="center"/>
                </w:tcPr>
                <w:p w14:paraId="2EDC7F0D">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3"/>
                      <w:kern w:val="2"/>
                      <w:sz w:val="21"/>
                      <w:szCs w:val="21"/>
                      <w:highlight w:val="none"/>
                      <w:lang w:val="en-US" w:eastAsia="zh-CN" w:bidi="ar-SA"/>
                    </w:rPr>
                    <w:t>过滤杂质</w:t>
                  </w:r>
                </w:p>
              </w:tc>
              <w:tc>
                <w:tcPr>
                  <w:tcW w:w="663" w:type="pct"/>
                  <w:tcBorders>
                    <w:tl2br w:val="nil"/>
                    <w:tr2bl w:val="nil"/>
                  </w:tcBorders>
                  <w:noWrap w:val="0"/>
                  <w:vAlign w:val="center"/>
                </w:tcPr>
                <w:p w14:paraId="0F178CF0">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474" w:type="pct"/>
                  <w:tcBorders>
                    <w:tl2br w:val="nil"/>
                    <w:tr2bl w:val="nil"/>
                  </w:tcBorders>
                  <w:noWrap w:val="0"/>
                  <w:vAlign w:val="center"/>
                </w:tcPr>
                <w:p w14:paraId="2E419B23">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t/a</w:t>
                  </w:r>
                </w:p>
              </w:tc>
              <w:tc>
                <w:tcPr>
                  <w:tcW w:w="1259" w:type="pct"/>
                  <w:tcBorders>
                    <w:tl2br w:val="nil"/>
                    <w:tr2bl w:val="nil"/>
                  </w:tcBorders>
                  <w:noWrap w:val="0"/>
                  <w:vAlign w:val="center"/>
                </w:tcPr>
                <w:p w14:paraId="482112E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cs="Times New Roman"/>
                      <w:color w:val="auto"/>
                      <w:sz w:val="21"/>
                      <w:szCs w:val="21"/>
                      <w:highlight w:val="none"/>
                    </w:rPr>
                    <w:t>一般工业固废</w:t>
                  </w:r>
                  <w:r>
                    <w:rPr>
                      <w:rFonts w:hint="default" w:ascii="Times New Roman" w:hAnsi="Times New Roman" w:cs="Times New Roman"/>
                      <w:color w:val="auto"/>
                      <w:spacing w:val="-3"/>
                      <w:kern w:val="2"/>
                      <w:sz w:val="21"/>
                      <w:szCs w:val="21"/>
                      <w:highlight w:val="none"/>
                      <w:lang w:val="en-US" w:eastAsia="zh-CN" w:bidi="ar-SA"/>
                    </w:rPr>
                    <w:t>900-099-S59</w:t>
                  </w:r>
                </w:p>
              </w:tc>
              <w:tc>
                <w:tcPr>
                  <w:tcW w:w="1769" w:type="pct"/>
                  <w:tcBorders>
                    <w:tl2br w:val="nil"/>
                    <w:tr2bl w:val="nil"/>
                  </w:tcBorders>
                  <w:noWrap w:val="0"/>
                  <w:vAlign w:val="center"/>
                </w:tcPr>
                <w:p w14:paraId="098D4ED3">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收集后</w:t>
                  </w:r>
                  <w:r>
                    <w:rPr>
                      <w:rFonts w:hint="eastAsia" w:ascii="Times New Roman" w:hAnsi="Times New Roman" w:cs="Times New Roman"/>
                      <w:color w:val="auto"/>
                      <w:sz w:val="21"/>
                      <w:szCs w:val="21"/>
                      <w:highlight w:val="none"/>
                      <w:lang w:val="en-US" w:eastAsia="zh-CN"/>
                    </w:rPr>
                    <w:t>交</w:t>
                  </w:r>
                  <w:r>
                    <w:rPr>
                      <w:rFonts w:hint="eastAsia" w:ascii="Times New Roman" w:hAnsi="Times New Roman" w:eastAsia="宋体" w:cs="Times New Roman"/>
                      <w:color w:val="auto"/>
                      <w:spacing w:val="-3"/>
                      <w:kern w:val="2"/>
                      <w:sz w:val="21"/>
                      <w:szCs w:val="21"/>
                      <w:highlight w:val="none"/>
                      <w:lang w:val="en-US" w:eastAsia="zh-CN" w:bidi="ar-SA"/>
                    </w:rPr>
                    <w:t>四川宝汉丰废弃资源综合利用有限公司</w:t>
                  </w:r>
                  <w:r>
                    <w:rPr>
                      <w:rFonts w:hint="eastAsia" w:ascii="Times New Roman" w:hAnsi="Times New Roman" w:cs="Times New Roman"/>
                      <w:color w:val="auto"/>
                      <w:spacing w:val="-3"/>
                      <w:kern w:val="2"/>
                      <w:sz w:val="21"/>
                      <w:szCs w:val="21"/>
                      <w:highlight w:val="none"/>
                      <w:lang w:val="en-US" w:eastAsia="zh-CN" w:bidi="ar-SA"/>
                    </w:rPr>
                    <w:t>处置</w:t>
                  </w:r>
                </w:p>
              </w:tc>
            </w:tr>
            <w:tr w14:paraId="5A94E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noWrap w:val="0"/>
                  <w:vAlign w:val="center"/>
                </w:tcPr>
                <w:p w14:paraId="04486160">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3"/>
                      <w:kern w:val="2"/>
                      <w:sz w:val="21"/>
                      <w:szCs w:val="21"/>
                      <w:highlight w:val="none"/>
                      <w:lang w:val="en-US" w:eastAsia="zh-CN" w:bidi="ar-SA"/>
                    </w:rPr>
                    <w:t>皂脚</w:t>
                  </w:r>
                </w:p>
              </w:tc>
              <w:tc>
                <w:tcPr>
                  <w:tcW w:w="663" w:type="pct"/>
                  <w:tcBorders>
                    <w:tl2br w:val="nil"/>
                    <w:tr2bl w:val="nil"/>
                  </w:tcBorders>
                  <w:noWrap w:val="0"/>
                  <w:vAlign w:val="center"/>
                </w:tcPr>
                <w:p w14:paraId="69BEA8FE">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5770</w:t>
                  </w:r>
                </w:p>
              </w:tc>
              <w:tc>
                <w:tcPr>
                  <w:tcW w:w="474" w:type="pct"/>
                  <w:tcBorders>
                    <w:tl2br w:val="nil"/>
                    <w:tr2bl w:val="nil"/>
                  </w:tcBorders>
                  <w:noWrap w:val="0"/>
                  <w:vAlign w:val="center"/>
                </w:tcPr>
                <w:p w14:paraId="462D427D">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pacing w:val="1"/>
                      <w:sz w:val="21"/>
                      <w:szCs w:val="21"/>
                      <w:highlight w:val="none"/>
                    </w:rPr>
                  </w:pPr>
                  <w:r>
                    <w:rPr>
                      <w:rFonts w:hint="default" w:ascii="Times New Roman" w:hAnsi="Times New Roman" w:eastAsia="Times New Roman" w:cs="Times New Roman"/>
                      <w:color w:val="auto"/>
                      <w:spacing w:val="1"/>
                      <w:sz w:val="21"/>
                      <w:szCs w:val="21"/>
                      <w:highlight w:val="none"/>
                    </w:rPr>
                    <w:t>t/a</w:t>
                  </w:r>
                </w:p>
              </w:tc>
              <w:tc>
                <w:tcPr>
                  <w:tcW w:w="1259" w:type="pct"/>
                  <w:tcBorders>
                    <w:tl2br w:val="nil"/>
                    <w:tr2bl w:val="nil"/>
                  </w:tcBorders>
                  <w:noWrap w:val="0"/>
                  <w:vAlign w:val="center"/>
                </w:tcPr>
                <w:p w14:paraId="1833A83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z w:val="21"/>
                      <w:szCs w:val="21"/>
                      <w:highlight w:val="none"/>
                    </w:rPr>
                    <w:t>一般工业固废</w:t>
                  </w:r>
                  <w:r>
                    <w:rPr>
                      <w:rFonts w:hint="default" w:ascii="Times New Roman" w:hAnsi="Times New Roman" w:cs="Times New Roman"/>
                      <w:color w:val="auto"/>
                      <w:spacing w:val="-3"/>
                      <w:kern w:val="2"/>
                      <w:sz w:val="21"/>
                      <w:szCs w:val="21"/>
                      <w:highlight w:val="none"/>
                      <w:lang w:val="en-US" w:eastAsia="zh-CN" w:bidi="ar-SA"/>
                    </w:rPr>
                    <w:t>133-002-S13</w:t>
                  </w:r>
                </w:p>
              </w:tc>
              <w:tc>
                <w:tcPr>
                  <w:tcW w:w="1769" w:type="pct"/>
                  <w:tcBorders>
                    <w:tl2br w:val="nil"/>
                    <w:tr2bl w:val="nil"/>
                  </w:tcBorders>
                  <w:noWrap w:val="0"/>
                  <w:vAlign w:val="center"/>
                </w:tcPr>
                <w:p w14:paraId="11697524">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7"/>
                      <w:sz w:val="21"/>
                      <w:szCs w:val="21"/>
                      <w:highlight w:val="none"/>
                    </w:rPr>
                  </w:pPr>
                  <w:r>
                    <w:rPr>
                      <w:rFonts w:hint="default" w:ascii="Times New Roman" w:hAnsi="Times New Roman" w:cs="Times New Roman"/>
                      <w:color w:val="auto"/>
                      <w:spacing w:val="-3"/>
                      <w:kern w:val="2"/>
                      <w:sz w:val="21"/>
                      <w:szCs w:val="21"/>
                      <w:highlight w:val="none"/>
                      <w:lang w:val="en-US" w:eastAsia="zh-CN" w:bidi="ar-SA"/>
                    </w:rPr>
                    <w:t>经皂脚罐收集后定期外售</w:t>
                  </w:r>
                </w:p>
              </w:tc>
            </w:tr>
            <w:tr w14:paraId="138B1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noWrap w:val="0"/>
                  <w:vAlign w:val="center"/>
                </w:tcPr>
                <w:p w14:paraId="78217BBD">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6"/>
                      <w:sz w:val="21"/>
                      <w:szCs w:val="21"/>
                      <w:highlight w:val="none"/>
                      <w:lang w:val="en-US" w:eastAsia="zh-CN"/>
                    </w:rPr>
                  </w:pPr>
                  <w:r>
                    <w:rPr>
                      <w:rFonts w:hint="default" w:ascii="Times New Roman" w:hAnsi="Times New Roman" w:cs="Times New Roman"/>
                      <w:color w:val="auto"/>
                      <w:spacing w:val="-3"/>
                      <w:kern w:val="2"/>
                      <w:sz w:val="21"/>
                      <w:szCs w:val="21"/>
                      <w:highlight w:val="none"/>
                      <w:lang w:val="en-US" w:eastAsia="zh-CN" w:bidi="ar-SA"/>
                    </w:rPr>
                    <w:t>废白土</w:t>
                  </w:r>
                </w:p>
              </w:tc>
              <w:tc>
                <w:tcPr>
                  <w:tcW w:w="663" w:type="pct"/>
                  <w:tcBorders>
                    <w:tl2br w:val="nil"/>
                    <w:tr2bl w:val="nil"/>
                  </w:tcBorders>
                  <w:noWrap w:val="0"/>
                  <w:vAlign w:val="center"/>
                </w:tcPr>
                <w:p w14:paraId="093EAE3C">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580</w:t>
                  </w:r>
                </w:p>
              </w:tc>
              <w:tc>
                <w:tcPr>
                  <w:tcW w:w="474" w:type="pct"/>
                  <w:tcBorders>
                    <w:tl2br w:val="nil"/>
                    <w:tr2bl w:val="nil"/>
                  </w:tcBorders>
                  <w:noWrap w:val="0"/>
                  <w:vAlign w:val="center"/>
                </w:tcPr>
                <w:p w14:paraId="7C4CC84C">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pacing w:val="1"/>
                      <w:sz w:val="21"/>
                      <w:szCs w:val="21"/>
                      <w:highlight w:val="none"/>
                    </w:rPr>
                  </w:pPr>
                  <w:r>
                    <w:rPr>
                      <w:rFonts w:hint="default" w:ascii="Times New Roman" w:hAnsi="Times New Roman" w:eastAsia="Times New Roman" w:cs="Times New Roman"/>
                      <w:color w:val="auto"/>
                      <w:spacing w:val="1"/>
                      <w:sz w:val="21"/>
                      <w:szCs w:val="21"/>
                      <w:highlight w:val="none"/>
                    </w:rPr>
                    <w:t>t/a</w:t>
                  </w:r>
                </w:p>
              </w:tc>
              <w:tc>
                <w:tcPr>
                  <w:tcW w:w="1259" w:type="pct"/>
                  <w:tcBorders>
                    <w:tl2br w:val="nil"/>
                    <w:tr2bl w:val="nil"/>
                  </w:tcBorders>
                  <w:noWrap w:val="0"/>
                  <w:vAlign w:val="center"/>
                </w:tcPr>
                <w:p w14:paraId="54C655B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z w:val="21"/>
                      <w:szCs w:val="21"/>
                      <w:highlight w:val="none"/>
                    </w:rPr>
                    <w:t>一般工业固废</w:t>
                  </w:r>
                  <w:r>
                    <w:rPr>
                      <w:rFonts w:hint="default" w:ascii="Times New Roman" w:hAnsi="Times New Roman" w:cs="Times New Roman"/>
                      <w:color w:val="auto"/>
                      <w:spacing w:val="-3"/>
                      <w:kern w:val="2"/>
                      <w:sz w:val="21"/>
                      <w:szCs w:val="21"/>
                      <w:highlight w:val="none"/>
                      <w:lang w:val="en-US" w:eastAsia="zh-CN" w:bidi="ar-SA"/>
                    </w:rPr>
                    <w:t>133-001-S13</w:t>
                  </w:r>
                </w:p>
              </w:tc>
              <w:tc>
                <w:tcPr>
                  <w:tcW w:w="1769" w:type="pct"/>
                  <w:tcBorders>
                    <w:tl2br w:val="nil"/>
                    <w:tr2bl w:val="nil"/>
                  </w:tcBorders>
                  <w:noWrap w:val="0"/>
                  <w:vAlign w:val="center"/>
                </w:tcPr>
                <w:p w14:paraId="2B3CF5D1">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cs="Times New Roman"/>
                      <w:color w:val="auto"/>
                      <w:spacing w:val="-3"/>
                      <w:kern w:val="2"/>
                      <w:sz w:val="21"/>
                      <w:szCs w:val="21"/>
                      <w:highlight w:val="none"/>
                      <w:lang w:val="en-US" w:eastAsia="zh-CN" w:bidi="ar-SA"/>
                    </w:rPr>
                    <w:t>暂存于废白土间（面积80m</w:t>
                  </w:r>
                  <w:r>
                    <w:rPr>
                      <w:rFonts w:hint="default" w:ascii="Times New Roman" w:hAnsi="Times New Roman" w:cs="Times New Roman"/>
                      <w:color w:val="auto"/>
                      <w:spacing w:val="-3"/>
                      <w:kern w:val="2"/>
                      <w:sz w:val="21"/>
                      <w:szCs w:val="21"/>
                      <w:highlight w:val="none"/>
                      <w:vertAlign w:val="superscript"/>
                      <w:lang w:val="en-US" w:eastAsia="zh-CN" w:bidi="ar-SA"/>
                    </w:rPr>
                    <w:t>2</w:t>
                  </w:r>
                  <w:r>
                    <w:rPr>
                      <w:rFonts w:hint="default" w:ascii="Times New Roman" w:hAnsi="Times New Roman" w:cs="Times New Roman"/>
                      <w:color w:val="auto"/>
                      <w:spacing w:val="-3"/>
                      <w:kern w:val="2"/>
                      <w:sz w:val="21"/>
                      <w:szCs w:val="21"/>
                      <w:highlight w:val="none"/>
                      <w:lang w:val="en-US" w:eastAsia="zh-CN" w:bidi="ar-SA"/>
                    </w:rPr>
                    <w:t>）内设的废白土收集箱（2个，单个19m</w:t>
                  </w:r>
                  <w:r>
                    <w:rPr>
                      <w:rFonts w:hint="default" w:ascii="Times New Roman" w:hAnsi="Times New Roman" w:cs="Times New Roman"/>
                      <w:color w:val="auto"/>
                      <w:spacing w:val="-3"/>
                      <w:kern w:val="2"/>
                      <w:sz w:val="21"/>
                      <w:szCs w:val="21"/>
                      <w:highlight w:val="none"/>
                      <w:vertAlign w:val="superscript"/>
                      <w:lang w:val="en-US" w:eastAsia="zh-CN" w:bidi="ar-SA"/>
                    </w:rPr>
                    <w:t>3</w:t>
                  </w:r>
                  <w:r>
                    <w:rPr>
                      <w:rFonts w:hint="default" w:ascii="Times New Roman" w:hAnsi="Times New Roman" w:cs="Times New Roman"/>
                      <w:color w:val="auto"/>
                      <w:spacing w:val="-3"/>
                      <w:kern w:val="2"/>
                      <w:sz w:val="21"/>
                      <w:szCs w:val="21"/>
                      <w:highlight w:val="none"/>
                      <w:lang w:val="en-US" w:eastAsia="zh-CN" w:bidi="ar-SA"/>
                    </w:rPr>
                    <w:t>）内，定期</w:t>
                  </w:r>
                  <w:r>
                    <w:rPr>
                      <w:rFonts w:hint="eastAsia" w:ascii="Times New Roman" w:hAnsi="Times New Roman" w:cs="Times New Roman"/>
                      <w:color w:val="auto"/>
                      <w:sz w:val="21"/>
                      <w:szCs w:val="21"/>
                      <w:highlight w:val="none"/>
                      <w:lang w:val="en-US" w:eastAsia="zh-CN"/>
                    </w:rPr>
                    <w:t>交</w:t>
                  </w:r>
                  <w:r>
                    <w:rPr>
                      <w:rFonts w:hint="eastAsia" w:ascii="Times New Roman" w:hAnsi="Times New Roman" w:eastAsia="宋体" w:cs="Times New Roman"/>
                      <w:color w:val="auto"/>
                      <w:spacing w:val="-3"/>
                      <w:kern w:val="2"/>
                      <w:sz w:val="21"/>
                      <w:szCs w:val="21"/>
                      <w:highlight w:val="none"/>
                      <w:lang w:val="en-US" w:eastAsia="zh-CN" w:bidi="ar-SA"/>
                    </w:rPr>
                    <w:t>四川宝汉丰废弃资源综合利用有限公司</w:t>
                  </w:r>
                  <w:r>
                    <w:rPr>
                      <w:rFonts w:hint="eastAsia" w:ascii="Times New Roman" w:hAnsi="Times New Roman" w:cs="Times New Roman"/>
                      <w:color w:val="auto"/>
                      <w:spacing w:val="-3"/>
                      <w:kern w:val="2"/>
                      <w:sz w:val="21"/>
                      <w:szCs w:val="21"/>
                      <w:highlight w:val="none"/>
                      <w:lang w:val="en-US" w:eastAsia="zh-CN" w:bidi="ar-SA"/>
                    </w:rPr>
                    <w:t>处置</w:t>
                  </w:r>
                </w:p>
              </w:tc>
            </w:tr>
            <w:tr w14:paraId="7A811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shd w:val="clear" w:color="auto" w:fill="auto"/>
                  <w:noWrap w:val="0"/>
                  <w:vAlign w:val="center"/>
                </w:tcPr>
                <w:p w14:paraId="7BD5EFBF">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废助滤剂</w:t>
                  </w:r>
                </w:p>
              </w:tc>
              <w:tc>
                <w:tcPr>
                  <w:tcW w:w="663" w:type="pct"/>
                  <w:tcBorders>
                    <w:tl2br w:val="nil"/>
                    <w:tr2bl w:val="nil"/>
                  </w:tcBorders>
                  <w:shd w:val="clear" w:color="auto" w:fill="auto"/>
                  <w:noWrap w:val="0"/>
                  <w:vAlign w:val="center"/>
                </w:tcPr>
                <w:p w14:paraId="096DD04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30</w:t>
                  </w:r>
                </w:p>
              </w:tc>
              <w:tc>
                <w:tcPr>
                  <w:tcW w:w="474" w:type="pct"/>
                  <w:tcBorders>
                    <w:tl2br w:val="nil"/>
                    <w:tr2bl w:val="nil"/>
                  </w:tcBorders>
                  <w:shd w:val="clear" w:color="auto" w:fill="auto"/>
                  <w:noWrap w:val="0"/>
                  <w:vAlign w:val="center"/>
                </w:tcPr>
                <w:p w14:paraId="7BED649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pacing w:val="1"/>
                      <w:kern w:val="2"/>
                      <w:sz w:val="21"/>
                      <w:szCs w:val="21"/>
                      <w:highlight w:val="none"/>
                      <w:lang w:val="en-US" w:eastAsia="zh-CN" w:bidi="ar-SA"/>
                    </w:rPr>
                  </w:pPr>
                  <w:r>
                    <w:rPr>
                      <w:rFonts w:hint="default" w:ascii="Times New Roman" w:hAnsi="Times New Roman" w:eastAsia="Times New Roman" w:cs="Times New Roman"/>
                      <w:color w:val="auto"/>
                      <w:spacing w:val="1"/>
                      <w:sz w:val="21"/>
                      <w:szCs w:val="21"/>
                      <w:highlight w:val="none"/>
                    </w:rPr>
                    <w:t>t/a</w:t>
                  </w:r>
                </w:p>
              </w:tc>
              <w:tc>
                <w:tcPr>
                  <w:tcW w:w="1259" w:type="pct"/>
                  <w:tcBorders>
                    <w:tl2br w:val="nil"/>
                    <w:tr2bl w:val="nil"/>
                  </w:tcBorders>
                  <w:shd w:val="clear" w:color="auto" w:fill="auto"/>
                  <w:noWrap w:val="0"/>
                  <w:vAlign w:val="center"/>
                </w:tcPr>
                <w:p w14:paraId="094C92B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cs="Times New Roman"/>
                      <w:color w:val="auto"/>
                      <w:sz w:val="21"/>
                      <w:szCs w:val="21"/>
                      <w:highlight w:val="none"/>
                    </w:rPr>
                    <w:t>一般工业固废</w:t>
                  </w:r>
                  <w:r>
                    <w:rPr>
                      <w:rFonts w:hint="default" w:ascii="Times New Roman" w:hAnsi="Times New Roman" w:cs="Times New Roman"/>
                      <w:color w:val="auto"/>
                      <w:spacing w:val="-3"/>
                      <w:kern w:val="2"/>
                      <w:sz w:val="21"/>
                      <w:szCs w:val="21"/>
                      <w:highlight w:val="none"/>
                      <w:lang w:val="en-US" w:eastAsia="zh-CN" w:bidi="ar-SA"/>
                    </w:rPr>
                    <w:t>900-009-S59</w:t>
                  </w:r>
                </w:p>
              </w:tc>
              <w:tc>
                <w:tcPr>
                  <w:tcW w:w="1769" w:type="pct"/>
                  <w:tcBorders>
                    <w:tl2br w:val="nil"/>
                    <w:tr2bl w:val="nil"/>
                  </w:tcBorders>
                  <w:shd w:val="clear" w:color="auto" w:fill="auto"/>
                  <w:noWrap w:val="0"/>
                  <w:vAlign w:val="center"/>
                </w:tcPr>
                <w:p w14:paraId="1F62F405">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暂存于废助滤剂间（面积80m</w:t>
                  </w:r>
                  <w:r>
                    <w:rPr>
                      <w:rFonts w:hint="default" w:ascii="Times New Roman" w:hAnsi="Times New Roman" w:cs="Times New Roman"/>
                      <w:color w:val="auto"/>
                      <w:spacing w:val="-3"/>
                      <w:kern w:val="2"/>
                      <w:sz w:val="21"/>
                      <w:szCs w:val="21"/>
                      <w:highlight w:val="none"/>
                      <w:vertAlign w:val="superscript"/>
                      <w:lang w:val="en-US" w:eastAsia="zh-CN" w:bidi="ar-SA"/>
                    </w:rPr>
                    <w:t>2</w:t>
                  </w:r>
                  <w:r>
                    <w:rPr>
                      <w:rFonts w:hint="default" w:ascii="Times New Roman" w:hAnsi="Times New Roman" w:cs="Times New Roman"/>
                      <w:color w:val="auto"/>
                      <w:spacing w:val="-3"/>
                      <w:kern w:val="2"/>
                      <w:sz w:val="21"/>
                      <w:szCs w:val="21"/>
                      <w:highlight w:val="none"/>
                      <w:lang w:val="en-US" w:eastAsia="zh-CN" w:bidi="ar-SA"/>
                    </w:rPr>
                    <w:t>）内设的废助滤剂存料箱（2个，单个19m</w:t>
                  </w:r>
                  <w:r>
                    <w:rPr>
                      <w:rFonts w:hint="default" w:ascii="Times New Roman" w:hAnsi="Times New Roman" w:cs="Times New Roman"/>
                      <w:color w:val="auto"/>
                      <w:spacing w:val="-3"/>
                      <w:kern w:val="2"/>
                      <w:sz w:val="21"/>
                      <w:szCs w:val="21"/>
                      <w:highlight w:val="none"/>
                      <w:vertAlign w:val="superscript"/>
                      <w:lang w:val="en-US" w:eastAsia="zh-CN" w:bidi="ar-SA"/>
                    </w:rPr>
                    <w:t>3</w:t>
                  </w:r>
                  <w:r>
                    <w:rPr>
                      <w:rFonts w:hint="default" w:ascii="Times New Roman" w:hAnsi="Times New Roman" w:cs="Times New Roman"/>
                      <w:color w:val="auto"/>
                      <w:spacing w:val="-3"/>
                      <w:kern w:val="2"/>
                      <w:sz w:val="21"/>
                      <w:szCs w:val="21"/>
                      <w:highlight w:val="none"/>
                      <w:lang w:val="en-US" w:eastAsia="zh-CN" w:bidi="ar-SA"/>
                    </w:rPr>
                    <w:t>）内，定期</w:t>
                  </w:r>
                  <w:r>
                    <w:rPr>
                      <w:rFonts w:hint="eastAsia" w:ascii="Times New Roman" w:hAnsi="Times New Roman" w:cs="Times New Roman"/>
                      <w:color w:val="auto"/>
                      <w:sz w:val="21"/>
                      <w:szCs w:val="21"/>
                      <w:highlight w:val="none"/>
                      <w:lang w:val="en-US" w:eastAsia="zh-CN"/>
                    </w:rPr>
                    <w:t>交</w:t>
                  </w:r>
                  <w:r>
                    <w:rPr>
                      <w:rFonts w:hint="eastAsia" w:ascii="Times New Roman" w:hAnsi="Times New Roman" w:eastAsia="宋体" w:cs="Times New Roman"/>
                      <w:color w:val="auto"/>
                      <w:spacing w:val="-3"/>
                      <w:kern w:val="2"/>
                      <w:sz w:val="21"/>
                      <w:szCs w:val="21"/>
                      <w:highlight w:val="none"/>
                      <w:lang w:val="en-US" w:eastAsia="zh-CN" w:bidi="ar-SA"/>
                    </w:rPr>
                    <w:t>四川宝汉丰废弃资源综合利用有限公司</w:t>
                  </w:r>
                  <w:r>
                    <w:rPr>
                      <w:rFonts w:hint="eastAsia" w:ascii="Times New Roman" w:hAnsi="Times New Roman" w:cs="Times New Roman"/>
                      <w:color w:val="auto"/>
                      <w:spacing w:val="-3"/>
                      <w:kern w:val="2"/>
                      <w:sz w:val="21"/>
                      <w:szCs w:val="21"/>
                      <w:highlight w:val="none"/>
                      <w:lang w:val="en-US" w:eastAsia="zh-CN" w:bidi="ar-SA"/>
                    </w:rPr>
                    <w:t>处置</w:t>
                  </w:r>
                </w:p>
              </w:tc>
            </w:tr>
            <w:tr w14:paraId="1EDB0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shd w:val="clear" w:color="auto" w:fill="auto"/>
                  <w:noWrap w:val="0"/>
                  <w:vAlign w:val="center"/>
                </w:tcPr>
                <w:p w14:paraId="3B25EEB0">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脂肪酸</w:t>
                  </w:r>
                </w:p>
              </w:tc>
              <w:tc>
                <w:tcPr>
                  <w:tcW w:w="663" w:type="pct"/>
                  <w:tcBorders>
                    <w:tl2br w:val="nil"/>
                    <w:tr2bl w:val="nil"/>
                  </w:tcBorders>
                  <w:shd w:val="clear" w:color="auto" w:fill="auto"/>
                  <w:noWrap w:val="0"/>
                  <w:vAlign w:val="center"/>
                </w:tcPr>
                <w:p w14:paraId="183DA88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15</w:t>
                  </w:r>
                </w:p>
              </w:tc>
              <w:tc>
                <w:tcPr>
                  <w:tcW w:w="474" w:type="pct"/>
                  <w:tcBorders>
                    <w:tl2br w:val="nil"/>
                    <w:tr2bl w:val="nil"/>
                  </w:tcBorders>
                  <w:shd w:val="clear" w:color="auto" w:fill="auto"/>
                  <w:noWrap w:val="0"/>
                  <w:vAlign w:val="center"/>
                </w:tcPr>
                <w:p w14:paraId="19D27E6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pacing w:val="1"/>
                      <w:sz w:val="21"/>
                      <w:szCs w:val="21"/>
                      <w:highlight w:val="none"/>
                    </w:rPr>
                  </w:pPr>
                  <w:r>
                    <w:rPr>
                      <w:rFonts w:hint="default" w:ascii="Times New Roman" w:hAnsi="Times New Roman" w:eastAsia="Times New Roman" w:cs="Times New Roman"/>
                      <w:color w:val="auto"/>
                      <w:spacing w:val="1"/>
                      <w:sz w:val="21"/>
                      <w:szCs w:val="21"/>
                      <w:highlight w:val="none"/>
                    </w:rPr>
                    <w:t>t/a</w:t>
                  </w:r>
                </w:p>
              </w:tc>
              <w:tc>
                <w:tcPr>
                  <w:tcW w:w="1259" w:type="pct"/>
                  <w:tcBorders>
                    <w:tl2br w:val="nil"/>
                    <w:tr2bl w:val="nil"/>
                  </w:tcBorders>
                  <w:shd w:val="clear" w:color="auto" w:fill="auto"/>
                  <w:noWrap w:val="0"/>
                  <w:vAlign w:val="center"/>
                </w:tcPr>
                <w:p w14:paraId="4638675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一般工业固废</w:t>
                  </w:r>
                  <w:r>
                    <w:rPr>
                      <w:rFonts w:hint="default" w:ascii="Times New Roman" w:hAnsi="Times New Roman" w:cs="Times New Roman"/>
                      <w:color w:val="auto"/>
                      <w:spacing w:val="-3"/>
                      <w:kern w:val="2"/>
                      <w:sz w:val="21"/>
                      <w:szCs w:val="21"/>
                      <w:highlight w:val="none"/>
                      <w:lang w:val="en-US" w:eastAsia="zh-CN" w:bidi="ar-SA"/>
                    </w:rPr>
                    <w:t>900-009-S59</w:t>
                  </w:r>
                </w:p>
              </w:tc>
              <w:tc>
                <w:tcPr>
                  <w:tcW w:w="1769" w:type="pct"/>
                  <w:tcBorders>
                    <w:tl2br w:val="nil"/>
                    <w:tr2bl w:val="nil"/>
                  </w:tcBorders>
                  <w:shd w:val="clear" w:color="auto" w:fill="auto"/>
                  <w:noWrap w:val="0"/>
                  <w:vAlign w:val="center"/>
                </w:tcPr>
                <w:p w14:paraId="3B087672">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暂存于脂肪酸罐，定期</w:t>
                  </w:r>
                  <w:r>
                    <w:rPr>
                      <w:rFonts w:hint="eastAsia" w:ascii="Times New Roman" w:hAnsi="Times New Roman" w:cs="Times New Roman"/>
                      <w:color w:val="auto"/>
                      <w:sz w:val="21"/>
                      <w:szCs w:val="21"/>
                      <w:highlight w:val="none"/>
                      <w:lang w:val="en-US" w:eastAsia="zh-CN"/>
                    </w:rPr>
                    <w:t>交</w:t>
                  </w:r>
                  <w:r>
                    <w:rPr>
                      <w:rFonts w:hint="eastAsia" w:ascii="Times New Roman" w:hAnsi="Times New Roman" w:eastAsia="宋体" w:cs="Times New Roman"/>
                      <w:color w:val="auto"/>
                      <w:spacing w:val="-3"/>
                      <w:kern w:val="2"/>
                      <w:sz w:val="21"/>
                      <w:szCs w:val="21"/>
                      <w:highlight w:val="none"/>
                      <w:lang w:val="en-US" w:eastAsia="zh-CN" w:bidi="ar-SA"/>
                    </w:rPr>
                    <w:t>四川宝汉丰废弃资源综合利用有限公司</w:t>
                  </w:r>
                  <w:r>
                    <w:rPr>
                      <w:rFonts w:hint="eastAsia" w:ascii="Times New Roman" w:hAnsi="Times New Roman" w:cs="Times New Roman"/>
                      <w:color w:val="auto"/>
                      <w:spacing w:val="-3"/>
                      <w:kern w:val="2"/>
                      <w:sz w:val="21"/>
                      <w:szCs w:val="21"/>
                      <w:highlight w:val="none"/>
                      <w:lang w:val="en-US" w:eastAsia="zh-CN" w:bidi="ar-SA"/>
                    </w:rPr>
                    <w:t>处置</w:t>
                  </w:r>
                </w:p>
              </w:tc>
            </w:tr>
            <w:tr w14:paraId="54618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shd w:val="clear" w:color="auto" w:fill="auto"/>
                  <w:noWrap w:val="0"/>
                  <w:vAlign w:val="center"/>
                </w:tcPr>
                <w:p w14:paraId="2D58FAF5">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废RO膜</w:t>
                  </w:r>
                </w:p>
              </w:tc>
              <w:tc>
                <w:tcPr>
                  <w:tcW w:w="663" w:type="pct"/>
                  <w:tcBorders>
                    <w:tl2br w:val="nil"/>
                    <w:tr2bl w:val="nil"/>
                  </w:tcBorders>
                  <w:shd w:val="clear" w:color="auto" w:fill="auto"/>
                  <w:noWrap w:val="0"/>
                  <w:vAlign w:val="center"/>
                </w:tcPr>
                <w:p w14:paraId="49FF432E">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0.005</w:t>
                  </w:r>
                </w:p>
              </w:tc>
              <w:tc>
                <w:tcPr>
                  <w:tcW w:w="474" w:type="pct"/>
                  <w:tcBorders>
                    <w:tl2br w:val="nil"/>
                    <w:tr2bl w:val="nil"/>
                  </w:tcBorders>
                  <w:shd w:val="clear" w:color="auto" w:fill="auto"/>
                  <w:noWrap w:val="0"/>
                  <w:vAlign w:val="center"/>
                </w:tcPr>
                <w:p w14:paraId="108F3979">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pacing w:val="1"/>
                      <w:sz w:val="21"/>
                      <w:szCs w:val="21"/>
                      <w:highlight w:val="none"/>
                    </w:rPr>
                  </w:pPr>
                  <w:r>
                    <w:rPr>
                      <w:rFonts w:hint="default" w:ascii="Times New Roman" w:hAnsi="Times New Roman" w:eastAsia="Times New Roman" w:cs="Times New Roman"/>
                      <w:color w:val="auto"/>
                      <w:spacing w:val="1"/>
                      <w:sz w:val="21"/>
                      <w:szCs w:val="21"/>
                      <w:highlight w:val="none"/>
                    </w:rPr>
                    <w:t>t/a</w:t>
                  </w:r>
                </w:p>
              </w:tc>
              <w:tc>
                <w:tcPr>
                  <w:tcW w:w="1259" w:type="pct"/>
                  <w:tcBorders>
                    <w:tl2br w:val="nil"/>
                    <w:tr2bl w:val="nil"/>
                  </w:tcBorders>
                  <w:shd w:val="clear" w:color="auto" w:fill="auto"/>
                  <w:noWrap w:val="0"/>
                  <w:vAlign w:val="center"/>
                </w:tcPr>
                <w:p w14:paraId="5734326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一般工业固废</w:t>
                  </w:r>
                  <w:r>
                    <w:rPr>
                      <w:rFonts w:hint="default" w:ascii="Times New Roman" w:hAnsi="Times New Roman" w:cs="Times New Roman"/>
                      <w:color w:val="auto"/>
                      <w:spacing w:val="-3"/>
                      <w:kern w:val="2"/>
                      <w:sz w:val="21"/>
                      <w:szCs w:val="21"/>
                      <w:highlight w:val="none"/>
                      <w:lang w:val="en-US" w:eastAsia="zh-CN" w:bidi="ar-SA"/>
                    </w:rPr>
                    <w:t>900-009-S59</w:t>
                  </w:r>
                </w:p>
              </w:tc>
              <w:tc>
                <w:tcPr>
                  <w:tcW w:w="1769" w:type="pct"/>
                  <w:tcBorders>
                    <w:tl2br w:val="nil"/>
                    <w:tr2bl w:val="nil"/>
                  </w:tcBorders>
                  <w:shd w:val="clear" w:color="auto" w:fill="auto"/>
                  <w:noWrap w:val="0"/>
                  <w:vAlign w:val="center"/>
                </w:tcPr>
                <w:p w14:paraId="17FA5C1B">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由厂家定期更换并回收</w:t>
                  </w:r>
                </w:p>
              </w:tc>
            </w:tr>
            <w:tr w14:paraId="7A08B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shd w:val="clear" w:color="auto" w:fill="auto"/>
                  <w:noWrap w:val="0"/>
                  <w:vAlign w:val="center"/>
                </w:tcPr>
                <w:p w14:paraId="4FA8023F">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废包装袋</w:t>
                  </w:r>
                </w:p>
              </w:tc>
              <w:tc>
                <w:tcPr>
                  <w:tcW w:w="663" w:type="pct"/>
                  <w:tcBorders>
                    <w:tl2br w:val="nil"/>
                    <w:tr2bl w:val="nil"/>
                  </w:tcBorders>
                  <w:shd w:val="clear" w:color="auto" w:fill="auto"/>
                  <w:noWrap w:val="0"/>
                  <w:vAlign w:val="center"/>
                </w:tcPr>
                <w:p w14:paraId="3FD353B6">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1.5</w:t>
                  </w:r>
                </w:p>
              </w:tc>
              <w:tc>
                <w:tcPr>
                  <w:tcW w:w="474" w:type="pct"/>
                  <w:tcBorders>
                    <w:tl2br w:val="nil"/>
                    <w:tr2bl w:val="nil"/>
                  </w:tcBorders>
                  <w:shd w:val="clear" w:color="auto" w:fill="auto"/>
                  <w:noWrap w:val="0"/>
                  <w:vAlign w:val="center"/>
                </w:tcPr>
                <w:p w14:paraId="37AD565B">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pacing w:val="1"/>
                      <w:sz w:val="21"/>
                      <w:szCs w:val="21"/>
                      <w:highlight w:val="none"/>
                    </w:rPr>
                  </w:pPr>
                  <w:r>
                    <w:rPr>
                      <w:rFonts w:hint="default" w:ascii="Times New Roman" w:hAnsi="Times New Roman" w:eastAsia="Times New Roman" w:cs="Times New Roman"/>
                      <w:color w:val="auto"/>
                      <w:spacing w:val="1"/>
                      <w:sz w:val="21"/>
                      <w:szCs w:val="21"/>
                      <w:highlight w:val="none"/>
                    </w:rPr>
                    <w:t>t/a</w:t>
                  </w:r>
                </w:p>
              </w:tc>
              <w:tc>
                <w:tcPr>
                  <w:tcW w:w="1259" w:type="pct"/>
                  <w:tcBorders>
                    <w:tl2br w:val="nil"/>
                    <w:tr2bl w:val="nil"/>
                  </w:tcBorders>
                  <w:shd w:val="clear" w:color="auto" w:fill="auto"/>
                  <w:noWrap w:val="0"/>
                  <w:vAlign w:val="center"/>
                </w:tcPr>
                <w:p w14:paraId="440C484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一般工业固废</w:t>
                  </w:r>
                  <w:r>
                    <w:rPr>
                      <w:rFonts w:hint="default" w:ascii="Times New Roman" w:hAnsi="Times New Roman" w:cs="Times New Roman"/>
                      <w:color w:val="auto"/>
                      <w:spacing w:val="-3"/>
                      <w:kern w:val="2"/>
                      <w:sz w:val="21"/>
                      <w:szCs w:val="21"/>
                      <w:highlight w:val="none"/>
                      <w:lang w:val="en-US" w:eastAsia="zh-CN" w:bidi="ar-SA"/>
                    </w:rPr>
                    <w:t>900-009-S59</w:t>
                  </w:r>
                </w:p>
              </w:tc>
              <w:tc>
                <w:tcPr>
                  <w:tcW w:w="1769" w:type="pct"/>
                  <w:tcBorders>
                    <w:tl2br w:val="nil"/>
                    <w:tr2bl w:val="nil"/>
                  </w:tcBorders>
                  <w:shd w:val="clear" w:color="auto" w:fill="auto"/>
                  <w:noWrap w:val="0"/>
                  <w:vAlign w:val="center"/>
                </w:tcPr>
                <w:p w14:paraId="17F4BE5C">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收集后外售</w:t>
                  </w:r>
                </w:p>
              </w:tc>
            </w:tr>
            <w:tr w14:paraId="4C53F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3" w:type="pct"/>
                  <w:tcBorders>
                    <w:tl2br w:val="nil"/>
                    <w:tr2bl w:val="nil"/>
                  </w:tcBorders>
                  <w:shd w:val="clear" w:color="auto" w:fill="auto"/>
                  <w:noWrap w:val="0"/>
                  <w:vAlign w:val="center"/>
                </w:tcPr>
                <w:p w14:paraId="2274FB09">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eastAsia" w:ascii="Times New Roman" w:hAnsi="Times New Roman" w:cs="Times New Roman"/>
                      <w:color w:val="auto"/>
                      <w:spacing w:val="-3"/>
                      <w:kern w:val="2"/>
                      <w:sz w:val="21"/>
                      <w:szCs w:val="21"/>
                      <w:highlight w:val="none"/>
                      <w:lang w:val="en-US" w:eastAsia="zh-CN" w:bidi="ar-SA"/>
                    </w:rPr>
                    <w:t>废活性炭</w:t>
                  </w:r>
                </w:p>
              </w:tc>
              <w:tc>
                <w:tcPr>
                  <w:tcW w:w="663" w:type="pct"/>
                  <w:tcBorders>
                    <w:tl2br w:val="nil"/>
                    <w:tr2bl w:val="nil"/>
                  </w:tcBorders>
                  <w:shd w:val="clear" w:color="auto" w:fill="auto"/>
                  <w:noWrap w:val="0"/>
                  <w:vAlign w:val="center"/>
                </w:tcPr>
                <w:p w14:paraId="36608F57">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cs="Times New Roman"/>
                      <w:color w:val="auto"/>
                      <w:spacing w:val="-3"/>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3.6</w:t>
                  </w:r>
                </w:p>
              </w:tc>
              <w:tc>
                <w:tcPr>
                  <w:tcW w:w="474" w:type="pct"/>
                  <w:tcBorders>
                    <w:tl2br w:val="nil"/>
                    <w:tr2bl w:val="nil"/>
                  </w:tcBorders>
                  <w:shd w:val="clear" w:color="auto" w:fill="auto"/>
                  <w:noWrap w:val="0"/>
                  <w:vAlign w:val="center"/>
                </w:tcPr>
                <w:p w14:paraId="166E053E">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pacing w:val="1"/>
                      <w:sz w:val="21"/>
                      <w:szCs w:val="21"/>
                      <w:highlight w:val="none"/>
                    </w:rPr>
                  </w:pPr>
                  <w:r>
                    <w:rPr>
                      <w:rFonts w:hint="default" w:ascii="Times New Roman" w:hAnsi="Times New Roman" w:eastAsia="Times New Roman" w:cs="Times New Roman"/>
                      <w:color w:val="auto"/>
                      <w:spacing w:val="1"/>
                      <w:sz w:val="21"/>
                      <w:szCs w:val="21"/>
                      <w:highlight w:val="none"/>
                    </w:rPr>
                    <w:t>t/a</w:t>
                  </w:r>
                </w:p>
              </w:tc>
              <w:tc>
                <w:tcPr>
                  <w:tcW w:w="1259" w:type="pct"/>
                  <w:tcBorders>
                    <w:tl2br w:val="nil"/>
                    <w:tr2bl w:val="nil"/>
                  </w:tcBorders>
                  <w:shd w:val="clear" w:color="auto" w:fill="auto"/>
                  <w:noWrap w:val="0"/>
                  <w:vAlign w:val="center"/>
                </w:tcPr>
                <w:p w14:paraId="5CD7B50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ascii="Times New Roman" w:hAnsi="Times New Roman"/>
                      <w:color w:val="auto"/>
                      <w:highlight w:val="none"/>
                      <w:lang w:val="en-US" w:eastAsia="zh-CN"/>
                    </w:rPr>
                  </w:pPr>
                  <w:r>
                    <w:rPr>
                      <w:rFonts w:hint="eastAsia" w:cs="Times New Roman"/>
                      <w:color w:val="auto"/>
                      <w:sz w:val="21"/>
                      <w:szCs w:val="21"/>
                      <w:highlight w:val="none"/>
                      <w:lang w:val="en-US" w:eastAsia="zh-CN"/>
                    </w:rPr>
                    <w:t>危险废物</w:t>
                  </w:r>
                  <w:r>
                    <w:rPr>
                      <w:rFonts w:hint="eastAsia" w:ascii="Times New Roman" w:hAnsi="Times New Roman"/>
                      <w:color w:val="auto"/>
                      <w:highlight w:val="none"/>
                    </w:rPr>
                    <w:t>H</w:t>
                  </w:r>
                  <w:r>
                    <w:rPr>
                      <w:rFonts w:ascii="Times New Roman" w:hAnsi="Times New Roman"/>
                      <w:color w:val="auto"/>
                      <w:highlight w:val="none"/>
                    </w:rPr>
                    <w:t>W</w:t>
                  </w:r>
                  <w:r>
                    <w:rPr>
                      <w:rFonts w:hint="eastAsia" w:ascii="Times New Roman" w:hAnsi="Times New Roman"/>
                      <w:color w:val="auto"/>
                      <w:highlight w:val="none"/>
                      <w:lang w:val="en-US" w:eastAsia="zh-CN"/>
                    </w:rPr>
                    <w:t>49</w:t>
                  </w:r>
                </w:p>
                <w:p w14:paraId="3F348CDE">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900-0</w:t>
                  </w:r>
                  <w:r>
                    <w:rPr>
                      <w:rFonts w:hint="default" w:ascii="Times New Roman" w:hAnsi="Times New Roman" w:cs="Times New Roman"/>
                      <w:color w:val="auto"/>
                      <w:sz w:val="21"/>
                      <w:szCs w:val="21"/>
                      <w:highlight w:val="none"/>
                      <w:lang w:val="en-US" w:eastAsia="zh-CN"/>
                    </w:rPr>
                    <w:t>39</w:t>
                  </w:r>
                  <w:r>
                    <w:rPr>
                      <w:rFonts w:hint="default" w:ascii="Times New Roman" w:hAnsi="Times New Roman" w:cs="Times New Roman"/>
                      <w:color w:val="auto"/>
                      <w:sz w:val="21"/>
                      <w:szCs w:val="21"/>
                      <w:highlight w:val="none"/>
                    </w:rPr>
                    <w:t>-49</w:t>
                  </w:r>
                </w:p>
              </w:tc>
              <w:tc>
                <w:tcPr>
                  <w:tcW w:w="1769" w:type="pct"/>
                  <w:tcBorders>
                    <w:tl2br w:val="nil"/>
                    <w:tr2bl w:val="nil"/>
                  </w:tcBorders>
                  <w:shd w:val="clear" w:color="auto" w:fill="auto"/>
                  <w:noWrap w:val="0"/>
                  <w:vAlign w:val="center"/>
                </w:tcPr>
                <w:p w14:paraId="6FF1E949">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eastAsia" w:ascii="Times New Roman" w:hAnsi="Times New Roman" w:cs="Times New Roman"/>
                      <w:color w:val="auto"/>
                      <w:spacing w:val="-3"/>
                      <w:kern w:val="2"/>
                      <w:sz w:val="21"/>
                      <w:szCs w:val="21"/>
                      <w:highlight w:val="none"/>
                      <w:lang w:val="en-US" w:eastAsia="zh-CN" w:bidi="ar-SA"/>
                    </w:rPr>
                    <w:t>暂存于危废暂存间（15m</w:t>
                  </w:r>
                  <w:r>
                    <w:rPr>
                      <w:rFonts w:hint="eastAsia" w:ascii="Times New Roman" w:hAnsi="Times New Roman" w:cs="Times New Roman"/>
                      <w:color w:val="auto"/>
                      <w:spacing w:val="-3"/>
                      <w:kern w:val="2"/>
                      <w:sz w:val="21"/>
                      <w:szCs w:val="21"/>
                      <w:highlight w:val="none"/>
                      <w:vertAlign w:val="superscript"/>
                      <w:lang w:val="en-US" w:eastAsia="zh-CN" w:bidi="ar-SA"/>
                    </w:rPr>
                    <w:t>2</w:t>
                  </w:r>
                  <w:r>
                    <w:rPr>
                      <w:rFonts w:hint="eastAsia" w:ascii="Times New Roman" w:hAnsi="Times New Roman" w:cs="Times New Roman"/>
                      <w:color w:val="auto"/>
                      <w:spacing w:val="-3"/>
                      <w:kern w:val="2"/>
                      <w:sz w:val="21"/>
                      <w:szCs w:val="21"/>
                      <w:highlight w:val="none"/>
                      <w:lang w:val="en-US" w:eastAsia="zh-CN" w:bidi="ar-SA"/>
                    </w:rPr>
                    <w:t>），定期交有资质单位处理</w:t>
                  </w:r>
                </w:p>
              </w:tc>
            </w:tr>
          </w:tbl>
          <w:p w14:paraId="7120D35B">
            <w:pPr>
              <w:adjustRightInd w:val="0"/>
              <w:snapToGrid w:val="0"/>
              <w:jc w:val="center"/>
              <w:rPr>
                <w:bCs/>
                <w:color w:val="auto"/>
                <w:sz w:val="24"/>
                <w:szCs w:val="32"/>
                <w:highlight w:val="none"/>
              </w:rPr>
            </w:pPr>
            <w:r>
              <w:rPr>
                <w:bCs/>
                <w:color w:val="auto"/>
                <w:sz w:val="24"/>
                <w:szCs w:val="32"/>
                <w:highlight w:val="none"/>
              </w:rPr>
              <w:t>表4</w:t>
            </w:r>
            <w:r>
              <w:rPr>
                <w:rFonts w:hint="eastAsia"/>
                <w:bCs/>
                <w:color w:val="auto"/>
                <w:sz w:val="24"/>
                <w:szCs w:val="32"/>
                <w:highlight w:val="none"/>
                <w:lang w:val="en-US" w:eastAsia="zh-CN"/>
              </w:rPr>
              <w:t>.2</w:t>
            </w:r>
            <w:r>
              <w:rPr>
                <w:bCs/>
                <w:color w:val="auto"/>
                <w:sz w:val="24"/>
                <w:szCs w:val="32"/>
                <w:highlight w:val="none"/>
              </w:rPr>
              <w:t>-</w:t>
            </w:r>
            <w:r>
              <w:rPr>
                <w:rFonts w:hint="eastAsia"/>
                <w:bCs/>
                <w:color w:val="auto"/>
                <w:sz w:val="24"/>
                <w:szCs w:val="32"/>
                <w:highlight w:val="none"/>
              </w:rPr>
              <w:t>1</w:t>
            </w:r>
            <w:r>
              <w:rPr>
                <w:rFonts w:hint="eastAsia"/>
                <w:bCs/>
                <w:color w:val="auto"/>
                <w:sz w:val="24"/>
                <w:szCs w:val="32"/>
                <w:highlight w:val="none"/>
                <w:lang w:val="en-US" w:eastAsia="zh-CN"/>
              </w:rPr>
              <w:t>7</w:t>
            </w:r>
            <w:r>
              <w:rPr>
                <w:bCs/>
                <w:color w:val="auto"/>
                <w:sz w:val="24"/>
                <w:szCs w:val="32"/>
                <w:highlight w:val="none"/>
              </w:rPr>
              <w:t xml:space="preserve">  拟建项目危险废物产生情况汇总表</w:t>
            </w:r>
          </w:p>
          <w:tbl>
            <w:tblPr>
              <w:tblStyle w:val="1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39"/>
              <w:gridCol w:w="613"/>
              <w:gridCol w:w="853"/>
              <w:gridCol w:w="1199"/>
              <w:gridCol w:w="632"/>
              <w:gridCol w:w="718"/>
              <w:gridCol w:w="488"/>
              <w:gridCol w:w="733"/>
              <w:gridCol w:w="543"/>
              <w:gridCol w:w="629"/>
              <w:gridCol w:w="1018"/>
            </w:tblGrid>
            <w:tr w14:paraId="230C52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439" w:type="dxa"/>
                  <w:noWrap w:val="0"/>
                  <w:vAlign w:val="center"/>
                </w:tcPr>
                <w:p w14:paraId="49B5F719">
                  <w:pPr>
                    <w:adjustRightInd w:val="0"/>
                    <w:snapToGrid w:val="0"/>
                    <w:spacing w:line="260" w:lineRule="exact"/>
                    <w:jc w:val="center"/>
                    <w:rPr>
                      <w:color w:val="auto"/>
                      <w:szCs w:val="22"/>
                      <w:highlight w:val="none"/>
                    </w:rPr>
                  </w:pPr>
                  <w:r>
                    <w:rPr>
                      <w:color w:val="auto"/>
                      <w:szCs w:val="22"/>
                      <w:highlight w:val="none"/>
                    </w:rPr>
                    <w:t>序号</w:t>
                  </w:r>
                </w:p>
              </w:tc>
              <w:tc>
                <w:tcPr>
                  <w:tcW w:w="613" w:type="dxa"/>
                  <w:noWrap w:val="0"/>
                  <w:vAlign w:val="center"/>
                </w:tcPr>
                <w:p w14:paraId="42F58F2E">
                  <w:pPr>
                    <w:adjustRightInd w:val="0"/>
                    <w:snapToGrid w:val="0"/>
                    <w:spacing w:line="260" w:lineRule="exact"/>
                    <w:jc w:val="center"/>
                    <w:rPr>
                      <w:color w:val="auto"/>
                      <w:szCs w:val="22"/>
                      <w:highlight w:val="none"/>
                    </w:rPr>
                  </w:pPr>
                  <w:r>
                    <w:rPr>
                      <w:color w:val="auto"/>
                      <w:szCs w:val="22"/>
                      <w:highlight w:val="none"/>
                    </w:rPr>
                    <w:t>危险废物名称</w:t>
                  </w:r>
                </w:p>
              </w:tc>
              <w:tc>
                <w:tcPr>
                  <w:tcW w:w="853" w:type="dxa"/>
                  <w:noWrap w:val="0"/>
                  <w:vAlign w:val="center"/>
                </w:tcPr>
                <w:p w14:paraId="5168EACB">
                  <w:pPr>
                    <w:adjustRightInd w:val="0"/>
                    <w:snapToGrid w:val="0"/>
                    <w:spacing w:line="260" w:lineRule="exact"/>
                    <w:jc w:val="center"/>
                    <w:rPr>
                      <w:color w:val="auto"/>
                      <w:szCs w:val="22"/>
                      <w:highlight w:val="none"/>
                    </w:rPr>
                  </w:pPr>
                  <w:r>
                    <w:rPr>
                      <w:color w:val="auto"/>
                      <w:szCs w:val="22"/>
                      <w:highlight w:val="none"/>
                    </w:rPr>
                    <w:t>危险废物类别</w:t>
                  </w:r>
                </w:p>
              </w:tc>
              <w:tc>
                <w:tcPr>
                  <w:tcW w:w="1199" w:type="dxa"/>
                  <w:noWrap w:val="0"/>
                  <w:vAlign w:val="center"/>
                </w:tcPr>
                <w:p w14:paraId="68AACA4B">
                  <w:pPr>
                    <w:adjustRightInd w:val="0"/>
                    <w:snapToGrid w:val="0"/>
                    <w:spacing w:line="260" w:lineRule="exact"/>
                    <w:jc w:val="center"/>
                    <w:rPr>
                      <w:color w:val="auto"/>
                      <w:szCs w:val="22"/>
                      <w:highlight w:val="none"/>
                    </w:rPr>
                  </w:pPr>
                  <w:r>
                    <w:rPr>
                      <w:color w:val="auto"/>
                      <w:szCs w:val="22"/>
                      <w:highlight w:val="none"/>
                    </w:rPr>
                    <w:t>危险废物代码</w:t>
                  </w:r>
                </w:p>
              </w:tc>
              <w:tc>
                <w:tcPr>
                  <w:tcW w:w="632" w:type="dxa"/>
                  <w:noWrap w:val="0"/>
                  <w:vAlign w:val="center"/>
                </w:tcPr>
                <w:p w14:paraId="34DF48AD">
                  <w:pPr>
                    <w:adjustRightInd w:val="0"/>
                    <w:snapToGrid w:val="0"/>
                    <w:spacing w:line="260" w:lineRule="exact"/>
                    <w:jc w:val="center"/>
                    <w:rPr>
                      <w:color w:val="auto"/>
                      <w:szCs w:val="22"/>
                      <w:highlight w:val="none"/>
                    </w:rPr>
                  </w:pPr>
                  <w:r>
                    <w:rPr>
                      <w:color w:val="auto"/>
                      <w:szCs w:val="22"/>
                      <w:highlight w:val="none"/>
                    </w:rPr>
                    <w:t>产生量t/a</w:t>
                  </w:r>
                </w:p>
              </w:tc>
              <w:tc>
                <w:tcPr>
                  <w:tcW w:w="718" w:type="dxa"/>
                  <w:noWrap w:val="0"/>
                  <w:vAlign w:val="center"/>
                </w:tcPr>
                <w:p w14:paraId="27A9BEA3">
                  <w:pPr>
                    <w:adjustRightInd w:val="0"/>
                    <w:snapToGrid w:val="0"/>
                    <w:spacing w:line="260" w:lineRule="exact"/>
                    <w:jc w:val="center"/>
                    <w:rPr>
                      <w:color w:val="auto"/>
                      <w:szCs w:val="22"/>
                      <w:highlight w:val="none"/>
                    </w:rPr>
                  </w:pPr>
                  <w:r>
                    <w:rPr>
                      <w:color w:val="auto"/>
                      <w:szCs w:val="22"/>
                      <w:highlight w:val="none"/>
                    </w:rPr>
                    <w:t>产生工序、装置</w:t>
                  </w:r>
                </w:p>
              </w:tc>
              <w:tc>
                <w:tcPr>
                  <w:tcW w:w="488" w:type="dxa"/>
                  <w:noWrap w:val="0"/>
                  <w:vAlign w:val="center"/>
                </w:tcPr>
                <w:p w14:paraId="762F6992">
                  <w:pPr>
                    <w:adjustRightInd w:val="0"/>
                    <w:snapToGrid w:val="0"/>
                    <w:spacing w:line="260" w:lineRule="exact"/>
                    <w:jc w:val="center"/>
                    <w:rPr>
                      <w:color w:val="auto"/>
                      <w:szCs w:val="22"/>
                      <w:highlight w:val="none"/>
                    </w:rPr>
                  </w:pPr>
                  <w:r>
                    <w:rPr>
                      <w:color w:val="auto"/>
                      <w:szCs w:val="22"/>
                      <w:highlight w:val="none"/>
                    </w:rPr>
                    <w:t>形态</w:t>
                  </w:r>
                </w:p>
              </w:tc>
              <w:tc>
                <w:tcPr>
                  <w:tcW w:w="733" w:type="dxa"/>
                  <w:noWrap w:val="0"/>
                  <w:vAlign w:val="center"/>
                </w:tcPr>
                <w:p w14:paraId="28D7C4D0">
                  <w:pPr>
                    <w:adjustRightInd w:val="0"/>
                    <w:snapToGrid w:val="0"/>
                    <w:spacing w:line="260" w:lineRule="exact"/>
                    <w:jc w:val="center"/>
                    <w:rPr>
                      <w:color w:val="auto"/>
                      <w:szCs w:val="22"/>
                      <w:highlight w:val="none"/>
                    </w:rPr>
                  </w:pPr>
                  <w:r>
                    <w:rPr>
                      <w:color w:val="auto"/>
                      <w:szCs w:val="22"/>
                      <w:highlight w:val="none"/>
                    </w:rPr>
                    <w:t>有害成分</w:t>
                  </w:r>
                </w:p>
              </w:tc>
              <w:tc>
                <w:tcPr>
                  <w:tcW w:w="543" w:type="dxa"/>
                  <w:noWrap w:val="0"/>
                  <w:vAlign w:val="center"/>
                </w:tcPr>
                <w:p w14:paraId="20544D46">
                  <w:pPr>
                    <w:adjustRightInd w:val="0"/>
                    <w:snapToGrid w:val="0"/>
                    <w:spacing w:line="260" w:lineRule="exact"/>
                    <w:jc w:val="center"/>
                    <w:rPr>
                      <w:color w:val="auto"/>
                      <w:szCs w:val="22"/>
                      <w:highlight w:val="none"/>
                    </w:rPr>
                  </w:pPr>
                  <w:r>
                    <w:rPr>
                      <w:color w:val="auto"/>
                      <w:szCs w:val="22"/>
                      <w:highlight w:val="none"/>
                    </w:rPr>
                    <w:t>产废周期</w:t>
                  </w:r>
                </w:p>
              </w:tc>
              <w:tc>
                <w:tcPr>
                  <w:tcW w:w="629" w:type="dxa"/>
                  <w:noWrap w:val="0"/>
                  <w:vAlign w:val="center"/>
                </w:tcPr>
                <w:p w14:paraId="3022305D">
                  <w:pPr>
                    <w:adjustRightInd w:val="0"/>
                    <w:snapToGrid w:val="0"/>
                    <w:spacing w:line="260" w:lineRule="exact"/>
                    <w:jc w:val="center"/>
                    <w:rPr>
                      <w:color w:val="auto"/>
                      <w:szCs w:val="22"/>
                      <w:highlight w:val="none"/>
                    </w:rPr>
                  </w:pPr>
                  <w:r>
                    <w:rPr>
                      <w:color w:val="auto"/>
                      <w:szCs w:val="22"/>
                      <w:highlight w:val="none"/>
                    </w:rPr>
                    <w:t>危险特性</w:t>
                  </w:r>
                </w:p>
              </w:tc>
              <w:tc>
                <w:tcPr>
                  <w:tcW w:w="1018" w:type="dxa"/>
                  <w:noWrap w:val="0"/>
                  <w:vAlign w:val="center"/>
                </w:tcPr>
                <w:p w14:paraId="1FEFB543">
                  <w:pPr>
                    <w:adjustRightInd w:val="0"/>
                    <w:snapToGrid w:val="0"/>
                    <w:spacing w:line="260" w:lineRule="exact"/>
                    <w:jc w:val="center"/>
                    <w:rPr>
                      <w:color w:val="auto"/>
                      <w:szCs w:val="22"/>
                      <w:highlight w:val="none"/>
                    </w:rPr>
                  </w:pPr>
                  <w:r>
                    <w:rPr>
                      <w:color w:val="auto"/>
                      <w:szCs w:val="22"/>
                      <w:highlight w:val="none"/>
                    </w:rPr>
                    <w:t>污染防治措施</w:t>
                  </w:r>
                </w:p>
              </w:tc>
            </w:tr>
            <w:tr w14:paraId="2BC341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39" w:type="dxa"/>
                  <w:noWrap w:val="0"/>
                  <w:vAlign w:val="center"/>
                </w:tcPr>
                <w:p w14:paraId="2255548F">
                  <w:pPr>
                    <w:adjustRightInd w:val="0"/>
                    <w:snapToGrid w:val="0"/>
                    <w:spacing w:line="260" w:lineRule="exact"/>
                    <w:jc w:val="center"/>
                    <w:rPr>
                      <w:color w:val="auto"/>
                      <w:szCs w:val="22"/>
                      <w:highlight w:val="none"/>
                    </w:rPr>
                  </w:pPr>
                  <w:r>
                    <w:rPr>
                      <w:color w:val="auto"/>
                      <w:szCs w:val="22"/>
                      <w:highlight w:val="none"/>
                    </w:rPr>
                    <w:t>1</w:t>
                  </w:r>
                </w:p>
              </w:tc>
              <w:tc>
                <w:tcPr>
                  <w:tcW w:w="613" w:type="dxa"/>
                  <w:shd w:val="clear" w:color="auto" w:fill="auto"/>
                  <w:noWrap w:val="0"/>
                  <w:vAlign w:val="center"/>
                </w:tcPr>
                <w:p w14:paraId="26BADD0F">
                  <w:pPr>
                    <w:pStyle w:val="44"/>
                    <w:autoSpaceDE/>
                    <w:autoSpaceDN/>
                    <w:adjustRightInd/>
                    <w:snapToGrid/>
                    <w:spacing w:before="24" w:beforeLines="0" w:after="24" w:afterLines="0" w:line="260" w:lineRule="exact"/>
                    <w:ind w:left="0" w:leftChars="0" w:firstLine="0" w:firstLineChars="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snapToGrid w:val="0"/>
                      <w:color w:val="auto"/>
                      <w:sz w:val="21"/>
                      <w:szCs w:val="21"/>
                      <w:highlight w:val="none"/>
                      <w:lang w:val="en-US" w:eastAsia="zh-CN"/>
                    </w:rPr>
                    <w:t>废活性炭</w:t>
                  </w:r>
                </w:p>
              </w:tc>
              <w:tc>
                <w:tcPr>
                  <w:tcW w:w="853" w:type="dxa"/>
                  <w:shd w:val="clear" w:color="auto" w:fill="auto"/>
                  <w:noWrap w:val="0"/>
                  <w:vAlign w:val="center"/>
                </w:tcPr>
                <w:p w14:paraId="0D6B96A8">
                  <w:pPr>
                    <w:topLinePunct/>
                    <w:adjustRightInd w:val="0"/>
                    <w:snapToGrid w:val="0"/>
                    <w:jc w:val="center"/>
                    <w:rPr>
                      <w:rFonts w:ascii="Times New Roman" w:hAnsi="Times New Roman" w:eastAsia="宋体" w:cs="Times New Roman"/>
                      <w:color w:val="auto"/>
                      <w:kern w:val="2"/>
                      <w:sz w:val="21"/>
                      <w:szCs w:val="22"/>
                      <w:highlight w:val="none"/>
                      <w:lang w:val="en-US" w:eastAsia="zh-CN" w:bidi="ar-SA"/>
                    </w:rPr>
                  </w:pPr>
                  <w:r>
                    <w:rPr>
                      <w:color w:val="auto"/>
                      <w:kern w:val="0"/>
                      <w:szCs w:val="21"/>
                      <w:highlight w:val="none"/>
                    </w:rPr>
                    <w:t>HW49</w:t>
                  </w:r>
                </w:p>
              </w:tc>
              <w:tc>
                <w:tcPr>
                  <w:tcW w:w="1199" w:type="dxa"/>
                  <w:shd w:val="clear" w:color="auto" w:fill="auto"/>
                  <w:noWrap w:val="0"/>
                  <w:vAlign w:val="center"/>
                </w:tcPr>
                <w:p w14:paraId="69627453">
                  <w:pPr>
                    <w:topLinePunct/>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color w:val="auto"/>
                      <w:szCs w:val="21"/>
                      <w:highlight w:val="none"/>
                    </w:rPr>
                    <w:t>900-0</w:t>
                  </w:r>
                  <w:r>
                    <w:rPr>
                      <w:rFonts w:hint="eastAsia"/>
                      <w:color w:val="auto"/>
                      <w:szCs w:val="21"/>
                      <w:highlight w:val="none"/>
                      <w:lang w:val="en-US" w:eastAsia="zh-CN"/>
                    </w:rPr>
                    <w:t>39</w:t>
                  </w:r>
                  <w:r>
                    <w:rPr>
                      <w:color w:val="auto"/>
                      <w:szCs w:val="21"/>
                      <w:highlight w:val="none"/>
                    </w:rPr>
                    <w:t>-49</w:t>
                  </w:r>
                </w:p>
              </w:tc>
              <w:tc>
                <w:tcPr>
                  <w:tcW w:w="632" w:type="dxa"/>
                  <w:shd w:val="clear" w:color="auto" w:fill="auto"/>
                  <w:noWrap w:val="0"/>
                  <w:vAlign w:val="center"/>
                </w:tcPr>
                <w:p w14:paraId="3A5D349D">
                  <w:pPr>
                    <w:pStyle w:val="36"/>
                    <w:spacing w:before="0" w:beforeLines="0" w:line="240" w:lineRule="auto"/>
                    <w:ind w:left="420" w:leftChars="0" w:hanging="420" w:firstLineChars="0"/>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eastAsia="宋体" w:cs="宋体"/>
                      <w:snapToGrid w:val="0"/>
                      <w:color w:val="auto"/>
                      <w:kern w:val="21"/>
                      <w:sz w:val="21"/>
                      <w:szCs w:val="21"/>
                      <w:highlight w:val="none"/>
                      <w:lang w:val="en-US" w:eastAsia="zh-CN" w:bidi="ar-SA"/>
                    </w:rPr>
                    <w:t>3.6</w:t>
                  </w:r>
                </w:p>
              </w:tc>
              <w:tc>
                <w:tcPr>
                  <w:tcW w:w="718" w:type="dxa"/>
                  <w:shd w:val="clear" w:color="auto" w:fill="auto"/>
                  <w:noWrap w:val="0"/>
                  <w:vAlign w:val="center"/>
                </w:tcPr>
                <w:p w14:paraId="5A05C018">
                  <w:pPr>
                    <w:adjustRightInd w:val="0"/>
                    <w:snapToGrid w:val="0"/>
                    <w:spacing w:line="260" w:lineRule="exact"/>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eastAsia="zh-CN"/>
                    </w:rPr>
                    <w:t>废气处理</w:t>
                  </w:r>
                </w:p>
              </w:tc>
              <w:tc>
                <w:tcPr>
                  <w:tcW w:w="488" w:type="dxa"/>
                  <w:shd w:val="clear" w:color="auto" w:fill="auto"/>
                  <w:noWrap w:val="0"/>
                  <w:vAlign w:val="center"/>
                </w:tcPr>
                <w:p w14:paraId="76DE7C95">
                  <w:pPr>
                    <w:adjustRightInd w:val="0"/>
                    <w:snapToGrid w:val="0"/>
                    <w:spacing w:line="260" w:lineRule="exact"/>
                    <w:jc w:val="center"/>
                    <w:rPr>
                      <w:rFonts w:hint="eastAsia"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eastAsia="zh-CN"/>
                    </w:rPr>
                    <w:t>固态</w:t>
                  </w:r>
                </w:p>
              </w:tc>
              <w:tc>
                <w:tcPr>
                  <w:tcW w:w="733" w:type="dxa"/>
                  <w:shd w:val="clear" w:color="auto" w:fill="auto"/>
                  <w:noWrap w:val="0"/>
                  <w:vAlign w:val="center"/>
                </w:tcPr>
                <w:p w14:paraId="550CFE13">
                  <w:pPr>
                    <w:adjustRightInd w:val="0"/>
                    <w:snapToGrid w:val="0"/>
                    <w:spacing w:line="260" w:lineRule="exact"/>
                    <w:jc w:val="center"/>
                    <w:rPr>
                      <w:rFonts w:hint="eastAsia"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bCs/>
                      <w:snapToGrid w:val="0"/>
                      <w:color w:val="auto"/>
                      <w:sz w:val="21"/>
                      <w:szCs w:val="21"/>
                      <w:highlight w:val="none"/>
                      <w:lang w:val="en-US" w:eastAsia="zh-CN"/>
                    </w:rPr>
                    <w:t>活性炭</w:t>
                  </w:r>
                  <w:r>
                    <w:rPr>
                      <w:rFonts w:hint="eastAsia" w:ascii="Times New Roman" w:hAnsi="Times New Roman" w:cs="Times New Roman"/>
                      <w:bCs/>
                      <w:snapToGrid w:val="0"/>
                      <w:color w:val="auto"/>
                      <w:sz w:val="21"/>
                      <w:szCs w:val="21"/>
                      <w:highlight w:val="none"/>
                      <w:lang w:val="en-US" w:eastAsia="zh-CN"/>
                    </w:rPr>
                    <w:t>、</w:t>
                  </w:r>
                  <w:r>
                    <w:rPr>
                      <w:rFonts w:hint="eastAsia"/>
                      <w:color w:val="auto"/>
                      <w:szCs w:val="22"/>
                      <w:highlight w:val="none"/>
                      <w:lang w:eastAsia="zh-CN"/>
                    </w:rPr>
                    <w:t>有机物</w:t>
                  </w:r>
                  <w:r>
                    <w:rPr>
                      <w:color w:val="auto"/>
                      <w:szCs w:val="22"/>
                      <w:highlight w:val="none"/>
                    </w:rPr>
                    <w:t>等</w:t>
                  </w:r>
                </w:p>
              </w:tc>
              <w:tc>
                <w:tcPr>
                  <w:tcW w:w="543" w:type="dxa"/>
                  <w:shd w:val="clear" w:color="auto" w:fill="auto"/>
                  <w:noWrap w:val="0"/>
                  <w:vAlign w:val="center"/>
                </w:tcPr>
                <w:p w14:paraId="74EB656D">
                  <w:pPr>
                    <w:adjustRightInd w:val="0"/>
                    <w:snapToGrid w:val="0"/>
                    <w:spacing w:line="260" w:lineRule="exact"/>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1个月</w:t>
                  </w:r>
                </w:p>
              </w:tc>
              <w:tc>
                <w:tcPr>
                  <w:tcW w:w="629" w:type="dxa"/>
                  <w:shd w:val="clear" w:color="auto" w:fill="auto"/>
                  <w:noWrap w:val="0"/>
                  <w:vAlign w:val="center"/>
                </w:tcPr>
                <w:p w14:paraId="68965B24">
                  <w:pPr>
                    <w:adjustRightInd w:val="0"/>
                    <w:snapToGrid w:val="0"/>
                    <w:spacing w:line="260" w:lineRule="exact"/>
                    <w:jc w:val="center"/>
                    <w:rPr>
                      <w:rFonts w:ascii="Times New Roman" w:hAnsi="Times New Roman" w:eastAsia="宋体" w:cs="Times New Roman"/>
                      <w:color w:val="auto"/>
                      <w:kern w:val="2"/>
                      <w:sz w:val="21"/>
                      <w:szCs w:val="22"/>
                      <w:highlight w:val="none"/>
                      <w:lang w:val="en-US" w:eastAsia="zh-CN" w:bidi="ar-SA"/>
                    </w:rPr>
                  </w:pPr>
                  <w:r>
                    <w:rPr>
                      <w:rFonts w:hint="eastAsia" w:ascii="Times New Roman" w:hAnsi="Times New Roman"/>
                      <w:color w:val="auto"/>
                      <w:highlight w:val="none"/>
                      <w:lang w:val="en-US" w:eastAsia="zh-CN"/>
                    </w:rPr>
                    <w:t>T</w:t>
                  </w:r>
                </w:p>
              </w:tc>
              <w:tc>
                <w:tcPr>
                  <w:tcW w:w="1018" w:type="dxa"/>
                  <w:noWrap w:val="0"/>
                  <w:vAlign w:val="center"/>
                </w:tcPr>
                <w:p w14:paraId="33F3F346">
                  <w:pPr>
                    <w:adjustRightInd w:val="0"/>
                    <w:snapToGrid w:val="0"/>
                    <w:spacing w:line="260" w:lineRule="exact"/>
                    <w:jc w:val="center"/>
                    <w:rPr>
                      <w:rFonts w:hint="eastAsia"/>
                      <w:color w:val="auto"/>
                      <w:highlight w:val="none"/>
                    </w:rPr>
                  </w:pPr>
                  <w:r>
                    <w:rPr>
                      <w:rFonts w:hint="eastAsia"/>
                      <w:color w:val="auto"/>
                      <w:highlight w:val="none"/>
                    </w:rPr>
                    <w:t>分类收集暂存在危险</w:t>
                  </w:r>
                  <w:r>
                    <w:rPr>
                      <w:rFonts w:hint="eastAsia"/>
                      <w:color w:val="auto"/>
                      <w:highlight w:val="none"/>
                      <w:lang w:val="en-US" w:eastAsia="zh-CN"/>
                    </w:rPr>
                    <w:t>贮存库</w:t>
                  </w:r>
                  <w:r>
                    <w:rPr>
                      <w:rFonts w:hint="eastAsia"/>
                      <w:color w:val="auto"/>
                      <w:highlight w:val="none"/>
                    </w:rPr>
                    <w:t>，</w:t>
                  </w:r>
                  <w:r>
                    <w:rPr>
                      <w:rFonts w:hint="eastAsia"/>
                      <w:color w:val="auto"/>
                      <w:highlight w:val="none"/>
                      <w:lang w:val="en-US" w:eastAsia="zh-CN"/>
                    </w:rPr>
                    <w:t>15</w:t>
                  </w:r>
                  <w:r>
                    <w:rPr>
                      <w:color w:val="auto"/>
                      <w:highlight w:val="none"/>
                    </w:rPr>
                    <w:t>m</w:t>
                  </w:r>
                  <w:r>
                    <w:rPr>
                      <w:color w:val="auto"/>
                      <w:highlight w:val="none"/>
                      <w:vertAlign w:val="superscript"/>
                    </w:rPr>
                    <w:t>2</w:t>
                  </w:r>
                  <w:r>
                    <w:rPr>
                      <w:rFonts w:hint="eastAsia"/>
                      <w:color w:val="auto"/>
                      <w:highlight w:val="none"/>
                    </w:rPr>
                    <w:t>，定期由</w:t>
                  </w:r>
                  <w:r>
                    <w:rPr>
                      <w:color w:val="auto"/>
                      <w:highlight w:val="none"/>
                    </w:rPr>
                    <w:t>危废资质单位处理</w:t>
                  </w:r>
                </w:p>
              </w:tc>
            </w:tr>
          </w:tbl>
          <w:p w14:paraId="0E1A02FE">
            <w:pPr>
              <w:pStyle w:val="24"/>
              <w:keepNext w:val="0"/>
              <w:keepLines w:val="0"/>
              <w:pageBreakBefore w:val="0"/>
              <w:widowControl w:val="0"/>
              <w:kinsoku/>
              <w:wordWrap/>
              <w:overflowPunct w:val="0"/>
              <w:topLinePunct/>
              <w:autoSpaceDE/>
              <w:autoSpaceDN/>
              <w:bidi w:val="0"/>
              <w:adjustRightInd/>
              <w:snapToGrid/>
              <w:spacing w:line="460" w:lineRule="exact"/>
              <w:ind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zh-CN" w:eastAsia="zh-CN" w:bidi="ar-SA"/>
              </w:rPr>
              <w:t>）固体废物环境</w:t>
            </w:r>
            <w:r>
              <w:rPr>
                <w:rFonts w:hint="default" w:ascii="Times New Roman" w:hAnsi="Times New Roman" w:eastAsia="宋体" w:cs="Times New Roman"/>
                <w:color w:val="auto"/>
                <w:kern w:val="2"/>
                <w:sz w:val="24"/>
                <w:szCs w:val="24"/>
                <w:highlight w:val="none"/>
                <w:lang w:val="en-US" w:eastAsia="zh-CN" w:bidi="ar-SA"/>
              </w:rPr>
              <w:t>管理要求</w:t>
            </w:r>
          </w:p>
          <w:p w14:paraId="09A20A95">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1）固废处置单位合规性分析</w:t>
            </w:r>
          </w:p>
          <w:p w14:paraId="67825A22">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pacing w:val="-3"/>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本项目一般固废（皂脚、废白土、杂质、脂肪酸等）交由</w:t>
            </w:r>
            <w:r>
              <w:rPr>
                <w:rFonts w:hint="eastAsia" w:ascii="Times New Roman" w:hAnsi="Times New Roman" w:eastAsia="宋体" w:cs="Times New Roman"/>
                <w:color w:val="auto"/>
                <w:spacing w:val="-3"/>
                <w:kern w:val="2"/>
                <w:sz w:val="24"/>
                <w:szCs w:val="24"/>
                <w:highlight w:val="none"/>
                <w:lang w:val="en-US" w:eastAsia="zh-CN" w:bidi="ar-SA"/>
              </w:rPr>
              <w:t>四川宝汉丰废弃资源综合利用有限公司，项目业主与该公司签订有服务合同，该公司为废弃资源利用公司，于2022年5月11日取得排污许可证（编号：91510681MA7DX84B9T001V），于2018年取得德阳市环境保护局出具的“德环审批〔2018〕99号”环评批复，主要采用多塔连续真空精馏生产工艺，将皂脚、油脚、废白土等进行深加工。本项目主要固废</w:t>
            </w:r>
            <w:r>
              <w:rPr>
                <w:rFonts w:hint="eastAsia" w:cs="Times New Roman"/>
                <w:color w:val="auto"/>
                <w:spacing w:val="-3"/>
                <w:kern w:val="2"/>
                <w:sz w:val="24"/>
                <w:szCs w:val="24"/>
                <w:highlight w:val="none"/>
                <w:lang w:val="en-US" w:eastAsia="zh-CN" w:bidi="ar-SA"/>
              </w:rPr>
              <w:t>来自</w:t>
            </w:r>
            <w:r>
              <w:rPr>
                <w:rFonts w:hint="eastAsia" w:ascii="Times New Roman" w:hAnsi="Times New Roman" w:eastAsia="宋体" w:cs="Times New Roman"/>
                <w:color w:val="auto"/>
                <w:spacing w:val="-3"/>
                <w:kern w:val="2"/>
                <w:sz w:val="24"/>
                <w:szCs w:val="24"/>
                <w:highlight w:val="none"/>
                <w:lang w:val="en-US" w:eastAsia="zh-CN" w:bidi="ar-SA"/>
              </w:rPr>
              <w:t>精炼工序产生的皂脚、油脚、废白土、废过滤剂等，</w:t>
            </w:r>
            <w:r>
              <w:rPr>
                <w:rFonts w:hint="eastAsia" w:cs="Times New Roman"/>
                <w:color w:val="auto"/>
                <w:spacing w:val="-3"/>
                <w:kern w:val="2"/>
                <w:sz w:val="24"/>
                <w:szCs w:val="24"/>
                <w:highlight w:val="none"/>
                <w:lang w:val="en-US" w:eastAsia="zh-CN" w:bidi="ar-SA"/>
              </w:rPr>
              <w:t>属于</w:t>
            </w:r>
            <w:r>
              <w:rPr>
                <w:rFonts w:hint="eastAsia" w:ascii="Times New Roman" w:hAnsi="Times New Roman" w:eastAsia="宋体" w:cs="Times New Roman"/>
                <w:color w:val="auto"/>
                <w:spacing w:val="-3"/>
                <w:kern w:val="2"/>
                <w:sz w:val="24"/>
                <w:szCs w:val="24"/>
                <w:highlight w:val="none"/>
                <w:lang w:val="en-US" w:eastAsia="zh-CN" w:bidi="ar-SA"/>
              </w:rPr>
              <w:t>该公司</w:t>
            </w:r>
            <w:r>
              <w:rPr>
                <w:rFonts w:hint="eastAsia" w:cs="Times New Roman"/>
                <w:color w:val="auto"/>
                <w:spacing w:val="-3"/>
                <w:kern w:val="2"/>
                <w:sz w:val="24"/>
                <w:szCs w:val="24"/>
                <w:highlight w:val="none"/>
                <w:lang w:val="en-US" w:eastAsia="zh-CN" w:bidi="ar-SA"/>
              </w:rPr>
              <w:t>收纳处置对象</w:t>
            </w:r>
            <w:r>
              <w:rPr>
                <w:rFonts w:hint="eastAsia" w:ascii="Times New Roman" w:hAnsi="Times New Roman" w:eastAsia="宋体" w:cs="Times New Roman"/>
                <w:color w:val="auto"/>
                <w:spacing w:val="-3"/>
                <w:kern w:val="2"/>
                <w:sz w:val="24"/>
                <w:szCs w:val="24"/>
                <w:highlight w:val="none"/>
                <w:lang w:val="en-US" w:eastAsia="zh-CN" w:bidi="ar-SA"/>
              </w:rPr>
              <w:t>。该公司已取得环保等合规手续，符合项目固废处置要求。</w:t>
            </w:r>
          </w:p>
          <w:p w14:paraId="59CA0FBA">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2）管理要求</w:t>
            </w:r>
          </w:p>
          <w:p w14:paraId="41EFFE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一般固废暂存区：其贮存过程应满足相应防渗漏、防雨淋、防扬尘等环境保护要求；贮存应按照环境保护图形标准(GB15562.2-1992)及修改单设置环境保护图形的警示、提示标志；堆场不得混入生活垃圾或危险废物。</w:t>
            </w:r>
          </w:p>
          <w:p w14:paraId="64DEF6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危险废物贮存点：</w:t>
            </w:r>
          </w:p>
          <w:p w14:paraId="0AB0C9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①拟建项目</w:t>
            </w:r>
            <w:r>
              <w:rPr>
                <w:rFonts w:hint="eastAsia" w:eastAsia="宋体" w:cs="Times New Roman"/>
                <w:b w:val="0"/>
                <w:bCs w:val="0"/>
                <w:color w:val="auto"/>
                <w:sz w:val="24"/>
                <w:szCs w:val="24"/>
                <w:highlight w:val="none"/>
                <w:lang w:val="en-US" w:eastAsia="zh-CN"/>
              </w:rPr>
              <w:t>依托</w:t>
            </w:r>
            <w:r>
              <w:rPr>
                <w:rFonts w:hint="eastAsia" w:cs="Times New Roman"/>
                <w:b w:val="0"/>
                <w:bCs w:val="0"/>
                <w:color w:val="auto"/>
                <w:sz w:val="24"/>
                <w:szCs w:val="24"/>
                <w:highlight w:val="none"/>
                <w:lang w:val="en-US" w:eastAsia="zh-CN"/>
              </w:rPr>
              <w:t>现有</w:t>
            </w:r>
            <w:r>
              <w:rPr>
                <w:rFonts w:hint="eastAsia" w:ascii="Times New Roman" w:hAnsi="Times New Roman" w:eastAsia="宋体" w:cs="Times New Roman"/>
                <w:b w:val="0"/>
                <w:bCs w:val="0"/>
                <w:color w:val="auto"/>
                <w:sz w:val="24"/>
                <w:szCs w:val="24"/>
                <w:highlight w:val="none"/>
                <w:lang w:val="en-US" w:eastAsia="zh-CN"/>
              </w:rPr>
              <w:t>危险废物贮存点需按照《危险废物贮存污染控制标准》（GB18597-2023）相关要求对危废间进行防风、防晒、防雨、防漏、防渗、防腐处理；根据危险废物的类别、数量、形态、物理化学性质和污染防治等要求设置必要的贮存分区，避免不相容的危险废物接触、混合；危险废物直接接触地面的，应进行</w:t>
            </w:r>
            <w:r>
              <w:rPr>
                <w:rFonts w:hint="eastAsia" w:cs="Times New Roman"/>
                <w:b w:val="0"/>
                <w:bCs w:val="0"/>
                <w:color w:val="auto"/>
                <w:sz w:val="24"/>
                <w:szCs w:val="24"/>
                <w:highlight w:val="none"/>
                <w:lang w:val="en-US" w:eastAsia="zh-CN"/>
              </w:rPr>
              <w:t>基础</w:t>
            </w:r>
            <w:r>
              <w:rPr>
                <w:rFonts w:hint="eastAsia" w:ascii="Times New Roman" w:hAnsi="Times New Roman" w:eastAsia="宋体" w:cs="Times New Roman"/>
                <w:b w:val="0"/>
                <w:bCs w:val="0"/>
                <w:color w:val="auto"/>
                <w:sz w:val="24"/>
                <w:szCs w:val="24"/>
                <w:highlight w:val="none"/>
                <w:lang w:val="en-US" w:eastAsia="zh-CN"/>
              </w:rPr>
              <w:t>防渗，防渗层为至少1m厚粘土层（渗透系数≤10</w:t>
            </w:r>
            <w:r>
              <w:rPr>
                <w:rFonts w:hint="eastAsia" w:ascii="Times New Roman" w:hAnsi="Times New Roman" w:eastAsia="宋体" w:cs="Times New Roman"/>
                <w:b w:val="0"/>
                <w:bCs w:val="0"/>
                <w:color w:val="auto"/>
                <w:sz w:val="24"/>
                <w:szCs w:val="24"/>
                <w:highlight w:val="none"/>
                <w:vertAlign w:val="superscript"/>
                <w:lang w:val="en-US" w:eastAsia="zh-CN"/>
              </w:rPr>
              <w:t>-7</w:t>
            </w:r>
            <w:r>
              <w:rPr>
                <w:rFonts w:hint="eastAsia" w:ascii="Times New Roman" w:hAnsi="Times New Roman" w:eastAsia="宋体" w:cs="Times New Roman"/>
                <w:b w:val="0"/>
                <w:bCs w:val="0"/>
                <w:color w:val="auto"/>
                <w:sz w:val="24"/>
                <w:szCs w:val="24"/>
                <w:highlight w:val="none"/>
                <w:lang w:val="en-US" w:eastAsia="zh-CN"/>
              </w:rPr>
              <w:t>cm/s），或2mm厚高密度聚乙烯膜等人工防渗材料（渗透系数≤10</w:t>
            </w:r>
            <w:r>
              <w:rPr>
                <w:rFonts w:hint="eastAsia" w:ascii="Times New Roman" w:hAnsi="Times New Roman" w:eastAsia="宋体" w:cs="Times New Roman"/>
                <w:b w:val="0"/>
                <w:bCs w:val="0"/>
                <w:color w:val="auto"/>
                <w:sz w:val="24"/>
                <w:szCs w:val="24"/>
                <w:highlight w:val="none"/>
                <w:vertAlign w:val="superscript"/>
                <w:lang w:val="en-US" w:eastAsia="zh-CN"/>
              </w:rPr>
              <w:t>-10</w:t>
            </w:r>
            <w:r>
              <w:rPr>
                <w:rFonts w:hint="eastAsia" w:ascii="Times New Roman" w:hAnsi="Times New Roman" w:eastAsia="宋体" w:cs="Times New Roman"/>
                <w:b w:val="0"/>
                <w:bCs w:val="0"/>
                <w:color w:val="auto"/>
                <w:sz w:val="24"/>
                <w:szCs w:val="24"/>
                <w:highlight w:val="none"/>
                <w:lang w:val="en-US" w:eastAsia="zh-CN"/>
              </w:rPr>
              <w:t>cm/s），或其他防渗性能等效的材料。</w:t>
            </w:r>
          </w:p>
          <w:p w14:paraId="4BADDF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②按照《危险废物识别标志设置技术规范》（HJ 1276-2022）相关规定，危险废物贮存点设置警示标识牌、危废管理制度等，盛装不同危废的容器应分别粘贴相应的标识牌。</w:t>
            </w:r>
          </w:p>
          <w:p w14:paraId="2424C1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③项目需按《危险废物转移管理办法》（生态环境部 公安部 交通运输部 部令 第23号）规定填写危险废物转移联单，并做好转移记录。</w:t>
            </w:r>
          </w:p>
          <w:p w14:paraId="504E30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④根据《国家危险废物名录》（2025年）规定要求，各类危险废物应按不同种类和性质分类收集，暂存于危险废物贮存点，与有危废资质的单位签订协议，定期交有资质单位收运处理。</w:t>
            </w:r>
          </w:p>
          <w:p w14:paraId="67A60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⑤建立危险废物台账管理制度：根据《中华人民共和国固体废物污染环境防治法》（2020年修订）第七十八条的规定：“产生危险废物的单位，应当按照国家有关规定制定危险废物管理计划，并向所在地县级以上地方人民政府环境保护行政主管部门申报危险废物的种类、生产量、流向、储存、处置等有关资料”。</w:t>
            </w:r>
          </w:p>
          <w:p w14:paraId="21848602">
            <w:pPr>
              <w:keepNext w:val="0"/>
              <w:keepLines w:val="0"/>
              <w:pageBreakBefore w:val="0"/>
              <w:widowControl w:val="0"/>
              <w:numPr>
                <w:ilvl w:val="0"/>
                <w:numId w:val="0"/>
              </w:numPr>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综上，</w:t>
            </w:r>
            <w:r>
              <w:rPr>
                <w:rFonts w:hint="eastAsia" w:cs="Times New Roman"/>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zh-CN" w:eastAsia="zh-CN" w:bidi="ar-SA"/>
              </w:rPr>
              <w:t>固体废物经及时分类处理后，不会对周围环境造成影响。</w:t>
            </w:r>
          </w:p>
          <w:p w14:paraId="4E3E8ECC">
            <w:pPr>
              <w:keepNext w:val="0"/>
              <w:keepLines w:val="0"/>
              <w:pageBreakBefore w:val="0"/>
              <w:widowControl w:val="0"/>
              <w:numPr>
                <w:ilvl w:val="0"/>
                <w:numId w:val="0"/>
              </w:numPr>
              <w:suppressLineNumbers w:val="0"/>
              <w:kinsoku/>
              <w:wordWrap/>
              <w:overflowPunct w:val="0"/>
              <w:topLinePunct/>
              <w:autoSpaceDE/>
              <w:autoSpaceDN/>
              <w:bidi w:val="0"/>
              <w:adjustRightInd w:val="0"/>
              <w:snapToGrid w:val="0"/>
              <w:spacing w:before="0" w:beforeAutospacing="0" w:after="0" w:afterAutospacing="0" w:line="460" w:lineRule="exact"/>
              <w:ind w:right="0" w:firstLine="482" w:firstLineChars="200"/>
              <w:textAlignment w:val="auto"/>
              <w:rPr>
                <w:rFonts w:hint="default" w:ascii="Times New Roman" w:hAnsi="Times New Roman" w:eastAsia="宋体" w:cs="Times New Roman"/>
                <w:b/>
                <w:color w:val="auto"/>
                <w:sz w:val="24"/>
                <w:szCs w:val="24"/>
                <w:highlight w:val="none"/>
                <w:lang w:val="en-US"/>
              </w:rPr>
            </w:pPr>
            <w:r>
              <w:rPr>
                <w:rFonts w:hint="default" w:ascii="Times New Roman" w:hAnsi="Times New Roman" w:eastAsia="宋体" w:cs="Times New Roman"/>
                <w:b/>
                <w:color w:val="auto"/>
                <w:sz w:val="24"/>
                <w:szCs w:val="24"/>
                <w:highlight w:val="none"/>
                <w:lang w:val="en-US" w:eastAsia="zh-CN"/>
              </w:rPr>
              <w:t>4.2.5地下水</w:t>
            </w:r>
            <w:r>
              <w:rPr>
                <w:rFonts w:hint="eastAsia" w:cs="Times New Roman"/>
                <w:b/>
                <w:color w:val="auto"/>
                <w:sz w:val="24"/>
                <w:szCs w:val="24"/>
                <w:highlight w:val="none"/>
                <w:lang w:val="en-US" w:eastAsia="zh-CN"/>
              </w:rPr>
              <w:t>、土壤</w:t>
            </w:r>
            <w:r>
              <w:rPr>
                <w:rFonts w:hint="default" w:ascii="Times New Roman" w:hAnsi="Times New Roman" w:eastAsia="宋体" w:cs="Times New Roman"/>
                <w:b/>
                <w:color w:val="auto"/>
                <w:sz w:val="24"/>
                <w:szCs w:val="24"/>
                <w:highlight w:val="none"/>
              </w:rPr>
              <w:t>环境影响分析</w:t>
            </w:r>
          </w:p>
          <w:p w14:paraId="148E610C">
            <w:pPr>
              <w:keepNext w:val="0"/>
              <w:keepLines w:val="0"/>
              <w:pageBreakBefore w:val="0"/>
              <w:widowControl w:val="0"/>
              <w:suppressLineNumbers w:val="0"/>
              <w:kinsoku/>
              <w:wordWrap/>
              <w:overflowPunct w:val="0"/>
              <w:topLinePunct/>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rPr>
              <w:t>污染源分析</w:t>
            </w:r>
          </w:p>
          <w:p w14:paraId="34DB88D4">
            <w:pPr>
              <w:keepNext w:val="0"/>
              <w:keepLines w:val="0"/>
              <w:pageBreakBefore w:val="0"/>
              <w:widowControl/>
              <w:kinsoku/>
              <w:wordWrap/>
              <w:autoSpaceDE/>
              <w:autoSpaceDN/>
              <w:bidi w:val="0"/>
              <w:spacing w:line="360" w:lineRule="auto"/>
              <w:ind w:firstLine="480" w:firstLineChars="200"/>
              <w:jc w:val="left"/>
              <w:textAlignment w:val="auto"/>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val="en-US" w:eastAsia="zh-CN"/>
              </w:rPr>
              <w:t>本项目</w:t>
            </w:r>
            <w:r>
              <w:rPr>
                <w:rFonts w:hint="default" w:ascii="Times New Roman" w:hAnsi="Times New Roman" w:cs="Times New Roman"/>
                <w:color w:val="auto"/>
                <w:kern w:val="0"/>
                <w:sz w:val="24"/>
                <w:szCs w:val="24"/>
                <w:highlight w:val="none"/>
              </w:rPr>
              <w:t>所在区域地下水主要为松散岩类孔隙水和基岩裂隙水，地下水主要来自大气降水的部分渗入。区域地下水总体贫乏，水文地质条件简单，不涉及生活供水水源区准保护区、补给径流区及温泉等特殊地下水资源保护区。</w:t>
            </w:r>
            <w:r>
              <w:rPr>
                <w:rFonts w:hint="eastAsia" w:cs="Times New Roman"/>
                <w:color w:val="auto"/>
                <w:kern w:val="0"/>
                <w:sz w:val="24"/>
                <w:szCs w:val="24"/>
                <w:highlight w:val="none"/>
                <w:lang w:val="en-US" w:eastAsia="zh-CN"/>
              </w:rPr>
              <w:t>本项目</w:t>
            </w:r>
            <w:r>
              <w:rPr>
                <w:rFonts w:hint="default" w:ascii="Times New Roman" w:hAnsi="Times New Roman" w:cs="Times New Roman"/>
                <w:color w:val="auto"/>
                <w:kern w:val="0"/>
                <w:sz w:val="24"/>
                <w:szCs w:val="24"/>
                <w:highlight w:val="none"/>
              </w:rPr>
              <w:t>运营期</w:t>
            </w:r>
            <w:r>
              <w:rPr>
                <w:rFonts w:hint="default" w:ascii="Times New Roman" w:hAnsi="Times New Roman" w:cs="Times New Roman"/>
                <w:color w:val="auto"/>
                <w:kern w:val="0"/>
                <w:sz w:val="24"/>
                <w:szCs w:val="24"/>
                <w:highlight w:val="none"/>
                <w:lang w:val="en-US" w:eastAsia="zh-CN"/>
              </w:rPr>
              <w:t>精炼</w:t>
            </w:r>
            <w:r>
              <w:rPr>
                <w:rFonts w:hint="default" w:ascii="Times New Roman" w:hAnsi="Times New Roman" w:cs="Times New Roman"/>
                <w:color w:val="auto"/>
                <w:kern w:val="0"/>
                <w:sz w:val="24"/>
                <w:szCs w:val="24"/>
                <w:highlight w:val="none"/>
              </w:rPr>
              <w:t>用水、</w:t>
            </w:r>
            <w:r>
              <w:rPr>
                <w:rFonts w:hint="default" w:ascii="Times New Roman" w:hAnsi="Times New Roman" w:cs="Times New Roman"/>
                <w:color w:val="auto"/>
                <w:kern w:val="0"/>
                <w:sz w:val="24"/>
                <w:szCs w:val="24"/>
                <w:highlight w:val="none"/>
                <w:lang w:val="en-US" w:eastAsia="zh-CN"/>
              </w:rPr>
              <w:t>地面清洗</w:t>
            </w:r>
            <w:r>
              <w:rPr>
                <w:rFonts w:hint="default" w:ascii="Times New Roman" w:hAnsi="Times New Roman" w:cs="Times New Roman"/>
                <w:color w:val="auto"/>
                <w:kern w:val="0"/>
                <w:sz w:val="24"/>
                <w:szCs w:val="24"/>
                <w:highlight w:val="none"/>
              </w:rPr>
              <w:t>用水</w:t>
            </w:r>
            <w:r>
              <w:rPr>
                <w:rFonts w:hint="default" w:ascii="Times New Roman" w:hAnsi="Times New Roman" w:cs="Times New Roman"/>
                <w:color w:val="auto"/>
                <w:kern w:val="0"/>
                <w:sz w:val="24"/>
                <w:szCs w:val="24"/>
                <w:highlight w:val="none"/>
                <w:lang w:val="en-US" w:eastAsia="zh-CN"/>
              </w:rPr>
              <w:t>等</w:t>
            </w:r>
            <w:r>
              <w:rPr>
                <w:rFonts w:hint="default" w:ascii="Times New Roman" w:hAnsi="Times New Roman" w:cs="Times New Roman"/>
                <w:color w:val="auto"/>
                <w:kern w:val="0"/>
                <w:sz w:val="24"/>
                <w:szCs w:val="24"/>
                <w:highlight w:val="none"/>
              </w:rPr>
              <w:t>均由园区市政供水管网提供，不抽采地下水；同时工程建设也不涉及地下水的抽排。</w:t>
            </w:r>
          </w:p>
          <w:p w14:paraId="3BE0BCD7">
            <w:pPr>
              <w:keepNext w:val="0"/>
              <w:keepLines w:val="0"/>
              <w:pageBreakBefore w:val="0"/>
              <w:widowControl w:val="0"/>
              <w:suppressLineNumbers w:val="0"/>
              <w:kinsoku/>
              <w:wordWrap/>
              <w:overflowPunct w:val="0"/>
              <w:topLinePunct/>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改建前后</w:t>
            </w:r>
            <w:r>
              <w:rPr>
                <w:rFonts w:hint="eastAsia" w:cs="Times New Roman"/>
                <w:color w:val="auto"/>
                <w:sz w:val="24"/>
                <w:szCs w:val="24"/>
                <w:highlight w:val="none"/>
                <w:lang w:val="en-US" w:eastAsia="zh-CN"/>
              </w:rPr>
              <w:t>储油</w:t>
            </w:r>
            <w:r>
              <w:rPr>
                <w:rFonts w:hint="default" w:ascii="Times New Roman" w:hAnsi="Times New Roman" w:cs="Times New Roman"/>
                <w:color w:val="auto"/>
                <w:sz w:val="24"/>
                <w:szCs w:val="24"/>
                <w:highlight w:val="none"/>
                <w:lang w:val="en-US" w:eastAsia="zh-CN"/>
              </w:rPr>
              <w:t>罐区、</w:t>
            </w:r>
            <w:r>
              <w:rPr>
                <w:rFonts w:hint="eastAsia" w:cs="Times New Roman"/>
                <w:color w:val="auto"/>
                <w:sz w:val="24"/>
                <w:szCs w:val="24"/>
                <w:highlight w:val="none"/>
                <w:lang w:val="en-US" w:eastAsia="zh-CN"/>
              </w:rPr>
              <w:t>废水处理站、危险废物贮存间</w:t>
            </w:r>
            <w:r>
              <w:rPr>
                <w:rFonts w:hint="default" w:ascii="Times New Roman" w:hAnsi="Times New Roman" w:cs="Times New Roman"/>
                <w:color w:val="auto"/>
                <w:sz w:val="24"/>
                <w:szCs w:val="24"/>
                <w:highlight w:val="none"/>
                <w:lang w:val="en-US" w:eastAsia="zh-CN"/>
              </w:rPr>
              <w:t>等未发生较大变化，</w:t>
            </w:r>
            <w:r>
              <w:rPr>
                <w:rFonts w:hint="eastAsia" w:cs="Times New Roman"/>
                <w:color w:val="auto"/>
                <w:sz w:val="24"/>
                <w:szCs w:val="24"/>
                <w:highlight w:val="none"/>
                <w:lang w:val="en-US" w:eastAsia="zh-CN"/>
              </w:rPr>
              <w:t>改建</w:t>
            </w:r>
            <w:r>
              <w:rPr>
                <w:rFonts w:hint="default" w:ascii="Times New Roman" w:hAnsi="Times New Roman" w:cs="Times New Roman"/>
                <w:color w:val="auto"/>
                <w:sz w:val="24"/>
                <w:szCs w:val="24"/>
                <w:highlight w:val="none"/>
                <w:lang w:val="en-US" w:eastAsia="zh-CN"/>
              </w:rPr>
              <w:t>精炼车间</w:t>
            </w:r>
            <w:r>
              <w:rPr>
                <w:rFonts w:hint="eastAsia" w:cs="Times New Roman"/>
                <w:color w:val="auto"/>
                <w:sz w:val="24"/>
                <w:szCs w:val="24"/>
                <w:highlight w:val="none"/>
                <w:lang w:val="en-US" w:eastAsia="zh-CN"/>
              </w:rPr>
              <w:t>要求采取重点防渗措施，正常情况下</w:t>
            </w:r>
            <w:r>
              <w:rPr>
                <w:rFonts w:hint="default" w:ascii="Times New Roman" w:hAnsi="Times New Roman" w:cs="Times New Roman"/>
                <w:color w:val="auto"/>
                <w:sz w:val="24"/>
                <w:szCs w:val="24"/>
                <w:highlight w:val="none"/>
                <w:lang w:val="en-US" w:eastAsia="zh-CN"/>
              </w:rPr>
              <w:t>，不会对地下水</w:t>
            </w:r>
            <w:r>
              <w:rPr>
                <w:rFonts w:hint="eastAsia" w:cs="Times New Roman"/>
                <w:color w:val="auto"/>
                <w:sz w:val="24"/>
                <w:szCs w:val="24"/>
                <w:highlight w:val="none"/>
                <w:lang w:val="en-US" w:eastAsia="zh-CN"/>
              </w:rPr>
              <w:t>、土壤</w:t>
            </w:r>
            <w:r>
              <w:rPr>
                <w:rFonts w:hint="default" w:ascii="Times New Roman" w:hAnsi="Times New Roman" w:cs="Times New Roman"/>
                <w:color w:val="auto"/>
                <w:sz w:val="24"/>
                <w:szCs w:val="24"/>
                <w:highlight w:val="none"/>
                <w:lang w:val="en-US" w:eastAsia="zh-CN"/>
              </w:rPr>
              <w:t>造成较大影响。</w:t>
            </w:r>
            <w:r>
              <w:rPr>
                <w:rFonts w:hint="default" w:ascii="Times New Roman" w:hAnsi="Times New Roman" w:cs="Times New Roman"/>
                <w:color w:val="auto"/>
                <w:sz w:val="24"/>
                <w:szCs w:val="24"/>
                <w:highlight w:val="none"/>
              </w:rPr>
              <w:t>项目运营期对地下水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土壤</w:t>
            </w:r>
            <w:r>
              <w:rPr>
                <w:rFonts w:hint="default" w:ascii="Times New Roman" w:hAnsi="Times New Roman" w:cs="Times New Roman"/>
                <w:color w:val="auto"/>
                <w:sz w:val="24"/>
                <w:szCs w:val="24"/>
                <w:highlight w:val="none"/>
              </w:rPr>
              <w:t>造成影响的因素分析见下表。</w:t>
            </w:r>
          </w:p>
          <w:p w14:paraId="6F2C5B6C">
            <w:pPr>
              <w:pStyle w:val="12"/>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eastAsia" w:ascii="Times New Roman" w:hAnsi="Times New Roman" w:cs="Times New Roman"/>
                <w:b/>
                <w:bCs/>
                <w:snapToGrid w:val="0"/>
                <w:color w:val="auto"/>
                <w:sz w:val="24"/>
                <w:szCs w:val="24"/>
                <w:highlight w:val="none"/>
                <w:lang w:val="en-US" w:eastAsia="zh-CN"/>
              </w:rPr>
              <w:t>.2-</w:t>
            </w:r>
            <w:r>
              <w:rPr>
                <w:rFonts w:hint="eastAsia" w:cs="Times New Roman"/>
                <w:b/>
                <w:bCs/>
                <w:snapToGrid w:val="0"/>
                <w:color w:val="auto"/>
                <w:sz w:val="24"/>
                <w:szCs w:val="24"/>
                <w:highlight w:val="none"/>
                <w:lang w:val="en-US" w:eastAsia="zh-CN"/>
              </w:rPr>
              <w:t>18</w:t>
            </w:r>
            <w:r>
              <w:rPr>
                <w:rFonts w:hint="eastAsia" w:cs="Times New Roman"/>
                <w:b/>
                <w:bCs/>
                <w:color w:val="auto"/>
                <w:sz w:val="24"/>
                <w:szCs w:val="24"/>
                <w:highlight w:val="none"/>
                <w:lang w:val="en-US" w:eastAsia="zh-CN"/>
              </w:rPr>
              <w:t>本项目</w:t>
            </w:r>
            <w:r>
              <w:rPr>
                <w:rFonts w:hint="default" w:ascii="Times New Roman" w:hAnsi="Times New Roman" w:cs="Times New Roman"/>
                <w:b/>
                <w:bCs/>
                <w:color w:val="auto"/>
                <w:sz w:val="24"/>
                <w:szCs w:val="24"/>
                <w:highlight w:val="none"/>
              </w:rPr>
              <w:t>运营期地下水</w:t>
            </w: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土壤</w:t>
            </w:r>
            <w:r>
              <w:rPr>
                <w:rFonts w:hint="default" w:ascii="Times New Roman" w:hAnsi="Times New Roman" w:cs="Times New Roman"/>
                <w:b/>
                <w:bCs/>
                <w:color w:val="auto"/>
                <w:sz w:val="24"/>
                <w:szCs w:val="24"/>
                <w:highlight w:val="none"/>
              </w:rPr>
              <w:t>污染途径分析</w:t>
            </w:r>
          </w:p>
          <w:tbl>
            <w:tblPr>
              <w:tblStyle w:val="18"/>
              <w:tblW w:w="5000" w:type="pct"/>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2774"/>
              <w:gridCol w:w="2970"/>
            </w:tblGrid>
            <w:tr w14:paraId="1CF8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noWrap w:val="0"/>
                  <w:vAlign w:val="center"/>
                </w:tcPr>
                <w:p w14:paraId="7793865A">
                  <w:pPr>
                    <w:pStyle w:val="12"/>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污染源类型</w:t>
                  </w:r>
                </w:p>
              </w:tc>
              <w:tc>
                <w:tcPr>
                  <w:tcW w:w="1756" w:type="pct"/>
                  <w:noWrap w:val="0"/>
                  <w:vAlign w:val="center"/>
                </w:tcPr>
                <w:p w14:paraId="3558A443">
                  <w:pPr>
                    <w:pStyle w:val="12"/>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污染因子</w:t>
                  </w:r>
                </w:p>
              </w:tc>
              <w:tc>
                <w:tcPr>
                  <w:tcW w:w="1880" w:type="pct"/>
                  <w:noWrap w:val="0"/>
                  <w:vAlign w:val="center"/>
                </w:tcPr>
                <w:p w14:paraId="39CCB9FD">
                  <w:pPr>
                    <w:pStyle w:val="12"/>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污染途径</w:t>
                  </w:r>
                </w:p>
              </w:tc>
            </w:tr>
            <w:tr w14:paraId="2D4A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noWrap w:val="0"/>
                  <w:vAlign w:val="center"/>
                </w:tcPr>
                <w:p w14:paraId="59B98A23">
                  <w:pPr>
                    <w:pStyle w:val="12"/>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精炼车间</w:t>
                  </w:r>
                  <w:r>
                    <w:rPr>
                      <w:rFonts w:hint="eastAsia" w:cs="Times New Roman"/>
                      <w:color w:val="auto"/>
                      <w:sz w:val="21"/>
                      <w:szCs w:val="21"/>
                      <w:highlight w:val="none"/>
                      <w:lang w:val="en-US" w:eastAsia="zh-CN"/>
                    </w:rPr>
                    <w:t>中间</w:t>
                  </w:r>
                  <w:r>
                    <w:rPr>
                      <w:rFonts w:hint="default" w:ascii="Times New Roman" w:hAnsi="Times New Roman" w:cs="Times New Roman"/>
                      <w:color w:val="auto"/>
                      <w:sz w:val="21"/>
                      <w:szCs w:val="21"/>
                      <w:highlight w:val="none"/>
                      <w:lang w:val="en-US" w:eastAsia="zh-CN"/>
                    </w:rPr>
                    <w:t>罐区</w:t>
                  </w:r>
                  <w:r>
                    <w:rPr>
                      <w:rFonts w:hint="eastAsia" w:cs="Times New Roman"/>
                      <w:color w:val="auto"/>
                      <w:sz w:val="21"/>
                      <w:szCs w:val="21"/>
                      <w:highlight w:val="none"/>
                      <w:lang w:val="en-US" w:eastAsia="zh-CN"/>
                    </w:rPr>
                    <w:t>、生产区</w:t>
                  </w:r>
                </w:p>
              </w:tc>
              <w:tc>
                <w:tcPr>
                  <w:tcW w:w="1756" w:type="pct"/>
                  <w:noWrap w:val="0"/>
                  <w:vAlign w:val="center"/>
                </w:tcPr>
                <w:p w14:paraId="02187B6B">
                  <w:pPr>
                    <w:pStyle w:val="12"/>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磷酸、</w:t>
                  </w:r>
                  <w:r>
                    <w:rPr>
                      <w:rFonts w:hint="default" w:ascii="Times New Roman" w:hAnsi="Times New Roman" w:cs="Times New Roman"/>
                      <w:color w:val="auto"/>
                      <w:sz w:val="21"/>
                      <w:szCs w:val="21"/>
                      <w:highlight w:val="none"/>
                      <w:lang w:val="en-US" w:eastAsia="zh-CN"/>
                    </w:rPr>
                    <w:t>碱液、</w:t>
                  </w:r>
                  <w:r>
                    <w:rPr>
                      <w:rFonts w:hint="eastAsia" w:cs="Times New Roman"/>
                      <w:color w:val="auto"/>
                      <w:sz w:val="21"/>
                      <w:szCs w:val="21"/>
                      <w:highlight w:val="none"/>
                      <w:lang w:val="en-US" w:eastAsia="zh-CN"/>
                    </w:rPr>
                    <w:t>次氯酸钠、植物油</w:t>
                  </w:r>
                </w:p>
              </w:tc>
              <w:tc>
                <w:tcPr>
                  <w:tcW w:w="1880" w:type="pct"/>
                  <w:noWrap w:val="0"/>
                  <w:vAlign w:val="center"/>
                </w:tcPr>
                <w:p w14:paraId="1B6E05E3">
                  <w:pPr>
                    <w:pStyle w:val="12"/>
                    <w:spacing w:after="0"/>
                    <w:ind w:left="0" w:left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储罐、阀门、管道</w:t>
                  </w:r>
                  <w:r>
                    <w:rPr>
                      <w:rFonts w:hint="default" w:ascii="Times New Roman" w:hAnsi="Times New Roman" w:cs="Times New Roman"/>
                      <w:color w:val="auto"/>
                      <w:sz w:val="21"/>
                      <w:szCs w:val="21"/>
                      <w:highlight w:val="none"/>
                    </w:rPr>
                    <w:t>发生泄漏</w:t>
                  </w:r>
                </w:p>
              </w:tc>
            </w:tr>
          </w:tbl>
          <w:p w14:paraId="6ABFA4F7">
            <w:pPr>
              <w:keepNext w:val="0"/>
              <w:keepLines w:val="0"/>
              <w:pageBreakBefore w:val="0"/>
              <w:widowControl w:val="0"/>
              <w:numPr>
                <w:ilvl w:val="0"/>
                <w:numId w:val="0"/>
              </w:numPr>
              <w:kinsoku/>
              <w:wordWrap/>
              <w:overflowPunct w:val="0"/>
              <w:topLinePunct/>
              <w:autoSpaceDE/>
              <w:autoSpaceDN/>
              <w:bidi w:val="0"/>
              <w:spacing w:line="460" w:lineRule="exact"/>
              <w:ind w:firstLine="0" w:firstLineChars="0"/>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 xml:space="preserve">  </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cs="Times New Roman"/>
                <w:color w:val="auto"/>
                <w:sz w:val="24"/>
                <w:szCs w:val="24"/>
                <w:highlight w:val="none"/>
                <w:lang w:eastAsia="zh-CN"/>
              </w:rPr>
              <w:t>防治措施</w:t>
            </w:r>
          </w:p>
          <w:p w14:paraId="17E1A6F3">
            <w:pPr>
              <w:widowControl/>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针对项目可能发生的地下水</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土壤</w:t>
            </w:r>
            <w:r>
              <w:rPr>
                <w:rFonts w:hint="default" w:ascii="Times New Roman" w:hAnsi="Times New Roman" w:cs="Times New Roman"/>
                <w:color w:val="auto"/>
                <w:kern w:val="0"/>
                <w:sz w:val="24"/>
                <w:szCs w:val="24"/>
                <w:highlight w:val="none"/>
              </w:rPr>
              <w:t>污染，污染防控措施按照“源头控制、分区防治、污染监控、应急响应”相结合的原则，从污染物的产生、入渗、扩散、应急响应全方位进行控制。</w:t>
            </w:r>
          </w:p>
          <w:p w14:paraId="043B2366">
            <w:pPr>
              <w:widowControl/>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1）污染源控制措施</w:t>
            </w:r>
          </w:p>
          <w:p w14:paraId="0BDD32C6">
            <w:pPr>
              <w:widowControl/>
              <w:spacing w:line="360" w:lineRule="auto"/>
              <w:ind w:firstLine="480" w:firstLineChars="200"/>
              <w:jc w:val="left"/>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val="en-US" w:eastAsia="zh-CN"/>
              </w:rPr>
              <w:t>本项目</w:t>
            </w:r>
            <w:r>
              <w:rPr>
                <w:rFonts w:hint="default" w:ascii="Times New Roman" w:hAnsi="Times New Roman" w:cs="Times New Roman"/>
                <w:color w:val="auto"/>
                <w:kern w:val="0"/>
                <w:sz w:val="24"/>
                <w:szCs w:val="24"/>
                <w:highlight w:val="none"/>
              </w:rPr>
              <w:t>将选择先进、成熟、可靠的工艺技术和较清洁的原辅材料，对产生的</w:t>
            </w:r>
            <w:r>
              <w:rPr>
                <w:rFonts w:hint="eastAsia" w:cs="Times New Roman"/>
                <w:color w:val="auto"/>
                <w:kern w:val="0"/>
                <w:sz w:val="24"/>
                <w:szCs w:val="24"/>
                <w:highlight w:val="none"/>
                <w:lang w:val="en-US" w:eastAsia="zh-CN"/>
              </w:rPr>
              <w:t>水洗废水</w:t>
            </w:r>
            <w:r>
              <w:rPr>
                <w:rFonts w:hint="default" w:ascii="Times New Roman" w:hAnsi="Times New Roman" w:cs="Times New Roman"/>
                <w:color w:val="auto"/>
                <w:kern w:val="0"/>
                <w:sz w:val="24"/>
                <w:szCs w:val="24"/>
                <w:highlight w:val="none"/>
              </w:rPr>
              <w:t>进行合理的回用和治理，尽可能从源头上减少污染物排放；严格按照国家相关规范要求，对工艺、管道、设备等采取相应的措施，以防止和降低污染物的跑、冒、漏、滴现象，将污染物泄漏的环境风险事故降到最低程度；项目生产</w:t>
            </w:r>
            <w:r>
              <w:rPr>
                <w:rFonts w:hint="default" w:ascii="Times New Roman" w:hAnsi="Times New Roman" w:cs="Times New Roman"/>
                <w:color w:val="auto"/>
                <w:kern w:val="0"/>
                <w:sz w:val="24"/>
                <w:szCs w:val="24"/>
                <w:highlight w:val="none"/>
                <w:lang w:val="en-US" w:eastAsia="zh-CN"/>
              </w:rPr>
              <w:t>废水依托</w:t>
            </w:r>
            <w:r>
              <w:rPr>
                <w:rFonts w:hint="default" w:ascii="Times New Roman" w:hAnsi="Times New Roman" w:cs="Times New Roman"/>
                <w:color w:val="auto"/>
                <w:kern w:val="0"/>
                <w:sz w:val="24"/>
                <w:szCs w:val="24"/>
                <w:highlight w:val="none"/>
              </w:rPr>
              <w:t>厂区内污水处理设施处理达标后排入</w:t>
            </w:r>
            <w:r>
              <w:rPr>
                <w:rFonts w:hint="default" w:ascii="Times New Roman" w:hAnsi="Times New Roman" w:cs="Times New Roman"/>
                <w:color w:val="auto"/>
                <w:kern w:val="0"/>
                <w:sz w:val="24"/>
                <w:szCs w:val="24"/>
                <w:highlight w:val="none"/>
                <w:lang w:val="en-US" w:eastAsia="zh-CN"/>
              </w:rPr>
              <w:t>铜罐驿污水处理厂</w:t>
            </w:r>
            <w:r>
              <w:rPr>
                <w:rFonts w:hint="default" w:ascii="Times New Roman" w:hAnsi="Times New Roman" w:cs="Times New Roman"/>
                <w:color w:val="auto"/>
                <w:kern w:val="0"/>
                <w:sz w:val="24"/>
                <w:szCs w:val="24"/>
                <w:highlight w:val="none"/>
              </w:rPr>
              <w:t>进一步处理达标排放。</w:t>
            </w:r>
          </w:p>
          <w:p w14:paraId="64AAF397">
            <w:pPr>
              <w:widowControl/>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2）分区防渗控制措施</w:t>
            </w:r>
          </w:p>
          <w:p w14:paraId="62D9C078">
            <w:pPr>
              <w:widowControl/>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根据项目场地防污性能、污染控制难易程度和污染物特性，将项目区域划分为重点污染防治区、一般污染防治区和简单污染防治区。</w:t>
            </w:r>
          </w:p>
          <w:p w14:paraId="345F9283">
            <w:pPr>
              <w:widowControl/>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①重点防渗区</w:t>
            </w:r>
          </w:p>
          <w:p w14:paraId="2ACA126B">
            <w:pPr>
              <w:widowControl/>
              <w:spacing w:line="360" w:lineRule="auto"/>
              <w:ind w:firstLine="480" w:firstLineChars="200"/>
              <w:jc w:val="left"/>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val="en-US" w:eastAsia="zh-CN"/>
              </w:rPr>
              <w:t>本项目</w:t>
            </w:r>
            <w:r>
              <w:rPr>
                <w:rFonts w:hint="default" w:ascii="Times New Roman" w:hAnsi="Times New Roman" w:cs="Times New Roman"/>
                <w:color w:val="auto"/>
                <w:kern w:val="0"/>
                <w:sz w:val="24"/>
                <w:szCs w:val="24"/>
                <w:highlight w:val="none"/>
                <w:lang w:val="en-US" w:eastAsia="zh-CN"/>
              </w:rPr>
              <w:t>精炼车间储罐区</w:t>
            </w:r>
            <w:r>
              <w:rPr>
                <w:rFonts w:hint="eastAsia" w:cs="Times New Roman"/>
                <w:color w:val="auto"/>
                <w:kern w:val="0"/>
                <w:sz w:val="24"/>
                <w:szCs w:val="24"/>
                <w:highlight w:val="none"/>
                <w:lang w:val="en-US" w:eastAsia="zh-CN"/>
              </w:rPr>
              <w:t>、生产区</w:t>
            </w:r>
            <w:r>
              <w:rPr>
                <w:rFonts w:hint="default" w:ascii="Times New Roman" w:hAnsi="Times New Roman" w:cs="Times New Roman"/>
                <w:color w:val="auto"/>
                <w:kern w:val="0"/>
                <w:sz w:val="24"/>
                <w:szCs w:val="24"/>
                <w:highlight w:val="none"/>
              </w:rPr>
              <w:t>等区域作为重点防渗区，地面和墙体四周采取防渗处理，并刷环氧树脂防渗</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储罐区设置围堰</w:t>
            </w:r>
            <w:r>
              <w:rPr>
                <w:rFonts w:hint="default" w:ascii="Times New Roman" w:hAnsi="Times New Roman" w:cs="Times New Roman"/>
                <w:color w:val="auto"/>
                <w:kern w:val="0"/>
                <w:sz w:val="24"/>
                <w:szCs w:val="24"/>
                <w:highlight w:val="none"/>
              </w:rPr>
              <w:t>。重点防渗区要求等效黏土防渗层Mb≥6.0m，渗透系数K≤10</w:t>
            </w:r>
            <w:r>
              <w:rPr>
                <w:rFonts w:hint="default" w:ascii="Times New Roman" w:hAnsi="Times New Roman" w:cs="Times New Roman"/>
                <w:color w:val="auto"/>
                <w:kern w:val="0"/>
                <w:sz w:val="24"/>
                <w:szCs w:val="24"/>
                <w:highlight w:val="none"/>
                <w:vertAlign w:val="superscript"/>
              </w:rPr>
              <w:t>-7</w:t>
            </w:r>
            <w:r>
              <w:rPr>
                <w:rFonts w:hint="default" w:ascii="Times New Roman" w:hAnsi="Times New Roman" w:cs="Times New Roman"/>
                <w:color w:val="auto"/>
                <w:kern w:val="0"/>
                <w:sz w:val="24"/>
                <w:szCs w:val="24"/>
                <w:highlight w:val="none"/>
              </w:rPr>
              <w:t>cm/s，采取有效防渗、防腐处理。</w:t>
            </w:r>
          </w:p>
          <w:p w14:paraId="7B519D49">
            <w:pPr>
              <w:widowControl/>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②一般防渗区</w:t>
            </w:r>
          </w:p>
          <w:p w14:paraId="0DF4571D">
            <w:pPr>
              <w:widowControl/>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除了上述重点防渗区以外的其它生产厂房内各个区域作为一般防渗区。一般防渗区参照《一般工业固体废物贮存和填埋污染控制标准》（GB18599-2020）中要求执行，应满足防渗漏、防雨淋、防扬尘等环境保护要求。一般防渗区的要求等效黏土防渗层Mb≥1.5m，渗透系数K≤10</w:t>
            </w:r>
            <w:r>
              <w:rPr>
                <w:rFonts w:hint="default" w:ascii="Times New Roman" w:hAnsi="Times New Roman" w:cs="Times New Roman"/>
                <w:color w:val="auto"/>
                <w:kern w:val="0"/>
                <w:sz w:val="24"/>
                <w:szCs w:val="24"/>
                <w:highlight w:val="none"/>
                <w:vertAlign w:val="superscript"/>
              </w:rPr>
              <w:t>-7</w:t>
            </w:r>
            <w:r>
              <w:rPr>
                <w:rFonts w:hint="default" w:ascii="Times New Roman" w:hAnsi="Times New Roman" w:cs="Times New Roman"/>
                <w:color w:val="auto"/>
                <w:kern w:val="0"/>
                <w:sz w:val="24"/>
                <w:szCs w:val="24"/>
                <w:highlight w:val="none"/>
              </w:rPr>
              <w:t>cm/s。</w:t>
            </w:r>
          </w:p>
          <w:p w14:paraId="2BE2EB0B">
            <w:pPr>
              <w:widowControl/>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b/>
                <w:bCs/>
                <w:color w:val="auto"/>
                <w:kern w:val="0"/>
                <w:sz w:val="24"/>
                <w:szCs w:val="24"/>
                <w:highlight w:val="none"/>
              </w:rPr>
              <w:t>表4</w:t>
            </w:r>
            <w:r>
              <w:rPr>
                <w:rFonts w:hint="eastAsia" w:ascii="Times New Roman" w:hAnsi="Times New Roman" w:cs="Times New Roman"/>
                <w:b/>
                <w:bCs/>
                <w:snapToGrid w:val="0"/>
                <w:color w:val="auto"/>
                <w:sz w:val="24"/>
                <w:szCs w:val="24"/>
                <w:highlight w:val="none"/>
                <w:lang w:val="en-US" w:eastAsia="zh-CN"/>
              </w:rPr>
              <w:t>.2-</w:t>
            </w:r>
            <w:r>
              <w:rPr>
                <w:rFonts w:hint="eastAsia" w:cs="Times New Roman"/>
                <w:b/>
                <w:bCs/>
                <w:snapToGrid w:val="0"/>
                <w:color w:val="auto"/>
                <w:sz w:val="24"/>
                <w:szCs w:val="24"/>
                <w:highlight w:val="none"/>
                <w:lang w:val="en-US" w:eastAsia="zh-CN"/>
              </w:rPr>
              <w:t>19</w:t>
            </w:r>
            <w:r>
              <w:rPr>
                <w:rFonts w:hint="default" w:ascii="Times New Roman" w:hAnsi="Times New Roman" w:cs="Times New Roman"/>
                <w:b/>
                <w:bCs/>
                <w:color w:val="auto"/>
                <w:kern w:val="0"/>
                <w:sz w:val="24"/>
                <w:szCs w:val="24"/>
                <w:highlight w:val="none"/>
              </w:rPr>
              <w:t>分区防渗要求</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3347"/>
              <w:gridCol w:w="3169"/>
            </w:tblGrid>
            <w:tr w14:paraId="0092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7B51D286">
                  <w:pPr>
                    <w:pStyle w:val="2"/>
                    <w:spacing w:before="0" w:after="0" w:line="240" w:lineRule="auto"/>
                    <w:ind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分区防渗</w:t>
                  </w:r>
                </w:p>
              </w:tc>
              <w:tc>
                <w:tcPr>
                  <w:tcW w:w="3347" w:type="dxa"/>
                  <w:noWrap w:val="0"/>
                  <w:vAlign w:val="center"/>
                </w:tcPr>
                <w:p w14:paraId="6E993E55">
                  <w:pPr>
                    <w:pStyle w:val="2"/>
                    <w:spacing w:before="0" w:after="0" w:line="240" w:lineRule="auto"/>
                    <w:ind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w:t>
                  </w:r>
                </w:p>
              </w:tc>
              <w:tc>
                <w:tcPr>
                  <w:tcW w:w="3169" w:type="dxa"/>
                  <w:noWrap w:val="0"/>
                  <w:vAlign w:val="center"/>
                </w:tcPr>
                <w:p w14:paraId="1CE407C3">
                  <w:pPr>
                    <w:pStyle w:val="2"/>
                    <w:spacing w:before="0" w:after="0" w:line="240" w:lineRule="auto"/>
                    <w:ind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分区防渗要求</w:t>
                  </w:r>
                </w:p>
              </w:tc>
            </w:tr>
            <w:tr w14:paraId="566E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585A5DEF">
                  <w:pPr>
                    <w:pStyle w:val="2"/>
                    <w:spacing w:before="0" w:after="0" w:line="240" w:lineRule="auto"/>
                    <w:ind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重点防渗区</w:t>
                  </w:r>
                </w:p>
              </w:tc>
              <w:tc>
                <w:tcPr>
                  <w:tcW w:w="3347" w:type="dxa"/>
                  <w:noWrap w:val="0"/>
                  <w:vAlign w:val="center"/>
                </w:tcPr>
                <w:p w14:paraId="15F400BC">
                  <w:pPr>
                    <w:pStyle w:val="2"/>
                    <w:spacing w:before="0" w:after="0"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精炼车间储罐区</w:t>
                  </w:r>
                  <w:r>
                    <w:rPr>
                      <w:rFonts w:hint="eastAsia" w:cs="Times New Roman"/>
                      <w:color w:val="auto"/>
                      <w:sz w:val="21"/>
                      <w:szCs w:val="21"/>
                      <w:highlight w:val="none"/>
                      <w:lang w:val="en-US" w:eastAsia="zh-CN"/>
                    </w:rPr>
                    <w:t>、生产区</w:t>
                  </w:r>
                </w:p>
              </w:tc>
              <w:tc>
                <w:tcPr>
                  <w:tcW w:w="3169" w:type="dxa"/>
                  <w:noWrap w:val="0"/>
                  <w:vAlign w:val="center"/>
                </w:tcPr>
                <w:p w14:paraId="4115558C">
                  <w:pPr>
                    <w:widowControl/>
                    <w:jc w:val="center"/>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等效黏土防渗层Mb≥6.0m，渗透系数K≤10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p>
              </w:tc>
            </w:tr>
            <w:tr w14:paraId="078D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4" w:type="dxa"/>
                  <w:noWrap w:val="0"/>
                  <w:vAlign w:val="center"/>
                </w:tcPr>
                <w:p w14:paraId="74C24604">
                  <w:pPr>
                    <w:pStyle w:val="2"/>
                    <w:spacing w:before="0" w:after="0" w:line="240" w:lineRule="auto"/>
                    <w:ind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3347" w:type="dxa"/>
                  <w:noWrap w:val="0"/>
                  <w:vAlign w:val="center"/>
                </w:tcPr>
                <w:p w14:paraId="406D7AFB">
                  <w:pPr>
                    <w:pStyle w:val="2"/>
                    <w:spacing w:before="0" w:after="0" w:line="240" w:lineRule="auto"/>
                    <w:ind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原料暂存区（固体）</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锅炉房</w:t>
                  </w:r>
                  <w:r>
                    <w:rPr>
                      <w:rFonts w:hint="default" w:ascii="Times New Roman" w:hAnsi="Times New Roman" w:cs="Times New Roman"/>
                      <w:color w:val="auto"/>
                      <w:sz w:val="21"/>
                      <w:szCs w:val="21"/>
                      <w:highlight w:val="none"/>
                    </w:rPr>
                    <w:t>等区域</w:t>
                  </w:r>
                </w:p>
              </w:tc>
              <w:tc>
                <w:tcPr>
                  <w:tcW w:w="3169" w:type="dxa"/>
                  <w:noWrap w:val="0"/>
                  <w:vAlign w:val="center"/>
                </w:tcPr>
                <w:p w14:paraId="163EEE39">
                  <w:pPr>
                    <w:widowControl/>
                    <w:jc w:val="center"/>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等效黏土防渗层Mb≥1.5m，渗透系数K≤10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p>
              </w:tc>
            </w:tr>
          </w:tbl>
          <w:p w14:paraId="5B3B6189">
            <w:pPr>
              <w:widowControl/>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（3）应急响应措施</w:t>
            </w:r>
          </w:p>
          <w:p w14:paraId="58FF9870">
            <w:pPr>
              <w:widowControl/>
              <w:spacing w:line="360" w:lineRule="auto"/>
              <w:ind w:firstLine="480" w:firstLineChars="200"/>
              <w:jc w:val="left"/>
              <w:rPr>
                <w:rFonts w:hint="eastAsia" w:ascii="Times New Roman" w:hAnsi="Times New Roman" w:eastAsia="宋体" w:cs="Times New Roman"/>
                <w:color w:val="auto"/>
                <w:kern w:val="0"/>
                <w:sz w:val="24"/>
                <w:szCs w:val="24"/>
                <w:highlight w:val="none"/>
                <w:lang w:eastAsia="zh-CN"/>
              </w:rPr>
            </w:pPr>
            <w:r>
              <w:rPr>
                <w:rFonts w:hint="eastAsia" w:cs="Times New Roman"/>
                <w:color w:val="auto"/>
                <w:kern w:val="0"/>
                <w:sz w:val="24"/>
                <w:szCs w:val="24"/>
                <w:highlight w:val="none"/>
                <w:lang w:val="en-US" w:eastAsia="zh-CN"/>
              </w:rPr>
              <w:t>土壤、</w:t>
            </w:r>
            <w:r>
              <w:rPr>
                <w:rFonts w:hint="default" w:ascii="Times New Roman" w:hAnsi="Times New Roman" w:cs="Times New Roman"/>
                <w:color w:val="auto"/>
                <w:kern w:val="0"/>
                <w:sz w:val="24"/>
                <w:szCs w:val="24"/>
                <w:highlight w:val="none"/>
              </w:rPr>
              <w:t>地下水污染事故应纳入全公司的应急体系管理之中，在发生</w:t>
            </w:r>
            <w:r>
              <w:rPr>
                <w:rFonts w:hint="eastAsia" w:cs="Times New Roman"/>
                <w:color w:val="auto"/>
                <w:kern w:val="0"/>
                <w:sz w:val="24"/>
                <w:szCs w:val="24"/>
                <w:highlight w:val="none"/>
                <w:lang w:val="en-US" w:eastAsia="zh-CN"/>
              </w:rPr>
              <w:t>土壤、</w:t>
            </w:r>
            <w:r>
              <w:rPr>
                <w:rFonts w:hint="default" w:ascii="Times New Roman" w:hAnsi="Times New Roman" w:cs="Times New Roman"/>
                <w:color w:val="auto"/>
                <w:kern w:val="0"/>
                <w:sz w:val="24"/>
                <w:szCs w:val="24"/>
                <w:highlight w:val="none"/>
              </w:rPr>
              <w:t>地下水污染事故时应按公司的应急预案进行积极响应。在事故发生时，应按分级程序快速切断泄露源，并通报相关责任人和单位；找出泄露地点，采取相应的环境污染处置事故，直至污染事故的消除，在消除事故后撤销污染事故的应急状态。</w:t>
            </w:r>
          </w:p>
          <w:p w14:paraId="3820DBA5">
            <w:pPr>
              <w:widowControl/>
              <w:spacing w:line="360" w:lineRule="auto"/>
              <w:ind w:firstLine="480" w:firstLineChars="20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kern w:val="0"/>
                <w:sz w:val="24"/>
                <w:szCs w:val="24"/>
                <w:highlight w:val="none"/>
              </w:rPr>
              <w:t>综上所述，结合环境水文地质条件、污染防控措施、建设项目总平面布置的合理性等方面进行综合评价，项目对地下水</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土壤</w:t>
            </w:r>
            <w:r>
              <w:rPr>
                <w:rFonts w:hint="default" w:ascii="Times New Roman" w:hAnsi="Times New Roman" w:cs="Times New Roman"/>
                <w:color w:val="auto"/>
                <w:kern w:val="0"/>
                <w:sz w:val="24"/>
                <w:szCs w:val="24"/>
                <w:highlight w:val="none"/>
              </w:rPr>
              <w:t>环境的影响</w:t>
            </w:r>
            <w:r>
              <w:rPr>
                <w:rFonts w:hint="default" w:ascii="Times New Roman" w:hAnsi="Times New Roman" w:cs="Times New Roman"/>
                <w:color w:val="auto"/>
                <w:sz w:val="24"/>
                <w:szCs w:val="24"/>
                <w:highlight w:val="none"/>
              </w:rPr>
              <w:t>可接受</w:t>
            </w:r>
            <w:r>
              <w:rPr>
                <w:rFonts w:hint="default" w:ascii="Times New Roman" w:hAnsi="Times New Roman" w:cs="Times New Roman"/>
                <w:color w:val="auto"/>
                <w:sz w:val="24"/>
                <w:szCs w:val="24"/>
                <w:highlight w:val="none"/>
                <w:lang w:eastAsia="zh-CN"/>
              </w:rPr>
              <w:t>。</w:t>
            </w:r>
          </w:p>
          <w:p w14:paraId="3080D33F">
            <w:pPr>
              <w:pStyle w:val="24"/>
              <w:keepNext w:val="0"/>
              <w:keepLines w:val="0"/>
              <w:pageBreakBefore w:val="0"/>
              <w:widowControl w:val="0"/>
              <w:kinsoku/>
              <w:wordWrap/>
              <w:overflowPunct w:val="0"/>
              <w:topLinePunct/>
              <w:autoSpaceDE/>
              <w:autoSpaceDN/>
              <w:bidi w:val="0"/>
              <w:adjustRightInd/>
              <w:snapToGrid/>
              <w:spacing w:line="460" w:lineRule="exact"/>
              <w:ind w:right="0" w:firstLine="470" w:firstLineChars="200"/>
              <w:jc w:val="both"/>
              <w:textAlignment w:val="auto"/>
              <w:rPr>
                <w:rFonts w:hint="default" w:ascii="Times New Roman" w:hAnsi="Times New Roman" w:eastAsia="宋体" w:cs="Times New Roman"/>
                <w:b/>
                <w:bCs/>
                <w:color w:val="auto"/>
                <w:spacing w:val="-3"/>
                <w:sz w:val="24"/>
                <w:szCs w:val="24"/>
                <w:highlight w:val="none"/>
              </w:rPr>
            </w:pPr>
            <w:r>
              <w:rPr>
                <w:rFonts w:hint="default" w:ascii="Times New Roman" w:hAnsi="Times New Roman" w:eastAsia="宋体" w:cs="Times New Roman"/>
                <w:b/>
                <w:bCs/>
                <w:color w:val="auto"/>
                <w:spacing w:val="-3"/>
                <w:sz w:val="24"/>
                <w:szCs w:val="24"/>
                <w:highlight w:val="none"/>
                <w:lang w:val="en-US" w:eastAsia="zh-CN"/>
              </w:rPr>
              <w:t>4.2.</w:t>
            </w:r>
            <w:r>
              <w:rPr>
                <w:rFonts w:hint="eastAsia" w:ascii="Times New Roman" w:hAnsi="Times New Roman" w:cs="Times New Roman"/>
                <w:b/>
                <w:bCs/>
                <w:color w:val="auto"/>
                <w:spacing w:val="-3"/>
                <w:sz w:val="24"/>
                <w:szCs w:val="24"/>
                <w:highlight w:val="none"/>
                <w:lang w:val="en-US" w:eastAsia="zh-CN"/>
              </w:rPr>
              <w:t>6</w:t>
            </w:r>
            <w:r>
              <w:rPr>
                <w:rFonts w:hint="default" w:ascii="Times New Roman" w:hAnsi="Times New Roman" w:eastAsia="宋体" w:cs="Times New Roman"/>
                <w:b/>
                <w:bCs/>
                <w:color w:val="auto"/>
                <w:spacing w:val="-3"/>
                <w:sz w:val="24"/>
                <w:szCs w:val="24"/>
                <w:highlight w:val="none"/>
              </w:rPr>
              <w:t>环境风险分析</w:t>
            </w:r>
          </w:p>
          <w:p w14:paraId="52DD0FFE">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风险源调查</w:t>
            </w:r>
          </w:p>
          <w:p w14:paraId="5DEB8623">
            <w:pPr>
              <w:keepNext w:val="0"/>
              <w:keepLines w:val="0"/>
              <w:pageBreakBefore w:val="0"/>
              <w:widowControl w:val="0"/>
              <w:suppressLineNumbers w:val="0"/>
              <w:kinsoku/>
              <w:wordWrap/>
              <w:overflowPunct w:val="0"/>
              <w:topLinePunct/>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根据《建设项目环境风险评价技术导则》（HJ169</w:t>
            </w:r>
            <w:r>
              <w:rPr>
                <w:rFonts w:hint="default" w:ascii="Times New Roman" w:hAnsi="Times New Roman" w:eastAsia="宋体" w:cs="Times New Roman"/>
                <w:color w:val="auto"/>
                <w:spacing w:val="0"/>
                <w:kern w:val="2"/>
                <w:sz w:val="24"/>
                <w:szCs w:val="24"/>
                <w:highlight w:val="none"/>
                <w:lang w:val="en-US" w:eastAsia="zh-CN" w:bidi="ar"/>
              </w:rPr>
              <w:t>－</w:t>
            </w:r>
            <w:r>
              <w:rPr>
                <w:rFonts w:hint="default" w:ascii="Times New Roman" w:hAnsi="Times New Roman" w:eastAsia="宋体" w:cs="Times New Roman"/>
                <w:color w:val="auto"/>
                <w:sz w:val="24"/>
                <w:highlight w:val="none"/>
                <w:lang w:val="zh-CN" w:eastAsia="zh-CN"/>
              </w:rPr>
              <w:t>2018）附录内容，</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zh-CN" w:eastAsia="zh-CN"/>
              </w:rPr>
              <w:t>涉及危险物质为</w:t>
            </w:r>
            <w:r>
              <w:rPr>
                <w:rFonts w:hint="default" w:ascii="Times New Roman" w:hAnsi="Times New Roman" w:eastAsia="宋体" w:cs="Times New Roman"/>
                <w:color w:val="auto"/>
                <w:sz w:val="24"/>
                <w:highlight w:val="none"/>
                <w:lang w:val="en-US" w:eastAsia="zh-CN"/>
              </w:rPr>
              <w:t>磷酸、氢氧化钠、</w:t>
            </w:r>
            <w:r>
              <w:rPr>
                <w:rFonts w:hint="eastAsia" w:cs="Times New Roman"/>
                <w:color w:val="auto"/>
                <w:sz w:val="24"/>
                <w:highlight w:val="none"/>
                <w:lang w:val="en-US" w:eastAsia="zh-CN"/>
              </w:rPr>
              <w:t>次氯酸钠、天然气等</w:t>
            </w:r>
            <w:r>
              <w:rPr>
                <w:rFonts w:hint="default" w:ascii="Times New Roman" w:hAnsi="Times New Roman" w:eastAsia="宋体" w:cs="Times New Roman"/>
                <w:color w:val="auto"/>
                <w:sz w:val="24"/>
                <w:highlight w:val="none"/>
                <w:lang w:val="zh-CN" w:eastAsia="zh-CN"/>
              </w:rPr>
              <w:t>，潜在风险为</w:t>
            </w:r>
            <w:r>
              <w:rPr>
                <w:rFonts w:hint="eastAsia" w:cs="Times New Roman"/>
                <w:color w:val="auto"/>
                <w:sz w:val="24"/>
                <w:highlight w:val="none"/>
                <w:lang w:val="en-US" w:eastAsia="zh-CN"/>
              </w:rPr>
              <w:t>磷酸、碱液、次氯酸钠、植物油储罐等破损发生泄漏，天然气发生泄漏等</w:t>
            </w:r>
            <w:r>
              <w:rPr>
                <w:rFonts w:hint="default" w:ascii="Times New Roman" w:hAnsi="Times New Roman" w:eastAsia="宋体" w:cs="Times New Roman"/>
                <w:color w:val="auto"/>
                <w:sz w:val="24"/>
                <w:highlight w:val="none"/>
                <w:lang w:val="zh-CN" w:eastAsia="zh-CN"/>
              </w:rPr>
              <w:t>。</w:t>
            </w:r>
            <w:r>
              <w:rPr>
                <w:rFonts w:hint="eastAsia" w:cs="Times New Roman"/>
                <w:color w:val="auto"/>
                <w:sz w:val="24"/>
                <w:highlight w:val="none"/>
                <w:lang w:val="en-US" w:eastAsia="zh-CN"/>
              </w:rPr>
              <w:t>其物质理化性质及风险特性见附件8。</w:t>
            </w:r>
          </w:p>
          <w:p w14:paraId="167EE37C">
            <w:pPr>
              <w:keepNext w:val="0"/>
              <w:keepLines w:val="0"/>
              <w:pageBreakBefore w:val="0"/>
              <w:widowControl w:val="0"/>
              <w:suppressLineNumbers w:val="0"/>
              <w:kinsoku/>
              <w:wordWrap/>
              <w:overflowPunct w:val="0"/>
              <w:topLinePunct/>
              <w:autoSpaceDE/>
              <w:autoSpaceDN/>
              <w:bidi w:val="0"/>
              <w:adjustRightInd/>
              <w:snapToGrid/>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风险评价等级</w:t>
            </w:r>
          </w:p>
          <w:p w14:paraId="30116C1F">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cs="Times New Roman"/>
                <w:color w:val="auto"/>
                <w:kern w:val="0"/>
                <w:sz w:val="24"/>
                <w:szCs w:val="22"/>
                <w:highlight w:val="none"/>
              </w:rPr>
            </w:pPr>
            <w:r>
              <w:rPr>
                <w:rFonts w:hint="default" w:ascii="Times New Roman" w:hAnsi="Times New Roman" w:cs="Times New Roman"/>
                <w:color w:val="auto"/>
                <w:kern w:val="0"/>
                <w:sz w:val="24"/>
                <w:szCs w:val="22"/>
                <w:highlight w:val="none"/>
              </w:rPr>
              <w:t>计算所涉及的每种危险物质在厂界内的最大存在总量与其在《建设项目环境风险评价技术导则》（</w:t>
            </w:r>
            <w:r>
              <w:rPr>
                <w:rFonts w:hint="default" w:ascii="Times New Roman" w:hAnsi="Times New Roman" w:cs="Times New Roman"/>
                <w:color w:val="auto"/>
                <w:kern w:val="0"/>
                <w:sz w:val="24"/>
                <w:szCs w:val="22"/>
                <w:highlight w:val="none"/>
                <w:lang w:eastAsia="zh-CN"/>
              </w:rPr>
              <w:t>HJ</w:t>
            </w:r>
            <w:r>
              <w:rPr>
                <w:rFonts w:hint="default" w:ascii="Times New Roman" w:hAnsi="Times New Roman" w:cs="Times New Roman"/>
                <w:color w:val="auto"/>
                <w:kern w:val="0"/>
                <w:sz w:val="24"/>
                <w:szCs w:val="22"/>
                <w:highlight w:val="none"/>
              </w:rPr>
              <w:t>169</w:t>
            </w:r>
            <w:r>
              <w:rPr>
                <w:rFonts w:hint="default" w:ascii="Times New Roman" w:hAnsi="Times New Roman" w:eastAsia="宋体" w:cs="Times New Roman"/>
                <w:color w:val="auto"/>
                <w:spacing w:val="0"/>
                <w:kern w:val="2"/>
                <w:sz w:val="24"/>
                <w:szCs w:val="24"/>
                <w:highlight w:val="none"/>
                <w:lang w:val="en-US" w:eastAsia="zh-CN" w:bidi="ar"/>
              </w:rPr>
              <w:t>－</w:t>
            </w:r>
            <w:r>
              <w:rPr>
                <w:rFonts w:hint="default" w:ascii="Times New Roman" w:hAnsi="Times New Roman" w:cs="Times New Roman"/>
                <w:color w:val="auto"/>
                <w:kern w:val="0"/>
                <w:sz w:val="24"/>
                <w:szCs w:val="22"/>
                <w:highlight w:val="none"/>
              </w:rPr>
              <w:t>2018）附录C中对应临界量的比值Q。当只涉及一种危险物质时，计算该物质的总量与其临界量比值，即Q；当存在多种危险物质时，则按照下式计算物质的总量与其临界量比值（Q）：</w:t>
            </w:r>
          </w:p>
          <w:p w14:paraId="39C760B3">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cs="Times New Roman"/>
                <w:color w:val="auto"/>
                <w:kern w:val="0"/>
                <w:sz w:val="24"/>
                <w:szCs w:val="22"/>
                <w:highlight w:val="none"/>
              </w:rPr>
            </w:pPr>
            <w:r>
              <w:rPr>
                <w:rFonts w:hint="default" w:ascii="Times New Roman" w:hAnsi="Times New Roman" w:cs="Times New Roman"/>
                <w:color w:val="auto"/>
                <w:kern w:val="0"/>
                <w:sz w:val="24"/>
                <w:szCs w:val="22"/>
                <w:highlight w:val="none"/>
              </w:rPr>
              <w:t>Q=q1⁄Q1+q2⁄Q2+q3⁄Q3+⋯⋯+qn/Qn</w:t>
            </w:r>
          </w:p>
          <w:p w14:paraId="167A85E3">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cs="Times New Roman"/>
                <w:color w:val="auto"/>
                <w:kern w:val="0"/>
                <w:sz w:val="24"/>
                <w:szCs w:val="22"/>
                <w:highlight w:val="none"/>
              </w:rPr>
            </w:pPr>
            <w:r>
              <w:rPr>
                <w:rFonts w:hint="default" w:ascii="Times New Roman" w:hAnsi="Times New Roman" w:cs="Times New Roman"/>
                <w:color w:val="auto"/>
                <w:kern w:val="0"/>
                <w:sz w:val="24"/>
                <w:szCs w:val="22"/>
                <w:highlight w:val="none"/>
              </w:rPr>
              <w:t>式中：q1，q2，q3，——每种危险物质最大存在总量，t；</w:t>
            </w:r>
          </w:p>
          <w:p w14:paraId="249AFF07">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cs="Times New Roman"/>
                <w:color w:val="auto"/>
                <w:kern w:val="0"/>
                <w:sz w:val="24"/>
                <w:szCs w:val="22"/>
                <w:highlight w:val="none"/>
              </w:rPr>
            </w:pPr>
            <w:r>
              <w:rPr>
                <w:rFonts w:hint="default" w:ascii="Times New Roman" w:hAnsi="Times New Roman" w:cs="Times New Roman"/>
                <w:color w:val="auto"/>
                <w:kern w:val="0"/>
                <w:sz w:val="24"/>
                <w:szCs w:val="22"/>
                <w:highlight w:val="none"/>
              </w:rPr>
              <w:t>Q1，Q2，Q3······Qn——每种危险物质临界量，t。</w:t>
            </w:r>
          </w:p>
          <w:p w14:paraId="46B162E6">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cs="Times New Roman"/>
                <w:color w:val="auto"/>
                <w:kern w:val="0"/>
                <w:sz w:val="24"/>
                <w:szCs w:val="22"/>
                <w:highlight w:val="none"/>
              </w:rPr>
            </w:pPr>
            <w:r>
              <w:rPr>
                <w:rFonts w:hint="default" w:ascii="Times New Roman" w:hAnsi="Times New Roman" w:cs="Times New Roman"/>
                <w:color w:val="auto"/>
                <w:kern w:val="0"/>
                <w:sz w:val="24"/>
                <w:szCs w:val="22"/>
                <w:highlight w:val="none"/>
              </w:rPr>
              <w:t>当Q&lt;1时，该项目环境风险潜势为Ⅰ；当Q≥1时，将Q值划分为：（1）当1≤Q&lt;10</w:t>
            </w:r>
            <w:r>
              <w:rPr>
                <w:rFonts w:hint="default" w:ascii="Times New Roman" w:hAnsi="Times New Roman" w:cs="Times New Roman"/>
                <w:color w:val="auto"/>
                <w:kern w:val="0"/>
                <w:sz w:val="24"/>
                <w:szCs w:val="22"/>
                <w:highlight w:val="none"/>
                <w:lang w:eastAsia="zh-CN"/>
              </w:rPr>
              <w:t>；</w:t>
            </w:r>
            <w:r>
              <w:rPr>
                <w:rFonts w:hint="default" w:ascii="Times New Roman" w:hAnsi="Times New Roman" w:cs="Times New Roman"/>
                <w:color w:val="auto"/>
                <w:kern w:val="0"/>
                <w:sz w:val="24"/>
                <w:szCs w:val="22"/>
                <w:highlight w:val="none"/>
              </w:rPr>
              <w:t>（2）10≤Q&lt;100</w:t>
            </w:r>
            <w:r>
              <w:rPr>
                <w:rFonts w:hint="default" w:ascii="Times New Roman" w:hAnsi="Times New Roman" w:cs="Times New Roman"/>
                <w:color w:val="auto"/>
                <w:kern w:val="0"/>
                <w:sz w:val="24"/>
                <w:szCs w:val="22"/>
                <w:highlight w:val="none"/>
                <w:lang w:eastAsia="zh-CN"/>
              </w:rPr>
              <w:t>；</w:t>
            </w:r>
            <w:r>
              <w:rPr>
                <w:rFonts w:hint="default" w:ascii="Times New Roman" w:hAnsi="Times New Roman" w:cs="Times New Roman"/>
                <w:color w:val="auto"/>
                <w:kern w:val="0"/>
                <w:sz w:val="24"/>
                <w:szCs w:val="22"/>
                <w:highlight w:val="none"/>
              </w:rPr>
              <w:t>（3）Q≥100。</w:t>
            </w:r>
          </w:p>
          <w:p w14:paraId="4C972D59">
            <w:pPr>
              <w:keepNext w:val="0"/>
              <w:keepLines w:val="0"/>
              <w:pageBreakBefore w:val="0"/>
              <w:widowControl w:val="0"/>
              <w:kinsoku/>
              <w:wordWrap/>
              <w:overflowPunct w:val="0"/>
              <w:topLinePunct/>
              <w:autoSpaceDE/>
              <w:autoSpaceDN/>
              <w:bidi w:val="0"/>
              <w:adjustRightInd/>
              <w:snapToGrid/>
              <w:spacing w:line="460" w:lineRule="exact"/>
              <w:ind w:firstLine="480" w:firstLineChars="200"/>
              <w:textAlignment w:val="auto"/>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 w:val="24"/>
                <w:szCs w:val="22"/>
                <w:highlight w:val="none"/>
              </w:rPr>
              <w:t>根据风险评价导则附录B进行风险物质识别，</w:t>
            </w:r>
            <w:r>
              <w:rPr>
                <w:rFonts w:hint="eastAsia" w:cs="Times New Roman"/>
                <w:color w:val="auto"/>
                <w:kern w:val="0"/>
                <w:sz w:val="24"/>
                <w:szCs w:val="22"/>
                <w:highlight w:val="none"/>
                <w:lang w:val="en-US" w:eastAsia="zh-CN"/>
              </w:rPr>
              <w:t>本项目</w:t>
            </w:r>
            <w:r>
              <w:rPr>
                <w:rFonts w:hint="default" w:ascii="Times New Roman" w:hAnsi="Times New Roman" w:cs="Times New Roman"/>
                <w:color w:val="auto"/>
                <w:kern w:val="0"/>
                <w:sz w:val="24"/>
                <w:szCs w:val="22"/>
                <w:highlight w:val="none"/>
              </w:rPr>
              <w:t>涉及的各类危险物质见表</w:t>
            </w:r>
            <w:r>
              <w:rPr>
                <w:rFonts w:hint="default" w:ascii="Times New Roman" w:hAnsi="Times New Roman" w:cs="Times New Roman"/>
                <w:color w:val="auto"/>
                <w:kern w:val="0"/>
                <w:sz w:val="24"/>
                <w:szCs w:val="22"/>
                <w:highlight w:val="none"/>
                <w:lang w:val="en-US" w:eastAsia="zh-CN"/>
              </w:rPr>
              <w:t>4.2-</w:t>
            </w:r>
            <w:r>
              <w:rPr>
                <w:rFonts w:hint="eastAsia" w:cs="Times New Roman"/>
                <w:color w:val="auto"/>
                <w:kern w:val="0"/>
                <w:sz w:val="24"/>
                <w:szCs w:val="22"/>
                <w:highlight w:val="none"/>
                <w:lang w:val="en-US" w:eastAsia="zh-CN"/>
              </w:rPr>
              <w:t>20</w:t>
            </w:r>
            <w:r>
              <w:rPr>
                <w:rFonts w:hint="default" w:ascii="Times New Roman" w:hAnsi="Times New Roman" w:cs="Times New Roman"/>
                <w:color w:val="auto"/>
                <w:kern w:val="0"/>
                <w:sz w:val="24"/>
                <w:szCs w:val="22"/>
                <w:highlight w:val="none"/>
              </w:rPr>
              <w:t>。</w:t>
            </w:r>
          </w:p>
          <w:p w14:paraId="47A5F263">
            <w:pPr>
              <w:pageBreakBefore w:val="0"/>
              <w:widowControl w:val="0"/>
              <w:kinsoku/>
              <w:wordWrap/>
              <w:overflowPunct w:val="0"/>
              <w:topLinePunct/>
              <w:bidi w:val="0"/>
              <w:spacing w:line="480" w:lineRule="exact"/>
              <w:jc w:val="center"/>
              <w:rPr>
                <w:rFonts w:hint="default" w:ascii="Times New Roman" w:hAnsi="Times New Roman" w:eastAsia="宋体" w:cs="Times New Roman"/>
                <w:b/>
                <w:bCs/>
                <w:color w:val="auto"/>
                <w:sz w:val="21"/>
                <w:szCs w:val="32"/>
                <w:highlight w:val="none"/>
                <w:lang w:val="en-US" w:eastAsia="zh-CN" w:bidi="ar-SA"/>
              </w:rPr>
            </w:pPr>
            <w:r>
              <w:rPr>
                <w:rFonts w:hint="default" w:ascii="Times New Roman" w:hAnsi="Times New Roman" w:eastAsia="宋体" w:cs="Times New Roman"/>
                <w:b/>
                <w:bCs/>
                <w:color w:val="auto"/>
                <w:sz w:val="21"/>
                <w:szCs w:val="32"/>
                <w:highlight w:val="none"/>
                <w:lang w:val="en-US" w:eastAsia="zh-CN" w:bidi="ar-SA"/>
              </w:rPr>
              <w:t>表4.2-</w:t>
            </w:r>
            <w:r>
              <w:rPr>
                <w:rFonts w:hint="eastAsia" w:cs="Times New Roman"/>
                <w:b/>
                <w:bCs/>
                <w:color w:val="auto"/>
                <w:sz w:val="21"/>
                <w:szCs w:val="32"/>
                <w:highlight w:val="none"/>
                <w:lang w:val="en-US" w:eastAsia="zh-CN" w:bidi="ar-SA"/>
              </w:rPr>
              <w:t>20</w:t>
            </w:r>
            <w:r>
              <w:rPr>
                <w:rFonts w:hint="default" w:ascii="Times New Roman" w:hAnsi="Times New Roman" w:eastAsia="宋体" w:cs="Times New Roman"/>
                <w:b/>
                <w:bCs/>
                <w:color w:val="auto"/>
                <w:sz w:val="21"/>
                <w:szCs w:val="32"/>
                <w:highlight w:val="none"/>
                <w:lang w:val="en-US" w:eastAsia="zh-CN" w:bidi="ar-SA"/>
              </w:rPr>
              <w:t>危险物质最大储存量与临界量比值Q一览表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530"/>
              <w:gridCol w:w="1301"/>
              <w:gridCol w:w="1552"/>
              <w:gridCol w:w="999"/>
              <w:gridCol w:w="1940"/>
            </w:tblGrid>
            <w:tr w14:paraId="4978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noWrap w:val="0"/>
                  <w:vAlign w:val="center"/>
                </w:tcPr>
                <w:p w14:paraId="730BEAEA">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序号</w:t>
                  </w:r>
                </w:p>
              </w:tc>
              <w:tc>
                <w:tcPr>
                  <w:tcW w:w="969" w:type="pct"/>
                  <w:noWrap w:val="0"/>
                  <w:vAlign w:val="center"/>
                </w:tcPr>
                <w:p w14:paraId="7A1FA317">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危险物质名称</w:t>
                  </w:r>
                </w:p>
              </w:tc>
              <w:tc>
                <w:tcPr>
                  <w:tcW w:w="824" w:type="pct"/>
                  <w:noWrap w:val="0"/>
                  <w:vAlign w:val="center"/>
                </w:tcPr>
                <w:p w14:paraId="626765D6">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储存位置</w:t>
                  </w:r>
                </w:p>
              </w:tc>
              <w:tc>
                <w:tcPr>
                  <w:tcW w:w="983" w:type="pct"/>
                  <w:noWrap w:val="0"/>
                  <w:vAlign w:val="center"/>
                </w:tcPr>
                <w:p w14:paraId="19B95A37">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最大存在总量qn/t</w:t>
                  </w:r>
                </w:p>
              </w:tc>
              <w:tc>
                <w:tcPr>
                  <w:tcW w:w="631" w:type="pct"/>
                  <w:noWrap w:val="0"/>
                  <w:vAlign w:val="center"/>
                </w:tcPr>
                <w:p w14:paraId="2F5EE450">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临界值Qn/t</w:t>
                  </w:r>
                </w:p>
              </w:tc>
              <w:tc>
                <w:tcPr>
                  <w:tcW w:w="1228" w:type="pct"/>
                  <w:noWrap w:val="0"/>
                  <w:vAlign w:val="center"/>
                </w:tcPr>
                <w:p w14:paraId="49AEF2CC">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危险物质Q值</w:t>
                  </w:r>
                </w:p>
              </w:tc>
            </w:tr>
            <w:tr w14:paraId="3BFC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noWrap w:val="0"/>
                  <w:vAlign w:val="center"/>
                </w:tcPr>
                <w:p w14:paraId="6DEF51CC">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969" w:type="pct"/>
                  <w:noWrap w:val="0"/>
                  <w:vAlign w:val="center"/>
                </w:tcPr>
                <w:p w14:paraId="15D7D507">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磷酸</w:t>
                  </w:r>
                </w:p>
              </w:tc>
              <w:tc>
                <w:tcPr>
                  <w:tcW w:w="824" w:type="pct"/>
                  <w:noWrap w:val="0"/>
                  <w:vAlign w:val="center"/>
                </w:tcPr>
                <w:p w14:paraId="561086BD">
                  <w:pPr>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储罐区</w:t>
                  </w:r>
                </w:p>
              </w:tc>
              <w:tc>
                <w:tcPr>
                  <w:tcW w:w="983" w:type="pct"/>
                  <w:noWrap w:val="0"/>
                  <w:vAlign w:val="center"/>
                </w:tcPr>
                <w:p w14:paraId="14716090">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5.98</w:t>
                  </w:r>
                </w:p>
              </w:tc>
              <w:tc>
                <w:tcPr>
                  <w:tcW w:w="631" w:type="pct"/>
                  <w:noWrap w:val="0"/>
                  <w:vAlign w:val="center"/>
                </w:tcPr>
                <w:p w14:paraId="78E114F4">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c>
                <w:tcPr>
                  <w:tcW w:w="1228" w:type="pct"/>
                  <w:noWrap w:val="0"/>
                  <w:vAlign w:val="center"/>
                </w:tcPr>
                <w:p w14:paraId="19C026D4">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0.598</w:t>
                  </w:r>
                </w:p>
              </w:tc>
            </w:tr>
            <w:tr w14:paraId="50E6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noWrap w:val="0"/>
                  <w:vAlign w:val="center"/>
                </w:tcPr>
                <w:p w14:paraId="24F5DD1F">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969" w:type="pct"/>
                  <w:noWrap w:val="0"/>
                  <w:vAlign w:val="center"/>
                </w:tcPr>
                <w:p w14:paraId="6BED6BD9">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氢氧化钠</w:t>
                  </w:r>
                  <w:r>
                    <w:rPr>
                      <w:rFonts w:hint="eastAsia" w:cs="Times New Roman"/>
                      <w:color w:val="auto"/>
                      <w:kern w:val="0"/>
                      <w:sz w:val="21"/>
                      <w:szCs w:val="21"/>
                      <w:highlight w:val="none"/>
                      <w:lang w:val="en-US" w:eastAsia="zh-CN"/>
                    </w:rPr>
                    <w:t>溶液</w:t>
                  </w:r>
                </w:p>
              </w:tc>
              <w:tc>
                <w:tcPr>
                  <w:tcW w:w="824" w:type="pct"/>
                  <w:noWrap w:val="0"/>
                  <w:vAlign w:val="center"/>
                </w:tcPr>
                <w:p w14:paraId="02C15CC9">
                  <w:pPr>
                    <w:jc w:val="center"/>
                    <w:rPr>
                      <w:rFonts w:hint="default" w:ascii="Times New Roman" w:hAnsi="Times New Roman" w:cs="Times New Roman"/>
                      <w:color w:val="auto"/>
                      <w:kern w:val="0"/>
                      <w:sz w:val="21"/>
                      <w:szCs w:val="21"/>
                      <w:highlight w:val="none"/>
                    </w:rPr>
                  </w:pPr>
                  <w:r>
                    <w:rPr>
                      <w:rFonts w:hint="eastAsia" w:cs="Times New Roman"/>
                      <w:color w:val="auto"/>
                      <w:sz w:val="21"/>
                      <w:szCs w:val="21"/>
                      <w:highlight w:val="none"/>
                      <w:lang w:val="en-US" w:eastAsia="zh-CN"/>
                    </w:rPr>
                    <w:t>碱液罐</w:t>
                  </w:r>
                </w:p>
              </w:tc>
              <w:tc>
                <w:tcPr>
                  <w:tcW w:w="983" w:type="pct"/>
                  <w:noWrap w:val="0"/>
                  <w:vAlign w:val="center"/>
                </w:tcPr>
                <w:p w14:paraId="7BA8054B">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15.26</w:t>
                  </w:r>
                </w:p>
              </w:tc>
              <w:tc>
                <w:tcPr>
                  <w:tcW w:w="631" w:type="pct"/>
                  <w:noWrap w:val="0"/>
                  <w:vAlign w:val="center"/>
                </w:tcPr>
                <w:p w14:paraId="3D72331D">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w:t>
                  </w:r>
                </w:p>
              </w:tc>
              <w:tc>
                <w:tcPr>
                  <w:tcW w:w="1228" w:type="pct"/>
                  <w:noWrap w:val="0"/>
                  <w:vAlign w:val="center"/>
                </w:tcPr>
                <w:p w14:paraId="5F6BEA58">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0.305</w:t>
                  </w:r>
                </w:p>
              </w:tc>
            </w:tr>
            <w:tr w14:paraId="1AF4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noWrap w:val="0"/>
                  <w:vAlign w:val="center"/>
                </w:tcPr>
                <w:p w14:paraId="6C625C52">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969" w:type="pct"/>
                  <w:noWrap w:val="0"/>
                  <w:vAlign w:val="center"/>
                </w:tcPr>
                <w:p w14:paraId="4C35C40E">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次氯酸钠</w:t>
                  </w:r>
                </w:p>
              </w:tc>
              <w:tc>
                <w:tcPr>
                  <w:tcW w:w="824" w:type="pct"/>
                  <w:noWrap w:val="0"/>
                  <w:vAlign w:val="center"/>
                </w:tcPr>
                <w:p w14:paraId="142485A8">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次氯酸钠罐</w:t>
                  </w:r>
                </w:p>
              </w:tc>
              <w:tc>
                <w:tcPr>
                  <w:tcW w:w="983" w:type="pct"/>
                  <w:noWrap w:val="0"/>
                  <w:vAlign w:val="center"/>
                </w:tcPr>
                <w:p w14:paraId="526F8F43">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0.09</w:t>
                  </w:r>
                </w:p>
              </w:tc>
              <w:tc>
                <w:tcPr>
                  <w:tcW w:w="631" w:type="pct"/>
                  <w:noWrap w:val="0"/>
                  <w:vAlign w:val="center"/>
                </w:tcPr>
                <w:p w14:paraId="7219A52D">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1228" w:type="pct"/>
                  <w:noWrap w:val="0"/>
                  <w:vAlign w:val="center"/>
                </w:tcPr>
                <w:p w14:paraId="7C24209B">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0.018</w:t>
                  </w:r>
                </w:p>
              </w:tc>
            </w:tr>
            <w:tr w14:paraId="779B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2" w:type="pct"/>
                  <w:noWrap w:val="0"/>
                  <w:vAlign w:val="center"/>
                </w:tcPr>
                <w:p w14:paraId="7E955CAA">
                  <w:pPr>
                    <w:pageBreakBefore w:val="0"/>
                    <w:kinsoku/>
                    <w:wordWrap/>
                    <w:overflowPunct w:val="0"/>
                    <w:topLinePunct/>
                    <w:bidi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969" w:type="pct"/>
                  <w:noWrap w:val="0"/>
                  <w:vAlign w:val="center"/>
                </w:tcPr>
                <w:p w14:paraId="1ECD49AF">
                  <w:pPr>
                    <w:pageBreakBefore w:val="0"/>
                    <w:kinsoku/>
                    <w:wordWrap/>
                    <w:overflowPunct w:val="0"/>
                    <w:topLinePunct/>
                    <w:bidi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天然气（甲烷）</w:t>
                  </w:r>
                </w:p>
              </w:tc>
              <w:tc>
                <w:tcPr>
                  <w:tcW w:w="824" w:type="pct"/>
                  <w:noWrap w:val="0"/>
                  <w:vAlign w:val="center"/>
                </w:tcPr>
                <w:p w14:paraId="5C747DDE">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厂区燃气管道</w:t>
                  </w:r>
                </w:p>
              </w:tc>
              <w:tc>
                <w:tcPr>
                  <w:tcW w:w="983" w:type="pct"/>
                  <w:noWrap w:val="0"/>
                  <w:vAlign w:val="center"/>
                </w:tcPr>
                <w:p w14:paraId="1FF5608B">
                  <w:pPr>
                    <w:pageBreakBefore w:val="0"/>
                    <w:kinsoku/>
                    <w:wordWrap/>
                    <w:overflowPunct w:val="0"/>
                    <w:topLinePunct/>
                    <w:bidi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0.03</w:t>
                  </w:r>
                </w:p>
              </w:tc>
              <w:tc>
                <w:tcPr>
                  <w:tcW w:w="631" w:type="pct"/>
                  <w:noWrap w:val="0"/>
                  <w:vAlign w:val="center"/>
                </w:tcPr>
                <w:p w14:paraId="30F1EA70">
                  <w:pPr>
                    <w:pageBreakBefore w:val="0"/>
                    <w:kinsoku/>
                    <w:wordWrap/>
                    <w:overflowPunct w:val="0"/>
                    <w:topLinePunct/>
                    <w:bidi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1228" w:type="pct"/>
                  <w:noWrap w:val="0"/>
                  <w:vAlign w:val="center"/>
                </w:tcPr>
                <w:p w14:paraId="691E690E">
                  <w:pPr>
                    <w:pageBreakBefore w:val="0"/>
                    <w:kinsoku/>
                    <w:wordWrap/>
                    <w:overflowPunct w:val="0"/>
                    <w:topLinePunct/>
                    <w:bidi w:val="0"/>
                    <w:spacing w:line="240" w:lineRule="auto"/>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0.003</w:t>
                  </w:r>
                </w:p>
              </w:tc>
            </w:tr>
            <w:tr w14:paraId="478E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71" w:type="pct"/>
                  <w:gridSpan w:val="5"/>
                  <w:noWrap w:val="0"/>
                  <w:vAlign w:val="center"/>
                </w:tcPr>
                <w:p w14:paraId="7D8C0746">
                  <w:pPr>
                    <w:pageBreakBefore w:val="0"/>
                    <w:kinsoku/>
                    <w:wordWrap/>
                    <w:overflowPunct w:val="0"/>
                    <w:topLinePunct/>
                    <w:bidi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合计</w:t>
                  </w:r>
                </w:p>
              </w:tc>
              <w:tc>
                <w:tcPr>
                  <w:tcW w:w="1228" w:type="pct"/>
                  <w:noWrap w:val="0"/>
                  <w:vAlign w:val="center"/>
                </w:tcPr>
                <w:p w14:paraId="036FC557">
                  <w:pPr>
                    <w:pageBreakBefore w:val="0"/>
                    <w:kinsoku/>
                    <w:wordWrap/>
                    <w:overflowPunct w:val="0"/>
                    <w:topLinePunct/>
                    <w:bidi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0.924</w:t>
                  </w:r>
                </w:p>
              </w:tc>
            </w:tr>
            <w:tr w14:paraId="64D5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6"/>
                  <w:noWrap w:val="0"/>
                  <w:vAlign w:val="center"/>
                </w:tcPr>
                <w:p w14:paraId="7E95A0D4">
                  <w:pPr>
                    <w:keepNext w:val="0"/>
                    <w:keepLines w:val="0"/>
                    <w:pageBreakBefore w:val="0"/>
                    <w:numPr>
                      <w:ilvl w:val="0"/>
                      <w:numId w:val="0"/>
                    </w:numPr>
                    <w:kinsoku/>
                    <w:wordWrap/>
                    <w:overflowPunct w:val="0"/>
                    <w:topLinePunct/>
                    <w:autoSpaceDE/>
                    <w:autoSpaceDN/>
                    <w:bidi w:val="0"/>
                    <w:adjustRightInd/>
                    <w:spacing w:line="240" w:lineRule="auto"/>
                    <w:ind w:right="0" w:right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18"/>
                      <w:szCs w:val="18"/>
                      <w:highlight w:val="none"/>
                      <w:lang w:val="en-US" w:eastAsia="zh-CN"/>
                    </w:rPr>
                    <w:t>注：磷酸浓度为50%，磷酸罐容积为8m</w:t>
                  </w:r>
                  <w:r>
                    <w:rPr>
                      <w:rFonts w:hint="eastAsia" w:cs="Times New Roman"/>
                      <w:color w:val="auto"/>
                      <w:kern w:val="0"/>
                      <w:sz w:val="18"/>
                      <w:szCs w:val="18"/>
                      <w:highlight w:val="none"/>
                      <w:vertAlign w:val="superscript"/>
                      <w:lang w:val="en-US" w:eastAsia="zh-CN"/>
                    </w:rPr>
                    <w:t>3</w:t>
                  </w:r>
                  <w:r>
                    <w:rPr>
                      <w:rFonts w:hint="eastAsia" w:cs="Times New Roman"/>
                      <w:color w:val="auto"/>
                      <w:kern w:val="0"/>
                      <w:sz w:val="18"/>
                      <w:szCs w:val="18"/>
                      <w:highlight w:val="none"/>
                      <w:lang w:val="en-US" w:eastAsia="zh-CN"/>
                    </w:rPr>
                    <w:t>，充装系数为0.8，密度为1.87g/cm</w:t>
                  </w:r>
                  <w:r>
                    <w:rPr>
                      <w:rFonts w:hint="eastAsia" w:cs="Times New Roman"/>
                      <w:color w:val="auto"/>
                      <w:kern w:val="0"/>
                      <w:sz w:val="18"/>
                      <w:szCs w:val="18"/>
                      <w:highlight w:val="none"/>
                      <w:vertAlign w:val="superscript"/>
                      <w:lang w:val="en-US" w:eastAsia="zh-CN"/>
                    </w:rPr>
                    <w:t>3</w:t>
                  </w:r>
                  <w:r>
                    <w:rPr>
                      <w:rFonts w:hint="eastAsia" w:cs="Times New Roman"/>
                      <w:color w:val="auto"/>
                      <w:kern w:val="0"/>
                      <w:sz w:val="18"/>
                      <w:szCs w:val="18"/>
                      <w:highlight w:val="none"/>
                      <w:lang w:val="en-US" w:eastAsia="zh-CN"/>
                    </w:rPr>
                    <w:t>；</w:t>
                  </w:r>
                  <w:r>
                    <w:rPr>
                      <w:rFonts w:hint="eastAsia"/>
                      <w:color w:val="auto"/>
                      <w:sz w:val="18"/>
                      <w:szCs w:val="18"/>
                      <w:highlight w:val="none"/>
                      <w:lang w:val="en-US" w:eastAsia="zh-CN"/>
                    </w:rPr>
                    <w:t>氢氧化钠溶液浓度为30%，碱液罐容积为30m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，充装系数为0.8，密度取2.12</w:t>
                  </w:r>
                  <w:r>
                    <w:rPr>
                      <w:rFonts w:hint="eastAsia" w:cs="Times New Roman"/>
                      <w:color w:val="auto"/>
                      <w:kern w:val="0"/>
                      <w:sz w:val="18"/>
                      <w:szCs w:val="18"/>
                      <w:highlight w:val="none"/>
                      <w:lang w:val="en-US" w:eastAsia="zh-CN"/>
                    </w:rPr>
                    <w:t>g/cm</w:t>
                  </w:r>
                  <w:r>
                    <w:rPr>
                      <w:rFonts w:hint="eastAsia" w:cs="Times New Roman"/>
                      <w:color w:val="auto"/>
                      <w:kern w:val="0"/>
                      <w:sz w:val="18"/>
                      <w:szCs w:val="18"/>
                      <w:highlight w:val="none"/>
                      <w:vertAlign w:val="superscript"/>
                      <w:lang w:val="en-US" w:eastAsia="zh-CN"/>
                    </w:rPr>
                    <w:t>3</w:t>
                  </w:r>
                  <w:r>
                    <w:rPr>
                      <w:rFonts w:hint="eastAsia"/>
                      <w:color w:val="auto"/>
                      <w:sz w:val="18"/>
                      <w:szCs w:val="18"/>
                      <w:highlight w:val="none"/>
                      <w:lang w:val="en-US" w:eastAsia="zh-CN"/>
                    </w:rPr>
                    <w:t>；</w:t>
                  </w:r>
                  <w:r>
                    <w:rPr>
                      <w:rFonts w:hint="eastAsia" w:cs="Times New Roman"/>
                      <w:color w:val="auto"/>
                      <w:kern w:val="0"/>
                      <w:sz w:val="18"/>
                      <w:szCs w:val="18"/>
                      <w:highlight w:val="none"/>
                      <w:lang w:val="en-US" w:eastAsia="zh-CN"/>
                    </w:rPr>
                    <w:t>次氯酸钠储罐为1m</w:t>
                  </w:r>
                  <w:r>
                    <w:rPr>
                      <w:rFonts w:hint="eastAsia" w:cs="Times New Roman"/>
                      <w:color w:val="auto"/>
                      <w:kern w:val="0"/>
                      <w:sz w:val="18"/>
                      <w:szCs w:val="18"/>
                      <w:highlight w:val="none"/>
                      <w:vertAlign w:val="superscript"/>
                      <w:lang w:val="en-US" w:eastAsia="zh-CN"/>
                    </w:rPr>
                    <w:t>3</w:t>
                  </w:r>
                  <w:r>
                    <w:rPr>
                      <w:rFonts w:hint="eastAsia" w:cs="Times New Roman"/>
                      <w:color w:val="auto"/>
                      <w:kern w:val="0"/>
                      <w:sz w:val="18"/>
                      <w:szCs w:val="18"/>
                      <w:highlight w:val="none"/>
                      <w:lang w:val="en-US" w:eastAsia="zh-CN"/>
                    </w:rPr>
                    <w:t>，浓度为10%，充装系数为0.8，密度为1.11g/cm</w:t>
                  </w:r>
                  <w:r>
                    <w:rPr>
                      <w:rFonts w:hint="eastAsia" w:cs="Times New Roman"/>
                      <w:color w:val="auto"/>
                      <w:kern w:val="0"/>
                      <w:sz w:val="18"/>
                      <w:szCs w:val="18"/>
                      <w:highlight w:val="none"/>
                      <w:vertAlign w:val="superscript"/>
                      <w:lang w:val="en-US" w:eastAsia="zh-CN"/>
                    </w:rPr>
                    <w:t>3</w:t>
                  </w:r>
                  <w:r>
                    <w:rPr>
                      <w:rFonts w:hint="eastAsia" w:cs="Times New Roman"/>
                      <w:color w:val="auto"/>
                      <w:kern w:val="0"/>
                      <w:sz w:val="18"/>
                      <w:szCs w:val="18"/>
                      <w:highlight w:val="none"/>
                      <w:lang w:val="en-US" w:eastAsia="zh-CN"/>
                    </w:rPr>
                    <w:t>；</w:t>
                  </w:r>
                  <w:r>
                    <w:rPr>
                      <w:rFonts w:hint="eastAsia"/>
                      <w:color w:val="auto"/>
                      <w:sz w:val="18"/>
                      <w:szCs w:val="18"/>
                      <w:highlight w:val="none"/>
                      <w:vertAlign w:val="baseline"/>
                      <w:lang w:val="en-US" w:eastAsia="zh-CN"/>
                    </w:rPr>
                    <w:t>天然气密度一般为0.56~0.69kg/m</w:t>
                  </w:r>
                  <w:r>
                    <w:rPr>
                      <w:rFonts w:hint="eastAsia"/>
                      <w:color w:val="auto"/>
                      <w:sz w:val="18"/>
                      <w:szCs w:val="18"/>
                      <w:highlight w:val="none"/>
                      <w:vertAlign w:val="superscript"/>
                      <w:lang w:val="en-US" w:eastAsia="zh-CN"/>
                    </w:rPr>
                    <w:t>3</w:t>
                  </w:r>
                  <w:r>
                    <w:rPr>
                      <w:rFonts w:hint="eastAsia"/>
                      <w:color w:val="auto"/>
                      <w:sz w:val="18"/>
                      <w:szCs w:val="18"/>
                      <w:highlight w:val="none"/>
                      <w:vertAlign w:val="baseline"/>
                      <w:lang w:val="en-US" w:eastAsia="zh-CN"/>
                    </w:rPr>
                    <w:t>（本次评价取0.69kg/m</w:t>
                  </w:r>
                  <w:r>
                    <w:rPr>
                      <w:rFonts w:hint="eastAsia"/>
                      <w:color w:val="auto"/>
                      <w:sz w:val="18"/>
                      <w:szCs w:val="18"/>
                      <w:highlight w:val="none"/>
                      <w:vertAlign w:val="superscript"/>
                      <w:lang w:val="en-US" w:eastAsia="zh-CN"/>
                    </w:rPr>
                    <w:t>3</w:t>
                  </w:r>
                  <w:r>
                    <w:rPr>
                      <w:rFonts w:hint="eastAsia"/>
                      <w:color w:val="auto"/>
                      <w:sz w:val="18"/>
                      <w:szCs w:val="18"/>
                      <w:highlight w:val="none"/>
                      <w:vertAlign w:val="baseline"/>
                      <w:lang w:val="en-US" w:eastAsia="zh-CN"/>
                    </w:rPr>
                    <w:t>），天然气管道长度为1km，管径为80；</w:t>
                  </w:r>
                </w:p>
              </w:tc>
            </w:tr>
          </w:tbl>
          <w:p w14:paraId="693E4207">
            <w:pPr>
              <w:pStyle w:val="29"/>
              <w:keepNext w:val="0"/>
              <w:keepLines w:val="0"/>
              <w:pageBreakBefore w:val="0"/>
              <w:widowControl w:val="0"/>
              <w:suppressLineNumbers w:val="0"/>
              <w:kinsoku/>
              <w:wordWrap/>
              <w:overflowPunct w:val="0"/>
              <w:topLinePunct/>
              <w:autoSpaceDE/>
              <w:autoSpaceDN/>
              <w:bidi w:val="0"/>
              <w:adjustRightInd/>
              <w:snapToGrid w:val="0"/>
              <w:spacing w:before="0" w:beforeAutospacing="0" w:after="0" w:afterAutospacing="0" w:line="460" w:lineRule="exact"/>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磷酸最大存在量=储罐容积×充装系数×溶液浓度×密度=8m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×0.8×50%×1.87g/cm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=5.98t；</w:t>
            </w:r>
          </w:p>
          <w:p w14:paraId="589ADA8A">
            <w:pPr>
              <w:pStyle w:val="29"/>
              <w:keepNext w:val="0"/>
              <w:keepLines w:val="0"/>
              <w:pageBreakBefore w:val="0"/>
              <w:widowControl w:val="0"/>
              <w:suppressLineNumbers w:val="0"/>
              <w:kinsoku/>
              <w:wordWrap/>
              <w:overflowPunct w:val="0"/>
              <w:topLinePunct/>
              <w:autoSpaceDE/>
              <w:autoSpaceDN/>
              <w:bidi w:val="0"/>
              <w:adjustRightInd/>
              <w:snapToGrid w:val="0"/>
              <w:spacing w:before="0" w:beforeAutospacing="0" w:after="0" w:afterAutospacing="0" w:line="460" w:lineRule="exact"/>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氢氧化钠最大存在量=储罐容积×充装系数×溶液浓度×密度=30m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×0.8×30%×2.12g/cm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=15.26t；</w:t>
            </w:r>
          </w:p>
          <w:p w14:paraId="6CDEBEDE">
            <w:pPr>
              <w:pStyle w:val="29"/>
              <w:keepNext w:val="0"/>
              <w:keepLines w:val="0"/>
              <w:pageBreakBefore w:val="0"/>
              <w:widowControl w:val="0"/>
              <w:suppressLineNumbers w:val="0"/>
              <w:kinsoku/>
              <w:wordWrap/>
              <w:overflowPunct w:val="0"/>
              <w:topLinePunct/>
              <w:autoSpaceDE/>
              <w:autoSpaceDN/>
              <w:bidi w:val="0"/>
              <w:adjustRightInd/>
              <w:snapToGrid w:val="0"/>
              <w:spacing w:before="0" w:beforeAutospacing="0" w:after="0" w:afterAutospacing="0" w:line="460" w:lineRule="exact"/>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次氯酸钠最大存在量=储罐容积×充装系数×溶液浓度×密度=1m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×0.8×10%×1.11g/cm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=0.09t；</w:t>
            </w:r>
          </w:p>
          <w:p w14:paraId="33445B5F">
            <w:pPr>
              <w:pStyle w:val="29"/>
              <w:keepNext w:val="0"/>
              <w:keepLines w:val="0"/>
              <w:pageBreakBefore w:val="0"/>
              <w:widowControl w:val="0"/>
              <w:suppressLineNumbers w:val="0"/>
              <w:kinsoku/>
              <w:wordWrap/>
              <w:overflowPunct w:val="0"/>
              <w:topLinePunct/>
              <w:autoSpaceDE/>
              <w:autoSpaceDN/>
              <w:bidi w:val="0"/>
              <w:adjustRightInd/>
              <w:snapToGrid w:val="0"/>
              <w:spacing w:before="0" w:beforeAutospacing="0" w:after="0" w:afterAutospacing="0" w:line="460" w:lineRule="exact"/>
              <w:ind w:left="0" w:leftChars="0" w:right="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highlight w:val="none"/>
                <w:lang w:val="en-US" w:eastAsia="zh-CN"/>
              </w:rPr>
              <w:t>通过计算，</w:t>
            </w: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kern w:val="0"/>
                <w:sz w:val="24"/>
                <w:szCs w:val="22"/>
                <w:highlight w:val="none"/>
                <w:lang w:val="en-US" w:eastAsia="zh-CN"/>
              </w:rPr>
              <w:t>风险</w:t>
            </w:r>
            <w:r>
              <w:rPr>
                <w:rFonts w:hint="default" w:ascii="Times New Roman" w:hAnsi="Times New Roman" w:eastAsia="宋体" w:cs="Times New Roman"/>
                <w:color w:val="auto"/>
                <w:kern w:val="0"/>
                <w:sz w:val="24"/>
                <w:szCs w:val="22"/>
                <w:highlight w:val="none"/>
              </w:rPr>
              <w:t>物质的总量与其临界量比值</w:t>
            </w:r>
            <w:r>
              <w:rPr>
                <w:rFonts w:hint="default" w:ascii="Times New Roman" w:hAnsi="Times New Roman" w:eastAsia="宋体" w:cs="Times New Roman"/>
                <w:color w:val="auto"/>
                <w:kern w:val="0"/>
                <w:sz w:val="24"/>
                <w:szCs w:val="22"/>
                <w:highlight w:val="none"/>
                <w:lang w:val="en-US" w:eastAsia="zh-CN"/>
              </w:rPr>
              <w:t>为0.</w:t>
            </w:r>
            <w:r>
              <w:rPr>
                <w:rFonts w:hint="eastAsia" w:ascii="Times New Roman" w:hAnsi="Times New Roman" w:eastAsia="宋体" w:cs="Times New Roman"/>
                <w:color w:val="auto"/>
                <w:kern w:val="0"/>
                <w:sz w:val="24"/>
                <w:szCs w:val="22"/>
                <w:highlight w:val="none"/>
                <w:lang w:val="en-US" w:eastAsia="zh-CN"/>
              </w:rPr>
              <w:t>924</w:t>
            </w:r>
            <w:r>
              <w:rPr>
                <w:rFonts w:hint="default" w:ascii="Times New Roman" w:hAnsi="Times New Roman" w:eastAsia="宋体" w:cs="Times New Roman"/>
                <w:color w:val="auto"/>
                <w:kern w:val="0"/>
                <w:sz w:val="24"/>
                <w:szCs w:val="22"/>
                <w:highlight w:val="none"/>
                <w:lang w:val="en-US" w:eastAsia="zh-CN"/>
              </w:rPr>
              <w:t>&lt;1，因此</w:t>
            </w:r>
            <w:r>
              <w:rPr>
                <w:rFonts w:hint="default" w:ascii="Times New Roman" w:hAnsi="Times New Roman" w:eastAsia="宋体" w:cs="Times New Roman"/>
                <w:color w:val="auto"/>
                <w:sz w:val="24"/>
                <w:highlight w:val="none"/>
              </w:rPr>
              <w:t>环境风险潜势为Ⅰ，</w:t>
            </w:r>
            <w:r>
              <w:rPr>
                <w:rFonts w:hint="default" w:ascii="Times New Roman" w:hAnsi="Times New Roman" w:eastAsia="宋体" w:cs="Times New Roman"/>
                <w:color w:val="auto"/>
                <w:sz w:val="24"/>
                <w:highlight w:val="none"/>
                <w:lang w:val="en-US" w:eastAsia="zh-CN"/>
              </w:rPr>
              <w:t>本次评价仅进行</w:t>
            </w:r>
            <w:r>
              <w:rPr>
                <w:rFonts w:hint="default" w:ascii="Times New Roman" w:hAnsi="Times New Roman" w:eastAsia="宋体" w:cs="Times New Roman"/>
                <w:color w:val="auto"/>
                <w:sz w:val="24"/>
                <w:highlight w:val="none"/>
              </w:rPr>
              <w:t>简单分析。</w:t>
            </w:r>
          </w:p>
          <w:p w14:paraId="3C05EA42">
            <w:pPr>
              <w:keepNext w:val="0"/>
              <w:keepLines w:val="0"/>
              <w:pageBreakBefore w:val="0"/>
              <w:widowControl w:val="0"/>
              <w:numPr>
                <w:ilvl w:val="0"/>
                <w:numId w:val="0"/>
              </w:numPr>
              <w:suppressLineNumbers w:val="0"/>
              <w:kinsoku/>
              <w:wordWrap/>
              <w:overflowPunct w:val="0"/>
              <w:topLinePunct/>
              <w:autoSpaceDE/>
              <w:autoSpaceDN/>
              <w:bidi w:val="0"/>
              <w:adjustRightInd/>
              <w:snapToGrid w:val="0"/>
              <w:spacing w:before="0" w:beforeAutospacing="0" w:after="0" w:afterAutospacing="0" w:line="460" w:lineRule="exact"/>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sz w:val="24"/>
                <w:szCs w:val="24"/>
                <w:highlight w:val="none"/>
                <w:lang w:eastAsia="zh-CN"/>
              </w:rPr>
              <w:t>环境风险</w:t>
            </w:r>
            <w:r>
              <w:rPr>
                <w:rFonts w:hint="default" w:ascii="Times New Roman" w:hAnsi="Times New Roman" w:eastAsia="宋体" w:cs="Times New Roman"/>
                <w:b/>
                <w:bCs/>
                <w:color w:val="auto"/>
                <w:sz w:val="24"/>
                <w:szCs w:val="24"/>
                <w:highlight w:val="none"/>
                <w:lang w:val="en-US" w:eastAsia="zh-CN"/>
              </w:rPr>
              <w:t>识别及分析</w:t>
            </w:r>
          </w:p>
          <w:p w14:paraId="3AC023F2">
            <w:pPr>
              <w:pStyle w:val="57"/>
              <w:keepNext w:val="0"/>
              <w:keepLines w:val="0"/>
              <w:pageBreakBefore w:val="0"/>
              <w:widowControl w:val="0"/>
              <w:kinsoku/>
              <w:wordWrap/>
              <w:overflowPunct/>
              <w:topLinePunct w:val="0"/>
              <w:bidi w:val="0"/>
              <w:snapToGrid/>
              <w:spacing w:before="0" w:beforeLines="0" w:after="0" w:afterLines="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①地表水风险分析</w:t>
            </w:r>
          </w:p>
          <w:p w14:paraId="37889129">
            <w:pPr>
              <w:pStyle w:val="57"/>
              <w:keepNext w:val="0"/>
              <w:keepLines w:val="0"/>
              <w:pageBreakBefore w:val="0"/>
              <w:widowControl w:val="0"/>
              <w:kinsoku/>
              <w:wordWrap/>
              <w:overflowPunct/>
              <w:topLinePunct w:val="0"/>
              <w:bidi w:val="0"/>
              <w:snapToGrid/>
              <w:spacing w:before="0" w:beforeLines="0" w:after="0" w:afterLines="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项目磷酸、</w:t>
            </w:r>
            <w:r>
              <w:rPr>
                <w:rFonts w:hint="default" w:ascii="Times New Roman" w:hAnsi="Times New Roman" w:cs="Times New Roman"/>
                <w:color w:val="auto"/>
                <w:sz w:val="24"/>
                <w:szCs w:val="24"/>
                <w:highlight w:val="none"/>
                <w:lang w:val="en-US" w:eastAsia="zh-CN"/>
              </w:rPr>
              <w:t>碱液、</w:t>
            </w:r>
            <w:r>
              <w:rPr>
                <w:rFonts w:hint="eastAsia" w:cs="Times New Roman"/>
                <w:color w:val="auto"/>
                <w:sz w:val="24"/>
                <w:szCs w:val="24"/>
                <w:highlight w:val="none"/>
                <w:lang w:val="en-US" w:eastAsia="zh-CN"/>
              </w:rPr>
              <w:t>次氯酸钠、植物油</w:t>
            </w:r>
            <w:r>
              <w:rPr>
                <w:rFonts w:hint="default" w:ascii="Times New Roman" w:hAnsi="Times New Roman" w:cs="Times New Roman"/>
                <w:color w:val="auto"/>
                <w:sz w:val="24"/>
                <w:szCs w:val="24"/>
                <w:highlight w:val="none"/>
              </w:rPr>
              <w:t>等</w:t>
            </w:r>
            <w:r>
              <w:rPr>
                <w:rFonts w:hint="eastAsia" w:cs="Times New Roman"/>
                <w:color w:val="auto"/>
                <w:sz w:val="24"/>
                <w:szCs w:val="24"/>
                <w:highlight w:val="none"/>
                <w:lang w:val="en-US" w:eastAsia="zh-CN"/>
              </w:rPr>
              <w:t>液态物料</w:t>
            </w:r>
            <w:r>
              <w:rPr>
                <w:rFonts w:hint="default" w:ascii="Times New Roman" w:hAnsi="Times New Roman" w:cs="Times New Roman"/>
                <w:color w:val="auto"/>
                <w:sz w:val="24"/>
                <w:szCs w:val="24"/>
                <w:highlight w:val="none"/>
              </w:rPr>
              <w:t>发生泄露，</w:t>
            </w:r>
            <w:r>
              <w:rPr>
                <w:rFonts w:hint="eastAsia" w:cs="Times New Roman"/>
                <w:color w:val="auto"/>
                <w:sz w:val="24"/>
                <w:szCs w:val="24"/>
                <w:highlight w:val="none"/>
                <w:lang w:val="en-US" w:eastAsia="zh-CN"/>
              </w:rPr>
              <w:t>磷酸、氢氧化钠、次氯酸钠可能通过雨水管道</w:t>
            </w:r>
            <w:r>
              <w:rPr>
                <w:rFonts w:hint="default" w:ascii="Times New Roman" w:hAnsi="Times New Roman" w:cs="Times New Roman"/>
                <w:color w:val="auto"/>
                <w:sz w:val="24"/>
                <w:szCs w:val="24"/>
                <w:highlight w:val="none"/>
              </w:rPr>
              <w:t>进入地表水体，引起地表水中</w:t>
            </w:r>
            <w:r>
              <w:rPr>
                <w:rFonts w:hint="eastAsia" w:cs="Times New Roman"/>
                <w:color w:val="auto"/>
                <w:sz w:val="24"/>
                <w:szCs w:val="24"/>
                <w:highlight w:val="none"/>
                <w:lang w:val="en-US" w:eastAsia="zh-CN"/>
              </w:rPr>
              <w:t>pH、总磷等</w:t>
            </w:r>
            <w:r>
              <w:rPr>
                <w:rFonts w:hint="default" w:ascii="Times New Roman" w:hAnsi="Times New Roman" w:cs="Times New Roman"/>
                <w:color w:val="auto"/>
                <w:sz w:val="24"/>
                <w:szCs w:val="24"/>
                <w:highlight w:val="none"/>
              </w:rPr>
              <w:t>污染物含量急剧上升，严重污染地表水水质</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植物</w:t>
            </w:r>
            <w:r>
              <w:rPr>
                <w:rFonts w:hint="default" w:ascii="Times New Roman" w:hAnsi="Times New Roman" w:cs="Times New Roman"/>
                <w:color w:val="auto"/>
                <w:sz w:val="24"/>
                <w:szCs w:val="24"/>
                <w:highlight w:val="none"/>
                <w:lang w:val="en-US" w:eastAsia="zh-CN"/>
              </w:rPr>
              <w:t>油</w:t>
            </w:r>
            <w:r>
              <w:rPr>
                <w:rFonts w:hint="default" w:ascii="Times New Roman" w:hAnsi="Times New Roman" w:cs="Times New Roman"/>
                <w:color w:val="auto"/>
                <w:sz w:val="24"/>
                <w:szCs w:val="24"/>
                <w:highlight w:val="none"/>
              </w:rPr>
              <w:t>在地表水面形成油膜，阻隔水中的氧气对流，从而使地表水中的生态平衡产生破坏，影响地表水水生生物生存环境。</w:t>
            </w:r>
          </w:p>
          <w:p w14:paraId="40C0E82F">
            <w:pPr>
              <w:pStyle w:val="57"/>
              <w:keepNext w:val="0"/>
              <w:keepLines w:val="0"/>
              <w:pageBreakBefore w:val="0"/>
              <w:widowControl w:val="0"/>
              <w:kinsoku/>
              <w:wordWrap/>
              <w:overflowPunct/>
              <w:topLinePunct w:val="0"/>
              <w:bidi w:val="0"/>
              <w:snapToGrid/>
              <w:spacing w:before="0" w:beforeLines="0" w:after="0" w:afterLines="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②大气环境风险分析</w:t>
            </w:r>
          </w:p>
          <w:p w14:paraId="43082B3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rPr>
            </w:pPr>
            <w:r>
              <w:rPr>
                <w:rFonts w:hint="eastAsia" w:cs="Times New Roman"/>
                <w:color w:val="auto"/>
                <w:kern w:val="0"/>
                <w:sz w:val="24"/>
                <w:szCs w:val="24"/>
                <w:highlight w:val="none"/>
                <w:lang w:val="en-US" w:eastAsia="zh-CN"/>
              </w:rPr>
              <w:t>天然气</w:t>
            </w:r>
            <w:r>
              <w:rPr>
                <w:rFonts w:hint="default" w:ascii="Times New Roman" w:hAnsi="Times New Roman" w:cs="Times New Roman"/>
                <w:color w:val="auto"/>
                <w:kern w:val="0"/>
                <w:sz w:val="24"/>
                <w:szCs w:val="24"/>
                <w:highlight w:val="none"/>
              </w:rPr>
              <w:t>等发生泄漏后，极易扩散，遇明火易发生火灾，伴生污染物主要为</w:t>
            </w:r>
            <w:r>
              <w:rPr>
                <w:rFonts w:hint="eastAsia" w:cs="Times New Roman"/>
                <w:color w:val="auto"/>
                <w:kern w:val="0"/>
                <w:sz w:val="24"/>
                <w:szCs w:val="24"/>
                <w:highlight w:val="none"/>
                <w:lang w:val="en-US" w:eastAsia="zh-CN"/>
              </w:rPr>
              <w:t>燃烧</w:t>
            </w:r>
            <w:r>
              <w:rPr>
                <w:rFonts w:hint="default" w:ascii="Times New Roman" w:hAnsi="Times New Roman" w:cs="Times New Roman"/>
                <w:color w:val="auto"/>
                <w:kern w:val="0"/>
                <w:sz w:val="24"/>
                <w:szCs w:val="24"/>
                <w:highlight w:val="none"/>
              </w:rPr>
              <w:t>产生的</w:t>
            </w:r>
            <w:r>
              <w:rPr>
                <w:rFonts w:hint="default" w:ascii="Times New Roman" w:hAnsi="Times New Roman" w:eastAsia="TimesNewRomanPSMT" w:cs="Times New Roman"/>
                <w:color w:val="auto"/>
                <w:kern w:val="0"/>
                <w:sz w:val="24"/>
                <w:szCs w:val="24"/>
                <w:highlight w:val="none"/>
              </w:rPr>
              <w:t>CO</w:t>
            </w:r>
            <w:r>
              <w:rPr>
                <w:rFonts w:hint="default" w:ascii="Times New Roman" w:hAnsi="Times New Roman" w:cs="Times New Roman"/>
                <w:color w:val="auto"/>
                <w:kern w:val="0"/>
                <w:sz w:val="24"/>
                <w:szCs w:val="24"/>
                <w:highlight w:val="none"/>
              </w:rPr>
              <w:t>、</w:t>
            </w:r>
            <w:r>
              <w:rPr>
                <w:rFonts w:hint="default" w:ascii="Times New Roman" w:hAnsi="Times New Roman" w:eastAsia="TimesNewRomanPSMT" w:cs="Times New Roman"/>
                <w:color w:val="auto"/>
                <w:kern w:val="0"/>
                <w:sz w:val="24"/>
                <w:szCs w:val="24"/>
                <w:highlight w:val="none"/>
              </w:rPr>
              <w:t>SO</w:t>
            </w:r>
            <w:r>
              <w:rPr>
                <w:rFonts w:hint="default" w:ascii="Times New Roman" w:hAnsi="Times New Roman" w:eastAsia="TimesNewRomanPSMT" w:cs="Times New Roman"/>
                <w:color w:val="auto"/>
                <w:kern w:val="0"/>
                <w:sz w:val="24"/>
                <w:szCs w:val="24"/>
                <w:highlight w:val="none"/>
                <w:vertAlign w:val="subscript"/>
              </w:rPr>
              <w:t>2</w:t>
            </w:r>
            <w:r>
              <w:rPr>
                <w:rFonts w:hint="default" w:ascii="Times New Roman" w:hAnsi="Times New Roman" w:cs="Times New Roman"/>
                <w:color w:val="auto"/>
                <w:kern w:val="0"/>
                <w:sz w:val="24"/>
                <w:szCs w:val="24"/>
                <w:highlight w:val="none"/>
              </w:rPr>
              <w:t>，将对周围环境空气造成污染</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储罐区的磷酸受热分解产生剧毒的氧化磷烟气。</w:t>
            </w:r>
            <w:r>
              <w:rPr>
                <w:rFonts w:hint="default" w:ascii="Times New Roman" w:hAnsi="Times New Roman" w:cs="Times New Roman"/>
                <w:color w:val="auto"/>
                <w:kern w:val="0"/>
                <w:sz w:val="24"/>
                <w:szCs w:val="24"/>
                <w:highlight w:val="none"/>
              </w:rPr>
              <w:t>为了防止这种转移，首先要切断泄漏源、火源，并在堵漏、灭火的同时，对</w:t>
            </w:r>
            <w:r>
              <w:rPr>
                <w:rFonts w:hint="eastAsia" w:cs="Times New Roman"/>
                <w:color w:val="auto"/>
                <w:kern w:val="0"/>
                <w:sz w:val="24"/>
                <w:szCs w:val="24"/>
                <w:highlight w:val="none"/>
                <w:lang w:val="en-US" w:eastAsia="zh-CN"/>
              </w:rPr>
              <w:t>临近</w:t>
            </w:r>
            <w:r>
              <w:rPr>
                <w:rFonts w:hint="default" w:ascii="Times New Roman" w:hAnsi="Times New Roman" w:cs="Times New Roman"/>
                <w:color w:val="auto"/>
                <w:kern w:val="0"/>
                <w:sz w:val="24"/>
                <w:szCs w:val="24"/>
                <w:highlight w:val="none"/>
              </w:rPr>
              <w:t>的设备及空间采用水幕、喷淋等措施进行冷却保护，对某些可通过物理、化学反应中和或吸收的泄漏气体，可喷相关雾状水幕进行中和或吸收降低其浓度等，采用这些措施切断气态污染物向环境转移的途径。</w:t>
            </w:r>
          </w:p>
          <w:p w14:paraId="13FCE856">
            <w:pPr>
              <w:pStyle w:val="57"/>
              <w:keepNext w:val="0"/>
              <w:keepLines w:val="0"/>
              <w:pageBreakBefore w:val="0"/>
              <w:widowControl w:val="0"/>
              <w:kinsoku/>
              <w:wordWrap/>
              <w:overflowPunct/>
              <w:topLinePunct w:val="0"/>
              <w:bidi w:val="0"/>
              <w:snapToGrid/>
              <w:spacing w:before="0" w:beforeLines="0" w:after="0" w:afterLines="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精炼车间废气处理措施失效，未经处理的非甲烷总烃、臭气等污染物对大气环境也会造成污染。</w:t>
            </w:r>
          </w:p>
          <w:p w14:paraId="50D05A51">
            <w:pPr>
              <w:pStyle w:val="57"/>
              <w:keepNext w:val="0"/>
              <w:keepLines w:val="0"/>
              <w:pageBreakBefore w:val="0"/>
              <w:widowControl w:val="0"/>
              <w:kinsoku/>
              <w:wordWrap/>
              <w:overflowPunct/>
              <w:topLinePunct w:val="0"/>
              <w:bidi w:val="0"/>
              <w:snapToGrid/>
              <w:spacing w:before="0" w:beforeLines="0" w:after="0" w:afterLines="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③地下水环境风险分析</w:t>
            </w:r>
          </w:p>
          <w:p w14:paraId="0C0D814E">
            <w:pPr>
              <w:pStyle w:val="57"/>
              <w:keepNext w:val="0"/>
              <w:keepLines w:val="0"/>
              <w:pageBreakBefore w:val="0"/>
              <w:widowControl w:val="0"/>
              <w:kinsoku/>
              <w:wordWrap/>
              <w:overflowPunct/>
              <w:topLinePunct w:val="0"/>
              <w:bidi w:val="0"/>
              <w:snapToGrid/>
              <w:spacing w:before="0" w:beforeLines="0" w:after="0" w:afterLines="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根据前文地下水、土壤影响分析，</w:t>
            </w:r>
            <w:r>
              <w:rPr>
                <w:rFonts w:hint="default" w:ascii="Times New Roman" w:hAnsi="Times New Roman" w:cs="Times New Roman"/>
                <w:color w:val="auto"/>
                <w:sz w:val="24"/>
                <w:szCs w:val="24"/>
                <w:highlight w:val="none"/>
              </w:rPr>
              <w:t>磷酸、</w:t>
            </w:r>
            <w:r>
              <w:rPr>
                <w:rFonts w:hint="default" w:ascii="Times New Roman" w:hAnsi="Times New Roman" w:cs="Times New Roman"/>
                <w:color w:val="auto"/>
                <w:sz w:val="24"/>
                <w:szCs w:val="24"/>
                <w:highlight w:val="none"/>
                <w:lang w:val="en-US" w:eastAsia="zh-CN"/>
              </w:rPr>
              <w:t>碱液、</w:t>
            </w:r>
            <w:r>
              <w:rPr>
                <w:rFonts w:hint="eastAsia" w:cs="Times New Roman"/>
                <w:color w:val="auto"/>
                <w:sz w:val="24"/>
                <w:szCs w:val="24"/>
                <w:highlight w:val="none"/>
                <w:lang w:val="en-US" w:eastAsia="zh-CN"/>
              </w:rPr>
              <w:t>次氯酸钠、植物油</w:t>
            </w:r>
            <w:r>
              <w:rPr>
                <w:rFonts w:hint="default" w:ascii="Times New Roman" w:hAnsi="Times New Roman" w:cs="Times New Roman"/>
                <w:color w:val="auto"/>
                <w:sz w:val="24"/>
                <w:szCs w:val="24"/>
                <w:highlight w:val="none"/>
                <w:lang w:val="en-US" w:eastAsia="zh-CN"/>
              </w:rPr>
              <w:t>等</w:t>
            </w:r>
            <w:r>
              <w:rPr>
                <w:rFonts w:hint="default" w:ascii="Times New Roman" w:hAnsi="Times New Roman" w:cs="Times New Roman"/>
                <w:color w:val="auto"/>
                <w:sz w:val="24"/>
                <w:szCs w:val="24"/>
                <w:highlight w:val="none"/>
              </w:rPr>
              <w:t>发生泄露</w:t>
            </w:r>
            <w:r>
              <w:rPr>
                <w:rFonts w:hint="eastAsia" w:cs="Times New Roman"/>
                <w:color w:val="auto"/>
                <w:sz w:val="24"/>
                <w:szCs w:val="24"/>
                <w:highlight w:val="none"/>
                <w:lang w:val="en-US" w:eastAsia="zh-CN"/>
              </w:rPr>
              <w:t>直接</w:t>
            </w:r>
            <w:r>
              <w:rPr>
                <w:rFonts w:hint="default" w:ascii="Times New Roman" w:hAnsi="Times New Roman" w:cs="Times New Roman"/>
                <w:color w:val="auto"/>
                <w:sz w:val="24"/>
                <w:szCs w:val="24"/>
                <w:highlight w:val="none"/>
              </w:rPr>
              <w:t>进入地层包气带，</w:t>
            </w:r>
            <w:r>
              <w:rPr>
                <w:rFonts w:hint="eastAsia" w:cs="Times New Roman"/>
                <w:color w:val="auto"/>
                <w:sz w:val="24"/>
                <w:szCs w:val="24"/>
                <w:highlight w:val="none"/>
                <w:lang w:val="en-US" w:eastAsia="zh-CN"/>
              </w:rPr>
              <w:t>或</w:t>
            </w:r>
            <w:r>
              <w:rPr>
                <w:rFonts w:hint="default" w:ascii="Times New Roman" w:hAnsi="Times New Roman" w:cs="Times New Roman"/>
                <w:color w:val="auto"/>
                <w:sz w:val="24"/>
                <w:szCs w:val="24"/>
                <w:highlight w:val="none"/>
              </w:rPr>
              <w:t>随着</w:t>
            </w:r>
            <w:r>
              <w:rPr>
                <w:rFonts w:hint="eastAsia" w:cs="Times New Roman"/>
                <w:color w:val="auto"/>
                <w:sz w:val="24"/>
                <w:szCs w:val="24"/>
                <w:highlight w:val="none"/>
                <w:lang w:val="en-US" w:eastAsia="zh-CN"/>
              </w:rPr>
              <w:t>大气沉降进入土壤环境</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污染物</w:t>
            </w:r>
            <w:r>
              <w:rPr>
                <w:rFonts w:hint="default" w:ascii="Times New Roman" w:hAnsi="Times New Roman" w:cs="Times New Roman"/>
                <w:color w:val="auto"/>
                <w:sz w:val="24"/>
                <w:szCs w:val="24"/>
                <w:highlight w:val="none"/>
              </w:rPr>
              <w:t>通过土壤向地下水的迁移，会造成地下水环境中</w:t>
            </w:r>
            <w:r>
              <w:rPr>
                <w:rFonts w:hint="default" w:ascii="Times New Roman" w:hAnsi="Times New Roman" w:cs="Times New Roman"/>
                <w:color w:val="auto"/>
                <w:sz w:val="24"/>
                <w:szCs w:val="24"/>
                <w:highlight w:val="none"/>
                <w:lang w:val="en-US" w:eastAsia="zh-CN"/>
              </w:rPr>
              <w:t>污染物</w:t>
            </w:r>
            <w:r>
              <w:rPr>
                <w:rFonts w:hint="default" w:ascii="Times New Roman" w:hAnsi="Times New Roman" w:cs="Times New Roman"/>
                <w:color w:val="auto"/>
                <w:sz w:val="24"/>
                <w:szCs w:val="24"/>
                <w:highlight w:val="none"/>
              </w:rPr>
              <w:t>的不同程度</w:t>
            </w:r>
            <w:r>
              <w:rPr>
                <w:rFonts w:hint="eastAsia" w:cs="Times New Roman"/>
                <w:color w:val="auto"/>
                <w:sz w:val="24"/>
                <w:szCs w:val="24"/>
                <w:highlight w:val="none"/>
                <w:lang w:eastAsia="zh-CN"/>
              </w:rPr>
              <w:t>渗出</w:t>
            </w:r>
            <w:r>
              <w:rPr>
                <w:rFonts w:hint="default" w:ascii="Times New Roman" w:hAnsi="Times New Roman" w:cs="Times New Roman"/>
                <w:color w:val="auto"/>
                <w:sz w:val="24"/>
                <w:szCs w:val="24"/>
                <w:highlight w:val="none"/>
              </w:rPr>
              <w:t>，降低地下水的品质。</w:t>
            </w:r>
          </w:p>
          <w:p w14:paraId="5B2B0565">
            <w:pPr>
              <w:pStyle w:val="57"/>
              <w:keepNext w:val="0"/>
              <w:keepLines w:val="0"/>
              <w:pageBreakBefore w:val="0"/>
              <w:widowControl w:val="0"/>
              <w:kinsoku/>
              <w:wordWrap/>
              <w:overflowPunct/>
              <w:topLinePunct w:val="0"/>
              <w:bidi w:val="0"/>
              <w:snapToGrid/>
              <w:spacing w:before="0" w:beforeLines="0" w:after="0" w:afterLines="0" w:line="360" w:lineRule="auto"/>
              <w:ind w:left="0" w:leftChars="0" w:right="0" w:righ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④次生/伴生环境影响分析</w:t>
            </w:r>
          </w:p>
          <w:p w14:paraId="1FE8B83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火灾事故发生时，灭火产生的消防废水可能含受泄漏的物质污染，为防止消防废水汇入雨水管道外排至周边地表水体造成污染，项目应在厂区内设置事故应急池，使得消防废水能够得到集中收集、汇入污水处理设施处理，禁止将消防废水直接排入厂区雨水管道外排至周边地表水体。</w:t>
            </w:r>
          </w:p>
          <w:p w14:paraId="4E67F1FB">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鉴于上述分析，建设单位必须切实加强对</w:t>
            </w:r>
            <w:r>
              <w:rPr>
                <w:rFonts w:hint="default" w:ascii="Times New Roman" w:hAnsi="Times New Roman" w:cs="Times New Roman"/>
                <w:bCs/>
                <w:color w:val="auto"/>
                <w:sz w:val="24"/>
                <w:szCs w:val="24"/>
                <w:highlight w:val="none"/>
                <w:lang w:val="en-US" w:eastAsia="zh-CN"/>
              </w:rPr>
              <w:t>精炼车间储罐区</w:t>
            </w:r>
            <w:r>
              <w:rPr>
                <w:rFonts w:hint="eastAsia" w:cs="Times New Roman"/>
                <w:bCs/>
                <w:color w:val="auto"/>
                <w:sz w:val="24"/>
                <w:szCs w:val="24"/>
                <w:highlight w:val="none"/>
                <w:lang w:val="en-US" w:eastAsia="zh-CN"/>
              </w:rPr>
              <w:t>、废气处理设施</w:t>
            </w:r>
            <w:r>
              <w:rPr>
                <w:rFonts w:hint="default" w:ascii="Times New Roman" w:hAnsi="Times New Roman" w:cs="Times New Roman"/>
                <w:bCs/>
                <w:color w:val="auto"/>
                <w:sz w:val="24"/>
                <w:szCs w:val="24"/>
                <w:highlight w:val="none"/>
              </w:rPr>
              <w:t>的管理，强化相应的防范措施和设施，最大限度</w:t>
            </w:r>
            <w:r>
              <w:rPr>
                <w:rFonts w:hint="eastAsia" w:cs="Times New Roman"/>
                <w:bCs/>
                <w:color w:val="auto"/>
                <w:sz w:val="24"/>
                <w:szCs w:val="24"/>
                <w:highlight w:val="none"/>
                <w:lang w:eastAsia="zh-CN"/>
              </w:rPr>
              <w:t>地</w:t>
            </w:r>
            <w:r>
              <w:rPr>
                <w:rFonts w:hint="default" w:ascii="Times New Roman" w:hAnsi="Times New Roman" w:cs="Times New Roman"/>
                <w:bCs/>
                <w:color w:val="auto"/>
                <w:sz w:val="24"/>
                <w:szCs w:val="24"/>
                <w:highlight w:val="none"/>
              </w:rPr>
              <w:t>减降风险事故发生的可能性和强度。</w:t>
            </w:r>
          </w:p>
          <w:p w14:paraId="608454CC">
            <w:pPr>
              <w:keepNext w:val="0"/>
              <w:keepLines w:val="0"/>
              <w:pageBreakBefore w:val="0"/>
              <w:widowControl w:val="0"/>
              <w:numPr>
                <w:ilvl w:val="0"/>
                <w:numId w:val="0"/>
              </w:numPr>
              <w:suppressLineNumbers w:val="0"/>
              <w:kinsoku/>
              <w:wordWrap/>
              <w:overflowPunct w:val="0"/>
              <w:topLinePunct/>
              <w:autoSpaceDE/>
              <w:autoSpaceDN/>
              <w:bidi w:val="0"/>
              <w:adjustRightInd/>
              <w:snapToGrid/>
              <w:spacing w:before="0" w:beforeAutospacing="0" w:after="0" w:afterAutospacing="0" w:line="460" w:lineRule="exact"/>
              <w:ind w:left="0" w:leftChars="0" w:right="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4</w:t>
            </w: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现有风险防范措施</w:t>
            </w:r>
          </w:p>
          <w:p w14:paraId="4279FC00">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本评价根据企业现有风险评估及现场调查，企业现有风险防范措施如下：</w:t>
            </w:r>
          </w:p>
          <w:p w14:paraId="52B36412">
            <w:pPr>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表4.2-21企业现有环境风险防范措施排查统计表</w:t>
            </w:r>
          </w:p>
          <w:tbl>
            <w:tblPr>
              <w:tblStyle w:val="38"/>
              <w:tblW w:w="498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93"/>
              <w:gridCol w:w="1804"/>
              <w:gridCol w:w="5472"/>
            </w:tblGrid>
            <w:tr w14:paraId="54B7D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77" w:type="pct"/>
                  <w:tcBorders>
                    <w:left w:val="single" w:color="000000" w:sz="2" w:space="0"/>
                  </w:tcBorders>
                  <w:vAlign w:val="center"/>
                </w:tcPr>
                <w:p w14:paraId="2006A06B">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序号</w:t>
                  </w:r>
                </w:p>
              </w:tc>
              <w:tc>
                <w:tcPr>
                  <w:tcW w:w="1146" w:type="pct"/>
                  <w:vAlign w:val="center"/>
                </w:tcPr>
                <w:p w14:paraId="2D4A2358">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风险单元</w:t>
                  </w:r>
                </w:p>
              </w:tc>
              <w:tc>
                <w:tcPr>
                  <w:tcW w:w="3476" w:type="pct"/>
                  <w:tcBorders>
                    <w:right w:val="single" w:color="000000" w:sz="2" w:space="0"/>
                  </w:tcBorders>
                  <w:vAlign w:val="center"/>
                </w:tcPr>
                <w:p w14:paraId="546287B5">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rPr>
                    <w:t>风险防范措施</w:t>
                  </w:r>
                  <w:r>
                    <w:rPr>
                      <w:rFonts w:hint="eastAsia" w:ascii="Times New Roman" w:hAnsi="Times New Roman" w:cs="Times New Roman"/>
                      <w:color w:val="auto"/>
                      <w:spacing w:val="8"/>
                      <w:sz w:val="21"/>
                      <w:szCs w:val="21"/>
                      <w:highlight w:val="none"/>
                      <w:lang w:val="en-US" w:eastAsia="zh-CN"/>
                    </w:rPr>
                    <w:t>排查</w:t>
                  </w:r>
                </w:p>
              </w:tc>
            </w:tr>
            <w:tr w14:paraId="2DD2C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377" w:type="pct"/>
                  <w:tcBorders>
                    <w:left w:val="single" w:color="000000" w:sz="2" w:space="0"/>
                  </w:tcBorders>
                  <w:vAlign w:val="center"/>
                </w:tcPr>
                <w:p w14:paraId="5385364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1</w:t>
                  </w:r>
                </w:p>
              </w:tc>
              <w:tc>
                <w:tcPr>
                  <w:tcW w:w="1146" w:type="pct"/>
                  <w:vAlign w:val="center"/>
                </w:tcPr>
                <w:p w14:paraId="03166081">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position w:val="1"/>
                      <w:sz w:val="21"/>
                      <w:szCs w:val="21"/>
                      <w:highlight w:val="none"/>
                    </w:rPr>
                    <w:t>1#罐区</w:t>
                  </w:r>
                </w:p>
              </w:tc>
              <w:tc>
                <w:tcPr>
                  <w:tcW w:w="3476" w:type="pct"/>
                  <w:tcBorders>
                    <w:right w:val="single" w:color="000000" w:sz="2" w:space="0"/>
                  </w:tcBorders>
                  <w:vAlign w:val="center"/>
                </w:tcPr>
                <w:p w14:paraId="1B56A580">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1#储油罐（2200t）和11#储油罐（1200t）为应急油罐；设置了高度为1.5</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m的事故围堰，容积为</w:t>
                  </w:r>
                  <w:r>
                    <w:rPr>
                      <w:rFonts w:hint="eastAsia" w:ascii="Times New Roman" w:hAnsi="Times New Roman" w:eastAsia="宋体" w:cs="Times New Roman"/>
                      <w:color w:val="auto"/>
                      <w:kern w:val="2"/>
                      <w:sz w:val="21"/>
                      <w:szCs w:val="21"/>
                      <w:highlight w:val="none"/>
                      <w:lang w:val="en-US" w:eastAsia="zh-CN" w:bidi="ar-SA"/>
                    </w:rPr>
                    <w:t>12207</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；围堰内设有排水沟和隔油池，设置1套雨污切换阀</w:t>
                  </w:r>
                </w:p>
              </w:tc>
            </w:tr>
            <w:tr w14:paraId="32208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377" w:type="pct"/>
                  <w:tcBorders>
                    <w:left w:val="single" w:color="000000" w:sz="2" w:space="0"/>
                  </w:tcBorders>
                  <w:vAlign w:val="center"/>
                </w:tcPr>
                <w:p w14:paraId="415937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2</w:t>
                  </w:r>
                </w:p>
              </w:tc>
              <w:tc>
                <w:tcPr>
                  <w:tcW w:w="1146" w:type="pct"/>
                  <w:vAlign w:val="center"/>
                </w:tcPr>
                <w:p w14:paraId="0D7A37D4">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bookmarkStart w:id="9" w:name="bookmark144"/>
                  <w:bookmarkEnd w:id="9"/>
                  <w:r>
                    <w:rPr>
                      <w:rFonts w:hint="default" w:ascii="Times New Roman" w:hAnsi="Times New Roman" w:eastAsia="宋体" w:cs="Times New Roman"/>
                      <w:color w:val="auto"/>
                      <w:spacing w:val="6"/>
                      <w:position w:val="1"/>
                      <w:sz w:val="21"/>
                      <w:szCs w:val="21"/>
                      <w:highlight w:val="none"/>
                    </w:rPr>
                    <w:t>2#罐区</w:t>
                  </w:r>
                </w:p>
              </w:tc>
              <w:tc>
                <w:tcPr>
                  <w:tcW w:w="3476" w:type="pct"/>
                  <w:tcBorders>
                    <w:right w:val="single" w:color="000000" w:sz="2" w:space="0"/>
                  </w:tcBorders>
                  <w:vAlign w:val="center"/>
                </w:tcPr>
                <w:p w14:paraId="51B3BBE3">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39#储油罐（4500t）、43#—45#储油罐（500t）为应急油罐；设置了高度为</w:t>
                  </w:r>
                  <w:r>
                    <w:rPr>
                      <w:rFonts w:hint="eastAsia" w:ascii="Times New Roman" w:hAnsi="Times New Roman" w:eastAsia="宋体" w:cs="Times New Roman"/>
                      <w:color w:val="auto"/>
                      <w:kern w:val="2"/>
                      <w:sz w:val="21"/>
                      <w:szCs w:val="21"/>
                      <w:highlight w:val="none"/>
                      <w:lang w:val="en-US" w:eastAsia="zh-CN" w:bidi="ar-SA"/>
                    </w:rPr>
                    <w:t>2.0</w:t>
                  </w:r>
                  <w:r>
                    <w:rPr>
                      <w:rFonts w:hint="default" w:ascii="Times New Roman" w:hAnsi="Times New Roman" w:eastAsia="宋体" w:cs="Times New Roman"/>
                      <w:color w:val="auto"/>
                      <w:kern w:val="2"/>
                      <w:sz w:val="21"/>
                      <w:szCs w:val="21"/>
                      <w:highlight w:val="none"/>
                      <w:lang w:val="en-US" w:eastAsia="zh-CN" w:bidi="ar-SA"/>
                    </w:rPr>
                    <w:t>m的事故围堰，围堰容积为</w:t>
                  </w:r>
                  <w:r>
                    <w:rPr>
                      <w:rFonts w:hint="eastAsia" w:ascii="Times New Roman" w:hAnsi="Times New Roman" w:eastAsia="宋体" w:cs="Times New Roman"/>
                      <w:color w:val="auto"/>
                      <w:kern w:val="2"/>
                      <w:sz w:val="21"/>
                      <w:szCs w:val="21"/>
                      <w:highlight w:val="none"/>
                      <w:lang w:val="en-US" w:eastAsia="zh-CN" w:bidi="ar-SA"/>
                    </w:rPr>
                    <w:t>15130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；围堰内设有排水沟和隔油池，设置1套雨污切换阀</w:t>
                  </w:r>
                </w:p>
              </w:tc>
            </w:tr>
            <w:tr w14:paraId="4C99C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77" w:type="pct"/>
                  <w:tcBorders>
                    <w:left w:val="single" w:color="000000" w:sz="2" w:space="0"/>
                  </w:tcBorders>
                  <w:vAlign w:val="center"/>
                </w:tcPr>
                <w:p w14:paraId="36F5BA7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3</w:t>
                  </w:r>
                </w:p>
              </w:tc>
              <w:tc>
                <w:tcPr>
                  <w:tcW w:w="1146" w:type="pct"/>
                  <w:vAlign w:val="center"/>
                </w:tcPr>
                <w:p w14:paraId="63EC0377">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position w:val="1"/>
                      <w:sz w:val="21"/>
                      <w:szCs w:val="21"/>
                      <w:highlight w:val="none"/>
                    </w:rPr>
                    <w:t>3#罐区</w:t>
                  </w:r>
                </w:p>
              </w:tc>
              <w:tc>
                <w:tcPr>
                  <w:tcW w:w="3476" w:type="pct"/>
                  <w:tcBorders>
                    <w:right w:val="single" w:color="000000" w:sz="2" w:space="0"/>
                  </w:tcBorders>
                  <w:vAlign w:val="center"/>
                </w:tcPr>
                <w:p w14:paraId="53E3A80F">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28#储油罐（500t）为应急油罐；设置了高度为</w:t>
                  </w:r>
                  <w:r>
                    <w:rPr>
                      <w:rFonts w:hint="eastAsia" w:ascii="Times New Roman" w:hAnsi="Times New Roman" w:eastAsia="宋体" w:cs="Times New Roman"/>
                      <w:color w:val="auto"/>
                      <w:kern w:val="2"/>
                      <w:sz w:val="21"/>
                      <w:szCs w:val="21"/>
                      <w:highlight w:val="none"/>
                      <w:lang w:val="en-US" w:eastAsia="zh-CN" w:bidi="ar-SA"/>
                    </w:rPr>
                    <w:t>1.65</w:t>
                  </w:r>
                  <w:r>
                    <w:rPr>
                      <w:rFonts w:hint="default" w:ascii="Times New Roman" w:hAnsi="Times New Roman" w:eastAsia="宋体" w:cs="Times New Roman"/>
                      <w:color w:val="auto"/>
                      <w:kern w:val="2"/>
                      <w:sz w:val="21"/>
                      <w:szCs w:val="21"/>
                      <w:highlight w:val="none"/>
                      <w:lang w:val="en-US" w:eastAsia="zh-CN" w:bidi="ar-SA"/>
                    </w:rPr>
                    <w:t>m的事故围堰，围堰容积为</w:t>
                  </w:r>
                  <w:r>
                    <w:rPr>
                      <w:rFonts w:hint="eastAsia" w:ascii="Times New Roman" w:hAnsi="Times New Roman" w:eastAsia="宋体" w:cs="Times New Roman"/>
                      <w:color w:val="auto"/>
                      <w:kern w:val="2"/>
                      <w:sz w:val="21"/>
                      <w:szCs w:val="21"/>
                      <w:highlight w:val="none"/>
                      <w:lang w:val="en-US" w:eastAsia="zh-CN" w:bidi="ar-SA"/>
                    </w:rPr>
                    <w:t>6562</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；围堰内设有排水沟和隔油池，设置1套雨污切换阀</w:t>
                  </w:r>
                </w:p>
              </w:tc>
            </w:tr>
            <w:tr w14:paraId="07FB6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77" w:type="pct"/>
                  <w:tcBorders>
                    <w:left w:val="single" w:color="000000" w:sz="2" w:space="0"/>
                  </w:tcBorders>
                  <w:vAlign w:val="center"/>
                </w:tcPr>
                <w:p w14:paraId="249F0CE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2"/>
                      <w:sz w:val="21"/>
                      <w:szCs w:val="21"/>
                      <w:highlight w:val="none"/>
                      <w:lang w:val="en-US" w:eastAsia="zh-CN"/>
                    </w:rPr>
                  </w:pPr>
                  <w:r>
                    <w:rPr>
                      <w:rFonts w:hint="eastAsia" w:ascii="Times New Roman" w:hAnsi="Times New Roman" w:eastAsia="宋体" w:cs="Times New Roman"/>
                      <w:color w:val="auto"/>
                      <w:position w:val="2"/>
                      <w:sz w:val="21"/>
                      <w:szCs w:val="21"/>
                      <w:highlight w:val="none"/>
                      <w:lang w:val="en-US" w:eastAsia="zh-CN"/>
                    </w:rPr>
                    <w:t>4</w:t>
                  </w:r>
                </w:p>
              </w:tc>
              <w:tc>
                <w:tcPr>
                  <w:tcW w:w="1146" w:type="pct"/>
                  <w:vAlign w:val="top"/>
                </w:tcPr>
                <w:p w14:paraId="2E8A4C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5"/>
                      <w:position w:val="1"/>
                      <w:sz w:val="21"/>
                      <w:szCs w:val="21"/>
                      <w:highlight w:val="none"/>
                    </w:rPr>
                  </w:pPr>
                  <w:r>
                    <w:rPr>
                      <w:rFonts w:hint="eastAsia" w:ascii="Times New Roman" w:hAnsi="Times New Roman" w:cs="Times New Roman"/>
                      <w:color w:val="auto"/>
                      <w:sz w:val="21"/>
                      <w:szCs w:val="21"/>
                      <w:highlight w:val="none"/>
                      <w:vertAlign w:val="baseline"/>
                      <w:lang w:val="en-US" w:eastAsia="zh-CN"/>
                    </w:rPr>
                    <w:t>1号包装车间成品油周转油罐区</w:t>
                  </w:r>
                </w:p>
              </w:tc>
              <w:tc>
                <w:tcPr>
                  <w:tcW w:w="3476" w:type="pct"/>
                  <w:tcBorders>
                    <w:right w:val="single" w:color="000000" w:sz="2" w:space="0"/>
                  </w:tcBorders>
                  <w:vAlign w:val="center"/>
                </w:tcPr>
                <w:p w14:paraId="2F8C6581">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设置了高度为</w:t>
                  </w:r>
                  <w:r>
                    <w:rPr>
                      <w:rFonts w:hint="eastAsia" w:ascii="Times New Roman" w:hAnsi="Times New Roman" w:eastAsia="宋体" w:cs="Times New Roman"/>
                      <w:color w:val="auto"/>
                      <w:kern w:val="2"/>
                      <w:sz w:val="21"/>
                      <w:szCs w:val="21"/>
                      <w:highlight w:val="none"/>
                      <w:lang w:val="en-US" w:eastAsia="zh-CN" w:bidi="ar-SA"/>
                    </w:rPr>
                    <w:t>1.2</w:t>
                  </w:r>
                  <w:r>
                    <w:rPr>
                      <w:rFonts w:hint="default" w:ascii="Times New Roman" w:hAnsi="Times New Roman" w:eastAsia="宋体" w:cs="Times New Roman"/>
                      <w:color w:val="auto"/>
                      <w:kern w:val="2"/>
                      <w:sz w:val="21"/>
                      <w:szCs w:val="21"/>
                      <w:highlight w:val="none"/>
                      <w:lang w:val="en-US" w:eastAsia="zh-CN" w:bidi="ar-SA"/>
                    </w:rPr>
                    <w:t>m的事故围堰，围堰容积为</w:t>
                  </w:r>
                  <w:r>
                    <w:rPr>
                      <w:rFonts w:hint="eastAsia" w:ascii="Times New Roman" w:hAnsi="Times New Roman" w:eastAsia="宋体" w:cs="Times New Roman"/>
                      <w:color w:val="auto"/>
                      <w:kern w:val="2"/>
                      <w:sz w:val="21"/>
                      <w:szCs w:val="21"/>
                      <w:highlight w:val="none"/>
                      <w:lang w:val="en-US" w:eastAsia="zh-CN" w:bidi="ar-SA"/>
                    </w:rPr>
                    <w:t>1180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r>
            <w:tr w14:paraId="04DE9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377" w:type="pct"/>
                  <w:tcBorders>
                    <w:left w:val="single" w:color="000000" w:sz="2" w:space="0"/>
                  </w:tcBorders>
                  <w:vAlign w:val="center"/>
                </w:tcPr>
                <w:p w14:paraId="2F19EF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2"/>
                      <w:sz w:val="21"/>
                      <w:szCs w:val="21"/>
                      <w:highlight w:val="none"/>
                      <w:lang w:val="en-US" w:eastAsia="zh-CN"/>
                    </w:rPr>
                  </w:pPr>
                  <w:r>
                    <w:rPr>
                      <w:rFonts w:hint="eastAsia" w:ascii="Times New Roman" w:hAnsi="Times New Roman" w:eastAsia="宋体" w:cs="Times New Roman"/>
                      <w:color w:val="auto"/>
                      <w:position w:val="2"/>
                      <w:sz w:val="21"/>
                      <w:szCs w:val="21"/>
                      <w:highlight w:val="none"/>
                      <w:lang w:val="en-US" w:eastAsia="zh-CN"/>
                    </w:rPr>
                    <w:t>5</w:t>
                  </w:r>
                </w:p>
              </w:tc>
              <w:tc>
                <w:tcPr>
                  <w:tcW w:w="1146" w:type="pct"/>
                  <w:vAlign w:val="top"/>
                </w:tcPr>
                <w:p w14:paraId="40DBF2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5"/>
                      <w:position w:val="1"/>
                      <w:sz w:val="21"/>
                      <w:szCs w:val="21"/>
                      <w:highlight w:val="none"/>
                    </w:rPr>
                  </w:pPr>
                  <w:r>
                    <w:rPr>
                      <w:rFonts w:hint="eastAsia" w:ascii="Times New Roman" w:hAnsi="Times New Roman" w:cs="Times New Roman"/>
                      <w:color w:val="auto"/>
                      <w:sz w:val="21"/>
                      <w:szCs w:val="21"/>
                      <w:highlight w:val="none"/>
                      <w:vertAlign w:val="baseline"/>
                      <w:lang w:val="en-US" w:eastAsia="zh-CN"/>
                    </w:rPr>
                    <w:t>2号包装车间成品油周转罐区</w:t>
                  </w:r>
                </w:p>
              </w:tc>
              <w:tc>
                <w:tcPr>
                  <w:tcW w:w="3476" w:type="pct"/>
                  <w:tcBorders>
                    <w:right w:val="single" w:color="000000" w:sz="2" w:space="0"/>
                  </w:tcBorders>
                  <w:vAlign w:val="center"/>
                </w:tcPr>
                <w:p w14:paraId="5C1788CE">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设置了高度为</w:t>
                  </w:r>
                  <w:r>
                    <w:rPr>
                      <w:rFonts w:hint="eastAsia" w:ascii="Times New Roman" w:hAnsi="Times New Roman" w:eastAsia="宋体" w:cs="Times New Roman"/>
                      <w:color w:val="auto"/>
                      <w:kern w:val="2"/>
                      <w:sz w:val="21"/>
                      <w:szCs w:val="21"/>
                      <w:highlight w:val="none"/>
                      <w:lang w:val="en-US" w:eastAsia="zh-CN" w:bidi="ar-SA"/>
                    </w:rPr>
                    <w:t>1.2</w:t>
                  </w:r>
                  <w:r>
                    <w:rPr>
                      <w:rFonts w:hint="default" w:ascii="Times New Roman" w:hAnsi="Times New Roman" w:eastAsia="宋体" w:cs="Times New Roman"/>
                      <w:color w:val="auto"/>
                      <w:kern w:val="2"/>
                      <w:sz w:val="21"/>
                      <w:szCs w:val="21"/>
                      <w:highlight w:val="none"/>
                      <w:lang w:val="en-US" w:eastAsia="zh-CN" w:bidi="ar-SA"/>
                    </w:rPr>
                    <w:t>m的事故围堰，围堰容积为</w:t>
                  </w:r>
                  <w:r>
                    <w:rPr>
                      <w:rFonts w:hint="eastAsia" w:ascii="Times New Roman" w:hAnsi="Times New Roman" w:eastAsia="宋体" w:cs="Times New Roman"/>
                      <w:color w:val="auto"/>
                      <w:kern w:val="2"/>
                      <w:sz w:val="21"/>
                      <w:szCs w:val="21"/>
                      <w:highlight w:val="none"/>
                      <w:lang w:val="en-US" w:eastAsia="zh-CN" w:bidi="ar-SA"/>
                    </w:rPr>
                    <w:t>95</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w:t>
                  </w:r>
                </w:p>
              </w:tc>
            </w:tr>
            <w:tr w14:paraId="4F27A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77" w:type="pct"/>
                  <w:tcBorders>
                    <w:left w:val="single" w:color="000000" w:sz="2" w:space="0"/>
                  </w:tcBorders>
                  <w:shd w:val="clear" w:color="auto" w:fill="auto"/>
                  <w:vAlign w:val="center"/>
                </w:tcPr>
                <w:p w14:paraId="3ACA4C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position w:val="2"/>
                      <w:sz w:val="21"/>
                      <w:szCs w:val="21"/>
                      <w:highlight w:val="none"/>
                    </w:rPr>
                    <w:t>6</w:t>
                  </w:r>
                </w:p>
              </w:tc>
              <w:tc>
                <w:tcPr>
                  <w:tcW w:w="1146" w:type="pct"/>
                  <w:vAlign w:val="center"/>
                </w:tcPr>
                <w:p w14:paraId="56900198">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精炼车间</w:t>
                  </w:r>
                </w:p>
              </w:tc>
              <w:tc>
                <w:tcPr>
                  <w:tcW w:w="3476" w:type="pct"/>
                  <w:tcBorders>
                    <w:right w:val="single" w:color="000000" w:sz="2" w:space="0"/>
                  </w:tcBorders>
                  <w:vAlign w:val="center"/>
                </w:tcPr>
                <w:p w14:paraId="1B5CB7B1">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采用防渗地面</w:t>
                  </w:r>
                </w:p>
              </w:tc>
            </w:tr>
            <w:tr w14:paraId="00BB0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77" w:type="pct"/>
                  <w:tcBorders>
                    <w:left w:val="single" w:color="000000" w:sz="2" w:space="0"/>
                  </w:tcBorders>
                  <w:shd w:val="clear" w:color="auto" w:fill="auto"/>
                  <w:vAlign w:val="center"/>
                </w:tcPr>
                <w:p w14:paraId="35F6188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146" w:type="pct"/>
                  <w:vAlign w:val="center"/>
                </w:tcPr>
                <w:p w14:paraId="19B81C81">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消防沙池</w:t>
                  </w:r>
                </w:p>
              </w:tc>
              <w:tc>
                <w:tcPr>
                  <w:tcW w:w="3476" w:type="pct"/>
                  <w:tcBorders>
                    <w:right w:val="single" w:color="000000" w:sz="2" w:space="0"/>
                  </w:tcBorders>
                  <w:vAlign w:val="center"/>
                </w:tcPr>
                <w:p w14:paraId="547B9F27">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3个储油罐区围堰外各设置1个消防沙池，共3个（2m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/个）</w:t>
                  </w:r>
                </w:p>
              </w:tc>
            </w:tr>
            <w:tr w14:paraId="13C49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77" w:type="pct"/>
                  <w:tcBorders>
                    <w:left w:val="single" w:color="000000" w:sz="2" w:space="0"/>
                  </w:tcBorders>
                  <w:shd w:val="clear" w:color="auto" w:fill="auto"/>
                  <w:vAlign w:val="center"/>
                </w:tcPr>
                <w:p w14:paraId="433E541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position w:val="1"/>
                      <w:sz w:val="21"/>
                      <w:szCs w:val="21"/>
                      <w:highlight w:val="none"/>
                    </w:rPr>
                    <w:t>8</w:t>
                  </w:r>
                </w:p>
              </w:tc>
              <w:tc>
                <w:tcPr>
                  <w:tcW w:w="1146" w:type="pct"/>
                  <w:vAlign w:val="center"/>
                </w:tcPr>
                <w:p w14:paraId="772BF809">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消防水池</w:t>
                  </w:r>
                </w:p>
              </w:tc>
              <w:tc>
                <w:tcPr>
                  <w:tcW w:w="3476" w:type="pct"/>
                  <w:tcBorders>
                    <w:right w:val="single" w:color="000000" w:sz="2" w:space="0"/>
                  </w:tcBorders>
                  <w:vAlign w:val="center"/>
                </w:tcPr>
                <w:p w14:paraId="0C4E300D">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厂区北面设有1座1200m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消防水池</w:t>
                  </w:r>
                </w:p>
              </w:tc>
            </w:tr>
            <w:tr w14:paraId="081EE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77" w:type="pct"/>
                  <w:tcBorders>
                    <w:left w:val="single" w:color="000000" w:sz="2" w:space="0"/>
                  </w:tcBorders>
                  <w:vAlign w:val="center"/>
                </w:tcPr>
                <w:p w14:paraId="7BF62C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146" w:type="pct"/>
                  <w:vAlign w:val="center"/>
                </w:tcPr>
                <w:p w14:paraId="306FDEF6">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消防水罐</w:t>
                  </w:r>
                </w:p>
              </w:tc>
              <w:tc>
                <w:tcPr>
                  <w:tcW w:w="3476" w:type="pct"/>
                  <w:tcBorders>
                    <w:right w:val="single" w:color="000000" w:sz="2" w:space="0"/>
                  </w:tcBorders>
                  <w:vAlign w:val="center"/>
                </w:tcPr>
                <w:p w14:paraId="3CC86434">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化验室西面设有1个2000t消防水罐</w:t>
                  </w:r>
                </w:p>
              </w:tc>
            </w:tr>
            <w:tr w14:paraId="4E06B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77" w:type="pct"/>
                  <w:tcBorders>
                    <w:left w:val="single" w:color="000000" w:sz="2" w:space="0"/>
                  </w:tcBorders>
                  <w:vAlign w:val="center"/>
                </w:tcPr>
                <w:p w14:paraId="4FA92B9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146" w:type="pct"/>
                  <w:vAlign w:val="center"/>
                </w:tcPr>
                <w:p w14:paraId="0080E3A7">
                  <w:pPr>
                    <w:pStyle w:val="2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事故池</w:t>
                  </w:r>
                </w:p>
              </w:tc>
              <w:tc>
                <w:tcPr>
                  <w:tcW w:w="3476" w:type="pct"/>
                  <w:tcBorders>
                    <w:right w:val="single" w:color="000000" w:sz="2" w:space="0"/>
                  </w:tcBorders>
                  <w:vAlign w:val="center"/>
                </w:tcPr>
                <w:p w14:paraId="3340CCD7">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厂区北面的污水处理站</w:t>
                  </w:r>
                  <w:r>
                    <w:rPr>
                      <w:rFonts w:hint="eastAsia" w:ascii="Times New Roman" w:hAnsi="Times New Roman" w:cs="Times New Roman"/>
                      <w:color w:val="auto"/>
                      <w:kern w:val="2"/>
                      <w:sz w:val="21"/>
                      <w:szCs w:val="21"/>
                      <w:highlight w:val="none"/>
                      <w:lang w:val="en-US" w:eastAsia="zh-CN" w:bidi="ar-SA"/>
                    </w:rPr>
                    <w:t>旁</w:t>
                  </w:r>
                  <w:r>
                    <w:rPr>
                      <w:rFonts w:hint="default" w:ascii="Times New Roman" w:hAnsi="Times New Roman" w:eastAsia="宋体" w:cs="Times New Roman"/>
                      <w:color w:val="auto"/>
                      <w:kern w:val="2"/>
                      <w:sz w:val="21"/>
                      <w:szCs w:val="21"/>
                      <w:highlight w:val="none"/>
                      <w:lang w:val="en-US" w:eastAsia="zh-CN" w:bidi="ar-SA"/>
                    </w:rPr>
                    <w:t>设有1个200m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事故池</w:t>
                  </w:r>
                </w:p>
              </w:tc>
            </w:tr>
          </w:tbl>
          <w:p w14:paraId="3A4381E0">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（5）事故池容积有效性分析</w:t>
            </w:r>
          </w:p>
          <w:p w14:paraId="580AA12D">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kern w:val="0"/>
                <w:sz w:val="24"/>
                <w:szCs w:val="24"/>
                <w:highlight w:val="none"/>
              </w:rPr>
              <w:t>事故应急池用于储存环境风险事故状态下的事故废水、消防废水、泄漏物料等，建设单位应确保厂内事故应急池长期处于空置状态以保证有足够的容积容纳事故废水，定期对事故应急池进行保养，确保事故应急池无破损、泄漏的情况；雨水排放口处设置</w:t>
            </w:r>
            <w:r>
              <w:rPr>
                <w:rFonts w:ascii="Times New Roman" w:hAnsi="Times New Roman" w:cs="Times New Roman"/>
                <w:color w:val="auto"/>
                <w:sz w:val="24"/>
                <w:szCs w:val="24"/>
                <w:highlight w:val="none"/>
              </w:rPr>
              <w:t>雨污切换装置</w:t>
            </w:r>
            <w:r>
              <w:rPr>
                <w:rFonts w:ascii="Times New Roman" w:hAnsi="Times New Roman" w:cs="Times New Roman"/>
                <w:color w:val="auto"/>
                <w:kern w:val="0"/>
                <w:sz w:val="24"/>
                <w:szCs w:val="24"/>
                <w:highlight w:val="none"/>
              </w:rPr>
              <w:t>，防止事故状态下受污雨水流入外环境。</w:t>
            </w:r>
          </w:p>
          <w:p w14:paraId="6EC8E06A">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default" w:cs="Times New Roman"/>
                <w:color w:val="auto"/>
                <w:sz w:val="24"/>
                <w:szCs w:val="24"/>
                <w:highlight w:val="none"/>
                <w:lang w:val="en-US" w:eastAsia="zh-CN"/>
              </w:rPr>
            </w:pPr>
            <w:r>
              <w:rPr>
                <w:rFonts w:ascii="宋体" w:hAnsi="宋体" w:eastAsia="宋体" w:cs="宋体"/>
                <w:color w:val="auto"/>
                <w:spacing w:val="-3"/>
                <w:sz w:val="24"/>
                <w:szCs w:val="24"/>
                <w:highlight w:val="none"/>
              </w:rPr>
              <w:t>参照中国石油天然气集团公司企业标准《事故状态下水体污</w:t>
            </w:r>
            <w:r>
              <w:rPr>
                <w:rFonts w:ascii="宋体" w:hAnsi="宋体" w:eastAsia="宋体" w:cs="宋体"/>
                <w:color w:val="auto"/>
                <w:spacing w:val="-4"/>
                <w:sz w:val="24"/>
                <w:szCs w:val="24"/>
                <w:highlight w:val="none"/>
              </w:rPr>
              <w:t>染的预防与控制技术要</w:t>
            </w:r>
            <w:r>
              <w:rPr>
                <w:rFonts w:ascii="宋体" w:hAnsi="宋体" w:eastAsia="宋体" w:cs="宋体"/>
                <w:color w:val="auto"/>
                <w:spacing w:val="-1"/>
                <w:sz w:val="24"/>
                <w:szCs w:val="24"/>
                <w:highlight w:val="none"/>
              </w:rPr>
              <w:t>求》（</w:t>
            </w:r>
            <w:r>
              <w:rPr>
                <w:rFonts w:ascii="Times New Roman" w:hAnsi="Times New Roman" w:eastAsia="Times New Roman" w:cs="Times New Roman"/>
                <w:color w:val="auto"/>
                <w:spacing w:val="-1"/>
                <w:sz w:val="24"/>
                <w:szCs w:val="24"/>
                <w:highlight w:val="none"/>
              </w:rPr>
              <w:t>Q/SY1190-20013</w:t>
            </w:r>
            <w:r>
              <w:rPr>
                <w:rFonts w:ascii="宋体" w:hAnsi="宋体" w:eastAsia="宋体" w:cs="宋体"/>
                <w:color w:val="auto"/>
                <w:spacing w:val="-1"/>
                <w:sz w:val="24"/>
                <w:szCs w:val="24"/>
                <w:highlight w:val="none"/>
              </w:rPr>
              <w:t>）对事故缓冲设施总有效容积</w:t>
            </w:r>
            <w:r>
              <w:rPr>
                <w:rFonts w:ascii="Times New Roman" w:hAnsi="Times New Roman" w:eastAsia="Times New Roman" w:cs="Times New Roman"/>
                <w:color w:val="auto"/>
                <w:spacing w:val="-1"/>
                <w:sz w:val="24"/>
                <w:szCs w:val="24"/>
                <w:highlight w:val="none"/>
              </w:rPr>
              <w:t>V</w:t>
            </w:r>
            <w:r>
              <w:rPr>
                <w:rFonts w:ascii="宋体" w:hAnsi="宋体" w:eastAsia="宋体" w:cs="宋体"/>
                <w:color w:val="auto"/>
                <w:spacing w:val="-1"/>
                <w:sz w:val="24"/>
                <w:szCs w:val="24"/>
                <w:highlight w:val="none"/>
              </w:rPr>
              <w:t>总的要求如下：</w:t>
            </w:r>
          </w:p>
          <w:p w14:paraId="21AD1882">
            <w:pPr>
              <w:spacing w:before="78" w:line="348" w:lineRule="exact"/>
              <w:ind w:left="3023"/>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3"/>
                <w:position w:val="3"/>
                <w:sz w:val="24"/>
                <w:szCs w:val="24"/>
                <w:highlight w:val="none"/>
              </w:rPr>
              <w:t>V</w:t>
            </w:r>
            <w:r>
              <w:rPr>
                <w:rFonts w:ascii="宋体" w:hAnsi="宋体" w:eastAsia="宋体" w:cs="宋体"/>
                <w:color w:val="auto"/>
                <w:spacing w:val="-3"/>
                <w:sz w:val="12"/>
                <w:szCs w:val="12"/>
                <w:highlight w:val="none"/>
              </w:rPr>
              <w:t>总</w:t>
            </w:r>
            <w:r>
              <w:rPr>
                <w:rFonts w:ascii="Times New Roman" w:hAnsi="Times New Roman" w:eastAsia="Times New Roman" w:cs="Times New Roman"/>
                <w:color w:val="auto"/>
                <w:spacing w:val="-3"/>
                <w:position w:val="3"/>
                <w:sz w:val="24"/>
                <w:szCs w:val="24"/>
                <w:highlight w:val="none"/>
              </w:rPr>
              <w:t>=</w:t>
            </w:r>
            <w:r>
              <w:rPr>
                <w:rFonts w:ascii="宋体" w:hAnsi="宋体" w:eastAsia="宋体" w:cs="宋体"/>
                <w:color w:val="auto"/>
                <w:position w:val="3"/>
                <w:sz w:val="24"/>
                <w:szCs w:val="24"/>
                <w:highlight w:val="none"/>
              </w:rPr>
              <w:t>（</w:t>
            </w:r>
            <w:r>
              <w:rPr>
                <w:rFonts w:ascii="Times New Roman" w:hAnsi="Times New Roman" w:eastAsia="Times New Roman" w:cs="Times New Roman"/>
                <w:color w:val="auto"/>
                <w:position w:val="3"/>
                <w:sz w:val="24"/>
                <w:szCs w:val="24"/>
                <w:highlight w:val="none"/>
              </w:rPr>
              <w:t>V1+V2-V3</w:t>
            </w:r>
            <w:r>
              <w:rPr>
                <w:rFonts w:ascii="宋体" w:hAnsi="宋体" w:eastAsia="宋体" w:cs="宋体"/>
                <w:color w:val="auto"/>
                <w:position w:val="3"/>
                <w:sz w:val="24"/>
                <w:szCs w:val="24"/>
                <w:highlight w:val="none"/>
              </w:rPr>
              <w:t>）</w:t>
            </w:r>
            <w:r>
              <w:rPr>
                <w:rFonts w:ascii="Times New Roman" w:hAnsi="Times New Roman" w:eastAsia="Times New Roman" w:cs="Times New Roman"/>
                <w:color w:val="auto"/>
                <w:position w:val="2"/>
                <w:sz w:val="15"/>
                <w:szCs w:val="15"/>
                <w:highlight w:val="none"/>
              </w:rPr>
              <w:t>max</w:t>
            </w:r>
            <w:r>
              <w:rPr>
                <w:rFonts w:ascii="Times New Roman" w:hAnsi="Times New Roman" w:eastAsia="Times New Roman" w:cs="Times New Roman"/>
                <w:color w:val="auto"/>
                <w:position w:val="3"/>
                <w:sz w:val="24"/>
                <w:szCs w:val="24"/>
                <w:highlight w:val="none"/>
              </w:rPr>
              <w:t>+V4+V5</w:t>
            </w:r>
          </w:p>
          <w:p w14:paraId="4FF973C0">
            <w:pPr>
              <w:spacing w:before="131" w:line="368" w:lineRule="auto"/>
              <w:ind w:left="122" w:right="109" w:firstLine="481"/>
              <w:jc w:val="both"/>
              <w:rPr>
                <w:rFonts w:hint="default" w:ascii="Times New Roman" w:hAnsi="Times New Roman" w:eastAsia="宋体" w:cs="Times New Roman"/>
                <w:color w:val="auto"/>
                <w:sz w:val="24"/>
                <w:szCs w:val="24"/>
                <w:highlight w:val="none"/>
              </w:rPr>
            </w:pPr>
            <w:r>
              <w:rPr>
                <w:rFonts w:ascii="宋体" w:hAnsi="宋体" w:eastAsia="宋体" w:cs="宋体"/>
                <w:color w:val="auto"/>
                <w:spacing w:val="-1"/>
                <w:sz w:val="24"/>
                <w:szCs w:val="24"/>
                <w:highlight w:val="none"/>
              </w:rPr>
              <w:t>式中：</w:t>
            </w:r>
            <w:r>
              <w:rPr>
                <w:rFonts w:ascii="Times New Roman" w:hAnsi="Times New Roman" w:eastAsia="Times New Roman" w:cs="Times New Roman"/>
                <w:color w:val="auto"/>
                <w:spacing w:val="-1"/>
                <w:sz w:val="24"/>
                <w:szCs w:val="24"/>
                <w:highlight w:val="none"/>
              </w:rPr>
              <w:t>V1</w:t>
            </w:r>
            <w:r>
              <w:rPr>
                <w:rFonts w:ascii="宋体" w:hAnsi="宋体" w:eastAsia="宋体" w:cs="宋体"/>
                <w:color w:val="auto"/>
                <w:spacing w:val="-1"/>
                <w:sz w:val="24"/>
                <w:szCs w:val="24"/>
                <w:highlight w:val="none"/>
              </w:rPr>
              <w:t>—收集系统范围内发生事故的一个罐组或一套装置的物料量，</w:t>
            </w:r>
            <w:r>
              <w:rPr>
                <w:rFonts w:ascii="Times New Roman" w:hAnsi="Times New Roman" w:eastAsia="Times New Roman" w:cs="Times New Roman"/>
                <w:color w:val="auto"/>
                <w:spacing w:val="-1"/>
                <w:sz w:val="24"/>
                <w:szCs w:val="24"/>
                <w:highlight w:val="none"/>
              </w:rPr>
              <w:t>m</w:t>
            </w:r>
            <w:r>
              <w:rPr>
                <w:rFonts w:ascii="Times New Roman" w:hAnsi="Times New Roman" w:eastAsia="Times New Roman" w:cs="Times New Roman"/>
                <w:color w:val="auto"/>
                <w:spacing w:val="-1"/>
                <w:position w:val="7"/>
                <w:sz w:val="15"/>
                <w:szCs w:val="15"/>
                <w:highlight w:val="none"/>
              </w:rPr>
              <w:t>3</w:t>
            </w:r>
            <w:r>
              <w:rPr>
                <w:rFonts w:ascii="宋体" w:hAnsi="宋体" w:eastAsia="宋体" w:cs="宋体"/>
                <w:color w:val="auto"/>
                <w:spacing w:val="-1"/>
                <w:sz w:val="24"/>
                <w:szCs w:val="24"/>
                <w:highlight w:val="none"/>
              </w:rPr>
              <w:t>。由于</w:t>
            </w:r>
            <w:r>
              <w:rPr>
                <w:rFonts w:ascii="宋体" w:hAnsi="宋体" w:eastAsia="宋体" w:cs="宋体"/>
                <w:color w:val="auto"/>
                <w:spacing w:val="-4"/>
                <w:sz w:val="24"/>
                <w:szCs w:val="24"/>
                <w:highlight w:val="none"/>
              </w:rPr>
              <w:t>企业</w:t>
            </w:r>
            <w:r>
              <w:rPr>
                <w:rFonts w:ascii="宋体" w:hAnsi="宋体" w:eastAsia="宋体" w:cs="宋体"/>
                <w:color w:val="auto"/>
                <w:spacing w:val="-32"/>
                <w:sz w:val="24"/>
                <w:szCs w:val="24"/>
                <w:highlight w:val="none"/>
              </w:rPr>
              <w:t xml:space="preserve"> </w:t>
            </w:r>
            <w:r>
              <w:rPr>
                <w:rFonts w:ascii="Times New Roman" w:hAnsi="Times New Roman" w:eastAsia="Times New Roman" w:cs="Times New Roman"/>
                <w:color w:val="auto"/>
                <w:spacing w:val="-4"/>
                <w:sz w:val="24"/>
                <w:szCs w:val="24"/>
                <w:highlight w:val="none"/>
              </w:rPr>
              <w:t>1#</w:t>
            </w:r>
            <w:r>
              <w:rPr>
                <w:rFonts w:ascii="Times New Roman" w:hAnsi="Times New Roman" w:eastAsia="Times New Roman" w:cs="Times New Roman"/>
                <w:color w:val="auto"/>
                <w:spacing w:val="-34"/>
                <w:sz w:val="24"/>
                <w:szCs w:val="24"/>
                <w:highlight w:val="none"/>
              </w:rPr>
              <w:t xml:space="preserve"> </w:t>
            </w: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Times New Roman" w:hAnsi="Times New Roman" w:eastAsia="Times New Roman" w:cs="Times New Roman"/>
                <w:color w:val="auto"/>
                <w:spacing w:val="-34"/>
                <w:sz w:val="24"/>
                <w:szCs w:val="24"/>
                <w:highlight w:val="none"/>
              </w:rPr>
              <w:t xml:space="preserve"> </w:t>
            </w: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罐区均设有应急油罐，</w:t>
            </w:r>
            <w:r>
              <w:rPr>
                <w:rFonts w:hint="eastAsia" w:ascii="宋体" w:hAnsi="宋体" w:eastAsia="宋体" w:cs="宋体"/>
                <w:color w:val="auto"/>
                <w:spacing w:val="-4"/>
                <w:sz w:val="24"/>
                <w:szCs w:val="24"/>
                <w:highlight w:val="none"/>
                <w:lang w:val="en-US" w:eastAsia="zh-CN"/>
              </w:rPr>
              <w:t>同时，各储罐区设置围堰，围堰能满足储罐区最大储罐泄漏时的泄漏量，</w:t>
            </w:r>
            <w:r>
              <w:rPr>
                <w:rFonts w:ascii="宋体" w:hAnsi="宋体" w:eastAsia="宋体" w:cs="宋体"/>
                <w:color w:val="auto"/>
                <w:spacing w:val="-4"/>
                <w:sz w:val="24"/>
                <w:szCs w:val="24"/>
                <w:highlight w:val="none"/>
              </w:rPr>
              <w:t>故事故池不考虑原料油</w:t>
            </w:r>
            <w:r>
              <w:rPr>
                <w:rFonts w:ascii="宋体" w:hAnsi="宋体" w:eastAsia="宋体" w:cs="宋体"/>
                <w:color w:val="auto"/>
                <w:spacing w:val="-5"/>
                <w:sz w:val="24"/>
                <w:szCs w:val="24"/>
                <w:highlight w:val="none"/>
              </w:rPr>
              <w:t>泄漏的物料量，</w:t>
            </w:r>
            <w:r>
              <w:rPr>
                <w:rFonts w:hint="eastAsia" w:cs="Times New Roman"/>
                <w:color w:val="auto"/>
                <w:spacing w:val="-1"/>
                <w:sz w:val="24"/>
                <w:szCs w:val="24"/>
                <w:highlight w:val="none"/>
                <w:lang w:val="en-US" w:eastAsia="zh-CN"/>
              </w:rPr>
              <w:t>油罐区</w:t>
            </w:r>
            <w:r>
              <w:rPr>
                <w:rFonts w:hint="default" w:ascii="Times New Roman" w:hAnsi="Times New Roman" w:eastAsia="宋体" w:cs="Times New Roman"/>
                <w:color w:val="auto"/>
                <w:spacing w:val="-1"/>
                <w:sz w:val="24"/>
                <w:szCs w:val="24"/>
                <w:highlight w:val="none"/>
                <w:lang w:val="en-US" w:eastAsia="zh-CN"/>
              </w:rPr>
              <w:t>最大罐容积为10989m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宋体" w:cs="Times New Roman"/>
                <w:color w:val="auto"/>
                <w:spacing w:val="-7"/>
                <w:sz w:val="24"/>
                <w:szCs w:val="24"/>
                <w:highlight w:val="none"/>
              </w:rPr>
              <w:t>。</w:t>
            </w:r>
          </w:p>
          <w:p w14:paraId="1FD65D7F">
            <w:pPr>
              <w:spacing w:before="6" w:line="367" w:lineRule="auto"/>
              <w:ind w:left="121" w:right="61" w:firstLine="1070"/>
              <w:jc w:val="both"/>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V2</w:t>
            </w:r>
            <w:r>
              <w:rPr>
                <w:rFonts w:ascii="宋体" w:hAnsi="宋体" w:eastAsia="宋体" w:cs="宋体"/>
                <w:color w:val="auto"/>
                <w:spacing w:val="-1"/>
                <w:sz w:val="24"/>
                <w:szCs w:val="24"/>
                <w:highlight w:val="none"/>
              </w:rPr>
              <w:t>—发生事故的储罐或装置的消防水量，</w:t>
            </w:r>
            <w:r>
              <w:rPr>
                <w:rFonts w:ascii="Times New Roman" w:hAnsi="Times New Roman" w:eastAsia="Times New Roman" w:cs="Times New Roman"/>
                <w:color w:val="auto"/>
                <w:spacing w:val="-1"/>
                <w:sz w:val="24"/>
                <w:szCs w:val="24"/>
                <w:highlight w:val="none"/>
              </w:rPr>
              <w:t>m</w:t>
            </w:r>
            <w:r>
              <w:rPr>
                <w:rFonts w:ascii="Times New Roman" w:hAnsi="Times New Roman" w:eastAsia="Times New Roman" w:cs="Times New Roman"/>
                <w:color w:val="auto"/>
                <w:spacing w:val="-1"/>
                <w:position w:val="7"/>
                <w:sz w:val="15"/>
                <w:szCs w:val="15"/>
                <w:highlight w:val="none"/>
              </w:rPr>
              <w:t>3</w:t>
            </w:r>
            <w:r>
              <w:rPr>
                <w:rFonts w:ascii="宋体" w:hAnsi="宋体" w:eastAsia="宋体" w:cs="宋体"/>
                <w:color w:val="auto"/>
                <w:spacing w:val="-1"/>
                <w:sz w:val="24"/>
                <w:szCs w:val="24"/>
                <w:highlight w:val="none"/>
              </w:rPr>
              <w:t>；经查找</w:t>
            </w:r>
            <w:r>
              <w:rPr>
                <w:rFonts w:ascii="宋体" w:hAnsi="宋体" w:eastAsia="宋体" w:cs="宋体"/>
                <w:color w:val="auto"/>
                <w:spacing w:val="-2"/>
                <w:sz w:val="24"/>
                <w:szCs w:val="24"/>
                <w:highlight w:val="none"/>
              </w:rPr>
              <w:t>《建筑设计防火规范》</w:t>
            </w: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GB50016-2014</w:t>
            </w: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2018</w:t>
            </w:r>
            <w:r>
              <w:rPr>
                <w:rFonts w:ascii="宋体" w:hAnsi="宋体" w:eastAsia="宋体" w:cs="宋体"/>
                <w:color w:val="auto"/>
                <w:sz w:val="24"/>
                <w:szCs w:val="24"/>
                <w:highlight w:val="none"/>
              </w:rPr>
              <w:t>年修订，该技术规范无火灾延续时间相关内容，火灾延续时间</w:t>
            </w:r>
            <w:r>
              <w:rPr>
                <w:rFonts w:ascii="宋体" w:hAnsi="宋体" w:eastAsia="宋体" w:cs="宋体"/>
                <w:color w:val="auto"/>
                <w:spacing w:val="-1"/>
                <w:sz w:val="24"/>
                <w:szCs w:val="24"/>
                <w:highlight w:val="none"/>
              </w:rPr>
              <w:t>按</w:t>
            </w:r>
            <w:r>
              <w:rPr>
                <w:rFonts w:hint="eastAsia" w:ascii="Times New Roman" w:hAnsi="Times New Roman" w:eastAsia="宋体" w:cs="Times New Roman"/>
                <w:color w:val="auto"/>
                <w:spacing w:val="-1"/>
                <w:sz w:val="24"/>
                <w:szCs w:val="24"/>
                <w:highlight w:val="none"/>
                <w:lang w:val="en-US" w:eastAsia="zh-CN"/>
              </w:rPr>
              <w:t>1</w:t>
            </w:r>
            <w:r>
              <w:rPr>
                <w:rFonts w:ascii="Times New Roman" w:hAnsi="Times New Roman" w:eastAsia="Times New Roman" w:cs="Times New Roman"/>
                <w:color w:val="auto"/>
                <w:spacing w:val="-1"/>
                <w:sz w:val="24"/>
                <w:szCs w:val="24"/>
                <w:highlight w:val="none"/>
              </w:rPr>
              <w:t>h</w:t>
            </w:r>
            <w:r>
              <w:rPr>
                <w:rFonts w:ascii="宋体" w:hAnsi="宋体" w:eastAsia="宋体" w:cs="宋体"/>
                <w:color w:val="auto"/>
                <w:spacing w:val="-1"/>
                <w:sz w:val="24"/>
                <w:szCs w:val="24"/>
                <w:highlight w:val="none"/>
              </w:rPr>
              <w:t>计，室外消火栓用水量按</w:t>
            </w:r>
            <w:r>
              <w:rPr>
                <w:rFonts w:ascii="Times New Roman" w:hAnsi="Times New Roman" w:eastAsia="Times New Roman" w:cs="Times New Roman"/>
                <w:color w:val="auto"/>
                <w:spacing w:val="-1"/>
                <w:sz w:val="24"/>
                <w:szCs w:val="24"/>
                <w:highlight w:val="none"/>
              </w:rPr>
              <w:t>30L/s</w:t>
            </w:r>
            <w:r>
              <w:rPr>
                <w:rFonts w:ascii="宋体" w:hAnsi="宋体" w:eastAsia="宋体" w:cs="宋体"/>
                <w:color w:val="auto"/>
                <w:spacing w:val="-1"/>
                <w:sz w:val="24"/>
                <w:szCs w:val="24"/>
                <w:highlight w:val="none"/>
              </w:rPr>
              <w:t>计，</w:t>
            </w:r>
            <w:r>
              <w:rPr>
                <w:rFonts w:ascii="Times New Roman" w:hAnsi="Times New Roman" w:eastAsia="Times New Roman" w:cs="Times New Roman"/>
                <w:color w:val="auto"/>
                <w:spacing w:val="-1"/>
                <w:sz w:val="24"/>
                <w:szCs w:val="24"/>
                <w:highlight w:val="none"/>
              </w:rPr>
              <w:t>V2=</w:t>
            </w:r>
            <w:r>
              <w:rPr>
                <w:rFonts w:hint="eastAsia" w:ascii="Times New Roman" w:hAnsi="Times New Roman" w:eastAsia="宋体" w:cs="Times New Roman"/>
                <w:color w:val="auto"/>
                <w:spacing w:val="-1"/>
                <w:sz w:val="24"/>
                <w:szCs w:val="24"/>
                <w:highlight w:val="none"/>
                <w:lang w:val="en-US" w:eastAsia="zh-CN"/>
              </w:rPr>
              <w:t>108</w:t>
            </w:r>
            <w:r>
              <w:rPr>
                <w:rFonts w:ascii="Times New Roman" w:hAnsi="Times New Roman" w:eastAsia="Times New Roman" w:cs="Times New Roman"/>
                <w:color w:val="auto"/>
                <w:spacing w:val="-1"/>
                <w:sz w:val="24"/>
                <w:szCs w:val="24"/>
                <w:highlight w:val="none"/>
              </w:rPr>
              <w:t>m</w:t>
            </w:r>
            <w:r>
              <w:rPr>
                <w:rFonts w:ascii="Times New Roman" w:hAnsi="Times New Roman" w:eastAsia="Times New Roman" w:cs="Times New Roman"/>
                <w:color w:val="auto"/>
                <w:spacing w:val="-1"/>
                <w:position w:val="7"/>
                <w:sz w:val="15"/>
                <w:szCs w:val="15"/>
                <w:highlight w:val="none"/>
              </w:rPr>
              <w:t>3</w:t>
            </w:r>
            <w:r>
              <w:rPr>
                <w:rFonts w:ascii="宋体" w:hAnsi="宋体" w:eastAsia="宋体" w:cs="宋体"/>
                <w:color w:val="auto"/>
                <w:spacing w:val="-1"/>
                <w:sz w:val="24"/>
                <w:szCs w:val="24"/>
                <w:highlight w:val="none"/>
              </w:rPr>
              <w:t>；</w:t>
            </w:r>
          </w:p>
          <w:p w14:paraId="35768AB8">
            <w:pPr>
              <w:spacing w:before="7" w:line="366" w:lineRule="auto"/>
              <w:ind w:left="121" w:right="111" w:firstLine="1070"/>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z w:val="24"/>
                <w:szCs w:val="24"/>
                <w:highlight w:val="none"/>
              </w:rPr>
              <w:t>V3</w:t>
            </w:r>
            <w:r>
              <w:rPr>
                <w:rFonts w:hint="default" w:ascii="Times New Roman" w:hAnsi="Times New Roman" w:eastAsia="宋体" w:cs="Times New Roman"/>
                <w:color w:val="auto"/>
                <w:sz w:val="24"/>
                <w:szCs w:val="24"/>
                <w:highlight w:val="none"/>
              </w:rPr>
              <w:t>—发生事故时可以转输到其他设施的物料量，</w:t>
            </w:r>
            <w:r>
              <w:rPr>
                <w:rFonts w:hint="default" w:ascii="Times New Roman" w:hAnsi="Times New Roman" w:eastAsia="Times New Roman"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企业1#储罐区设置2个应急储罐，储罐分别为1#储油罐（2200t）和11#储油罐（1200t）</w:t>
            </w:r>
            <w:r>
              <w:rPr>
                <w:rFonts w:hint="default" w:ascii="Times New Roman" w:hAnsi="Times New Roman" w:eastAsia="宋体" w:cs="Times New Roman"/>
                <w:color w:val="auto"/>
                <w:spacing w:val="1"/>
                <w:sz w:val="24"/>
                <w:szCs w:val="24"/>
                <w:highlight w:val="none"/>
              </w:rPr>
              <w:t>，</w:t>
            </w:r>
            <w:r>
              <w:rPr>
                <w:rFonts w:hint="eastAsia" w:cs="Times New Roman"/>
                <w:color w:val="auto"/>
                <w:spacing w:val="1"/>
                <w:sz w:val="24"/>
                <w:szCs w:val="24"/>
                <w:highlight w:val="none"/>
                <w:lang w:val="en-US" w:eastAsia="zh-CN"/>
              </w:rPr>
              <w:t>且</w:t>
            </w:r>
            <w:r>
              <w:rPr>
                <w:rFonts w:hint="default" w:ascii="Times New Roman" w:hAnsi="Times New Roman" w:eastAsia="宋体" w:cs="Times New Roman"/>
                <w:color w:val="auto"/>
                <w:spacing w:val="1"/>
                <w:sz w:val="24"/>
                <w:szCs w:val="24"/>
                <w:highlight w:val="none"/>
                <w:lang w:val="en-US" w:eastAsia="zh-CN"/>
              </w:rPr>
              <w:t>1#储罐区设置1.55m高围堰，围堰容积为</w:t>
            </w:r>
            <w:r>
              <w:rPr>
                <w:rFonts w:hint="eastAsia" w:cs="Times New Roman"/>
                <w:color w:val="auto"/>
                <w:spacing w:val="1"/>
                <w:sz w:val="24"/>
                <w:szCs w:val="24"/>
                <w:highlight w:val="none"/>
                <w:lang w:val="en-US" w:eastAsia="zh-CN"/>
              </w:rPr>
              <w:t>大于10989</w:t>
            </w:r>
            <w:r>
              <w:rPr>
                <w:rFonts w:hint="default" w:ascii="Times New Roman" w:hAnsi="Times New Roman" w:eastAsia="宋体" w:cs="Times New Roman"/>
                <w:color w:val="auto"/>
                <w:spacing w:val="1"/>
                <w:sz w:val="24"/>
                <w:szCs w:val="24"/>
                <w:highlight w:val="none"/>
                <w:lang w:val="en-US" w:eastAsia="zh-CN"/>
              </w:rPr>
              <w:t>m</w:t>
            </w:r>
            <w:r>
              <w:rPr>
                <w:rFonts w:hint="default" w:ascii="Times New Roman" w:hAnsi="Times New Roman" w:eastAsia="宋体" w:cs="Times New Roman"/>
                <w:color w:val="auto"/>
                <w:spacing w:val="1"/>
                <w:sz w:val="24"/>
                <w:szCs w:val="24"/>
                <w:highlight w:val="none"/>
                <w:vertAlign w:val="superscript"/>
                <w:lang w:val="en-US" w:eastAsia="zh-CN"/>
              </w:rPr>
              <w:t>3</w:t>
            </w:r>
            <w:r>
              <w:rPr>
                <w:rFonts w:hint="default" w:ascii="Times New Roman" w:hAnsi="Times New Roman" w:eastAsia="宋体" w:cs="Times New Roman"/>
                <w:color w:val="auto"/>
                <w:spacing w:val="1"/>
                <w:sz w:val="24"/>
                <w:szCs w:val="24"/>
                <w:highlight w:val="none"/>
                <w:lang w:val="en-US" w:eastAsia="zh-CN"/>
              </w:rPr>
              <w:t>，</w:t>
            </w:r>
            <w:r>
              <w:rPr>
                <w:rFonts w:hint="eastAsia" w:cs="Times New Roman"/>
                <w:color w:val="auto"/>
                <w:spacing w:val="1"/>
                <w:sz w:val="24"/>
                <w:szCs w:val="24"/>
                <w:highlight w:val="none"/>
                <w:lang w:val="en-US" w:eastAsia="zh-CN"/>
              </w:rPr>
              <w:t>其余油罐区</w:t>
            </w:r>
            <w:r>
              <w:rPr>
                <w:rFonts w:ascii="宋体" w:hAnsi="宋体" w:eastAsia="宋体" w:cs="宋体"/>
                <w:color w:val="auto"/>
                <w:spacing w:val="1"/>
                <w:sz w:val="24"/>
                <w:szCs w:val="24"/>
                <w:highlight w:val="none"/>
              </w:rPr>
              <w:t>应急油罐</w:t>
            </w:r>
            <w:r>
              <w:rPr>
                <w:rFonts w:hint="eastAsia" w:ascii="宋体" w:hAnsi="宋体" w:cs="宋体"/>
                <w:color w:val="auto"/>
                <w:spacing w:val="1"/>
                <w:sz w:val="24"/>
                <w:szCs w:val="24"/>
                <w:highlight w:val="none"/>
                <w:lang w:val="en-US" w:eastAsia="zh-CN"/>
              </w:rPr>
              <w:t>和围堰收集量均大于最大油罐量，在此不考虑</w:t>
            </w:r>
            <w:r>
              <w:rPr>
                <w:rFonts w:hint="default" w:ascii="Times New Roman" w:hAnsi="Times New Roman" w:eastAsia="宋体" w:cs="Times New Roman"/>
                <w:color w:val="auto"/>
                <w:spacing w:val="1"/>
                <w:sz w:val="24"/>
                <w:szCs w:val="24"/>
                <w:highlight w:val="none"/>
              </w:rPr>
              <w:t>。</w:t>
            </w:r>
          </w:p>
          <w:p w14:paraId="3EB9C81D">
            <w:pPr>
              <w:spacing w:before="9" w:line="366" w:lineRule="auto"/>
              <w:ind w:left="121" w:right="103" w:firstLine="1070"/>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V4</w:t>
            </w:r>
            <w:r>
              <w:rPr>
                <w:rFonts w:ascii="宋体" w:hAnsi="宋体" w:eastAsia="宋体" w:cs="宋体"/>
                <w:color w:val="auto"/>
                <w:spacing w:val="-3"/>
                <w:sz w:val="24"/>
                <w:szCs w:val="24"/>
                <w:highlight w:val="none"/>
              </w:rPr>
              <w:t>—发生事故时仍必须进入该收集系统的生产废水量，</w:t>
            </w:r>
            <w:r>
              <w:rPr>
                <w:rFonts w:ascii="Times New Roman" w:hAnsi="Times New Roman" w:eastAsia="Times New Roman" w:cs="Times New Roman"/>
                <w:color w:val="auto"/>
                <w:spacing w:val="-3"/>
                <w:sz w:val="24"/>
                <w:szCs w:val="24"/>
                <w:highlight w:val="none"/>
              </w:rPr>
              <w:t>m</w:t>
            </w:r>
            <w:r>
              <w:rPr>
                <w:rFonts w:ascii="Times New Roman" w:hAnsi="Times New Roman" w:eastAsia="Times New Roman" w:cs="Times New Roman"/>
                <w:color w:val="auto"/>
                <w:spacing w:val="-3"/>
                <w:position w:val="7"/>
                <w:sz w:val="15"/>
                <w:szCs w:val="15"/>
                <w:highlight w:val="none"/>
              </w:rPr>
              <w:t>3</w:t>
            </w:r>
            <w:r>
              <w:rPr>
                <w:rFonts w:ascii="宋体" w:hAnsi="宋体" w:eastAsia="宋体" w:cs="宋体"/>
                <w:color w:val="auto"/>
                <w:spacing w:val="-3"/>
                <w:sz w:val="24"/>
                <w:szCs w:val="24"/>
                <w:highlight w:val="none"/>
              </w:rPr>
              <w:t>；根据</w:t>
            </w:r>
            <w:r>
              <w:rPr>
                <w:rFonts w:hint="eastAsia" w:ascii="宋体" w:hAnsi="宋体" w:eastAsia="宋体" w:cs="宋体"/>
                <w:color w:val="auto"/>
                <w:spacing w:val="-3"/>
                <w:sz w:val="24"/>
                <w:szCs w:val="24"/>
                <w:highlight w:val="none"/>
                <w:lang w:val="en-US" w:eastAsia="zh-CN"/>
              </w:rPr>
              <w:t>核算</w:t>
            </w:r>
            <w:r>
              <w:rPr>
                <w:rFonts w:ascii="宋体" w:hAnsi="宋体" w:eastAsia="宋体" w:cs="宋体"/>
                <w:color w:val="auto"/>
                <w:spacing w:val="-3"/>
                <w:sz w:val="24"/>
                <w:szCs w:val="24"/>
                <w:highlight w:val="none"/>
              </w:rPr>
              <w:t>，</w:t>
            </w:r>
            <w:r>
              <w:rPr>
                <w:rFonts w:hint="eastAsia" w:ascii="宋体" w:hAnsi="宋体" w:cs="宋体"/>
                <w:color w:val="auto"/>
                <w:spacing w:val="-2"/>
                <w:sz w:val="24"/>
                <w:szCs w:val="24"/>
                <w:highlight w:val="none"/>
                <w:lang w:val="en-US" w:eastAsia="zh-CN"/>
              </w:rPr>
              <w:t>本项目必须进入收集系统的生产废水量为0</w:t>
            </w:r>
            <w:r>
              <w:rPr>
                <w:rFonts w:ascii="宋体" w:hAnsi="宋体" w:eastAsia="宋体" w:cs="宋体"/>
                <w:color w:val="auto"/>
                <w:spacing w:val="-2"/>
                <w:sz w:val="24"/>
                <w:szCs w:val="24"/>
                <w:highlight w:val="none"/>
              </w:rPr>
              <w:t>；</w:t>
            </w:r>
          </w:p>
          <w:p w14:paraId="13827DEB">
            <w:pPr>
              <w:keepNext w:val="0"/>
              <w:keepLines w:val="0"/>
              <w:pageBreakBefore w:val="0"/>
              <w:widowControl w:val="0"/>
              <w:kinsoku/>
              <w:wordWrap/>
              <w:overflowPunct/>
              <w:topLinePunct w:val="0"/>
              <w:autoSpaceDE/>
              <w:autoSpaceDN/>
              <w:bidi w:val="0"/>
              <w:adjustRightInd/>
              <w:snapToGrid/>
              <w:spacing w:line="360" w:lineRule="auto"/>
              <w:ind w:left="0" w:right="0" w:firstLine="952" w:firstLineChars="400"/>
              <w:jc w:val="left"/>
              <w:textAlignment w:val="auto"/>
              <w:rPr>
                <w:rFonts w:ascii="宋体" w:hAnsi="宋体" w:eastAsia="宋体" w:cs="宋体"/>
                <w:color w:val="auto"/>
                <w:spacing w:val="-1"/>
                <w:sz w:val="24"/>
                <w:szCs w:val="24"/>
                <w:highlight w:val="none"/>
              </w:rPr>
            </w:pPr>
            <w:r>
              <w:rPr>
                <w:rFonts w:ascii="Times New Roman" w:hAnsi="Times New Roman" w:eastAsia="Times New Roman" w:cs="Times New Roman"/>
                <w:color w:val="auto"/>
                <w:spacing w:val="-1"/>
                <w:sz w:val="24"/>
                <w:szCs w:val="24"/>
                <w:highlight w:val="none"/>
              </w:rPr>
              <w:t>V5</w:t>
            </w:r>
            <w:r>
              <w:rPr>
                <w:rFonts w:ascii="宋体" w:hAnsi="宋体" w:eastAsia="宋体" w:cs="宋体"/>
                <w:color w:val="auto"/>
                <w:spacing w:val="-1"/>
                <w:sz w:val="24"/>
                <w:szCs w:val="24"/>
                <w:highlight w:val="none"/>
              </w:rPr>
              <w:t>—发生事故时可能进入该收集系统的降雨量，</w:t>
            </w:r>
            <w:r>
              <w:rPr>
                <w:rFonts w:ascii="Times New Roman" w:hAnsi="Times New Roman" w:eastAsia="Times New Roman" w:cs="Times New Roman"/>
                <w:color w:val="auto"/>
                <w:spacing w:val="-1"/>
                <w:sz w:val="24"/>
                <w:szCs w:val="24"/>
                <w:highlight w:val="none"/>
              </w:rPr>
              <w:t>m</w:t>
            </w:r>
            <w:r>
              <w:rPr>
                <w:rFonts w:ascii="Times New Roman" w:hAnsi="Times New Roman" w:eastAsia="Times New Roman" w:cs="Times New Roman"/>
                <w:color w:val="auto"/>
                <w:spacing w:val="-1"/>
                <w:position w:val="7"/>
                <w:sz w:val="15"/>
                <w:szCs w:val="15"/>
                <w:highlight w:val="none"/>
              </w:rPr>
              <w:t>3</w:t>
            </w:r>
            <w:r>
              <w:rPr>
                <w:rFonts w:ascii="宋体" w:hAnsi="宋体" w:eastAsia="宋体" w:cs="宋体"/>
                <w:color w:val="auto"/>
                <w:spacing w:val="-1"/>
                <w:sz w:val="24"/>
                <w:szCs w:val="24"/>
                <w:highlight w:val="none"/>
              </w:rPr>
              <w:t>；</w:t>
            </w:r>
          </w:p>
          <w:p w14:paraId="28A19F87">
            <w:pPr>
              <w:pStyle w:val="68"/>
              <w:widowControl/>
              <w:spacing w:line="460" w:lineRule="exact"/>
              <w:rPr>
                <w:rFonts w:hint="default" w:ascii="Times New Roman" w:hAnsi="Times New Roman" w:eastAsia="宋体" w:cs="Times New Roman"/>
                <w:color w:val="auto"/>
                <w:kern w:val="2"/>
                <w:sz w:val="24"/>
                <w:szCs w:val="24"/>
                <w:highlight w:val="none"/>
              </w:rPr>
            </w:pPr>
            <w:r>
              <w:rPr>
                <w:rFonts w:hint="eastAsia" w:ascii="宋体" w:hAnsi="宋体" w:eastAsia="宋体" w:cs="宋体"/>
                <w:bCs/>
                <w:color w:val="auto"/>
                <w:kern w:val="2"/>
                <w:sz w:val="24"/>
                <w:szCs w:val="24"/>
                <w:highlight w:val="none"/>
              </w:rPr>
              <w:t>采用</w:t>
            </w:r>
            <w:r>
              <w:rPr>
                <w:rFonts w:hint="eastAsia" w:ascii="宋体" w:hAnsi="宋体" w:eastAsia="宋体" w:cs="宋体"/>
                <w:color w:val="auto"/>
                <w:kern w:val="2"/>
                <w:sz w:val="24"/>
                <w:szCs w:val="24"/>
                <w:highlight w:val="none"/>
              </w:rPr>
              <w:t>《重庆市城乡建设委员会关于发布重庆市暴雨强度修订公式及设计暴雨雨型的通知》（渝建〔</w:t>
            </w:r>
            <w:r>
              <w:rPr>
                <w:rFonts w:hint="default" w:ascii="Times New Roman" w:hAnsi="Times New Roman" w:eastAsia="宋体" w:cs="Times New Roman"/>
                <w:color w:val="auto"/>
                <w:kern w:val="2"/>
                <w:sz w:val="24"/>
                <w:szCs w:val="24"/>
                <w:highlight w:val="none"/>
              </w:rPr>
              <w:t>2017</w:t>
            </w:r>
            <w:r>
              <w:rPr>
                <w:rFonts w:hint="eastAsia" w:ascii="宋体" w:hAnsi="宋体" w:eastAsia="宋体" w:cs="宋体"/>
                <w:color w:val="auto"/>
                <w:kern w:val="2"/>
                <w:sz w:val="24"/>
                <w:szCs w:val="24"/>
                <w:highlight w:val="none"/>
              </w:rPr>
              <w:t>〕</w:t>
            </w:r>
            <w:r>
              <w:rPr>
                <w:rFonts w:hint="default" w:ascii="Times New Roman" w:hAnsi="Times New Roman" w:eastAsia="宋体" w:cs="Times New Roman"/>
                <w:color w:val="auto"/>
                <w:kern w:val="2"/>
                <w:sz w:val="24"/>
                <w:szCs w:val="24"/>
                <w:highlight w:val="none"/>
              </w:rPr>
              <w:t>443</w:t>
            </w:r>
            <w:r>
              <w:rPr>
                <w:rFonts w:hint="eastAsia" w:ascii="宋体" w:hAnsi="宋体" w:eastAsia="宋体" w:cs="宋体"/>
                <w:color w:val="auto"/>
                <w:kern w:val="2"/>
                <w:sz w:val="24"/>
                <w:szCs w:val="24"/>
                <w:highlight w:val="none"/>
              </w:rPr>
              <w:t>号）中九龙坡区适用的暴雨强度修订公式进行核算。</w:t>
            </w:r>
          </w:p>
          <w:p w14:paraId="571EC67A">
            <w:pPr>
              <w:pStyle w:val="68"/>
              <w:widowControl/>
              <w:spacing w:line="460" w:lineRule="exact"/>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rPr>
              <w:t>公式如下：</w:t>
            </w:r>
          </w:p>
          <w:p w14:paraId="5BBF8AE8">
            <w:pPr>
              <w:pStyle w:val="68"/>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position w:val="-24"/>
                <w:sz w:val="24"/>
                <w:szCs w:val="24"/>
                <w:highlight w:val="none"/>
              </w:rPr>
              <w:object>
                <v:shape id="_x0000_i1045" o:spt="75" type="#_x0000_t75" style="height:31pt;width:118pt;" o:ole="t" filled="f" o:preferrelative="t" stroked="f" coordsize="21600,21600">
                  <v:path/>
                  <v:fill on="f" focussize="0,0"/>
                  <v:stroke on="f"/>
                  <v:imagedata r:id="rId50" o:title=""/>
                  <o:lock v:ext="edit" aspectratio="t"/>
                  <w10:wrap type="none"/>
                  <w10:anchorlock/>
                </v:shape>
                <o:OLEObject Type="Embed" ProgID="Equation.KSEE3" ShapeID="_x0000_i1045" DrawAspect="Content" ObjectID="_1468075745" r:id="rId49">
                  <o:LockedField>false</o:LockedField>
                </o:OLEObject>
              </w:object>
            </w:r>
            <w:r>
              <w:rPr>
                <w:rFonts w:hint="default" w:ascii="Times New Roman" w:hAnsi="Times New Roman" w:eastAsia="宋体" w:cs="Times New Roman"/>
                <w:color w:val="auto"/>
                <w:kern w:val="2"/>
                <w:position w:val="-30"/>
                <w:sz w:val="24"/>
                <w:szCs w:val="24"/>
                <w:highlight w:val="none"/>
              </w:rPr>
              <w:t xml:space="preserve"> (</w:t>
            </w:r>
            <w:r>
              <w:rPr>
                <w:rFonts w:hint="eastAsia" w:ascii="宋体" w:hAnsi="宋体" w:eastAsia="宋体" w:cs="宋体"/>
                <w:color w:val="auto"/>
                <w:kern w:val="2"/>
                <w:position w:val="-30"/>
                <w:sz w:val="24"/>
                <w:szCs w:val="24"/>
                <w:highlight w:val="none"/>
              </w:rPr>
              <w:t>升</w:t>
            </w:r>
            <w:r>
              <w:rPr>
                <w:rFonts w:hint="default" w:ascii="Times New Roman" w:hAnsi="Times New Roman" w:eastAsia="宋体" w:cs="Times New Roman"/>
                <w:color w:val="auto"/>
                <w:kern w:val="2"/>
                <w:position w:val="-30"/>
                <w:sz w:val="24"/>
                <w:szCs w:val="24"/>
                <w:highlight w:val="none"/>
              </w:rPr>
              <w:t xml:space="preserve">/ </w:t>
            </w:r>
            <w:r>
              <w:rPr>
                <w:rFonts w:hint="eastAsia" w:ascii="宋体" w:hAnsi="宋体" w:eastAsia="宋体" w:cs="宋体"/>
                <w:color w:val="auto"/>
                <w:kern w:val="2"/>
                <w:position w:val="-30"/>
                <w:sz w:val="24"/>
                <w:szCs w:val="24"/>
                <w:highlight w:val="none"/>
              </w:rPr>
              <w:t>秒</w:t>
            </w:r>
            <w:r>
              <w:rPr>
                <w:rFonts w:hint="default" w:ascii="Times New Roman" w:hAnsi="Times New Roman" w:eastAsia="宋体" w:cs="Times New Roman"/>
                <w:color w:val="auto"/>
                <w:kern w:val="2"/>
                <w:position w:val="-30"/>
                <w:sz w:val="24"/>
                <w:szCs w:val="24"/>
                <w:highlight w:val="none"/>
              </w:rPr>
              <w:t>•</w:t>
            </w:r>
            <w:r>
              <w:rPr>
                <w:rFonts w:hint="eastAsia" w:ascii="宋体" w:hAnsi="宋体" w:eastAsia="宋体" w:cs="宋体"/>
                <w:color w:val="auto"/>
                <w:kern w:val="2"/>
                <w:position w:val="-30"/>
                <w:sz w:val="24"/>
                <w:szCs w:val="24"/>
                <w:highlight w:val="none"/>
              </w:rPr>
              <w:t>公顷</w:t>
            </w:r>
            <w:r>
              <w:rPr>
                <w:rFonts w:hint="default" w:ascii="Times New Roman" w:hAnsi="Times New Roman" w:eastAsia="宋体" w:cs="Times New Roman"/>
                <w:color w:val="auto"/>
                <w:kern w:val="2"/>
                <w:position w:val="-30"/>
                <w:sz w:val="24"/>
                <w:szCs w:val="24"/>
                <w:highlight w:val="none"/>
              </w:rPr>
              <w:t>)</w:t>
            </w:r>
          </w:p>
          <w:p w14:paraId="06607598">
            <w:pPr>
              <w:pStyle w:val="68"/>
              <w:widowControl/>
              <w:spacing w:line="360" w:lineRule="auto"/>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rPr>
              <w:t>其中：</w:t>
            </w:r>
            <w:r>
              <w:rPr>
                <w:rFonts w:hint="default" w:ascii="Times New Roman" w:hAnsi="Times New Roman" w:eastAsia="宋体" w:cs="Times New Roman"/>
                <w:color w:val="auto"/>
                <w:kern w:val="2"/>
                <w:sz w:val="24"/>
                <w:szCs w:val="24"/>
                <w:highlight w:val="none"/>
              </w:rPr>
              <w:t>P——</w:t>
            </w:r>
            <w:r>
              <w:rPr>
                <w:rFonts w:hint="eastAsia" w:ascii="宋体" w:hAnsi="宋体" w:eastAsia="宋体" w:cs="宋体"/>
                <w:color w:val="auto"/>
                <w:kern w:val="2"/>
                <w:sz w:val="24"/>
                <w:szCs w:val="24"/>
                <w:highlight w:val="none"/>
              </w:rPr>
              <w:t>设计重现期（年），根据《室外排水设计规范》（</w:t>
            </w:r>
            <w:r>
              <w:rPr>
                <w:rFonts w:hint="default" w:ascii="Times New Roman" w:hAnsi="Times New Roman" w:eastAsia="宋体" w:cs="Times New Roman"/>
                <w:color w:val="auto"/>
                <w:kern w:val="2"/>
                <w:sz w:val="24"/>
                <w:szCs w:val="24"/>
                <w:highlight w:val="none"/>
              </w:rPr>
              <w:t>GB 50014-2021</w:t>
            </w:r>
            <w:r>
              <w:rPr>
                <w:rFonts w:hint="eastAsia" w:ascii="宋体" w:hAnsi="宋体" w:eastAsia="宋体" w:cs="宋体"/>
                <w:color w:val="auto"/>
                <w:kern w:val="2"/>
                <w:sz w:val="24"/>
                <w:szCs w:val="24"/>
                <w:highlight w:val="none"/>
              </w:rPr>
              <w:t>），项目属于主城区，设计重现期取</w:t>
            </w:r>
            <w:r>
              <w:rPr>
                <w:rFonts w:hint="default" w:ascii="Times New Roman" w:hAnsi="Times New Roman" w:eastAsia="宋体" w:cs="Times New Roman"/>
                <w:color w:val="auto"/>
                <w:kern w:val="2"/>
                <w:sz w:val="24"/>
                <w:szCs w:val="24"/>
                <w:highlight w:val="none"/>
              </w:rPr>
              <w:t>2</w:t>
            </w:r>
            <w:r>
              <w:rPr>
                <w:rFonts w:hint="eastAsia" w:ascii="宋体" w:hAnsi="宋体" w:eastAsia="宋体" w:cs="宋体"/>
                <w:color w:val="auto"/>
                <w:kern w:val="2"/>
                <w:sz w:val="24"/>
                <w:szCs w:val="24"/>
                <w:highlight w:val="none"/>
              </w:rPr>
              <w:t>年；</w:t>
            </w:r>
          </w:p>
          <w:p w14:paraId="75F8211F">
            <w:pPr>
              <w:pStyle w:val="68"/>
              <w:widowControl/>
              <w:spacing w:line="360" w:lineRule="auto"/>
              <w:ind w:left="0" w:firstLine="1200" w:firstLineChars="5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q——</w:t>
            </w:r>
            <w:r>
              <w:rPr>
                <w:rFonts w:hint="eastAsia" w:ascii="宋体" w:hAnsi="宋体" w:eastAsia="宋体" w:cs="宋体"/>
                <w:color w:val="auto"/>
                <w:kern w:val="2"/>
                <w:sz w:val="24"/>
                <w:szCs w:val="24"/>
                <w:highlight w:val="none"/>
              </w:rPr>
              <w:t xml:space="preserve">暴雨强度 </w:t>
            </w:r>
            <w:r>
              <w:rPr>
                <w:rFonts w:hint="default" w:ascii="Times New Roman" w:hAnsi="Times New Roman" w:eastAsia="宋体" w:cs="Times New Roman"/>
                <w:color w:val="auto"/>
                <w:kern w:val="2"/>
                <w:sz w:val="24"/>
                <w:szCs w:val="24"/>
                <w:highlight w:val="none"/>
              </w:rPr>
              <w:t>(</w:t>
            </w:r>
            <w:r>
              <w:rPr>
                <w:rFonts w:hint="eastAsia" w:ascii="宋体" w:hAnsi="宋体" w:eastAsia="宋体" w:cs="宋体"/>
                <w:color w:val="auto"/>
                <w:kern w:val="2"/>
                <w:sz w:val="24"/>
                <w:szCs w:val="24"/>
                <w:highlight w:val="none"/>
              </w:rPr>
              <w:t>升</w:t>
            </w:r>
            <w:r>
              <w:rPr>
                <w:rFonts w:hint="default" w:ascii="Times New Roman" w:hAnsi="Times New Roman" w:eastAsia="宋体" w:cs="Times New Roman"/>
                <w:color w:val="auto"/>
                <w:kern w:val="2"/>
                <w:sz w:val="24"/>
                <w:szCs w:val="24"/>
                <w:highlight w:val="none"/>
              </w:rPr>
              <w:t xml:space="preserve">/ </w:t>
            </w:r>
            <w:r>
              <w:rPr>
                <w:rFonts w:hint="eastAsia" w:ascii="宋体" w:hAnsi="宋体" w:eastAsia="宋体" w:cs="宋体"/>
                <w:color w:val="auto"/>
                <w:kern w:val="2"/>
                <w:sz w:val="24"/>
                <w:szCs w:val="24"/>
                <w:highlight w:val="none"/>
              </w:rPr>
              <w:t>秒</w:t>
            </w:r>
            <w:r>
              <w:rPr>
                <w:rFonts w:hint="default" w:ascii="Times New Roman" w:hAnsi="Times New Roman" w:eastAsia="宋体" w:cs="Times New Roman"/>
                <w:color w:val="auto"/>
                <w:kern w:val="2"/>
                <w:sz w:val="24"/>
                <w:szCs w:val="24"/>
                <w:highlight w:val="none"/>
              </w:rPr>
              <w:t>•</w:t>
            </w:r>
            <w:r>
              <w:rPr>
                <w:rFonts w:hint="eastAsia" w:ascii="宋体" w:hAnsi="宋体" w:eastAsia="宋体" w:cs="宋体"/>
                <w:color w:val="auto"/>
                <w:kern w:val="2"/>
                <w:sz w:val="24"/>
                <w:szCs w:val="24"/>
                <w:highlight w:val="none"/>
              </w:rPr>
              <w:t>公顷</w:t>
            </w:r>
            <w:r>
              <w:rPr>
                <w:rFonts w:hint="default" w:ascii="Times New Roman" w:hAnsi="Times New Roman" w:eastAsia="宋体" w:cs="Times New Roman"/>
                <w:color w:val="auto"/>
                <w:kern w:val="2"/>
                <w:sz w:val="24"/>
                <w:szCs w:val="24"/>
                <w:highlight w:val="none"/>
              </w:rPr>
              <w:t>)</w:t>
            </w:r>
            <w:r>
              <w:rPr>
                <w:rFonts w:hint="eastAsia" w:ascii="宋体" w:hAnsi="宋体" w:eastAsia="宋体" w:cs="宋体"/>
                <w:color w:val="auto"/>
                <w:kern w:val="2"/>
                <w:sz w:val="24"/>
                <w:szCs w:val="24"/>
                <w:highlight w:val="none"/>
              </w:rPr>
              <w:t>；</w:t>
            </w:r>
          </w:p>
          <w:p w14:paraId="414FAB17">
            <w:pPr>
              <w:pStyle w:val="68"/>
              <w:widowControl/>
              <w:spacing w:line="460" w:lineRule="exact"/>
              <w:ind w:left="0" w:firstLine="1200" w:firstLineChars="5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t——</w:t>
            </w:r>
            <w:r>
              <w:rPr>
                <w:rFonts w:hint="eastAsia" w:ascii="宋体" w:hAnsi="宋体" w:eastAsia="宋体" w:cs="宋体"/>
                <w:color w:val="auto"/>
                <w:kern w:val="2"/>
                <w:sz w:val="24"/>
                <w:szCs w:val="24"/>
                <w:highlight w:val="none"/>
              </w:rPr>
              <w:t>降雨历时（</w:t>
            </w:r>
            <w:r>
              <w:rPr>
                <w:rFonts w:hint="default" w:ascii="Times New Roman" w:hAnsi="Times New Roman" w:eastAsia="宋体" w:cs="Times New Roman"/>
                <w:color w:val="auto"/>
                <w:kern w:val="2"/>
                <w:sz w:val="24"/>
                <w:szCs w:val="24"/>
                <w:highlight w:val="none"/>
              </w:rPr>
              <w:t>min</w:t>
            </w:r>
            <w:r>
              <w:rPr>
                <w:rFonts w:hint="eastAsia" w:ascii="宋体" w:hAnsi="宋体" w:eastAsia="宋体" w:cs="宋体"/>
                <w:color w:val="auto"/>
                <w:kern w:val="2"/>
                <w:sz w:val="24"/>
                <w:szCs w:val="24"/>
                <w:highlight w:val="none"/>
              </w:rPr>
              <w:t>），根据《室外排水设计规范》（</w:t>
            </w:r>
            <w:r>
              <w:rPr>
                <w:rFonts w:hint="default" w:ascii="Times New Roman" w:hAnsi="Times New Roman" w:eastAsia="宋体" w:cs="Times New Roman"/>
                <w:color w:val="auto"/>
                <w:kern w:val="2"/>
                <w:sz w:val="24"/>
                <w:szCs w:val="24"/>
                <w:highlight w:val="none"/>
              </w:rPr>
              <w:t>GB 50014-2021</w:t>
            </w:r>
            <w:r>
              <w:rPr>
                <w:rFonts w:hint="eastAsia" w:ascii="宋体" w:hAnsi="宋体" w:eastAsia="宋体" w:cs="宋体"/>
                <w:color w:val="auto"/>
                <w:kern w:val="2"/>
                <w:sz w:val="24"/>
                <w:szCs w:val="24"/>
                <w:highlight w:val="none"/>
              </w:rPr>
              <w:t>）取</w:t>
            </w:r>
            <w:r>
              <w:rPr>
                <w:rFonts w:hint="default" w:ascii="Times New Roman" w:hAnsi="Times New Roman" w:eastAsia="宋体" w:cs="Times New Roman"/>
                <w:color w:val="auto"/>
                <w:kern w:val="2"/>
                <w:sz w:val="24"/>
                <w:szCs w:val="24"/>
                <w:highlight w:val="none"/>
              </w:rPr>
              <w:t>60min</w:t>
            </w:r>
            <w:r>
              <w:rPr>
                <w:rFonts w:hint="eastAsia" w:ascii="宋体" w:hAnsi="宋体" w:eastAsia="宋体" w:cs="宋体"/>
                <w:color w:val="auto"/>
                <w:kern w:val="2"/>
                <w:sz w:val="24"/>
                <w:szCs w:val="24"/>
                <w:highlight w:val="none"/>
              </w:rPr>
              <w:t>。</w:t>
            </w:r>
          </w:p>
          <w:p w14:paraId="47B04932">
            <w:pPr>
              <w:pStyle w:val="68"/>
              <w:widowControl/>
              <w:spacing w:line="460" w:lineRule="exact"/>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rPr>
              <w:t>根据上述公式暴雨强度约</w:t>
            </w:r>
            <w:r>
              <w:rPr>
                <w:rFonts w:hint="eastAsia" w:ascii="Times New Roman" w:hAnsi="Times New Roman" w:cs="Times New Roman"/>
                <w:color w:val="auto"/>
                <w:kern w:val="2"/>
                <w:sz w:val="24"/>
                <w:szCs w:val="24"/>
                <w:highlight w:val="none"/>
                <w:lang w:val="en-US" w:eastAsia="zh-CN"/>
              </w:rPr>
              <w:t>118</w:t>
            </w:r>
            <w:r>
              <w:rPr>
                <w:rFonts w:hint="default" w:ascii="Times New Roman" w:hAnsi="Times New Roman" w:eastAsia="宋体" w:cs="Times New Roman"/>
                <w:color w:val="auto"/>
                <w:kern w:val="2"/>
                <w:sz w:val="24"/>
                <w:szCs w:val="24"/>
                <w:highlight w:val="none"/>
              </w:rPr>
              <w:t>L/s• hm</w:t>
            </w:r>
            <w:r>
              <w:rPr>
                <w:rFonts w:hint="default" w:ascii="Times New Roman" w:hAnsi="Times New Roman" w:eastAsia="宋体" w:cs="Times New Roman"/>
                <w:color w:val="auto"/>
                <w:kern w:val="2"/>
                <w:sz w:val="24"/>
                <w:szCs w:val="24"/>
                <w:highlight w:val="none"/>
                <w:vertAlign w:val="superscript"/>
              </w:rPr>
              <w:t>2</w:t>
            </w:r>
            <w:r>
              <w:rPr>
                <w:rFonts w:hint="eastAsia" w:ascii="宋体" w:hAnsi="宋体" w:eastAsia="宋体" w:cs="宋体"/>
                <w:color w:val="auto"/>
                <w:kern w:val="2"/>
                <w:sz w:val="24"/>
                <w:szCs w:val="24"/>
                <w:highlight w:val="none"/>
              </w:rPr>
              <w:t>。根据《室外排水设计规范》（</w:t>
            </w:r>
            <w:r>
              <w:rPr>
                <w:rFonts w:hint="default" w:ascii="Times New Roman" w:hAnsi="Times New Roman" w:eastAsia="宋体" w:cs="Times New Roman"/>
                <w:color w:val="auto"/>
                <w:kern w:val="2"/>
                <w:sz w:val="24"/>
                <w:szCs w:val="24"/>
                <w:highlight w:val="none"/>
              </w:rPr>
              <w:t>GB 50014-2021</w:t>
            </w:r>
            <w:r>
              <w:rPr>
                <w:rFonts w:hint="eastAsia" w:ascii="宋体" w:hAnsi="宋体" w:eastAsia="宋体" w:cs="宋体"/>
                <w:color w:val="auto"/>
                <w:kern w:val="2"/>
                <w:sz w:val="24"/>
                <w:szCs w:val="24"/>
                <w:highlight w:val="none"/>
              </w:rPr>
              <w:t>），雨水设计流量公式如下：</w:t>
            </w:r>
          </w:p>
          <w:p w14:paraId="6009B754">
            <w:pPr>
              <w:pStyle w:val="68"/>
              <w:widowControl/>
              <w:spacing w:line="460" w:lineRule="exact"/>
              <w:ind w:left="0" w:firstLine="3360" w:firstLineChars="14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Q=qψF</w:t>
            </w:r>
          </w:p>
          <w:p w14:paraId="4FFFE2FF">
            <w:pPr>
              <w:pStyle w:val="68"/>
              <w:widowControl/>
              <w:spacing w:line="460" w:lineRule="exact"/>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rPr>
              <w:t>式中：</w:t>
            </w:r>
            <w:r>
              <w:rPr>
                <w:rFonts w:hint="default" w:ascii="Times New Roman" w:hAnsi="Times New Roman" w:eastAsia="宋体" w:cs="Times New Roman"/>
                <w:color w:val="auto"/>
                <w:kern w:val="2"/>
                <w:sz w:val="24"/>
                <w:szCs w:val="24"/>
                <w:highlight w:val="none"/>
              </w:rPr>
              <w:t>Qs——</w:t>
            </w:r>
            <w:r>
              <w:rPr>
                <w:rFonts w:hint="eastAsia" w:ascii="宋体" w:hAnsi="宋体" w:eastAsia="宋体" w:cs="宋体"/>
                <w:color w:val="auto"/>
                <w:kern w:val="2"/>
                <w:sz w:val="24"/>
                <w:szCs w:val="24"/>
                <w:highlight w:val="none"/>
              </w:rPr>
              <w:t>雨水设计流量</w:t>
            </w:r>
            <w:r>
              <w:rPr>
                <w:rFonts w:hint="default" w:ascii="Times New Roman" w:hAnsi="Times New Roman" w:eastAsia="宋体" w:cs="Times New Roman"/>
                <w:color w:val="auto"/>
                <w:kern w:val="2"/>
                <w:sz w:val="24"/>
                <w:szCs w:val="24"/>
                <w:highlight w:val="none"/>
              </w:rPr>
              <w:t>(L/s)</w:t>
            </w:r>
            <w:r>
              <w:rPr>
                <w:rFonts w:hint="eastAsia" w:ascii="宋体" w:hAnsi="宋体" w:eastAsia="宋体" w:cs="宋体"/>
                <w:color w:val="auto"/>
                <w:kern w:val="2"/>
                <w:sz w:val="24"/>
                <w:szCs w:val="24"/>
                <w:highlight w:val="none"/>
              </w:rPr>
              <w:t>；</w:t>
            </w:r>
          </w:p>
          <w:p w14:paraId="73C535C5">
            <w:pPr>
              <w:pStyle w:val="68"/>
              <w:widowControl/>
              <w:spacing w:line="460" w:lineRule="exact"/>
              <w:ind w:left="0" w:firstLine="1200" w:firstLineChars="5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q——</w:t>
            </w:r>
            <w:r>
              <w:rPr>
                <w:rFonts w:hint="eastAsia" w:ascii="宋体" w:hAnsi="宋体" w:eastAsia="宋体" w:cs="宋体"/>
                <w:color w:val="auto"/>
                <w:kern w:val="2"/>
                <w:sz w:val="24"/>
                <w:szCs w:val="24"/>
                <w:highlight w:val="none"/>
              </w:rPr>
              <w:t>设计暴雨强度</w:t>
            </w:r>
            <w:r>
              <w:rPr>
                <w:rFonts w:hint="default" w:ascii="Times New Roman" w:hAnsi="Times New Roman" w:eastAsia="宋体" w:cs="Times New Roman"/>
                <w:color w:val="auto"/>
                <w:kern w:val="2"/>
                <w:sz w:val="24"/>
                <w:szCs w:val="24"/>
                <w:highlight w:val="none"/>
              </w:rPr>
              <w:t>[L/(s•hm</w:t>
            </w:r>
            <w:r>
              <w:rPr>
                <w:rFonts w:hint="default" w:ascii="Times New Roman" w:hAnsi="Times New Roman" w:eastAsia="宋体" w:cs="Times New Roman"/>
                <w:color w:val="auto"/>
                <w:kern w:val="2"/>
                <w:sz w:val="24"/>
                <w:szCs w:val="24"/>
                <w:highlight w:val="none"/>
                <w:vertAlign w:val="superscript"/>
              </w:rPr>
              <w:t>2</w:t>
            </w:r>
            <w:r>
              <w:rPr>
                <w:rFonts w:hint="default" w:ascii="Times New Roman" w:hAnsi="Times New Roman" w:eastAsia="宋体" w:cs="Times New Roman"/>
                <w:color w:val="auto"/>
                <w:kern w:val="2"/>
                <w:sz w:val="24"/>
                <w:szCs w:val="24"/>
                <w:highlight w:val="none"/>
              </w:rPr>
              <w:t>)]</w:t>
            </w:r>
            <w:r>
              <w:rPr>
                <w:rFonts w:hint="eastAsia" w:ascii="宋体" w:hAnsi="宋体" w:eastAsia="宋体" w:cs="宋体"/>
                <w:color w:val="auto"/>
                <w:kern w:val="2"/>
                <w:sz w:val="24"/>
                <w:szCs w:val="24"/>
                <w:highlight w:val="none"/>
              </w:rPr>
              <w:t>；</w:t>
            </w:r>
          </w:p>
          <w:p w14:paraId="0F084503">
            <w:pPr>
              <w:pStyle w:val="68"/>
              <w:widowControl/>
              <w:spacing w:line="460" w:lineRule="exact"/>
              <w:ind w:left="0" w:firstLine="1200" w:firstLineChars="50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Ψ——</w:t>
            </w:r>
            <w:r>
              <w:rPr>
                <w:rFonts w:hint="eastAsia" w:ascii="宋体" w:hAnsi="宋体" w:eastAsia="宋体" w:cs="宋体"/>
                <w:color w:val="auto"/>
                <w:kern w:val="2"/>
                <w:sz w:val="24"/>
                <w:szCs w:val="24"/>
                <w:highlight w:val="none"/>
              </w:rPr>
              <w:t>径流系数，根据</w:t>
            </w:r>
            <w:r>
              <w:rPr>
                <w:rFonts w:hint="default" w:ascii="Times New Roman" w:hAnsi="Times New Roman" w:eastAsia="宋体" w:cs="Times New Roman"/>
                <w:color w:val="auto"/>
                <w:kern w:val="2"/>
                <w:sz w:val="24"/>
                <w:szCs w:val="24"/>
                <w:highlight w:val="none"/>
              </w:rPr>
              <w:t>GB50014-2006</w:t>
            </w:r>
            <w:r>
              <w:rPr>
                <w:rFonts w:hint="eastAsia" w:ascii="宋体" w:hAnsi="宋体" w:eastAsia="宋体" w:cs="宋体"/>
                <w:color w:val="auto"/>
                <w:kern w:val="2"/>
                <w:sz w:val="24"/>
                <w:szCs w:val="24"/>
                <w:highlight w:val="none"/>
              </w:rPr>
              <w:t>取值</w:t>
            </w:r>
            <w:r>
              <w:rPr>
                <w:rFonts w:hint="default" w:ascii="Times New Roman" w:hAnsi="Times New Roman" w:eastAsia="宋体" w:cs="Times New Roman"/>
                <w:color w:val="auto"/>
                <w:kern w:val="2"/>
                <w:sz w:val="24"/>
                <w:szCs w:val="24"/>
                <w:highlight w:val="none"/>
              </w:rPr>
              <w:t>0.8</w:t>
            </w:r>
            <w:r>
              <w:rPr>
                <w:rFonts w:hint="eastAsia" w:ascii="宋体" w:hAnsi="宋体" w:eastAsia="宋体" w:cs="宋体"/>
                <w:color w:val="auto"/>
                <w:kern w:val="2"/>
                <w:sz w:val="24"/>
                <w:szCs w:val="24"/>
                <w:highlight w:val="none"/>
              </w:rPr>
              <w:t>；</w:t>
            </w:r>
          </w:p>
          <w:p w14:paraId="633DC7FE">
            <w:pPr>
              <w:pStyle w:val="68"/>
              <w:widowControl/>
              <w:spacing w:before="20" w:line="460" w:lineRule="exact"/>
              <w:ind w:left="0" w:firstLine="1200" w:firstLineChars="500"/>
              <w:rPr>
                <w:rFonts w:hint="eastAsia" w:ascii="宋体" w:hAnsi="宋体" w:eastAsia="宋体" w:cs="宋体"/>
                <w:bCs/>
                <w:color w:val="auto"/>
                <w:kern w:val="2"/>
                <w:sz w:val="24"/>
                <w:szCs w:val="24"/>
                <w:highlight w:val="none"/>
              </w:rPr>
            </w:pPr>
            <w:r>
              <w:rPr>
                <w:rFonts w:hint="default" w:ascii="Times New Roman" w:hAnsi="Times New Roman" w:eastAsia="宋体" w:cs="Times New Roman"/>
                <w:color w:val="auto"/>
                <w:kern w:val="2"/>
                <w:sz w:val="24"/>
                <w:szCs w:val="24"/>
                <w:highlight w:val="none"/>
              </w:rPr>
              <w:t>F——</w:t>
            </w:r>
            <w:r>
              <w:rPr>
                <w:rFonts w:hint="eastAsia" w:ascii="宋体" w:hAnsi="宋体" w:eastAsia="宋体" w:cs="宋体"/>
                <w:color w:val="auto"/>
                <w:kern w:val="2"/>
                <w:sz w:val="24"/>
                <w:szCs w:val="24"/>
                <w:highlight w:val="none"/>
              </w:rPr>
              <w:t>汇水面积</w:t>
            </w:r>
            <w:r>
              <w:rPr>
                <w:rFonts w:hint="default" w:ascii="Times New Roman" w:hAnsi="Times New Roman" w:eastAsia="宋体" w:cs="Times New Roman"/>
                <w:color w:val="auto"/>
                <w:kern w:val="2"/>
                <w:sz w:val="24"/>
                <w:szCs w:val="24"/>
                <w:highlight w:val="none"/>
              </w:rPr>
              <w:t>(hm</w:t>
            </w:r>
            <w:r>
              <w:rPr>
                <w:rFonts w:hint="default" w:ascii="Times New Roman" w:hAnsi="Times New Roman" w:eastAsia="宋体" w:cs="Times New Roman"/>
                <w:color w:val="auto"/>
                <w:kern w:val="2"/>
                <w:sz w:val="24"/>
                <w:szCs w:val="24"/>
                <w:highlight w:val="none"/>
                <w:vertAlign w:val="superscript"/>
              </w:rPr>
              <w:t>2</w:t>
            </w:r>
            <w:r>
              <w:rPr>
                <w:rFonts w:hint="default" w:ascii="Times New Roman" w:hAnsi="Times New Roman" w:eastAsia="宋体" w:cs="Times New Roman"/>
                <w:color w:val="auto"/>
                <w:kern w:val="2"/>
                <w:sz w:val="24"/>
                <w:szCs w:val="24"/>
                <w:highlight w:val="none"/>
              </w:rPr>
              <w:t>)</w:t>
            </w:r>
            <w:r>
              <w:rPr>
                <w:rFonts w:hint="eastAsia" w:ascii="宋体" w:hAnsi="宋体" w:eastAsia="宋体" w:cs="宋体"/>
                <w:color w:val="auto"/>
                <w:kern w:val="2"/>
                <w:sz w:val="24"/>
                <w:szCs w:val="24"/>
                <w:highlight w:val="none"/>
              </w:rPr>
              <w:t>。</w:t>
            </w:r>
            <w:r>
              <w:rPr>
                <w:rFonts w:hint="eastAsia" w:ascii="宋体" w:hAnsi="宋体" w:eastAsia="宋体" w:cs="宋体"/>
                <w:bCs/>
                <w:color w:val="auto"/>
                <w:kern w:val="2"/>
                <w:sz w:val="24"/>
                <w:szCs w:val="24"/>
                <w:highlight w:val="none"/>
              </w:rPr>
              <w:t>汇水面积考虑为</w:t>
            </w:r>
            <w:r>
              <w:rPr>
                <w:rFonts w:hint="eastAsia" w:ascii="宋体" w:hAnsi="宋体" w:cs="宋体"/>
                <w:bCs/>
                <w:color w:val="auto"/>
                <w:kern w:val="2"/>
                <w:sz w:val="24"/>
                <w:szCs w:val="24"/>
                <w:highlight w:val="none"/>
                <w:lang w:val="en-US" w:eastAsia="zh-CN"/>
              </w:rPr>
              <w:t>最大储罐区面积</w:t>
            </w:r>
            <w:r>
              <w:rPr>
                <w:rFonts w:hint="eastAsia" w:ascii="宋体" w:hAnsi="宋体" w:eastAsia="宋体" w:cs="宋体"/>
                <w:bCs/>
                <w:color w:val="auto"/>
                <w:kern w:val="2"/>
                <w:sz w:val="24"/>
                <w:szCs w:val="24"/>
                <w:highlight w:val="none"/>
              </w:rPr>
              <w:t>，约</w:t>
            </w:r>
            <w:r>
              <w:rPr>
                <w:rFonts w:hint="eastAsia" w:cs="Arial"/>
                <w:color w:val="auto"/>
                <w:kern w:val="2"/>
                <w:sz w:val="21"/>
                <w:szCs w:val="21"/>
                <w:highlight w:val="none"/>
                <w:lang w:val="en-US" w:eastAsia="zh-CN"/>
              </w:rPr>
              <w:t>0.9</w:t>
            </w:r>
            <w:r>
              <w:rPr>
                <w:rFonts w:hint="default" w:ascii="Times New Roman" w:hAnsi="Times New Roman" w:eastAsia="宋体" w:cs="Times New Roman"/>
                <w:bCs/>
                <w:color w:val="auto"/>
                <w:kern w:val="2"/>
                <w:sz w:val="24"/>
                <w:szCs w:val="24"/>
                <w:highlight w:val="none"/>
              </w:rPr>
              <w:t>hm</w:t>
            </w:r>
            <w:r>
              <w:rPr>
                <w:rFonts w:hint="default" w:ascii="Times New Roman" w:hAnsi="Times New Roman" w:eastAsia="宋体" w:cs="Times New Roman"/>
                <w:bCs/>
                <w:color w:val="auto"/>
                <w:kern w:val="2"/>
                <w:sz w:val="24"/>
                <w:szCs w:val="24"/>
                <w:highlight w:val="none"/>
                <w:vertAlign w:val="superscript"/>
              </w:rPr>
              <w:t>2</w:t>
            </w:r>
            <w:r>
              <w:rPr>
                <w:rFonts w:hint="eastAsia" w:ascii="宋体" w:hAnsi="宋体" w:eastAsia="宋体" w:cs="宋体"/>
                <w:bCs/>
                <w:color w:val="auto"/>
                <w:kern w:val="2"/>
                <w:sz w:val="24"/>
                <w:szCs w:val="24"/>
                <w:highlight w:val="none"/>
              </w:rPr>
              <w:t>。</w:t>
            </w:r>
          </w:p>
          <w:p w14:paraId="4A3160C3">
            <w:pPr>
              <w:pStyle w:val="68"/>
              <w:widowControl/>
              <w:spacing w:before="120" w:line="460" w:lineRule="exact"/>
              <w:ind w:left="0" w:firstLine="1200" w:firstLineChars="500"/>
              <w:rPr>
                <w:rFonts w:ascii="宋体" w:hAnsi="宋体" w:eastAsia="宋体" w:cs="宋体"/>
                <w:sz w:val="24"/>
                <w:szCs w:val="24"/>
                <w:highlight w:val="none"/>
              </w:rPr>
            </w:pPr>
            <w:r>
              <w:rPr>
                <w:rFonts w:hint="eastAsia" w:ascii="宋体" w:hAnsi="宋体" w:eastAsia="宋体" w:cs="宋体"/>
                <w:bCs/>
                <w:color w:val="auto"/>
                <w:kern w:val="2"/>
                <w:sz w:val="24"/>
                <w:szCs w:val="24"/>
                <w:highlight w:val="none"/>
              </w:rPr>
              <w:t>根据以上公式计算出本项目</w:t>
            </w:r>
            <w:r>
              <w:rPr>
                <w:rFonts w:hint="default" w:ascii="Times New Roman" w:hAnsi="Times New Roman" w:eastAsia="宋体" w:cs="Times New Roman"/>
                <w:bCs/>
                <w:color w:val="auto"/>
                <w:kern w:val="2"/>
                <w:sz w:val="24"/>
                <w:szCs w:val="24"/>
                <w:highlight w:val="none"/>
              </w:rPr>
              <w:t>15min</w:t>
            </w:r>
            <w:r>
              <w:rPr>
                <w:rFonts w:hint="eastAsia" w:ascii="宋体" w:hAnsi="宋体" w:eastAsia="宋体" w:cs="宋体"/>
                <w:bCs/>
                <w:color w:val="auto"/>
                <w:kern w:val="2"/>
                <w:sz w:val="24"/>
                <w:szCs w:val="24"/>
                <w:highlight w:val="none"/>
              </w:rPr>
              <w:t>的最大初期雨水约</w:t>
            </w:r>
            <w:r>
              <w:rPr>
                <w:rFonts w:hint="eastAsia" w:ascii="Times New Roman" w:hAnsi="Times New Roman" w:eastAsia="宋体" w:cs="Times New Roman"/>
                <w:bCs/>
                <w:color w:val="auto"/>
                <w:kern w:val="2"/>
                <w:sz w:val="24"/>
                <w:szCs w:val="24"/>
                <w:highlight w:val="none"/>
                <w:lang w:val="en-US" w:eastAsia="zh-CN"/>
              </w:rPr>
              <w:t>87.1</w:t>
            </w:r>
            <w:r>
              <w:rPr>
                <w:rFonts w:hint="default" w:ascii="Times New Roman" w:hAnsi="Times New Roman" w:eastAsia="宋体" w:cs="Times New Roman"/>
                <w:bCs/>
                <w:color w:val="auto"/>
                <w:kern w:val="2"/>
                <w:sz w:val="24"/>
                <w:szCs w:val="24"/>
                <w:highlight w:val="none"/>
              </w:rPr>
              <w:t>m</w:t>
            </w:r>
            <w:r>
              <w:rPr>
                <w:rFonts w:hint="default" w:ascii="Times New Roman" w:hAnsi="Times New Roman" w:eastAsia="宋体" w:cs="Times New Roman"/>
                <w:bCs/>
                <w:color w:val="auto"/>
                <w:kern w:val="2"/>
                <w:sz w:val="24"/>
                <w:szCs w:val="24"/>
                <w:highlight w:val="none"/>
                <w:vertAlign w:val="superscript"/>
              </w:rPr>
              <w:t>3</w:t>
            </w:r>
            <w:r>
              <w:rPr>
                <w:rFonts w:hint="eastAsia" w:ascii="宋体" w:hAnsi="宋体" w:eastAsia="宋体" w:cs="宋体"/>
                <w:bCs/>
                <w:color w:val="auto"/>
                <w:kern w:val="2"/>
                <w:sz w:val="24"/>
                <w:szCs w:val="24"/>
                <w:highlight w:val="none"/>
              </w:rPr>
              <w:t>。</w:t>
            </w:r>
            <w:r>
              <w:rPr>
                <w:rFonts w:hint="eastAsia" w:eastAsia="宋体" w:cs="Times New Roman"/>
                <w:spacing w:val="5"/>
                <w:position w:val="4"/>
                <w:sz w:val="24"/>
                <w:szCs w:val="24"/>
                <w:highlight w:val="none"/>
                <w:lang w:val="en-US" w:eastAsia="zh-CN"/>
              </w:rPr>
              <w:t>则</w:t>
            </w:r>
            <w:r>
              <w:rPr>
                <w:rFonts w:ascii="Times New Roman" w:hAnsi="Times New Roman" w:eastAsia="Times New Roman" w:cs="Times New Roman"/>
                <w:spacing w:val="-1"/>
                <w:sz w:val="24"/>
                <w:szCs w:val="24"/>
                <w:highlight w:val="none"/>
              </w:rPr>
              <w:t>V5=</w:t>
            </w:r>
            <w:r>
              <w:rPr>
                <w:rFonts w:hint="eastAsia" w:ascii="Times New Roman" w:hAnsi="Times New Roman" w:cs="Times New Roman"/>
                <w:spacing w:val="-1"/>
                <w:sz w:val="24"/>
                <w:szCs w:val="24"/>
                <w:highlight w:val="none"/>
                <w:lang w:val="en-US" w:eastAsia="zh-CN"/>
              </w:rPr>
              <w:t>76.68</w:t>
            </w:r>
            <w:r>
              <w:rPr>
                <w:rFonts w:ascii="Times New Roman" w:hAnsi="Times New Roman" w:eastAsia="Times New Roman" w:cs="Times New Roman"/>
                <w:spacing w:val="-1"/>
                <w:sz w:val="24"/>
                <w:szCs w:val="24"/>
                <w:highlight w:val="none"/>
              </w:rPr>
              <w:t>m</w:t>
            </w:r>
            <w:r>
              <w:rPr>
                <w:rFonts w:ascii="Times New Roman" w:hAnsi="Times New Roman" w:eastAsia="Times New Roman" w:cs="Times New Roman"/>
                <w:spacing w:val="-1"/>
                <w:position w:val="7"/>
                <w:sz w:val="15"/>
                <w:szCs w:val="15"/>
                <w:highlight w:val="none"/>
              </w:rPr>
              <w:t>3</w:t>
            </w:r>
            <w:r>
              <w:rPr>
                <w:rFonts w:ascii="宋体" w:hAnsi="宋体" w:eastAsia="宋体" w:cs="宋体"/>
                <w:spacing w:val="-2"/>
                <w:position w:val="2"/>
                <w:sz w:val="24"/>
                <w:szCs w:val="24"/>
                <w:highlight w:val="none"/>
              </w:rPr>
              <w:t>。</w:t>
            </w:r>
          </w:p>
          <w:p w14:paraId="312A8B2E">
            <w:pPr>
              <w:spacing w:before="0" w:line="360" w:lineRule="auto"/>
              <w:ind w:left="0" w:right="0" w:firstLine="480" w:firstLineChars="200"/>
              <w:jc w:val="left"/>
              <w:rPr>
                <w:rFonts w:ascii="宋体" w:hAnsi="宋体" w:eastAsia="宋体" w:cs="宋体"/>
                <w:color w:val="auto"/>
                <w:sz w:val="24"/>
                <w:szCs w:val="24"/>
                <w:highlight w:val="none"/>
              </w:rPr>
            </w:pPr>
            <w:r>
              <w:rPr>
                <w:rFonts w:hint="eastAsia" w:cs="Times New Roman"/>
                <w:color w:val="auto"/>
                <w:kern w:val="0"/>
                <w:sz w:val="24"/>
                <w:szCs w:val="24"/>
                <w:highlight w:val="none"/>
                <w:lang w:val="en-US" w:eastAsia="zh-CN"/>
              </w:rPr>
              <w:t>综上，</w:t>
            </w:r>
            <w:r>
              <w:rPr>
                <w:rFonts w:ascii="Times New Roman" w:hAnsi="Times New Roman" w:eastAsia="宋体" w:cs="Times New Roman"/>
                <w:color w:val="auto"/>
                <w:kern w:val="0"/>
                <w:sz w:val="24"/>
                <w:szCs w:val="24"/>
                <w:highlight w:val="none"/>
              </w:rPr>
              <w:t>厂区最大事故水量</w:t>
            </w:r>
            <w:r>
              <w:rPr>
                <w:rFonts w:hint="eastAsia"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10989+108-10989</w:t>
            </w:r>
            <w:r>
              <w:rPr>
                <w:rFonts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76.68</w:t>
            </w:r>
            <w:r>
              <w:rPr>
                <w:rFonts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184.68</w:t>
            </w:r>
            <w:r>
              <w:rPr>
                <w:rFonts w:ascii="Times New Roman" w:hAnsi="Times New Roman" w:eastAsia="宋体" w:cs="Times New Roman"/>
                <w:color w:val="auto"/>
                <w:kern w:val="0"/>
                <w:sz w:val="24"/>
                <w:szCs w:val="24"/>
                <w:highlight w:val="none"/>
              </w:rPr>
              <w:t>m</w:t>
            </w:r>
            <w:r>
              <w:rPr>
                <w:rFonts w:ascii="Times New Roman" w:hAnsi="Times New Roman" w:eastAsia="宋体" w:cs="Times New Roman"/>
                <w:color w:val="auto"/>
                <w:kern w:val="0"/>
                <w:sz w:val="24"/>
                <w:szCs w:val="24"/>
                <w:highlight w:val="none"/>
                <w:vertAlign w:val="superscript"/>
              </w:rPr>
              <w:t>3</w:t>
            </w:r>
            <w:r>
              <w:rPr>
                <w:rFonts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故红蜻蜓</w:t>
            </w:r>
            <w:r>
              <w:rPr>
                <w:rFonts w:ascii="Times New Roman" w:hAnsi="Times New Roman" w:eastAsia="宋体" w:cs="Times New Roman"/>
                <w:color w:val="auto"/>
                <w:kern w:val="0"/>
                <w:sz w:val="24"/>
                <w:szCs w:val="24"/>
                <w:highlight w:val="none"/>
              </w:rPr>
              <w:t>现有事故池（200m</w:t>
            </w:r>
            <w:r>
              <w:rPr>
                <w:rFonts w:ascii="Times New Roman" w:hAnsi="Times New Roman" w:eastAsia="宋体" w:cs="Times New Roman"/>
                <w:color w:val="auto"/>
                <w:kern w:val="0"/>
                <w:sz w:val="24"/>
                <w:szCs w:val="24"/>
                <w:highlight w:val="none"/>
                <w:vertAlign w:val="superscript"/>
              </w:rPr>
              <w:t>3</w:t>
            </w:r>
            <w:r>
              <w:rPr>
                <w:rFonts w:ascii="Times New Roman" w:hAnsi="Times New Roman" w:eastAsia="宋体" w:cs="Times New Roman"/>
                <w:color w:val="auto"/>
                <w:kern w:val="0"/>
                <w:sz w:val="24"/>
                <w:szCs w:val="24"/>
                <w:highlight w:val="none"/>
              </w:rPr>
              <w:t>）规模能够满足</w:t>
            </w:r>
            <w:r>
              <w:rPr>
                <w:rFonts w:hint="eastAsia" w:cs="Times New Roman"/>
                <w:color w:val="auto"/>
                <w:kern w:val="0"/>
                <w:sz w:val="24"/>
                <w:szCs w:val="24"/>
                <w:highlight w:val="none"/>
                <w:lang w:val="en-US" w:eastAsia="zh-CN"/>
              </w:rPr>
              <w:t>事故收集</w:t>
            </w:r>
            <w:r>
              <w:rPr>
                <w:rFonts w:ascii="Times New Roman" w:hAnsi="Times New Roman" w:eastAsia="宋体" w:cs="Times New Roman"/>
                <w:color w:val="auto"/>
                <w:kern w:val="0"/>
                <w:sz w:val="24"/>
                <w:szCs w:val="24"/>
                <w:highlight w:val="none"/>
              </w:rPr>
              <w:t>要求。</w:t>
            </w:r>
          </w:p>
          <w:p w14:paraId="0565D15B">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改建项目风险防范措施</w:t>
            </w:r>
          </w:p>
          <w:p w14:paraId="6CEE1002">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1）液态物料泄露风险措施</w:t>
            </w:r>
          </w:p>
          <w:p w14:paraId="22976B31">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①改建精炼车间磷酸罐、碱液罐设置围堰，磷酸罐围堰高度1.6m，容积为8m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，碱液罐围堰高度1.6m，容积30m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，并采取重点防渗措施；</w:t>
            </w:r>
          </w:p>
          <w:p w14:paraId="1456E20A">
            <w:pPr>
              <w:pStyle w:val="10"/>
              <w:rPr>
                <w:rFonts w:hint="eastAsia" w:eastAsia="宋体"/>
                <w:color w:val="auto"/>
                <w:highlight w:val="none"/>
                <w:lang w:val="en-US" w:eastAsia="zh-CN"/>
              </w:rPr>
            </w:pPr>
            <w:r>
              <w:rPr>
                <w:rFonts w:hint="default"/>
                <w:color w:val="auto"/>
                <w:highlight w:val="none"/>
                <w:lang w:val="en-US" w:eastAsia="zh-CN"/>
              </w:rPr>
              <w:t>②</w:t>
            </w:r>
            <w:r>
              <w:rPr>
                <w:rFonts w:hint="default" w:ascii="Times New Roman" w:hAnsi="Times New Roman" w:eastAsia="宋体" w:cs="Times New Roman"/>
                <w:color w:val="auto"/>
                <w:sz w:val="24"/>
                <w:szCs w:val="24"/>
                <w:highlight w:val="none"/>
              </w:rPr>
              <w:t>装置关键位置设置风向标，风向标应能在控制室中显示</w:t>
            </w:r>
            <w:r>
              <w:rPr>
                <w:rFonts w:hint="eastAsia" w:ascii="Times New Roman" w:hAnsi="Times New Roman" w:eastAsia="宋体" w:cs="Times New Roman"/>
                <w:color w:val="auto"/>
                <w:sz w:val="24"/>
                <w:szCs w:val="24"/>
                <w:highlight w:val="none"/>
                <w:lang w:eastAsia="zh-CN"/>
              </w:rPr>
              <w:t>；</w:t>
            </w:r>
          </w:p>
          <w:p w14:paraId="0DDA3753">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③凡容易发生事故或危及生命安全的场所、设备以及需要提醒操作人员注意的场所，应设置安全标志；在各区域设置毒物周知卡；</w:t>
            </w:r>
            <w:r>
              <w:rPr>
                <w:rFonts w:hint="default" w:ascii="Times New Roman" w:hAnsi="Times New Roman" w:eastAsia="宋体" w:cs="Times New Roman"/>
                <w:b w:val="0"/>
                <w:bCs w:val="0"/>
                <w:color w:val="auto"/>
                <w:sz w:val="24"/>
                <w:szCs w:val="24"/>
                <w:highlight w:val="none"/>
              </w:rPr>
              <w:t>装置设物料走向、厂区设风向标等。</w:t>
            </w:r>
          </w:p>
          <w:p w14:paraId="0D68AA20">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w:t>
            </w:r>
            <w:r>
              <w:rPr>
                <w:rFonts w:hint="eastAsia" w:cs="Times New Roman"/>
                <w:color w:val="auto"/>
                <w:sz w:val="24"/>
                <w:szCs w:val="24"/>
                <w:highlight w:val="none"/>
                <w:lang w:val="en-US" w:eastAsia="zh-CN"/>
              </w:rPr>
              <w:t>精炼车间储罐及</w:t>
            </w:r>
            <w:r>
              <w:rPr>
                <w:rFonts w:hint="default" w:ascii="Times New Roman" w:hAnsi="Times New Roman" w:eastAsia="宋体" w:cs="Times New Roman"/>
                <w:color w:val="auto"/>
                <w:sz w:val="24"/>
                <w:szCs w:val="24"/>
                <w:highlight w:val="none"/>
              </w:rPr>
              <w:t>生产装置区地面做防渗措施，并在</w:t>
            </w:r>
            <w:r>
              <w:rPr>
                <w:rFonts w:hint="default" w:ascii="Times New Roman" w:hAnsi="Times New Roman" w:eastAsia="宋体" w:cs="Times New Roman"/>
                <w:b w:val="0"/>
                <w:bCs w:val="0"/>
                <w:color w:val="auto"/>
                <w:sz w:val="24"/>
                <w:szCs w:val="24"/>
                <w:highlight w:val="none"/>
              </w:rPr>
              <w:t>四周设置导流沟，</w:t>
            </w:r>
            <w:r>
              <w:rPr>
                <w:rFonts w:hint="default" w:ascii="Times New Roman" w:hAnsi="Times New Roman" w:eastAsia="宋体" w:cs="Times New Roman"/>
                <w:color w:val="auto"/>
                <w:sz w:val="24"/>
                <w:szCs w:val="24"/>
                <w:highlight w:val="none"/>
              </w:rPr>
              <w:t>以便收集生产区泄漏物料。</w:t>
            </w:r>
          </w:p>
          <w:p w14:paraId="452D0E5B">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⑤物料装卸、输送过程严格执行消除静电措施，操作人员进场前需经触摸式静电消除设施消除静电，运输车辆设置拖地式静电消除装置，相关操作人员培训合格后方可上岗。</w:t>
            </w:r>
          </w:p>
          <w:p w14:paraId="3133EAF0">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⑥生产过程中须定专人定期对生产设备、仪器仪表等进行巡检，保证其正常使用。</w:t>
            </w:r>
          </w:p>
          <w:p w14:paraId="73C2BB50">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⑦建立了安全生产岗位责任制，制定了安全生产规章制度、安全操作规程。如生产过</w:t>
            </w:r>
            <w:r>
              <w:rPr>
                <w:rFonts w:hint="eastAsia" w:cs="Times New Roman"/>
                <w:color w:val="auto"/>
                <w:sz w:val="24"/>
                <w:szCs w:val="24"/>
                <w:highlight w:val="none"/>
                <w:lang w:eastAsia="zh-CN"/>
              </w:rPr>
              <w:t>程中</w:t>
            </w:r>
            <w:r>
              <w:rPr>
                <w:rFonts w:hint="default" w:ascii="Times New Roman" w:hAnsi="Times New Roman" w:eastAsia="宋体" w:cs="Times New Roman"/>
                <w:color w:val="auto"/>
                <w:sz w:val="24"/>
                <w:szCs w:val="24"/>
                <w:highlight w:val="none"/>
              </w:rPr>
              <w:t>必须有全套切实可行的安全操作规程，有专人负责检查安全操作规程的执行、安全设备及防护设备的使用情况；工作现场禁止吸烟、进食、饮水；车间应配备急救设备和药品；作业人员应学会自救和互救。</w:t>
            </w:r>
          </w:p>
          <w:p w14:paraId="3D350B1A">
            <w:pPr>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⑧</w:t>
            </w:r>
            <w:r>
              <w:rPr>
                <w:rFonts w:hint="default" w:ascii="Times New Roman" w:hAnsi="Times New Roman" w:eastAsia="宋体" w:cs="Times New Roman"/>
                <w:color w:val="auto"/>
                <w:sz w:val="24"/>
                <w:szCs w:val="24"/>
                <w:highlight w:val="none"/>
              </w:rPr>
              <w:t>对伤者的急救：迅速撤离现场。当泄漏发生后，应迅速将泄漏区域内的所有人员转移至泄漏物上风向的安全区域。呼叫120或其他应急医疗服务中心，医务人员要根据病情迅速将伤者进行分类，</w:t>
            </w:r>
            <w:r>
              <w:rPr>
                <w:rFonts w:hint="eastAsia" w:cs="Times New Roman"/>
                <w:color w:val="auto"/>
                <w:sz w:val="24"/>
                <w:szCs w:val="24"/>
                <w:highlight w:val="none"/>
                <w:lang w:eastAsia="zh-CN"/>
              </w:rPr>
              <w:t>做出相应的</w:t>
            </w:r>
            <w:r>
              <w:rPr>
                <w:rFonts w:hint="default" w:ascii="Times New Roman" w:hAnsi="Times New Roman" w:eastAsia="宋体" w:cs="Times New Roman"/>
                <w:color w:val="auto"/>
                <w:sz w:val="24"/>
                <w:szCs w:val="24"/>
                <w:highlight w:val="none"/>
              </w:rPr>
              <w:t>标志，以保证医护人员对危重伤者的救治。防止毒物继续吸收。应立即脱去伤者被污染的衣物，用大量流动清水冲洗。对吸入中毒伤者，应立即送到空气新鲜处，保持伤者呼吸道通畅。对意识丧失者的处理。对意识丧失的伤者，要注意其瞳孔、呼吸、脉搏及血压的变化。</w:t>
            </w:r>
          </w:p>
          <w:p w14:paraId="04C966E2">
            <w:pPr>
              <w:pStyle w:val="10"/>
              <w:rPr>
                <w:rFonts w:hint="default"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2"/>
                <w:sz w:val="24"/>
                <w:szCs w:val="24"/>
                <w:highlight w:val="none"/>
                <w:lang w:val="en-US" w:eastAsia="zh-CN" w:bidi="ar-SA"/>
              </w:rPr>
              <w:t>3）</w:t>
            </w:r>
            <w:r>
              <w:rPr>
                <w:rFonts w:hint="default" w:ascii="Times New Roman" w:hAnsi="Times New Roman" w:eastAsia="宋体" w:cs="Times New Roman"/>
                <w:b/>
                <w:bCs/>
                <w:color w:val="auto"/>
                <w:spacing w:val="0"/>
                <w:kern w:val="2"/>
                <w:sz w:val="24"/>
                <w:szCs w:val="24"/>
                <w:highlight w:val="none"/>
                <w:lang w:val="en-US" w:eastAsia="zh-CN" w:bidi="ar-SA"/>
              </w:rPr>
              <w:t>废气处理系统事故风险防范措施</w:t>
            </w:r>
          </w:p>
          <w:p w14:paraId="4474589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①由专人负责日常环境管理工作，制订“环保管理人员职责”和“环境污染防治措施”制度，加</w:t>
            </w:r>
            <w:r>
              <w:rPr>
                <w:rFonts w:hint="eastAsia" w:cs="Times New Roman"/>
                <w:color w:val="auto"/>
                <w:sz w:val="24"/>
                <w:szCs w:val="24"/>
                <w:highlight w:val="none"/>
                <w:lang w:eastAsia="zh-CN"/>
              </w:rPr>
              <w:t>强对</w:t>
            </w:r>
            <w:r>
              <w:rPr>
                <w:rFonts w:hint="default" w:ascii="Times New Roman" w:hAnsi="Times New Roman" w:cs="Times New Roman"/>
                <w:color w:val="auto"/>
                <w:sz w:val="24"/>
                <w:szCs w:val="24"/>
                <w:highlight w:val="none"/>
              </w:rPr>
              <w:t>废气治理设施的监督和管理。</w:t>
            </w:r>
          </w:p>
          <w:p w14:paraId="16BB950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②配套先进的废气处理设施设备，包括设备自动化控制、采用先进的废气处理工艺、布袋材料以及设备运行的稳定性等方面的要求。</w:t>
            </w:r>
          </w:p>
          <w:p w14:paraId="28828DD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③加强废气处理设施及设备的定期检修和维护工作，发现事故隐患，及时解决</w:t>
            </w:r>
            <w:bookmarkStart w:id="10" w:name="bkReivew23553"/>
            <w:r>
              <w:rPr>
                <w:rFonts w:hint="default" w:ascii="Times New Roman" w:hAnsi="Times New Roman" w:cs="Times New Roman"/>
                <w:color w:val="auto"/>
                <w:sz w:val="24"/>
                <w:szCs w:val="24"/>
                <w:highlight w:val="none"/>
              </w:rPr>
              <w:t>。.</w:t>
            </w:r>
            <w:bookmarkEnd w:id="10"/>
          </w:p>
          <w:p w14:paraId="0EC7325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④在</w:t>
            </w:r>
            <w:r>
              <w:rPr>
                <w:rFonts w:hint="eastAsia" w:ascii="Times New Roman" w:hAnsi="Times New Roman" w:cs="Times New Roman"/>
                <w:color w:val="auto"/>
                <w:sz w:val="24"/>
                <w:szCs w:val="24"/>
                <w:highlight w:val="none"/>
                <w:lang w:val="en-US" w:eastAsia="zh-CN"/>
              </w:rPr>
              <w:t>精炼生产线</w:t>
            </w:r>
            <w:r>
              <w:rPr>
                <w:rFonts w:hint="default" w:ascii="Times New Roman" w:hAnsi="Times New Roman" w:cs="Times New Roman"/>
                <w:color w:val="auto"/>
                <w:sz w:val="24"/>
                <w:szCs w:val="24"/>
                <w:highlight w:val="none"/>
              </w:rPr>
              <w:t>出现故障或者事故造成运行工况不正常时，</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cs="Times New Roman"/>
                <w:color w:val="auto"/>
                <w:sz w:val="24"/>
                <w:szCs w:val="24"/>
                <w:highlight w:val="none"/>
              </w:rPr>
              <w:t>中污染物浓度明显升高时，必须立即停止</w:t>
            </w:r>
            <w:r>
              <w:rPr>
                <w:rFonts w:hint="eastAsia" w:ascii="Times New Roman" w:hAnsi="Times New Roman" w:cs="Times New Roman"/>
                <w:color w:val="auto"/>
                <w:sz w:val="24"/>
                <w:szCs w:val="24"/>
                <w:highlight w:val="none"/>
                <w:lang w:val="en-US" w:eastAsia="zh-CN"/>
              </w:rPr>
              <w:t>生产线运行</w:t>
            </w:r>
            <w:r>
              <w:rPr>
                <w:rFonts w:hint="default" w:ascii="Times New Roman" w:hAnsi="Times New Roman" w:cs="Times New Roman"/>
                <w:color w:val="auto"/>
                <w:sz w:val="24"/>
                <w:szCs w:val="24"/>
                <w:highlight w:val="none"/>
              </w:rPr>
              <w:t>，待查明原因，设备检修并恢复正常生产工况、稳定运行至少4小时，方可开始投加。</w:t>
            </w:r>
          </w:p>
          <w:p w14:paraId="3503872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4）火灾风险防范措施</w:t>
            </w:r>
          </w:p>
          <w:p w14:paraId="2D42738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①定期对设备进行检测，避免设备在使用过程中出现故障导致发生火灾爆炸事故。</w:t>
            </w:r>
          </w:p>
          <w:p w14:paraId="6A78D34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②应加强火源的管理，严禁烟火带入，对设备需进行维修焊接，应经安全部门确认、准许，并有记录。机动车在厂内行驶</w:t>
            </w:r>
            <w:r>
              <w:rPr>
                <w:rFonts w:hint="eastAsia" w:cs="Times New Roman"/>
                <w:color w:val="auto"/>
                <w:sz w:val="24"/>
                <w:szCs w:val="24"/>
                <w:highlight w:val="none"/>
                <w:lang w:val="en-US" w:eastAsia="zh-CN"/>
              </w:rPr>
              <w:t>，必</w:t>
            </w:r>
            <w:r>
              <w:rPr>
                <w:rFonts w:hint="eastAsia" w:ascii="Times New Roman" w:hAnsi="Times New Roman" w:eastAsia="宋体" w:cs="Times New Roman"/>
                <w:color w:val="auto"/>
                <w:sz w:val="24"/>
                <w:szCs w:val="24"/>
                <w:highlight w:val="none"/>
                <w:lang w:val="en-US" w:eastAsia="zh-CN"/>
              </w:rPr>
              <w:t>须安装阻火器，必要设备安装防火、防爆装置。</w:t>
            </w:r>
          </w:p>
          <w:p w14:paraId="60FA153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③制定完善的消防措施：化学品仓库以及危废仓库应设置火灾报警装置；生产车间、危废仓库和化学品仓库要配备足量的预警装备、消防灭火设备，同时公司需为企业员工配备足量的个人防护类物资。</w:t>
            </w:r>
          </w:p>
          <w:p w14:paraId="161883A9">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 xml:space="preserve">5）建立与园区对接、联动的风险防范体系 </w:t>
            </w:r>
          </w:p>
          <w:p w14:paraId="26D88CD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企业环境风险防范应建立与园区对接、联动的风险防范体系。可从以下几个方面进行建设：</w:t>
            </w:r>
          </w:p>
          <w:p w14:paraId="07F1762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企业应建立厂内各生产车间的联动体系，并在预案中予以体现。一旦某车间发生燃爆等事故，相邻车间乃至全厂可根据事故发生的性质、大小，决定是否需要立即停产，是否需要切断污染源、风险源，防止造成连锁反应，甚至多米诺骨牌效应。</w:t>
            </w:r>
          </w:p>
          <w:p w14:paraId="00F8E30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②建设畅通的信息通道，使企业应急指挥部必须与周边企业、园区管委会保持</w:t>
            </w:r>
            <w:r>
              <w:rPr>
                <w:rFonts w:hint="default" w:ascii="Times New Roman" w:hAnsi="Times New Roman" w:eastAsia="宋体"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lang w:val="en-US" w:eastAsia="zh-CN"/>
              </w:rPr>
              <w:t xml:space="preserve">小时的电话联系。 </w:t>
            </w:r>
          </w:p>
          <w:p w14:paraId="16A32A6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③企业所使用的危险化学品种类及数量应及时上报园区救援中心，并将可能发生的事故类型及对应的救援方案纳入园区风险管理体系。 </w:t>
            </w:r>
          </w:p>
          <w:p w14:paraId="519F54B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④园区救援中心应建立入区企业事故类型、应急物资数据库，一旦区内某一家企业发生风险事故，可立即调配其余企业的同类型救援物资进行救援，构筑</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一家有难，集体联动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的防范体系。</w:t>
            </w:r>
          </w:p>
          <w:p w14:paraId="2558E27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（5）风险应急预案</w:t>
            </w:r>
          </w:p>
          <w:p w14:paraId="2DA7CE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应急预案是在观测预防为主的前提下，针对项目可能出现的事故，为及时控制事故源，抢救受害人员，指导居民防护和组织</w:t>
            </w:r>
            <w:bookmarkStart w:id="11" w:name="bkReivew1183556"/>
            <w:r>
              <w:rPr>
                <w:rFonts w:hint="eastAsia" w:cs="Times New Roman"/>
                <w:color w:val="auto"/>
                <w:sz w:val="24"/>
                <w:szCs w:val="24"/>
                <w:highlight w:val="none"/>
                <w:lang w:val="en-US" w:eastAsia="zh-CN"/>
              </w:rPr>
              <w:t>撤离</w:t>
            </w:r>
            <w:bookmarkEnd w:id="11"/>
            <w:r>
              <w:rPr>
                <w:rFonts w:hint="default" w:ascii="Times New Roman" w:hAnsi="Times New Roman" w:eastAsia="宋体" w:cs="Times New Roman"/>
                <w:color w:val="auto"/>
                <w:sz w:val="24"/>
                <w:szCs w:val="24"/>
                <w:highlight w:val="none"/>
                <w:lang w:val="en-US" w:eastAsia="zh-CN"/>
              </w:rPr>
              <w:t>，消除或减轻事故后果而组织救援活动的预想方案。</w:t>
            </w:r>
          </w:p>
          <w:p w14:paraId="1F3CB80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企业应按照要求制定环境风险应急预案并定期开展环境应急演练。</w:t>
            </w:r>
          </w:p>
          <w:p w14:paraId="19F20D50">
            <w:pPr>
              <w:keepNext w:val="0"/>
              <w:keepLines w:val="0"/>
              <w:pageBreakBefore w:val="0"/>
              <w:widowControl w:val="0"/>
              <w:suppressLineNumbers w:val="0"/>
              <w:kinsoku/>
              <w:wordWrap/>
              <w:overflowPunct w:val="0"/>
              <w:topLinePunct/>
              <w:autoSpaceDE/>
              <w:autoSpaceDN/>
              <w:bidi w:val="0"/>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zh-CN"/>
              </w:rPr>
              <w:t>风险评价结论</w:t>
            </w:r>
          </w:p>
          <w:p w14:paraId="6288F0F4">
            <w:pPr>
              <w:keepNext w:val="0"/>
              <w:keepLines w:val="0"/>
              <w:pageBreakBefore w:val="0"/>
              <w:widowControl w:val="0"/>
              <w:suppressLineNumbers w:val="0"/>
              <w:kinsoku/>
              <w:wordWrap/>
              <w:overflowPunct w:val="0"/>
              <w:topLinePunct/>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正常情况下，建设单位按照本环评要求加强管理和设备的维护，并设立完善的风险防范措施和预警系统，并配备必要的应急设备设施，制定严格的安全操作规程和维修维护措施，</w:t>
            </w: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的环境风险在可接受范围内。一旦发生事故，因为应急措施得力并反应迅速，</w:t>
            </w:r>
            <w:r>
              <w:rPr>
                <w:rFonts w:hint="eastAsia" w:cs="Times New Roman"/>
                <w:color w:val="auto"/>
                <w:sz w:val="24"/>
                <w:szCs w:val="24"/>
                <w:highlight w:val="none"/>
                <w:lang w:val="en-US" w:eastAsia="zh-CN"/>
              </w:rPr>
              <w:t>可以</w:t>
            </w:r>
            <w:r>
              <w:rPr>
                <w:rFonts w:hint="default" w:ascii="Times New Roman" w:hAnsi="Times New Roman" w:eastAsia="宋体" w:cs="Times New Roman"/>
                <w:color w:val="auto"/>
                <w:sz w:val="24"/>
                <w:szCs w:val="24"/>
                <w:highlight w:val="none"/>
                <w:lang w:val="en-US" w:eastAsia="zh-CN"/>
              </w:rPr>
              <w:t>把事故造成的影响降到最低。所以</w:t>
            </w: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在环境风险方面来说是可接受的。</w:t>
            </w:r>
          </w:p>
          <w:p w14:paraId="5822E077">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4.2.8清洁生产分析</w:t>
            </w:r>
          </w:p>
          <w:p w14:paraId="1532801E">
            <w:pPr>
              <w:pStyle w:val="3"/>
              <w:keepNext w:val="0"/>
              <w:keepLines w:val="0"/>
              <w:pageBreakBefore w:val="0"/>
              <w:widowControl/>
              <w:kinsoku/>
              <w:wordWrap/>
              <w:overflowPunct/>
              <w:topLinePunct w:val="0"/>
              <w:autoSpaceDE/>
              <w:autoSpaceDN/>
              <w:bidi w:val="0"/>
              <w:adjustRightInd/>
              <w:snapToGrid w:val="0"/>
              <w:spacing w:line="360" w:lineRule="auto"/>
              <w:ind w:right="0" w:firstLine="512"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cs="Times New Roman"/>
                <w:color w:val="auto"/>
                <w:kern w:val="2"/>
                <w:sz w:val="24"/>
                <w:szCs w:val="24"/>
                <w:highlight w:val="none"/>
                <w:lang w:val="en-US" w:eastAsia="zh-CN" w:bidi="ar-SA"/>
              </w:rPr>
              <w:t>本评价考虑</w:t>
            </w:r>
            <w:r>
              <w:rPr>
                <w:rFonts w:hint="eastAsia" w:ascii="Times New Roman" w:hAnsi="Times New Roman" w:eastAsia="宋体" w:cs="Times New Roman"/>
                <w:color w:val="auto"/>
                <w:kern w:val="2"/>
                <w:sz w:val="24"/>
                <w:szCs w:val="24"/>
                <w:highlight w:val="none"/>
                <w:lang w:val="en-US" w:eastAsia="zh-CN" w:bidi="ar-SA"/>
              </w:rPr>
              <w:t>本项目按照清洁生产水平评价原则，参照《清洁生产标准食用植物油工业（豆油和豆粕）》（HJ/T184-2006）,从生产工艺、能源利用指标、污染物产生指标、废物回收利用指标、环境管理要求等方面对</w:t>
            </w:r>
            <w:r>
              <w:rPr>
                <w:rFonts w:hint="eastAsia" w:ascii="Times New Roman" w:cs="Times New Roman"/>
                <w:color w:val="auto"/>
                <w:kern w:val="2"/>
                <w:sz w:val="24"/>
                <w:szCs w:val="24"/>
                <w:highlight w:val="none"/>
                <w:lang w:val="en-US" w:eastAsia="zh-CN" w:bidi="ar-SA"/>
              </w:rPr>
              <w:t>改建</w:t>
            </w:r>
            <w:r>
              <w:rPr>
                <w:rFonts w:hint="eastAsia" w:ascii="Times New Roman" w:hAnsi="Times New Roman" w:eastAsia="宋体" w:cs="Times New Roman"/>
                <w:color w:val="auto"/>
                <w:kern w:val="2"/>
                <w:sz w:val="24"/>
                <w:szCs w:val="24"/>
                <w:highlight w:val="none"/>
                <w:lang w:val="en-US" w:eastAsia="zh-CN" w:bidi="ar-SA"/>
              </w:rPr>
              <w:t>前后企业清洁生产水平进行分析。</w:t>
            </w:r>
          </w:p>
          <w:p w14:paraId="63E6A693">
            <w:pPr>
              <w:pageBreakBefore w:val="0"/>
              <w:kinsoku/>
              <w:wordWrap/>
              <w:overflowPunct w:val="0"/>
              <w:topLinePunct/>
              <w:bidi w:val="0"/>
              <w:adjustRightInd w:val="0"/>
              <w:snapToGrid w:val="0"/>
              <w:spacing w:line="360" w:lineRule="auto"/>
              <w:rPr>
                <w:rFonts w:hint="default" w:ascii="Times New Roman" w:hAnsi="Times New Roman" w:eastAsia="宋体" w:cs="Times New Roman"/>
                <w:b/>
                <w:color w:val="auto"/>
                <w:kern w:val="0"/>
                <w:sz w:val="28"/>
                <w:szCs w:val="28"/>
                <w:highlight w:val="none"/>
                <w:vertAlign w:val="baseline"/>
              </w:rPr>
            </w:pPr>
          </w:p>
        </w:tc>
      </w:tr>
    </w:tbl>
    <w:p w14:paraId="2D3DBDFB">
      <w:pPr>
        <w:rPr>
          <w:rFonts w:hint="default" w:ascii="Times New Roman" w:hAnsi="Times New Roman" w:cs="Times New Roman"/>
          <w:color w:val="auto"/>
          <w:highlight w:val="none"/>
        </w:rPr>
        <w:sectPr>
          <w:pgSz w:w="11906" w:h="16838"/>
          <w:pgMar w:top="1440" w:right="1800" w:bottom="1440" w:left="1800" w:header="851" w:footer="992" w:gutter="0"/>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717"/>
      </w:tblGrid>
      <w:tr w14:paraId="602A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9" w:hRule="atLeast"/>
        </w:trPr>
        <w:tc>
          <w:tcPr>
            <w:tcW w:w="506" w:type="dxa"/>
          </w:tcPr>
          <w:p w14:paraId="58710F66">
            <w:pPr>
              <w:rPr>
                <w:rFonts w:hint="default" w:ascii="Times New Roman" w:hAnsi="Times New Roman" w:cs="Times New Roman"/>
                <w:b/>
                <w:bCs/>
                <w:color w:val="auto"/>
                <w:highlight w:val="none"/>
                <w:vertAlign w:val="baseline"/>
              </w:rPr>
            </w:pPr>
            <w:r>
              <w:rPr>
                <w:rFonts w:hint="default" w:ascii="Times New Roman" w:hAnsi="Times New Roman" w:eastAsia="宋体" w:cs="Times New Roman"/>
                <w:b/>
                <w:bCs w:val="0"/>
                <w:color w:val="auto"/>
                <w:sz w:val="24"/>
                <w:szCs w:val="24"/>
                <w:highlight w:val="none"/>
              </w:rPr>
              <w:t>运营期环境影响和保护措施</w:t>
            </w:r>
          </w:p>
        </w:tc>
        <w:tc>
          <w:tcPr>
            <w:tcW w:w="13668" w:type="dxa"/>
          </w:tcPr>
          <w:p w14:paraId="64DD7D0A">
            <w:pPr>
              <w:spacing w:line="360" w:lineRule="auto"/>
              <w:jc w:val="center"/>
              <w:rPr>
                <w:rFonts w:hint="eastAsia" w:cs="Times New Roman"/>
                <w:b/>
                <w:bCs/>
                <w:color w:val="auto"/>
                <w:sz w:val="24"/>
                <w:szCs w:val="24"/>
                <w:highlight w:val="none"/>
                <w:vertAlign w:val="baseline"/>
                <w:lang w:val="en-US" w:eastAsia="zh-CN"/>
              </w:rPr>
            </w:pPr>
            <w:r>
              <w:rPr>
                <w:rFonts w:hint="eastAsia" w:cs="Times New Roman"/>
                <w:b/>
                <w:bCs/>
                <w:color w:val="auto"/>
                <w:sz w:val="24"/>
                <w:szCs w:val="24"/>
                <w:highlight w:val="none"/>
                <w:vertAlign w:val="baseline"/>
                <w:lang w:val="en-US" w:eastAsia="zh-CN"/>
              </w:rPr>
              <w:t>表4.2-22  项目清洁生产指标分析一览表</w:t>
            </w:r>
          </w:p>
          <w:tbl>
            <w:tblPr>
              <w:tblStyle w:val="38"/>
              <w:tblW w:w="135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22"/>
              <w:gridCol w:w="1716"/>
              <w:gridCol w:w="2030"/>
              <w:gridCol w:w="2068"/>
              <w:gridCol w:w="3170"/>
              <w:gridCol w:w="2251"/>
              <w:gridCol w:w="1457"/>
            </w:tblGrid>
            <w:tr w14:paraId="0F3ED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939" w:type="pct"/>
                  <w:gridSpan w:val="2"/>
                  <w:tcBorders>
                    <w:top w:val="single" w:color="000000" w:sz="4" w:space="0"/>
                    <w:left w:val="single" w:color="000000" w:sz="4" w:space="0"/>
                  </w:tcBorders>
                  <w:vAlign w:val="center"/>
                </w:tcPr>
                <w:p w14:paraId="1145788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指标</w:t>
                  </w:r>
                </w:p>
              </w:tc>
              <w:tc>
                <w:tcPr>
                  <w:tcW w:w="751" w:type="pct"/>
                  <w:tcBorders>
                    <w:top w:val="single" w:color="000000" w:sz="4" w:space="0"/>
                  </w:tcBorders>
                  <w:vAlign w:val="center"/>
                </w:tcPr>
                <w:p w14:paraId="7CCD35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一级</w:t>
                  </w:r>
                </w:p>
              </w:tc>
              <w:tc>
                <w:tcPr>
                  <w:tcW w:w="765" w:type="pct"/>
                  <w:tcBorders>
                    <w:top w:val="single" w:color="000000" w:sz="4" w:space="0"/>
                  </w:tcBorders>
                  <w:vAlign w:val="center"/>
                </w:tcPr>
                <w:p w14:paraId="3043A3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二级</w:t>
                  </w:r>
                </w:p>
              </w:tc>
              <w:tc>
                <w:tcPr>
                  <w:tcW w:w="1172" w:type="pct"/>
                  <w:tcBorders>
                    <w:top w:val="single" w:color="000000" w:sz="4" w:space="0"/>
                    <w:right w:val="single" w:color="000000" w:sz="4" w:space="0"/>
                  </w:tcBorders>
                  <w:vAlign w:val="center"/>
                </w:tcPr>
                <w:p w14:paraId="0656A4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三级</w:t>
                  </w:r>
                </w:p>
              </w:tc>
              <w:tc>
                <w:tcPr>
                  <w:tcW w:w="833" w:type="pct"/>
                  <w:tcBorders>
                    <w:top w:val="single" w:color="000000" w:sz="4" w:space="0"/>
                    <w:right w:val="single" w:color="000000" w:sz="4" w:space="0"/>
                  </w:tcBorders>
                  <w:vAlign w:val="center"/>
                </w:tcPr>
                <w:p w14:paraId="433D74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改建项目清洁生产情况</w:t>
                  </w:r>
                </w:p>
              </w:tc>
              <w:tc>
                <w:tcPr>
                  <w:tcW w:w="537" w:type="pct"/>
                  <w:tcBorders>
                    <w:top w:val="single" w:color="000000" w:sz="4" w:space="0"/>
                    <w:right w:val="single" w:color="000000" w:sz="4" w:space="0"/>
                  </w:tcBorders>
                  <w:vAlign w:val="center"/>
                </w:tcPr>
                <w:p w14:paraId="13F9DA3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改建项目清洁生产水平</w:t>
                  </w:r>
                </w:p>
              </w:tc>
            </w:tr>
            <w:tr w14:paraId="7F075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3628" w:type="pct"/>
                  <w:gridSpan w:val="5"/>
                  <w:tcBorders>
                    <w:left w:val="single" w:color="000000" w:sz="4" w:space="0"/>
                    <w:right w:val="single" w:color="000000" w:sz="4" w:space="0"/>
                  </w:tcBorders>
                  <w:vAlign w:val="center"/>
                </w:tcPr>
                <w:p w14:paraId="1F07A625">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一、资源能源利用指标（浸出制油指标，带*指标为油脂精炼指标，下同）</w:t>
                  </w:r>
                </w:p>
              </w:tc>
              <w:tc>
                <w:tcPr>
                  <w:tcW w:w="833" w:type="pct"/>
                  <w:tcBorders>
                    <w:left w:val="single" w:color="000000" w:sz="4" w:space="0"/>
                    <w:right w:val="single" w:color="000000" w:sz="4" w:space="0"/>
                  </w:tcBorders>
                  <w:vAlign w:val="center"/>
                </w:tcPr>
                <w:p w14:paraId="3EAE648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537" w:type="pct"/>
                  <w:tcBorders>
                    <w:left w:val="single" w:color="000000" w:sz="4" w:space="0"/>
                    <w:right w:val="single" w:color="000000" w:sz="4" w:space="0"/>
                  </w:tcBorders>
                  <w:vAlign w:val="center"/>
                </w:tcPr>
                <w:p w14:paraId="16B4CEF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r>
            <w:tr w14:paraId="40DCE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939" w:type="pct"/>
                  <w:gridSpan w:val="2"/>
                  <w:tcBorders>
                    <w:left w:val="single" w:color="000000" w:sz="4" w:space="0"/>
                  </w:tcBorders>
                  <w:vAlign w:val="center"/>
                </w:tcPr>
                <w:p w14:paraId="44DE25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原辅材料的选择</w:t>
                  </w:r>
                </w:p>
              </w:tc>
              <w:tc>
                <w:tcPr>
                  <w:tcW w:w="2688" w:type="pct"/>
                  <w:gridSpan w:val="3"/>
                  <w:tcBorders>
                    <w:right w:val="single" w:color="000000" w:sz="4" w:space="0"/>
                  </w:tcBorders>
                  <w:vAlign w:val="center"/>
                </w:tcPr>
                <w:p w14:paraId="6ED01D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生产豆油的主要原料为大豆，辅助原料为专用溶剂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6号溶剂油或工业己烷）。原辅材料的选择以及使用其他代用品或添加剂时，应符合国家或行业有关标准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GB1352、GB8611、GB1535、GB/T19541、GB16629、GB17602、HG/T2569等），并保证对人体健康没有任何损害，以及在生产过程中对生态环境没有负面影响</w:t>
                  </w:r>
                </w:p>
              </w:tc>
              <w:tc>
                <w:tcPr>
                  <w:tcW w:w="833" w:type="pct"/>
                  <w:tcBorders>
                    <w:right w:val="single" w:color="000000" w:sz="4" w:space="0"/>
                  </w:tcBorders>
                  <w:vAlign w:val="center"/>
                </w:tcPr>
                <w:p w14:paraId="567DC37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改建项目以菜籽油、大豆油、玉米油毛油为原料，进行精炼生产</w:t>
                  </w:r>
                </w:p>
              </w:tc>
              <w:tc>
                <w:tcPr>
                  <w:tcW w:w="537" w:type="pct"/>
                  <w:tcBorders>
                    <w:right w:val="single" w:color="000000" w:sz="4" w:space="0"/>
                  </w:tcBorders>
                  <w:vAlign w:val="center"/>
                </w:tcPr>
                <w:p w14:paraId="1EDA1C8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一级</w:t>
                  </w:r>
                </w:p>
              </w:tc>
            </w:tr>
            <w:tr w14:paraId="19B05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11FCB9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大豆利用率/%</w:t>
                  </w:r>
                </w:p>
              </w:tc>
              <w:tc>
                <w:tcPr>
                  <w:tcW w:w="751" w:type="pct"/>
                  <w:vAlign w:val="center"/>
                </w:tcPr>
                <w:p w14:paraId="58FA698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≥98.5</w:t>
                  </w:r>
                </w:p>
              </w:tc>
              <w:tc>
                <w:tcPr>
                  <w:tcW w:w="765" w:type="pct"/>
                  <w:vAlign w:val="center"/>
                </w:tcPr>
                <w:p w14:paraId="534AA20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≥97.5</w:t>
                  </w:r>
                </w:p>
              </w:tc>
              <w:tc>
                <w:tcPr>
                  <w:tcW w:w="1172" w:type="pct"/>
                  <w:tcBorders>
                    <w:right w:val="single" w:color="000000" w:sz="4" w:space="0"/>
                  </w:tcBorders>
                  <w:vAlign w:val="center"/>
                </w:tcPr>
                <w:p w14:paraId="3E2714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≥96.5</w:t>
                  </w:r>
                </w:p>
              </w:tc>
              <w:tc>
                <w:tcPr>
                  <w:tcW w:w="833" w:type="pct"/>
                  <w:tcBorders>
                    <w:right w:val="single" w:color="000000" w:sz="4" w:space="0"/>
                  </w:tcBorders>
                  <w:vAlign w:val="center"/>
                </w:tcPr>
                <w:p w14:paraId="043784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毛油利用率为97.8%</w:t>
                  </w:r>
                </w:p>
              </w:tc>
              <w:tc>
                <w:tcPr>
                  <w:tcW w:w="537" w:type="pct"/>
                  <w:tcBorders>
                    <w:right w:val="single" w:color="000000" w:sz="4" w:space="0"/>
                  </w:tcBorders>
                  <w:vAlign w:val="center"/>
                </w:tcPr>
                <w:p w14:paraId="123DFF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二级</w:t>
                  </w:r>
                </w:p>
              </w:tc>
            </w:tr>
            <w:tr w14:paraId="3E2BB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939" w:type="pct"/>
                  <w:gridSpan w:val="2"/>
                  <w:tcBorders>
                    <w:left w:val="single" w:color="000000" w:sz="4" w:space="0"/>
                  </w:tcBorders>
                  <w:vAlign w:val="center"/>
                </w:tcPr>
                <w:p w14:paraId="1569D45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溶剂消耗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kg/t</w:t>
                  </w:r>
                  <w:r>
                    <w:rPr>
                      <w:rFonts w:hint="eastAsia" w:ascii="宋体" w:hAnsi="宋体" w:eastAsia="宋体" w:cs="宋体"/>
                      <w:color w:val="auto"/>
                      <w:sz w:val="21"/>
                      <w:szCs w:val="21"/>
                      <w:highlight w:val="none"/>
                      <w:lang w:eastAsia="zh-CN"/>
                    </w:rPr>
                    <w:t>）</w:t>
                  </w:r>
                </w:p>
              </w:tc>
              <w:tc>
                <w:tcPr>
                  <w:tcW w:w="751" w:type="pct"/>
                  <w:vAlign w:val="center"/>
                </w:tcPr>
                <w:p w14:paraId="6CD8B57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&lt;1.0</w:t>
                  </w:r>
                </w:p>
              </w:tc>
              <w:tc>
                <w:tcPr>
                  <w:tcW w:w="765" w:type="pct"/>
                  <w:vAlign w:val="center"/>
                </w:tcPr>
                <w:p w14:paraId="65D347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&lt;2.5</w:t>
                  </w:r>
                </w:p>
              </w:tc>
              <w:tc>
                <w:tcPr>
                  <w:tcW w:w="1172" w:type="pct"/>
                  <w:tcBorders>
                    <w:right w:val="single" w:color="000000" w:sz="4" w:space="0"/>
                  </w:tcBorders>
                  <w:vAlign w:val="center"/>
                </w:tcPr>
                <w:p w14:paraId="61C91CA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&lt;5.0</w:t>
                  </w:r>
                </w:p>
              </w:tc>
              <w:tc>
                <w:tcPr>
                  <w:tcW w:w="833" w:type="pct"/>
                  <w:tcBorders>
                    <w:right w:val="single" w:color="000000" w:sz="4" w:space="0"/>
                  </w:tcBorders>
                  <w:vAlign w:val="center"/>
                </w:tcPr>
                <w:p w14:paraId="48A46E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不涉及</w:t>
                  </w:r>
                </w:p>
              </w:tc>
              <w:tc>
                <w:tcPr>
                  <w:tcW w:w="537" w:type="pct"/>
                  <w:tcBorders>
                    <w:right w:val="single" w:color="000000" w:sz="4" w:space="0"/>
                  </w:tcBorders>
                  <w:vAlign w:val="center"/>
                </w:tcPr>
                <w:p w14:paraId="4746C26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365AD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7F7956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白土消耗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kg/t</w:t>
                  </w:r>
                  <w:r>
                    <w:rPr>
                      <w:rFonts w:hint="eastAsia" w:ascii="宋体" w:hAnsi="宋体" w:eastAsia="宋体" w:cs="宋体"/>
                      <w:color w:val="auto"/>
                      <w:sz w:val="21"/>
                      <w:szCs w:val="21"/>
                      <w:highlight w:val="none"/>
                      <w:lang w:eastAsia="zh-CN"/>
                    </w:rPr>
                    <w:t>）</w:t>
                  </w:r>
                </w:p>
              </w:tc>
              <w:tc>
                <w:tcPr>
                  <w:tcW w:w="751" w:type="pct"/>
                  <w:vAlign w:val="center"/>
                </w:tcPr>
                <w:p w14:paraId="30D424D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765" w:type="pct"/>
                  <w:vAlign w:val="center"/>
                </w:tcPr>
                <w:p w14:paraId="34F659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≤15.0</w:t>
                  </w:r>
                </w:p>
              </w:tc>
              <w:tc>
                <w:tcPr>
                  <w:tcW w:w="1172" w:type="pct"/>
                  <w:tcBorders>
                    <w:right w:val="single" w:color="000000" w:sz="4" w:space="0"/>
                  </w:tcBorders>
                  <w:vAlign w:val="center"/>
                </w:tcPr>
                <w:p w14:paraId="21D996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w:t>
                  </w:r>
                </w:p>
              </w:tc>
              <w:tc>
                <w:tcPr>
                  <w:tcW w:w="833" w:type="pct"/>
                  <w:tcBorders>
                    <w:right w:val="single" w:color="000000" w:sz="4" w:space="0"/>
                  </w:tcBorders>
                  <w:vAlign w:val="center"/>
                </w:tcPr>
                <w:p w14:paraId="67FB97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白土消耗量为7.5</w:t>
                  </w:r>
                </w:p>
              </w:tc>
              <w:tc>
                <w:tcPr>
                  <w:tcW w:w="537" w:type="pct"/>
                  <w:tcBorders>
                    <w:right w:val="single" w:color="000000" w:sz="4" w:space="0"/>
                  </w:tcBorders>
                  <w:vAlign w:val="center"/>
                </w:tcPr>
                <w:p w14:paraId="32806E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一级</w:t>
                  </w:r>
                </w:p>
              </w:tc>
            </w:tr>
            <w:tr w14:paraId="3C7FC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939" w:type="pct"/>
                  <w:gridSpan w:val="2"/>
                  <w:tcBorders>
                    <w:left w:val="single" w:color="000000" w:sz="4" w:space="0"/>
                  </w:tcBorders>
                  <w:vAlign w:val="center"/>
                </w:tcPr>
                <w:p w14:paraId="67D3A7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电耗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kW·h/t</w:t>
                  </w:r>
                  <w:r>
                    <w:rPr>
                      <w:rFonts w:hint="eastAsia" w:ascii="宋体" w:hAnsi="宋体" w:eastAsia="宋体" w:cs="宋体"/>
                      <w:color w:val="auto"/>
                      <w:sz w:val="21"/>
                      <w:szCs w:val="21"/>
                      <w:highlight w:val="none"/>
                      <w:lang w:eastAsia="zh-CN"/>
                    </w:rPr>
                    <w:t>）</w:t>
                  </w:r>
                </w:p>
              </w:tc>
              <w:tc>
                <w:tcPr>
                  <w:tcW w:w="751" w:type="pct"/>
                  <w:vAlign w:val="center"/>
                </w:tcPr>
                <w:p w14:paraId="0E5445D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≤25.0/20.0*</w:t>
                  </w:r>
                </w:p>
              </w:tc>
              <w:tc>
                <w:tcPr>
                  <w:tcW w:w="765" w:type="pct"/>
                  <w:vAlign w:val="center"/>
                </w:tcPr>
                <w:p w14:paraId="3FE0D89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≤30.0/25.0*</w:t>
                  </w:r>
                </w:p>
              </w:tc>
              <w:tc>
                <w:tcPr>
                  <w:tcW w:w="1172" w:type="pct"/>
                  <w:tcBorders>
                    <w:right w:val="single" w:color="000000" w:sz="4" w:space="0"/>
                  </w:tcBorders>
                  <w:vAlign w:val="center"/>
                </w:tcPr>
                <w:p w14:paraId="56A23F7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≤40.0/35.0*</w:t>
                  </w:r>
                </w:p>
              </w:tc>
              <w:tc>
                <w:tcPr>
                  <w:tcW w:w="833" w:type="pct"/>
                  <w:tcBorders>
                    <w:right w:val="single" w:color="000000" w:sz="4" w:space="0"/>
                  </w:tcBorders>
                  <w:vAlign w:val="center"/>
                </w:tcPr>
                <w:p w14:paraId="0375583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电耗为22</w:t>
                  </w:r>
                </w:p>
              </w:tc>
              <w:tc>
                <w:tcPr>
                  <w:tcW w:w="537" w:type="pct"/>
                  <w:tcBorders>
                    <w:right w:val="single" w:color="000000" w:sz="4" w:space="0"/>
                  </w:tcBorders>
                  <w:vAlign w:val="center"/>
                </w:tcPr>
                <w:p w14:paraId="4298FB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一级</w:t>
                  </w:r>
                </w:p>
              </w:tc>
            </w:tr>
            <w:tr w14:paraId="0B244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0A115F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水耗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kg/t</w:t>
                  </w:r>
                  <w:r>
                    <w:rPr>
                      <w:rFonts w:hint="eastAsia" w:ascii="宋体" w:hAnsi="宋体" w:eastAsia="宋体" w:cs="宋体"/>
                      <w:color w:val="auto"/>
                      <w:sz w:val="21"/>
                      <w:szCs w:val="21"/>
                      <w:highlight w:val="none"/>
                      <w:lang w:eastAsia="zh-CN"/>
                    </w:rPr>
                    <w:t>）</w:t>
                  </w:r>
                </w:p>
              </w:tc>
              <w:tc>
                <w:tcPr>
                  <w:tcW w:w="751" w:type="pct"/>
                  <w:vAlign w:val="center"/>
                </w:tcPr>
                <w:p w14:paraId="6D721E7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≤500/200*</w:t>
                  </w:r>
                </w:p>
              </w:tc>
              <w:tc>
                <w:tcPr>
                  <w:tcW w:w="765" w:type="pct"/>
                  <w:vAlign w:val="center"/>
                </w:tcPr>
                <w:p w14:paraId="7FD9CB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≤800/300*</w:t>
                  </w:r>
                </w:p>
              </w:tc>
              <w:tc>
                <w:tcPr>
                  <w:tcW w:w="1172" w:type="pct"/>
                  <w:tcBorders>
                    <w:right w:val="single" w:color="000000" w:sz="4" w:space="0"/>
                  </w:tcBorders>
                  <w:vAlign w:val="center"/>
                </w:tcPr>
                <w:p w14:paraId="3C2257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≤1200/400*</w:t>
                  </w:r>
                </w:p>
              </w:tc>
              <w:tc>
                <w:tcPr>
                  <w:tcW w:w="833" w:type="pct"/>
                  <w:tcBorders>
                    <w:right w:val="single" w:color="000000" w:sz="4" w:space="0"/>
                  </w:tcBorders>
                  <w:vAlign w:val="center"/>
                </w:tcPr>
                <w:p w14:paraId="7E1F42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水耗为170</w:t>
                  </w:r>
                </w:p>
              </w:tc>
              <w:tc>
                <w:tcPr>
                  <w:tcW w:w="537" w:type="pct"/>
                  <w:tcBorders>
                    <w:right w:val="single" w:color="000000" w:sz="4" w:space="0"/>
                  </w:tcBorders>
                  <w:vAlign w:val="center"/>
                </w:tcPr>
                <w:p w14:paraId="149DEE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一级</w:t>
                  </w:r>
                </w:p>
              </w:tc>
            </w:tr>
            <w:tr w14:paraId="32C0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939" w:type="pct"/>
                  <w:gridSpan w:val="2"/>
                  <w:tcBorders>
                    <w:left w:val="single" w:color="000000" w:sz="4" w:space="0"/>
                  </w:tcBorders>
                  <w:vAlign w:val="center"/>
                </w:tcPr>
                <w:p w14:paraId="6B6DA4D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煤耗（标煤）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kg/t</w:t>
                  </w:r>
                  <w:r>
                    <w:rPr>
                      <w:rFonts w:hint="eastAsia" w:ascii="宋体" w:hAnsi="宋体" w:eastAsia="宋体" w:cs="宋体"/>
                      <w:color w:val="auto"/>
                      <w:sz w:val="21"/>
                      <w:szCs w:val="21"/>
                      <w:highlight w:val="none"/>
                      <w:lang w:eastAsia="zh-CN"/>
                    </w:rPr>
                    <w:t>）</w:t>
                  </w:r>
                </w:p>
              </w:tc>
              <w:tc>
                <w:tcPr>
                  <w:tcW w:w="751" w:type="pct"/>
                  <w:vAlign w:val="center"/>
                </w:tcPr>
                <w:p w14:paraId="6157C9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≤40.0/30.0*</w:t>
                  </w:r>
                </w:p>
              </w:tc>
              <w:tc>
                <w:tcPr>
                  <w:tcW w:w="765" w:type="pct"/>
                  <w:vAlign w:val="center"/>
                </w:tcPr>
                <w:p w14:paraId="1E1A9D7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≤50.0/40.0*</w:t>
                  </w:r>
                </w:p>
              </w:tc>
              <w:tc>
                <w:tcPr>
                  <w:tcW w:w="1172" w:type="pct"/>
                  <w:tcBorders>
                    <w:right w:val="single" w:color="000000" w:sz="4" w:space="0"/>
                  </w:tcBorders>
                  <w:vAlign w:val="center"/>
                </w:tcPr>
                <w:p w14:paraId="4EBCED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≤70.0/50.0*</w:t>
                  </w:r>
                </w:p>
              </w:tc>
              <w:tc>
                <w:tcPr>
                  <w:tcW w:w="833" w:type="pct"/>
                  <w:tcBorders>
                    <w:right w:val="single" w:color="000000" w:sz="4" w:space="0"/>
                  </w:tcBorders>
                  <w:vAlign w:val="center"/>
                </w:tcPr>
                <w:p w14:paraId="71E013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不涉及</w:t>
                  </w:r>
                </w:p>
              </w:tc>
              <w:tc>
                <w:tcPr>
                  <w:tcW w:w="537" w:type="pct"/>
                  <w:tcBorders>
                    <w:right w:val="single" w:color="000000" w:sz="4" w:space="0"/>
                  </w:tcBorders>
                  <w:vAlign w:val="center"/>
                </w:tcPr>
                <w:p w14:paraId="69766F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5125D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3628" w:type="pct"/>
                  <w:gridSpan w:val="5"/>
                  <w:tcBorders>
                    <w:left w:val="single" w:color="000000" w:sz="4" w:space="0"/>
                    <w:right w:val="single" w:color="000000" w:sz="4" w:space="0"/>
                  </w:tcBorders>
                  <w:vAlign w:val="center"/>
                </w:tcPr>
                <w:p w14:paraId="03A351C3">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二、特征工艺指标</w:t>
                  </w:r>
                </w:p>
              </w:tc>
              <w:tc>
                <w:tcPr>
                  <w:tcW w:w="833" w:type="pct"/>
                  <w:tcBorders>
                    <w:left w:val="single" w:color="000000" w:sz="4" w:space="0"/>
                    <w:right w:val="single" w:color="000000" w:sz="4" w:space="0"/>
                  </w:tcBorders>
                  <w:vAlign w:val="center"/>
                </w:tcPr>
                <w:p w14:paraId="55BDDA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537" w:type="pct"/>
                  <w:tcBorders>
                    <w:left w:val="single" w:color="000000" w:sz="4" w:space="0"/>
                    <w:right w:val="single" w:color="000000" w:sz="4" w:space="0"/>
                  </w:tcBorders>
                  <w:vAlign w:val="center"/>
                </w:tcPr>
                <w:p w14:paraId="678C56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r>
            <w:tr w14:paraId="5D9D9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939" w:type="pct"/>
                  <w:gridSpan w:val="2"/>
                  <w:tcBorders>
                    <w:left w:val="single" w:color="000000" w:sz="4" w:space="0"/>
                  </w:tcBorders>
                  <w:vAlign w:val="center"/>
                </w:tcPr>
                <w:p w14:paraId="1771BC5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精炼率*/%</w:t>
                  </w:r>
                </w:p>
              </w:tc>
              <w:tc>
                <w:tcPr>
                  <w:tcW w:w="751" w:type="pct"/>
                  <w:vAlign w:val="center"/>
                </w:tcPr>
                <w:p w14:paraId="5C57C7F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≥98.0</w:t>
                  </w:r>
                </w:p>
              </w:tc>
              <w:tc>
                <w:tcPr>
                  <w:tcW w:w="765" w:type="pct"/>
                  <w:vAlign w:val="center"/>
                </w:tcPr>
                <w:p w14:paraId="3995E70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≥97.0</w:t>
                  </w:r>
                </w:p>
              </w:tc>
              <w:tc>
                <w:tcPr>
                  <w:tcW w:w="1172" w:type="pct"/>
                  <w:tcBorders>
                    <w:right w:val="single" w:color="000000" w:sz="4" w:space="0"/>
                  </w:tcBorders>
                  <w:vAlign w:val="center"/>
                </w:tcPr>
                <w:p w14:paraId="346E86A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≥95.5</w:t>
                  </w:r>
                </w:p>
              </w:tc>
              <w:tc>
                <w:tcPr>
                  <w:tcW w:w="833" w:type="pct"/>
                  <w:tcBorders>
                    <w:right w:val="single" w:color="000000" w:sz="4" w:space="0"/>
                  </w:tcBorders>
                  <w:vAlign w:val="center"/>
                </w:tcPr>
                <w:p w14:paraId="39897D4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97.8</w:t>
                  </w:r>
                </w:p>
              </w:tc>
              <w:tc>
                <w:tcPr>
                  <w:tcW w:w="537" w:type="pct"/>
                  <w:tcBorders>
                    <w:right w:val="single" w:color="000000" w:sz="4" w:space="0"/>
                  </w:tcBorders>
                  <w:vAlign w:val="center"/>
                </w:tcPr>
                <w:p w14:paraId="180AA3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二级</w:t>
                  </w:r>
                </w:p>
              </w:tc>
            </w:tr>
            <w:tr w14:paraId="1F530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5D5F3EB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出油效率/%</w:t>
                  </w:r>
                </w:p>
              </w:tc>
              <w:tc>
                <w:tcPr>
                  <w:tcW w:w="751" w:type="pct"/>
                  <w:vAlign w:val="center"/>
                </w:tcPr>
                <w:p w14:paraId="0E8465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≥98.5</w:t>
                  </w:r>
                </w:p>
              </w:tc>
              <w:tc>
                <w:tcPr>
                  <w:tcW w:w="765" w:type="pct"/>
                  <w:vAlign w:val="center"/>
                </w:tcPr>
                <w:p w14:paraId="543DCE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≥98.0</w:t>
                  </w:r>
                </w:p>
              </w:tc>
              <w:tc>
                <w:tcPr>
                  <w:tcW w:w="1172" w:type="pct"/>
                  <w:tcBorders>
                    <w:right w:val="single" w:color="000000" w:sz="4" w:space="0"/>
                  </w:tcBorders>
                  <w:vAlign w:val="center"/>
                </w:tcPr>
                <w:p w14:paraId="797A03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≥97.0</w:t>
                  </w:r>
                </w:p>
              </w:tc>
              <w:tc>
                <w:tcPr>
                  <w:tcW w:w="2251" w:type="dxa"/>
                  <w:tcBorders>
                    <w:right w:val="single" w:color="000000" w:sz="4" w:space="0"/>
                  </w:tcBorders>
                  <w:vAlign w:val="center"/>
                </w:tcPr>
                <w:p w14:paraId="290C69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不涉及</w:t>
                  </w:r>
                </w:p>
              </w:tc>
              <w:tc>
                <w:tcPr>
                  <w:tcW w:w="1457" w:type="dxa"/>
                  <w:tcBorders>
                    <w:right w:val="single" w:color="000000" w:sz="4" w:space="0"/>
                  </w:tcBorders>
                  <w:vAlign w:val="center"/>
                </w:tcPr>
                <w:p w14:paraId="4AA94F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7D19F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1A1293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出粕率/%</w:t>
                  </w:r>
                </w:p>
              </w:tc>
              <w:tc>
                <w:tcPr>
                  <w:tcW w:w="751" w:type="pct"/>
                  <w:vAlign w:val="center"/>
                </w:tcPr>
                <w:p w14:paraId="5D5AC4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≥79.5</w:t>
                  </w:r>
                </w:p>
              </w:tc>
              <w:tc>
                <w:tcPr>
                  <w:tcW w:w="765" w:type="pct"/>
                  <w:vAlign w:val="center"/>
                </w:tcPr>
                <w:p w14:paraId="5BD74AC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≥78.5</w:t>
                  </w:r>
                </w:p>
              </w:tc>
              <w:tc>
                <w:tcPr>
                  <w:tcW w:w="1172" w:type="pct"/>
                  <w:tcBorders>
                    <w:right w:val="single" w:color="000000" w:sz="4" w:space="0"/>
                  </w:tcBorders>
                  <w:vAlign w:val="center"/>
                </w:tcPr>
                <w:p w14:paraId="4BAF02B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≥77.0</w:t>
                  </w:r>
                </w:p>
              </w:tc>
              <w:tc>
                <w:tcPr>
                  <w:tcW w:w="833" w:type="pct"/>
                  <w:tcBorders>
                    <w:right w:val="single" w:color="000000" w:sz="4" w:space="0"/>
                  </w:tcBorders>
                  <w:vAlign w:val="center"/>
                </w:tcPr>
                <w:p w14:paraId="772FBC5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不涉及</w:t>
                  </w:r>
                </w:p>
              </w:tc>
              <w:tc>
                <w:tcPr>
                  <w:tcW w:w="537" w:type="pct"/>
                  <w:tcBorders>
                    <w:right w:val="single" w:color="000000" w:sz="4" w:space="0"/>
                  </w:tcBorders>
                  <w:vAlign w:val="center"/>
                </w:tcPr>
                <w:p w14:paraId="41ACE3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63FF3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939" w:type="pct"/>
                  <w:gridSpan w:val="2"/>
                  <w:tcBorders>
                    <w:left w:val="single" w:color="000000" w:sz="4" w:space="0"/>
                  </w:tcBorders>
                  <w:vAlign w:val="center"/>
                </w:tcPr>
                <w:p w14:paraId="1FCCE9C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豆粕残留溶剂/%</w:t>
                  </w:r>
                </w:p>
              </w:tc>
              <w:tc>
                <w:tcPr>
                  <w:tcW w:w="751" w:type="pct"/>
                  <w:vAlign w:val="center"/>
                </w:tcPr>
                <w:p w14:paraId="2866FD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w:t>
                  </w:r>
                </w:p>
              </w:tc>
              <w:tc>
                <w:tcPr>
                  <w:tcW w:w="765" w:type="pct"/>
                  <w:vAlign w:val="center"/>
                </w:tcPr>
                <w:p w14:paraId="4771D4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≤0.08</w:t>
                  </w:r>
                </w:p>
              </w:tc>
              <w:tc>
                <w:tcPr>
                  <w:tcW w:w="1172" w:type="pct"/>
                  <w:tcBorders>
                    <w:right w:val="single" w:color="000000" w:sz="4" w:space="0"/>
                  </w:tcBorders>
                  <w:vAlign w:val="center"/>
                </w:tcPr>
                <w:p w14:paraId="3C4931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≤0.10</w:t>
                  </w:r>
                </w:p>
              </w:tc>
              <w:tc>
                <w:tcPr>
                  <w:tcW w:w="833" w:type="pct"/>
                  <w:tcBorders>
                    <w:right w:val="single" w:color="000000" w:sz="4" w:space="0"/>
                  </w:tcBorders>
                  <w:shd w:val="clear" w:color="auto" w:fill="auto"/>
                  <w:vAlign w:val="center"/>
                </w:tcPr>
                <w:p w14:paraId="67A0C2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不涉及</w:t>
                  </w:r>
                </w:p>
              </w:tc>
              <w:tc>
                <w:tcPr>
                  <w:tcW w:w="537" w:type="pct"/>
                  <w:tcBorders>
                    <w:right w:val="single" w:color="000000" w:sz="4" w:space="0"/>
                  </w:tcBorders>
                  <w:shd w:val="clear" w:color="auto" w:fill="auto"/>
                  <w:vAlign w:val="center"/>
                </w:tcPr>
                <w:p w14:paraId="2314D4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r>
            <w:tr w14:paraId="73375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1E1F6C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浸出原油残留溶剂/%</w:t>
                  </w:r>
                </w:p>
              </w:tc>
              <w:tc>
                <w:tcPr>
                  <w:tcW w:w="751" w:type="pct"/>
                  <w:vAlign w:val="center"/>
                </w:tcPr>
                <w:p w14:paraId="2CD01E0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≤0.03</w:t>
                  </w:r>
                </w:p>
              </w:tc>
              <w:tc>
                <w:tcPr>
                  <w:tcW w:w="765" w:type="pct"/>
                  <w:vAlign w:val="center"/>
                </w:tcPr>
                <w:p w14:paraId="31FC0F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w:t>
                  </w:r>
                </w:p>
              </w:tc>
              <w:tc>
                <w:tcPr>
                  <w:tcW w:w="1172" w:type="pct"/>
                  <w:tcBorders>
                    <w:right w:val="single" w:color="000000" w:sz="4" w:space="0"/>
                  </w:tcBorders>
                  <w:vAlign w:val="center"/>
                </w:tcPr>
                <w:p w14:paraId="18FDBF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≤0.08</w:t>
                  </w:r>
                </w:p>
              </w:tc>
              <w:tc>
                <w:tcPr>
                  <w:tcW w:w="833" w:type="pct"/>
                  <w:tcBorders>
                    <w:right w:val="single" w:color="000000" w:sz="4" w:space="0"/>
                  </w:tcBorders>
                  <w:shd w:val="clear" w:color="auto" w:fill="auto"/>
                  <w:vAlign w:val="center"/>
                </w:tcPr>
                <w:p w14:paraId="2C6848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不涉及</w:t>
                  </w:r>
                </w:p>
              </w:tc>
              <w:tc>
                <w:tcPr>
                  <w:tcW w:w="537" w:type="pct"/>
                  <w:tcBorders>
                    <w:right w:val="single" w:color="000000" w:sz="4" w:space="0"/>
                  </w:tcBorders>
                  <w:shd w:val="clear" w:color="auto" w:fill="auto"/>
                  <w:vAlign w:val="center"/>
                </w:tcPr>
                <w:p w14:paraId="75353D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r>
            <w:tr w14:paraId="78BF7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3628" w:type="pct"/>
                  <w:gridSpan w:val="5"/>
                  <w:tcBorders>
                    <w:left w:val="single" w:color="000000" w:sz="4" w:space="0"/>
                    <w:right w:val="single" w:color="000000" w:sz="4" w:space="0"/>
                  </w:tcBorders>
                  <w:vAlign w:val="center"/>
                </w:tcPr>
                <w:p w14:paraId="1DF8E8A8">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三、污染物产生指标（末端处理前）</w:t>
                  </w:r>
                </w:p>
              </w:tc>
              <w:tc>
                <w:tcPr>
                  <w:tcW w:w="833" w:type="pct"/>
                  <w:tcBorders>
                    <w:left w:val="single" w:color="000000" w:sz="4" w:space="0"/>
                    <w:right w:val="single" w:color="000000" w:sz="4" w:space="0"/>
                  </w:tcBorders>
                  <w:vAlign w:val="center"/>
                </w:tcPr>
                <w:p w14:paraId="51557C6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537" w:type="pct"/>
                  <w:tcBorders>
                    <w:left w:val="single" w:color="000000" w:sz="4" w:space="0"/>
                    <w:right w:val="single" w:color="000000" w:sz="4" w:space="0"/>
                  </w:tcBorders>
                  <w:vAlign w:val="center"/>
                </w:tcPr>
                <w:p w14:paraId="347D249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r>
            <w:tr w14:paraId="29D70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5C472AF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浸出废水产生量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/t</w:t>
                  </w:r>
                  <w:r>
                    <w:rPr>
                      <w:rFonts w:hint="eastAsia" w:ascii="宋体" w:hAnsi="宋体" w:eastAsia="宋体" w:cs="宋体"/>
                      <w:color w:val="auto"/>
                      <w:sz w:val="21"/>
                      <w:szCs w:val="21"/>
                      <w:highlight w:val="none"/>
                      <w:lang w:eastAsia="zh-CN"/>
                    </w:rPr>
                    <w:t>）</w:t>
                  </w:r>
                </w:p>
              </w:tc>
              <w:tc>
                <w:tcPr>
                  <w:tcW w:w="751" w:type="pct"/>
                  <w:vAlign w:val="center"/>
                </w:tcPr>
                <w:p w14:paraId="2FF7EEB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≤0.06</w:t>
                  </w:r>
                </w:p>
              </w:tc>
              <w:tc>
                <w:tcPr>
                  <w:tcW w:w="765" w:type="pct"/>
                  <w:vAlign w:val="center"/>
                </w:tcPr>
                <w:p w14:paraId="0C3272E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≤0.12</w:t>
                  </w:r>
                </w:p>
              </w:tc>
              <w:tc>
                <w:tcPr>
                  <w:tcW w:w="1172" w:type="pct"/>
                  <w:tcBorders>
                    <w:right w:val="single" w:color="000000" w:sz="4" w:space="0"/>
                  </w:tcBorders>
                  <w:vAlign w:val="center"/>
                </w:tcPr>
                <w:p w14:paraId="093FE72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≤0.18</w:t>
                  </w:r>
                </w:p>
              </w:tc>
              <w:tc>
                <w:tcPr>
                  <w:tcW w:w="833" w:type="pct"/>
                  <w:tcBorders>
                    <w:right w:val="single" w:color="000000" w:sz="4" w:space="0"/>
                  </w:tcBorders>
                  <w:shd w:val="clear" w:color="auto" w:fill="auto"/>
                  <w:vAlign w:val="center"/>
                </w:tcPr>
                <w:p w14:paraId="34385D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不涉及</w:t>
                  </w:r>
                </w:p>
              </w:tc>
              <w:tc>
                <w:tcPr>
                  <w:tcW w:w="537" w:type="pct"/>
                  <w:tcBorders>
                    <w:right w:val="single" w:color="000000" w:sz="4" w:space="0"/>
                  </w:tcBorders>
                  <w:shd w:val="clear" w:color="auto" w:fill="auto"/>
                  <w:vAlign w:val="center"/>
                </w:tcPr>
                <w:p w14:paraId="6BCA68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r>
            <w:tr w14:paraId="01259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39EF766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精炼废水产生量*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/t</w:t>
                  </w:r>
                  <w:r>
                    <w:rPr>
                      <w:rFonts w:hint="eastAsia" w:ascii="宋体" w:hAnsi="宋体" w:eastAsia="宋体" w:cs="宋体"/>
                      <w:color w:val="auto"/>
                      <w:sz w:val="21"/>
                      <w:szCs w:val="21"/>
                      <w:highlight w:val="none"/>
                      <w:lang w:eastAsia="zh-CN"/>
                    </w:rPr>
                    <w:t>）</w:t>
                  </w:r>
                </w:p>
              </w:tc>
              <w:tc>
                <w:tcPr>
                  <w:tcW w:w="751" w:type="pct"/>
                  <w:vAlign w:val="center"/>
                </w:tcPr>
                <w:p w14:paraId="245971D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c>
                <w:tcPr>
                  <w:tcW w:w="765" w:type="pct"/>
                  <w:vAlign w:val="center"/>
                </w:tcPr>
                <w:p w14:paraId="01E6E94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p>
              </w:tc>
              <w:tc>
                <w:tcPr>
                  <w:tcW w:w="1172" w:type="pct"/>
                  <w:tcBorders>
                    <w:right w:val="single" w:color="000000" w:sz="4" w:space="0"/>
                  </w:tcBorders>
                  <w:vAlign w:val="center"/>
                </w:tcPr>
                <w:p w14:paraId="05BCA41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≤0.6</w:t>
                  </w:r>
                </w:p>
              </w:tc>
              <w:tc>
                <w:tcPr>
                  <w:tcW w:w="833" w:type="pct"/>
                  <w:tcBorders>
                    <w:right w:val="single" w:color="000000" w:sz="4" w:space="0"/>
                  </w:tcBorders>
                  <w:vAlign w:val="center"/>
                </w:tcPr>
                <w:p w14:paraId="054C146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0.12</w:t>
                  </w:r>
                </w:p>
              </w:tc>
              <w:tc>
                <w:tcPr>
                  <w:tcW w:w="537" w:type="pct"/>
                  <w:tcBorders>
                    <w:right w:val="single" w:color="000000" w:sz="4" w:space="0"/>
                  </w:tcBorders>
                  <w:vAlign w:val="center"/>
                </w:tcPr>
                <w:p w14:paraId="6DEBC8B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一级</w:t>
                  </w:r>
                </w:p>
              </w:tc>
            </w:tr>
            <w:tr w14:paraId="6D0C7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939" w:type="pct"/>
                  <w:gridSpan w:val="2"/>
                  <w:tcBorders>
                    <w:left w:val="single" w:color="000000" w:sz="4" w:space="0"/>
                  </w:tcBorders>
                  <w:vAlign w:val="center"/>
                </w:tcPr>
                <w:p w14:paraId="4BFE2B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COD产生总量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kg/t</w:t>
                  </w:r>
                  <w:r>
                    <w:rPr>
                      <w:rFonts w:hint="eastAsia" w:ascii="宋体" w:hAnsi="宋体" w:eastAsia="宋体" w:cs="宋体"/>
                      <w:color w:val="auto"/>
                      <w:sz w:val="21"/>
                      <w:szCs w:val="21"/>
                      <w:highlight w:val="none"/>
                      <w:lang w:eastAsia="zh-CN"/>
                    </w:rPr>
                    <w:t>）</w:t>
                  </w:r>
                </w:p>
              </w:tc>
              <w:tc>
                <w:tcPr>
                  <w:tcW w:w="751" w:type="pct"/>
                  <w:vAlign w:val="center"/>
                </w:tcPr>
                <w:p w14:paraId="730171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≤0.4/6.0*</w:t>
                  </w:r>
                </w:p>
              </w:tc>
              <w:tc>
                <w:tcPr>
                  <w:tcW w:w="765" w:type="pct"/>
                  <w:vAlign w:val="center"/>
                </w:tcPr>
                <w:p w14:paraId="3D63A58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≤1.0/10.0*</w:t>
                  </w:r>
                </w:p>
              </w:tc>
              <w:tc>
                <w:tcPr>
                  <w:tcW w:w="1172" w:type="pct"/>
                  <w:tcBorders>
                    <w:right w:val="single" w:color="000000" w:sz="4" w:space="0"/>
                  </w:tcBorders>
                  <w:vAlign w:val="center"/>
                </w:tcPr>
                <w:p w14:paraId="59FF581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≤2.0/24.0*</w:t>
                  </w:r>
                </w:p>
              </w:tc>
              <w:tc>
                <w:tcPr>
                  <w:tcW w:w="833" w:type="pct"/>
                  <w:tcBorders>
                    <w:right w:val="single" w:color="000000" w:sz="4" w:space="0"/>
                  </w:tcBorders>
                  <w:vAlign w:val="center"/>
                </w:tcPr>
                <w:p w14:paraId="59F9AD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w:t>
                  </w:r>
                </w:p>
              </w:tc>
              <w:tc>
                <w:tcPr>
                  <w:tcW w:w="537" w:type="pct"/>
                  <w:tcBorders>
                    <w:right w:val="single" w:color="000000" w:sz="4" w:space="0"/>
                  </w:tcBorders>
                  <w:vAlign w:val="center"/>
                </w:tcPr>
                <w:p w14:paraId="7C066D1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一级</w:t>
                  </w:r>
                </w:p>
              </w:tc>
            </w:tr>
            <w:tr w14:paraId="17C48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jc w:val="center"/>
              </w:trPr>
              <w:tc>
                <w:tcPr>
                  <w:tcW w:w="939" w:type="pct"/>
                  <w:gridSpan w:val="2"/>
                  <w:tcBorders>
                    <w:left w:val="single" w:color="000000" w:sz="4" w:space="0"/>
                  </w:tcBorders>
                  <w:vAlign w:val="center"/>
                </w:tcPr>
                <w:p w14:paraId="79E64B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浸出尾气残留溶剂质量浓度/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g/m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lang w:eastAsia="zh-CN"/>
                    </w:rPr>
                    <w:t>）</w:t>
                  </w:r>
                </w:p>
              </w:tc>
              <w:tc>
                <w:tcPr>
                  <w:tcW w:w="751" w:type="pct"/>
                  <w:vAlign w:val="center"/>
                </w:tcPr>
                <w:p w14:paraId="58DA9B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765" w:type="pct"/>
                  <w:vAlign w:val="center"/>
                </w:tcPr>
                <w:p w14:paraId="0C1ECD4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172" w:type="pct"/>
                  <w:tcBorders>
                    <w:right w:val="single" w:color="000000" w:sz="4" w:space="0"/>
                  </w:tcBorders>
                  <w:vAlign w:val="center"/>
                </w:tcPr>
                <w:p w14:paraId="3B272C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833" w:type="pct"/>
                  <w:tcBorders>
                    <w:right w:val="single" w:color="000000" w:sz="4" w:space="0"/>
                  </w:tcBorders>
                  <w:shd w:val="clear" w:color="auto" w:fill="auto"/>
                  <w:vAlign w:val="center"/>
                </w:tcPr>
                <w:p w14:paraId="55FC40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不涉及</w:t>
                  </w:r>
                </w:p>
              </w:tc>
              <w:tc>
                <w:tcPr>
                  <w:tcW w:w="537" w:type="pct"/>
                  <w:tcBorders>
                    <w:right w:val="single" w:color="000000" w:sz="4" w:space="0"/>
                  </w:tcBorders>
                  <w:shd w:val="clear" w:color="auto" w:fill="auto"/>
                  <w:vAlign w:val="center"/>
                </w:tcPr>
                <w:p w14:paraId="18699C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r>
            <w:tr w14:paraId="6EBF2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3628" w:type="pct"/>
                  <w:gridSpan w:val="5"/>
                  <w:tcBorders>
                    <w:left w:val="single" w:color="000000" w:sz="4" w:space="0"/>
                    <w:right w:val="single" w:color="000000" w:sz="4" w:space="0"/>
                  </w:tcBorders>
                  <w:vAlign w:val="center"/>
                </w:tcPr>
                <w:p w14:paraId="72404C10">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四、废物回收利用指标</w:t>
                  </w:r>
                </w:p>
              </w:tc>
              <w:tc>
                <w:tcPr>
                  <w:tcW w:w="833" w:type="pct"/>
                  <w:tcBorders>
                    <w:left w:val="single" w:color="000000" w:sz="4" w:space="0"/>
                    <w:right w:val="single" w:color="000000" w:sz="4" w:space="0"/>
                  </w:tcBorders>
                  <w:vAlign w:val="center"/>
                </w:tcPr>
                <w:p w14:paraId="0C31C4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537" w:type="pct"/>
                  <w:tcBorders>
                    <w:left w:val="single" w:color="000000" w:sz="4" w:space="0"/>
                    <w:right w:val="single" w:color="000000" w:sz="4" w:space="0"/>
                  </w:tcBorders>
                  <w:vAlign w:val="center"/>
                </w:tcPr>
                <w:p w14:paraId="27C7DD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r>
            <w:tr w14:paraId="54D3F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jc w:val="center"/>
              </w:trPr>
              <w:tc>
                <w:tcPr>
                  <w:tcW w:w="939" w:type="pct"/>
                  <w:gridSpan w:val="2"/>
                  <w:tcBorders>
                    <w:left w:val="single" w:color="000000" w:sz="4" w:space="0"/>
                    <w:bottom w:val="single" w:color="000000" w:sz="4" w:space="0"/>
                  </w:tcBorders>
                  <w:vAlign w:val="center"/>
                </w:tcPr>
                <w:p w14:paraId="06B52F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油脚</w:t>
                  </w:r>
                </w:p>
              </w:tc>
              <w:tc>
                <w:tcPr>
                  <w:tcW w:w="751" w:type="pct"/>
                  <w:tcBorders>
                    <w:bottom w:val="single" w:color="000000" w:sz="4" w:space="0"/>
                  </w:tcBorders>
                  <w:vAlign w:val="center"/>
                </w:tcPr>
                <w:p w14:paraId="0BF2F5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全部回收并利用（例如生产粗磷脂产品或掺兑到豆粕中等）</w:t>
                  </w:r>
                </w:p>
              </w:tc>
              <w:tc>
                <w:tcPr>
                  <w:tcW w:w="765" w:type="pct"/>
                  <w:tcBorders>
                    <w:bottom w:val="single" w:color="000000" w:sz="4" w:space="0"/>
                  </w:tcBorders>
                  <w:vAlign w:val="center"/>
                </w:tcPr>
                <w:p w14:paraId="2F42C4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全部回收并利用（例如生产酸化油或粗脂肪酸等产品）</w:t>
                  </w:r>
                </w:p>
              </w:tc>
              <w:tc>
                <w:tcPr>
                  <w:tcW w:w="1172" w:type="pct"/>
                  <w:tcBorders>
                    <w:bottom w:val="single" w:color="000000" w:sz="4" w:space="0"/>
                    <w:right w:val="single" w:color="000000" w:sz="4" w:space="0"/>
                  </w:tcBorders>
                  <w:vAlign w:val="center"/>
                </w:tcPr>
                <w:p w14:paraId="361D27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外售给脂肪酸或肥皂等加工厂，未直接排入环境中</w:t>
                  </w:r>
                </w:p>
              </w:tc>
              <w:tc>
                <w:tcPr>
                  <w:tcW w:w="833" w:type="pct"/>
                  <w:tcBorders>
                    <w:bottom w:val="single" w:color="000000" w:sz="4" w:space="0"/>
                    <w:right w:val="single" w:color="000000" w:sz="4" w:space="0"/>
                  </w:tcBorders>
                  <w:vAlign w:val="center"/>
                </w:tcPr>
                <w:p w14:paraId="14FBE27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外售给企业综合利用，未直接排入环境</w:t>
                  </w:r>
                </w:p>
              </w:tc>
              <w:tc>
                <w:tcPr>
                  <w:tcW w:w="537" w:type="pct"/>
                  <w:tcBorders>
                    <w:bottom w:val="single" w:color="000000" w:sz="4" w:space="0"/>
                    <w:right w:val="single" w:color="000000" w:sz="4" w:space="0"/>
                  </w:tcBorders>
                  <w:vAlign w:val="center"/>
                </w:tcPr>
                <w:p w14:paraId="631152B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三级</w:t>
                  </w:r>
                </w:p>
              </w:tc>
            </w:tr>
            <w:tr w14:paraId="27E7A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939" w:type="pct"/>
                  <w:gridSpan w:val="2"/>
                  <w:tcBorders>
                    <w:left w:val="single" w:color="000000" w:sz="4" w:space="0"/>
                  </w:tcBorders>
                  <w:vAlign w:val="center"/>
                </w:tcPr>
                <w:p w14:paraId="0A5867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1"/>
                      <w:sz w:val="21"/>
                      <w:szCs w:val="21"/>
                      <w:highlight w:val="none"/>
                    </w:rPr>
                    <w:t>皂脚</w:t>
                  </w:r>
                </w:p>
              </w:tc>
              <w:tc>
                <w:tcPr>
                  <w:tcW w:w="751" w:type="pct"/>
                  <w:vAlign w:val="center"/>
                </w:tcPr>
                <w:p w14:paraId="0FB6CAD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全部回收并利用（例如生</w:t>
                  </w:r>
                  <w:r>
                    <w:rPr>
                      <w:rFonts w:hint="eastAsia" w:ascii="宋体" w:hAnsi="宋体" w:eastAsia="宋体" w:cs="宋体"/>
                      <w:color w:val="auto"/>
                      <w:spacing w:val="22"/>
                      <w:sz w:val="21"/>
                      <w:szCs w:val="21"/>
                      <w:highlight w:val="none"/>
                    </w:rPr>
                    <w:t>产粗皂粉等）</w:t>
                  </w:r>
                </w:p>
              </w:tc>
              <w:tc>
                <w:tcPr>
                  <w:tcW w:w="765" w:type="pct"/>
                  <w:vAlign w:val="center"/>
                </w:tcPr>
                <w:p w14:paraId="5925F1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全部回收并利用（例如生</w:t>
                  </w:r>
                  <w:r>
                    <w:rPr>
                      <w:rFonts w:hint="eastAsia" w:ascii="宋体" w:hAnsi="宋体" w:eastAsia="宋体" w:cs="宋体"/>
                      <w:color w:val="auto"/>
                      <w:spacing w:val="23"/>
                      <w:sz w:val="21"/>
                      <w:szCs w:val="21"/>
                      <w:highlight w:val="none"/>
                    </w:rPr>
                    <w:t>产酸油、脂肪酸或肥皂等产</w:t>
                  </w:r>
                  <w:r>
                    <w:rPr>
                      <w:rFonts w:hint="eastAsia" w:ascii="宋体" w:hAnsi="宋体" w:eastAsia="宋体" w:cs="宋体"/>
                      <w:color w:val="auto"/>
                      <w:spacing w:val="5"/>
                      <w:sz w:val="21"/>
                      <w:szCs w:val="21"/>
                      <w:highlight w:val="none"/>
                    </w:rPr>
                    <w:t>品）</w:t>
                  </w:r>
                </w:p>
              </w:tc>
              <w:tc>
                <w:tcPr>
                  <w:tcW w:w="1172" w:type="pct"/>
                  <w:tcBorders>
                    <w:right w:val="single" w:color="000000" w:sz="4" w:space="0"/>
                  </w:tcBorders>
                  <w:vAlign w:val="center"/>
                </w:tcPr>
                <w:p w14:paraId="33583D8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外售给脂肪酸或肥</w:t>
                  </w:r>
                  <w:r>
                    <w:rPr>
                      <w:rFonts w:hint="eastAsia" w:ascii="宋体" w:hAnsi="宋体" w:eastAsia="宋体" w:cs="宋体"/>
                      <w:color w:val="auto"/>
                      <w:spacing w:val="11"/>
                      <w:sz w:val="21"/>
                      <w:szCs w:val="21"/>
                      <w:highlight w:val="none"/>
                    </w:rPr>
                    <w:t>皂等加工厂，未直接</w:t>
                  </w:r>
                  <w:r>
                    <w:rPr>
                      <w:rFonts w:hint="eastAsia" w:ascii="宋体" w:hAnsi="宋体" w:eastAsia="宋体" w:cs="宋体"/>
                      <w:color w:val="auto"/>
                      <w:spacing w:val="26"/>
                      <w:sz w:val="21"/>
                      <w:szCs w:val="21"/>
                      <w:highlight w:val="none"/>
                    </w:rPr>
                    <w:t>排入环境中</w:t>
                  </w:r>
                </w:p>
              </w:tc>
              <w:tc>
                <w:tcPr>
                  <w:tcW w:w="833" w:type="pct"/>
                  <w:tcBorders>
                    <w:right w:val="single" w:color="000000" w:sz="4" w:space="0"/>
                  </w:tcBorders>
                  <w:vAlign w:val="center"/>
                </w:tcPr>
                <w:p w14:paraId="3EF0882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7"/>
                      <w:sz w:val="21"/>
                      <w:szCs w:val="21"/>
                      <w:highlight w:val="none"/>
                    </w:rPr>
                  </w:pPr>
                  <w:r>
                    <w:rPr>
                      <w:rFonts w:hint="eastAsia" w:ascii="宋体" w:hAnsi="宋体" w:eastAsia="宋体" w:cs="宋体"/>
                      <w:color w:val="auto"/>
                      <w:sz w:val="21"/>
                      <w:szCs w:val="21"/>
                      <w:highlight w:val="none"/>
                      <w:lang w:val="en-US" w:eastAsia="zh-CN"/>
                    </w:rPr>
                    <w:t>外售给企业综合利用，未直接排入环境</w:t>
                  </w:r>
                </w:p>
              </w:tc>
              <w:tc>
                <w:tcPr>
                  <w:tcW w:w="537" w:type="pct"/>
                  <w:tcBorders>
                    <w:right w:val="single" w:color="000000" w:sz="4" w:space="0"/>
                  </w:tcBorders>
                  <w:vAlign w:val="center"/>
                </w:tcPr>
                <w:p w14:paraId="2FC1E41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7"/>
                      <w:sz w:val="21"/>
                      <w:szCs w:val="21"/>
                      <w:highlight w:val="none"/>
                    </w:rPr>
                  </w:pPr>
                  <w:r>
                    <w:rPr>
                      <w:rFonts w:hint="eastAsia" w:ascii="宋体" w:hAnsi="宋体" w:eastAsia="宋体" w:cs="宋体"/>
                      <w:color w:val="auto"/>
                      <w:sz w:val="21"/>
                      <w:szCs w:val="21"/>
                      <w:highlight w:val="none"/>
                      <w:lang w:val="en-US" w:eastAsia="zh-CN"/>
                    </w:rPr>
                    <w:t>三级</w:t>
                  </w:r>
                </w:p>
              </w:tc>
            </w:tr>
            <w:tr w14:paraId="422AD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939" w:type="pct"/>
                  <w:gridSpan w:val="2"/>
                  <w:tcBorders>
                    <w:left w:val="single" w:color="000000" w:sz="4" w:space="0"/>
                  </w:tcBorders>
                  <w:vAlign w:val="center"/>
                </w:tcPr>
                <w:p w14:paraId="1DA28F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0"/>
                      <w:sz w:val="21"/>
                      <w:szCs w:val="21"/>
                      <w:highlight w:val="none"/>
                    </w:rPr>
                    <w:t>炉渣</w:t>
                  </w:r>
                </w:p>
              </w:tc>
              <w:tc>
                <w:tcPr>
                  <w:tcW w:w="751" w:type="pct"/>
                  <w:vAlign w:val="center"/>
                </w:tcPr>
                <w:p w14:paraId="05CF69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全部回收并处理（例如外</w:t>
                  </w:r>
                  <w:r>
                    <w:rPr>
                      <w:rFonts w:hint="eastAsia" w:ascii="宋体" w:hAnsi="宋体" w:eastAsia="宋体" w:cs="宋体"/>
                      <w:color w:val="auto"/>
                      <w:spacing w:val="10"/>
                      <w:sz w:val="21"/>
                      <w:szCs w:val="21"/>
                      <w:highlight w:val="none"/>
                    </w:rPr>
                    <w:t>售给制砖厂或售作铺路材</w:t>
                  </w:r>
                  <w:r>
                    <w:rPr>
                      <w:rFonts w:hint="eastAsia" w:ascii="宋体" w:hAnsi="宋体" w:eastAsia="宋体" w:cs="宋体"/>
                      <w:color w:val="auto"/>
                      <w:spacing w:val="5"/>
                      <w:sz w:val="21"/>
                      <w:szCs w:val="21"/>
                      <w:highlight w:val="none"/>
                    </w:rPr>
                    <w:t>料）</w:t>
                  </w:r>
                </w:p>
              </w:tc>
              <w:tc>
                <w:tcPr>
                  <w:tcW w:w="765" w:type="pct"/>
                  <w:vAlign w:val="center"/>
                </w:tcPr>
                <w:p w14:paraId="59F101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全部回收并处理（外售给</w:t>
                  </w:r>
                  <w:r>
                    <w:rPr>
                      <w:rFonts w:hint="eastAsia" w:ascii="宋体" w:hAnsi="宋体" w:eastAsia="宋体" w:cs="宋体"/>
                      <w:color w:val="auto"/>
                      <w:spacing w:val="25"/>
                      <w:sz w:val="21"/>
                      <w:szCs w:val="21"/>
                      <w:highlight w:val="none"/>
                    </w:rPr>
                    <w:t>制砖厂或售作铺路材料）</w:t>
                  </w:r>
                </w:p>
              </w:tc>
              <w:tc>
                <w:tcPr>
                  <w:tcW w:w="1172" w:type="pct"/>
                  <w:tcBorders>
                    <w:right w:val="single" w:color="000000" w:sz="4" w:space="0"/>
                  </w:tcBorders>
                  <w:vAlign w:val="center"/>
                </w:tcPr>
                <w:p w14:paraId="3CC9FD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全部回收并处理</w:t>
                  </w:r>
                  <w:r>
                    <w:rPr>
                      <w:rFonts w:hint="eastAsia" w:ascii="宋体" w:hAnsi="宋体" w:eastAsia="宋体" w:cs="宋体"/>
                      <w:color w:val="auto"/>
                      <w:spacing w:val="32"/>
                      <w:sz w:val="21"/>
                      <w:szCs w:val="21"/>
                      <w:highlight w:val="none"/>
                    </w:rPr>
                    <w:t>（外售或送至指定固废</w:t>
                  </w:r>
                  <w:r>
                    <w:rPr>
                      <w:rFonts w:hint="eastAsia" w:ascii="宋体" w:hAnsi="宋体" w:eastAsia="宋体" w:cs="宋体"/>
                      <w:color w:val="auto"/>
                      <w:spacing w:val="33"/>
                      <w:sz w:val="21"/>
                      <w:szCs w:val="21"/>
                      <w:highlight w:val="none"/>
                    </w:rPr>
                    <w:t>堆放场）</w:t>
                  </w:r>
                </w:p>
              </w:tc>
              <w:tc>
                <w:tcPr>
                  <w:tcW w:w="833" w:type="pct"/>
                  <w:tcBorders>
                    <w:right w:val="single" w:color="000000" w:sz="4" w:space="0"/>
                  </w:tcBorders>
                  <w:vAlign w:val="center"/>
                </w:tcPr>
                <w:p w14:paraId="574B4B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z w:val="21"/>
                      <w:szCs w:val="21"/>
                      <w:highlight w:val="none"/>
                      <w:lang w:val="en-US" w:eastAsia="zh-CN"/>
                    </w:rPr>
                    <w:t>不涉及</w:t>
                  </w:r>
                </w:p>
              </w:tc>
              <w:tc>
                <w:tcPr>
                  <w:tcW w:w="537" w:type="pct"/>
                  <w:tcBorders>
                    <w:right w:val="single" w:color="000000" w:sz="4" w:space="0"/>
                  </w:tcBorders>
                  <w:vAlign w:val="center"/>
                </w:tcPr>
                <w:p w14:paraId="1BBFE9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8"/>
                      <w:sz w:val="21"/>
                      <w:szCs w:val="21"/>
                      <w:highlight w:val="none"/>
                    </w:rPr>
                  </w:pPr>
                  <w:r>
                    <w:rPr>
                      <w:rFonts w:hint="eastAsia" w:ascii="宋体" w:hAnsi="宋体" w:eastAsia="宋体" w:cs="宋体"/>
                      <w:color w:val="auto"/>
                      <w:sz w:val="21"/>
                      <w:szCs w:val="21"/>
                      <w:highlight w:val="none"/>
                      <w:lang w:val="en-US" w:eastAsia="zh-CN"/>
                    </w:rPr>
                    <w:t>/</w:t>
                  </w:r>
                </w:p>
              </w:tc>
            </w:tr>
            <w:tr w14:paraId="5DF5A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939" w:type="pct"/>
                  <w:gridSpan w:val="2"/>
                  <w:tcBorders>
                    <w:left w:val="single" w:color="000000" w:sz="4" w:space="0"/>
                  </w:tcBorders>
                  <w:vAlign w:val="center"/>
                </w:tcPr>
                <w:p w14:paraId="7855A7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4"/>
                      <w:sz w:val="21"/>
                      <w:szCs w:val="21"/>
                      <w:highlight w:val="none"/>
                    </w:rPr>
                    <w:t>废白土</w:t>
                  </w:r>
                </w:p>
              </w:tc>
              <w:tc>
                <w:tcPr>
                  <w:tcW w:w="751" w:type="pct"/>
                  <w:vAlign w:val="center"/>
                </w:tcPr>
                <w:p w14:paraId="1CEE950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全部处理或利用（例如回</w:t>
                  </w:r>
                  <w:r>
                    <w:rPr>
                      <w:rFonts w:hint="eastAsia" w:ascii="宋体" w:hAnsi="宋体" w:eastAsia="宋体" w:cs="宋体"/>
                      <w:color w:val="auto"/>
                      <w:spacing w:val="21"/>
                      <w:sz w:val="21"/>
                      <w:szCs w:val="21"/>
                      <w:highlight w:val="none"/>
                    </w:rPr>
                    <w:t>收废油脂等）</w:t>
                  </w:r>
                </w:p>
              </w:tc>
              <w:tc>
                <w:tcPr>
                  <w:tcW w:w="765" w:type="pct"/>
                  <w:vAlign w:val="center"/>
                </w:tcPr>
                <w:p w14:paraId="766360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集中堆放（采取防渗和防</w:t>
                  </w:r>
                  <w:r>
                    <w:rPr>
                      <w:rFonts w:hint="eastAsia" w:ascii="宋体" w:hAnsi="宋体" w:eastAsia="宋体" w:cs="宋体"/>
                      <w:color w:val="auto"/>
                      <w:spacing w:val="23"/>
                      <w:sz w:val="21"/>
                      <w:szCs w:val="21"/>
                      <w:highlight w:val="none"/>
                    </w:rPr>
                    <w:t>雨措施）并按规定进行处理</w:t>
                  </w:r>
                </w:p>
              </w:tc>
              <w:tc>
                <w:tcPr>
                  <w:tcW w:w="1172" w:type="pct"/>
                  <w:tcBorders>
                    <w:right w:val="single" w:color="000000" w:sz="4" w:space="0"/>
                  </w:tcBorders>
                  <w:vAlign w:val="center"/>
                </w:tcPr>
                <w:p w14:paraId="68A35B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集中堆放与处理</w:t>
                  </w:r>
                  <w:r>
                    <w:rPr>
                      <w:rFonts w:hint="eastAsia" w:ascii="宋体" w:hAnsi="宋体" w:eastAsia="宋体" w:cs="宋体"/>
                      <w:color w:val="auto"/>
                      <w:spacing w:val="19"/>
                      <w:sz w:val="21"/>
                      <w:szCs w:val="21"/>
                      <w:highlight w:val="none"/>
                    </w:rPr>
                    <w:t>（外售或填埋）</w:t>
                  </w:r>
                </w:p>
              </w:tc>
              <w:tc>
                <w:tcPr>
                  <w:tcW w:w="833" w:type="pct"/>
                  <w:tcBorders>
                    <w:right w:val="single" w:color="000000" w:sz="4" w:space="0"/>
                  </w:tcBorders>
                  <w:vAlign w:val="center"/>
                </w:tcPr>
                <w:p w14:paraId="4B772E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由现有集中堆放升级为设置收集箱暂存，采用固废不落地，交企业综合利用</w:t>
                  </w:r>
                </w:p>
              </w:tc>
              <w:tc>
                <w:tcPr>
                  <w:tcW w:w="537" w:type="pct"/>
                  <w:tcBorders>
                    <w:right w:val="single" w:color="000000" w:sz="4" w:space="0"/>
                  </w:tcBorders>
                  <w:vAlign w:val="center"/>
                </w:tcPr>
                <w:p w14:paraId="7A7A41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二级</w:t>
                  </w:r>
                </w:p>
              </w:tc>
            </w:tr>
            <w:tr w14:paraId="54ED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3628" w:type="pct"/>
                  <w:gridSpan w:val="5"/>
                  <w:tcBorders>
                    <w:left w:val="single" w:color="000000" w:sz="4" w:space="0"/>
                    <w:right w:val="single" w:color="000000" w:sz="4" w:space="0"/>
                  </w:tcBorders>
                  <w:vAlign w:val="center"/>
                </w:tcPr>
                <w:p w14:paraId="0C342987">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pacing w:val="13"/>
                      <w:sz w:val="21"/>
                      <w:szCs w:val="21"/>
                      <w:highlight w:val="none"/>
                    </w:rPr>
                    <w:t>五、环境管理要求</w:t>
                  </w:r>
                </w:p>
              </w:tc>
              <w:tc>
                <w:tcPr>
                  <w:tcW w:w="833" w:type="pct"/>
                  <w:tcBorders>
                    <w:left w:val="single" w:color="000000" w:sz="4" w:space="0"/>
                    <w:right w:val="single" w:color="000000" w:sz="4" w:space="0"/>
                  </w:tcBorders>
                  <w:vAlign w:val="center"/>
                </w:tcPr>
                <w:p w14:paraId="7AD9B76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13"/>
                      <w:sz w:val="21"/>
                      <w:szCs w:val="21"/>
                      <w:highlight w:val="none"/>
                    </w:rPr>
                  </w:pPr>
                </w:p>
              </w:tc>
              <w:tc>
                <w:tcPr>
                  <w:tcW w:w="537" w:type="pct"/>
                  <w:tcBorders>
                    <w:left w:val="single" w:color="000000" w:sz="4" w:space="0"/>
                    <w:right w:val="single" w:color="000000" w:sz="4" w:space="0"/>
                  </w:tcBorders>
                  <w:vAlign w:val="center"/>
                </w:tcPr>
                <w:p w14:paraId="633CD9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13"/>
                      <w:sz w:val="21"/>
                      <w:szCs w:val="21"/>
                      <w:highlight w:val="none"/>
                    </w:rPr>
                  </w:pPr>
                </w:p>
              </w:tc>
            </w:tr>
            <w:tr w14:paraId="1B33C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939" w:type="pct"/>
                  <w:gridSpan w:val="2"/>
                  <w:tcBorders>
                    <w:left w:val="single" w:color="000000" w:sz="4" w:space="0"/>
                  </w:tcBorders>
                  <w:vAlign w:val="center"/>
                </w:tcPr>
                <w:p w14:paraId="527301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7"/>
                      <w:sz w:val="21"/>
                      <w:szCs w:val="21"/>
                      <w:highlight w:val="none"/>
                    </w:rPr>
                    <w:t>环保法律法规标准</w:t>
                  </w:r>
                </w:p>
              </w:tc>
              <w:tc>
                <w:tcPr>
                  <w:tcW w:w="2688" w:type="pct"/>
                  <w:gridSpan w:val="3"/>
                  <w:tcBorders>
                    <w:right w:val="single" w:color="000000" w:sz="4" w:space="0"/>
                  </w:tcBorders>
                  <w:vAlign w:val="center"/>
                </w:tcPr>
                <w:p w14:paraId="04710132">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2"/>
                      <w:sz w:val="21"/>
                      <w:szCs w:val="21"/>
                      <w:highlight w:val="none"/>
                    </w:rPr>
                    <w:t>符合国家和地方有关环境法律、法规、总量控制要求和排</w:t>
                  </w:r>
                  <w:r>
                    <w:rPr>
                      <w:rFonts w:hint="eastAsia" w:ascii="宋体" w:hAnsi="宋体" w:eastAsia="宋体" w:cs="宋体"/>
                      <w:color w:val="auto"/>
                      <w:spacing w:val="31"/>
                      <w:sz w:val="21"/>
                      <w:szCs w:val="21"/>
                      <w:highlight w:val="none"/>
                    </w:rPr>
                    <w:t>污许可证管理要求，</w:t>
                  </w:r>
                  <w:r>
                    <w:rPr>
                      <w:rFonts w:hint="eastAsia" w:ascii="宋体" w:hAnsi="宋体" w:eastAsia="宋体" w:cs="宋体"/>
                      <w:color w:val="auto"/>
                      <w:spacing w:val="14"/>
                      <w:sz w:val="21"/>
                      <w:szCs w:val="21"/>
                      <w:highlight w:val="none"/>
                    </w:rPr>
                    <w:t>污染物排放达到国家或地方排放标准，包括污水</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z w:val="21"/>
                      <w:szCs w:val="21"/>
                      <w:highlight w:val="none"/>
                    </w:rPr>
                    <w:t>GB</w:t>
                  </w:r>
                  <w:r>
                    <w:rPr>
                      <w:rFonts w:hint="eastAsia" w:ascii="宋体" w:hAnsi="宋体" w:eastAsia="宋体" w:cs="宋体"/>
                      <w:color w:val="auto"/>
                      <w:spacing w:val="14"/>
                      <w:sz w:val="21"/>
                      <w:szCs w:val="21"/>
                      <w:highlight w:val="none"/>
                    </w:rPr>
                    <w:t>8978</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pacing w:val="14"/>
                      <w:sz w:val="21"/>
                      <w:szCs w:val="21"/>
                      <w:highlight w:val="none"/>
                    </w:rPr>
                    <w:t>、大气</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z w:val="21"/>
                      <w:szCs w:val="21"/>
                      <w:highlight w:val="none"/>
                    </w:rPr>
                    <w:t>GB</w:t>
                  </w:r>
                  <w:r>
                    <w:rPr>
                      <w:rFonts w:hint="eastAsia" w:ascii="宋体" w:hAnsi="宋体" w:eastAsia="宋体" w:cs="宋体"/>
                      <w:color w:val="auto"/>
                      <w:spacing w:val="13"/>
                      <w:sz w:val="21"/>
                      <w:szCs w:val="21"/>
                      <w:highlight w:val="none"/>
                    </w:rPr>
                    <w:t>16297</w:t>
                  </w:r>
                  <w:r>
                    <w:rPr>
                      <w:rFonts w:hint="eastAsia" w:ascii="宋体" w:hAnsi="宋体" w:eastAsia="宋体" w:cs="宋体"/>
                      <w:color w:val="auto"/>
                      <w:spacing w:val="13"/>
                      <w:sz w:val="21"/>
                      <w:szCs w:val="21"/>
                      <w:highlight w:val="none"/>
                      <w:lang w:eastAsia="zh-CN"/>
                    </w:rPr>
                    <w:t>）</w:t>
                  </w:r>
                  <w:r>
                    <w:rPr>
                      <w:rFonts w:hint="eastAsia" w:ascii="宋体" w:hAnsi="宋体" w:eastAsia="宋体" w:cs="宋体"/>
                      <w:color w:val="auto"/>
                      <w:spacing w:val="13"/>
                      <w:sz w:val="21"/>
                      <w:szCs w:val="21"/>
                      <w:highlight w:val="none"/>
                    </w:rPr>
                    <w:t>综</w:t>
                  </w:r>
                  <w:r>
                    <w:rPr>
                      <w:rFonts w:hint="eastAsia" w:ascii="宋体" w:hAnsi="宋体" w:eastAsia="宋体" w:cs="宋体"/>
                      <w:color w:val="auto"/>
                      <w:spacing w:val="16"/>
                      <w:sz w:val="21"/>
                      <w:szCs w:val="21"/>
                      <w:highlight w:val="none"/>
                    </w:rPr>
                    <w:t>合排放标准，以及锅炉大气排放标准</w:t>
                  </w:r>
                  <w:r>
                    <w:rPr>
                      <w:rFonts w:hint="eastAsia" w:ascii="宋体" w:hAnsi="宋体" w:eastAsia="宋体" w:cs="宋体"/>
                      <w:color w:val="auto"/>
                      <w:spacing w:val="16"/>
                      <w:sz w:val="21"/>
                      <w:szCs w:val="21"/>
                      <w:highlight w:val="none"/>
                      <w:lang w:eastAsia="zh-CN"/>
                    </w:rPr>
                    <w:t>（</w:t>
                  </w:r>
                  <w:r>
                    <w:rPr>
                      <w:rFonts w:hint="eastAsia" w:ascii="宋体" w:hAnsi="宋体" w:eastAsia="宋体" w:cs="宋体"/>
                      <w:color w:val="auto"/>
                      <w:sz w:val="21"/>
                      <w:szCs w:val="21"/>
                      <w:highlight w:val="none"/>
                    </w:rPr>
                    <w:t>GB</w:t>
                  </w:r>
                  <w:r>
                    <w:rPr>
                      <w:rFonts w:hint="eastAsia" w:ascii="宋体" w:hAnsi="宋体" w:eastAsia="宋体" w:cs="宋体"/>
                      <w:color w:val="auto"/>
                      <w:spacing w:val="16"/>
                      <w:sz w:val="21"/>
                      <w:szCs w:val="21"/>
                      <w:highlight w:val="none"/>
                    </w:rPr>
                    <w:t>13271</w:t>
                  </w:r>
                  <w:r>
                    <w:rPr>
                      <w:rFonts w:hint="eastAsia" w:ascii="宋体" w:hAnsi="宋体" w:eastAsia="宋体" w:cs="宋体"/>
                      <w:color w:val="auto"/>
                      <w:spacing w:val="16"/>
                      <w:sz w:val="21"/>
                      <w:szCs w:val="21"/>
                      <w:highlight w:val="none"/>
                      <w:lang w:eastAsia="zh-CN"/>
                    </w:rPr>
                    <w:t>）</w:t>
                  </w:r>
                  <w:r>
                    <w:rPr>
                      <w:rFonts w:hint="eastAsia" w:ascii="宋体" w:hAnsi="宋体" w:eastAsia="宋体" w:cs="宋体"/>
                      <w:color w:val="auto"/>
                      <w:spacing w:val="16"/>
                      <w:sz w:val="21"/>
                      <w:szCs w:val="21"/>
                      <w:highlight w:val="none"/>
                    </w:rPr>
                    <w:t>。</w:t>
                  </w:r>
                </w:p>
              </w:tc>
              <w:tc>
                <w:tcPr>
                  <w:tcW w:w="833" w:type="pct"/>
                  <w:tcBorders>
                    <w:right w:val="single" w:color="000000" w:sz="4" w:space="0"/>
                  </w:tcBorders>
                  <w:vAlign w:val="center"/>
                </w:tcPr>
                <w:p w14:paraId="1F8069B3">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32"/>
                      <w:sz w:val="21"/>
                      <w:szCs w:val="21"/>
                      <w:highlight w:val="none"/>
                      <w:lang w:val="en-US" w:eastAsia="zh-CN"/>
                    </w:rPr>
                  </w:pPr>
                  <w:r>
                    <w:rPr>
                      <w:rFonts w:hint="eastAsia" w:ascii="宋体" w:hAnsi="宋体" w:eastAsia="宋体" w:cs="宋体"/>
                      <w:color w:val="auto"/>
                      <w:spacing w:val="32"/>
                      <w:sz w:val="21"/>
                      <w:szCs w:val="21"/>
                      <w:highlight w:val="none"/>
                    </w:rPr>
                    <w:t>废气、废水污染物排放达到相应国家排放标准、各污染物排放量满足总量控制指标和排污许可管理要求</w:t>
                  </w:r>
                </w:p>
              </w:tc>
              <w:tc>
                <w:tcPr>
                  <w:tcW w:w="537" w:type="pct"/>
                  <w:tcBorders>
                    <w:right w:val="single" w:color="000000" w:sz="4" w:space="0"/>
                  </w:tcBorders>
                  <w:vAlign w:val="center"/>
                </w:tcPr>
                <w:p w14:paraId="7CDD230D">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32"/>
                      <w:sz w:val="21"/>
                      <w:szCs w:val="21"/>
                      <w:highlight w:val="none"/>
                      <w:lang w:val="en-US" w:eastAsia="zh-CN"/>
                    </w:rPr>
                  </w:pPr>
                  <w:r>
                    <w:rPr>
                      <w:rFonts w:hint="eastAsia" w:ascii="宋体" w:hAnsi="宋体" w:eastAsia="宋体" w:cs="宋体"/>
                      <w:color w:val="auto"/>
                      <w:spacing w:val="32"/>
                      <w:sz w:val="21"/>
                      <w:szCs w:val="21"/>
                      <w:highlight w:val="none"/>
                      <w:lang w:val="en-US" w:eastAsia="zh-CN"/>
                    </w:rPr>
                    <w:t>一级</w:t>
                  </w:r>
                </w:p>
              </w:tc>
            </w:tr>
            <w:tr w14:paraId="7194E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jc w:val="center"/>
              </w:trPr>
              <w:tc>
                <w:tcPr>
                  <w:tcW w:w="939" w:type="pct"/>
                  <w:gridSpan w:val="2"/>
                  <w:tcBorders>
                    <w:left w:val="single" w:color="000000" w:sz="4" w:space="0"/>
                  </w:tcBorders>
                  <w:vAlign w:val="center"/>
                </w:tcPr>
                <w:p w14:paraId="7CB0CE1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8"/>
                      <w:sz w:val="21"/>
                      <w:szCs w:val="21"/>
                      <w:highlight w:val="none"/>
                    </w:rPr>
                    <w:t>环境审核和食品安全保证</w:t>
                  </w:r>
                </w:p>
              </w:tc>
              <w:tc>
                <w:tcPr>
                  <w:tcW w:w="751" w:type="pct"/>
                  <w:vAlign w:val="center"/>
                </w:tcPr>
                <w:p w14:paraId="6EC7559A">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9"/>
                      <w:sz w:val="21"/>
                      <w:szCs w:val="21"/>
                      <w:highlight w:val="none"/>
                    </w:rPr>
                    <w:t>按照食用植物油行业企业清洁生产审核指南进行了审</w:t>
                  </w:r>
                  <w:r>
                    <w:rPr>
                      <w:rFonts w:hint="eastAsia" w:ascii="宋体" w:hAnsi="宋体" w:eastAsia="宋体" w:cs="宋体"/>
                      <w:color w:val="auto"/>
                      <w:spacing w:val="1"/>
                      <w:sz w:val="21"/>
                      <w:szCs w:val="21"/>
                      <w:highlight w:val="none"/>
                    </w:rPr>
                    <w:t>核；按照</w:t>
                  </w:r>
                  <w:r>
                    <w:rPr>
                      <w:rFonts w:hint="eastAsia" w:ascii="宋体" w:hAnsi="宋体" w:eastAsia="宋体" w:cs="宋体"/>
                      <w:color w:val="auto"/>
                      <w:sz w:val="21"/>
                      <w:szCs w:val="21"/>
                      <w:highlight w:val="none"/>
                    </w:rPr>
                    <w:t>GB</w:t>
                  </w:r>
                  <w:r>
                    <w:rPr>
                      <w:rFonts w:hint="eastAsia" w:ascii="宋体" w:hAnsi="宋体" w:eastAsia="宋体" w:cs="宋体"/>
                      <w:color w:val="auto"/>
                      <w:spacing w:val="1"/>
                      <w:sz w:val="21"/>
                      <w:szCs w:val="21"/>
                      <w:highlight w:val="none"/>
                    </w:rPr>
                    <w:t>/T24001建立</w:t>
                  </w:r>
                  <w:r>
                    <w:rPr>
                      <w:rFonts w:hint="eastAsia" w:ascii="宋体" w:hAnsi="宋体" w:eastAsia="宋体" w:cs="宋体"/>
                      <w:color w:val="auto"/>
                      <w:spacing w:val="23"/>
                      <w:sz w:val="21"/>
                      <w:szCs w:val="21"/>
                      <w:highlight w:val="none"/>
                    </w:rPr>
                    <w:t>并运行环境管理体系，环境管理手册、程序文件及作业</w:t>
                  </w:r>
                  <w:r>
                    <w:rPr>
                      <w:rFonts w:hint="eastAsia" w:ascii="宋体" w:hAnsi="宋体" w:eastAsia="宋体" w:cs="宋体"/>
                      <w:color w:val="auto"/>
                      <w:spacing w:val="5"/>
                      <w:sz w:val="21"/>
                      <w:szCs w:val="21"/>
                      <w:highlight w:val="none"/>
                    </w:rPr>
                    <w:t>文件齐备；并通过</w:t>
                  </w:r>
                  <w:r>
                    <w:rPr>
                      <w:rFonts w:hint="eastAsia" w:ascii="宋体" w:hAnsi="宋体" w:eastAsia="宋体" w:cs="宋体"/>
                      <w:color w:val="auto"/>
                      <w:sz w:val="21"/>
                      <w:szCs w:val="21"/>
                      <w:highlight w:val="none"/>
                    </w:rPr>
                    <w:t>HACCP</w:t>
                  </w:r>
                  <w:r>
                    <w:rPr>
                      <w:rFonts w:hint="eastAsia" w:ascii="宋体" w:hAnsi="宋体" w:eastAsia="宋体" w:cs="宋体"/>
                      <w:color w:val="auto"/>
                      <w:spacing w:val="22"/>
                      <w:sz w:val="21"/>
                      <w:szCs w:val="21"/>
                      <w:highlight w:val="none"/>
                    </w:rPr>
                    <w:t>认证</w:t>
                  </w:r>
                </w:p>
              </w:tc>
              <w:tc>
                <w:tcPr>
                  <w:tcW w:w="765" w:type="pct"/>
                  <w:vAlign w:val="center"/>
                </w:tcPr>
                <w:p w14:paraId="521EFBB2">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9"/>
                      <w:sz w:val="21"/>
                      <w:szCs w:val="21"/>
                      <w:highlight w:val="none"/>
                    </w:rPr>
                    <w:t>按照食用植物油行业企业清洁生产审核指南进行了审</w:t>
                  </w:r>
                  <w:r>
                    <w:rPr>
                      <w:rFonts w:hint="eastAsia" w:ascii="宋体" w:hAnsi="宋体" w:eastAsia="宋体" w:cs="宋体"/>
                      <w:color w:val="auto"/>
                      <w:spacing w:val="20"/>
                      <w:sz w:val="21"/>
                      <w:szCs w:val="21"/>
                      <w:highlight w:val="none"/>
                    </w:rPr>
                    <w:t>核；环境管理制度健全，原</w:t>
                  </w:r>
                  <w:r>
                    <w:rPr>
                      <w:rFonts w:hint="eastAsia" w:ascii="宋体" w:hAnsi="宋体" w:eastAsia="宋体" w:cs="宋体"/>
                      <w:color w:val="auto"/>
                      <w:spacing w:val="9"/>
                      <w:sz w:val="21"/>
                      <w:szCs w:val="21"/>
                      <w:highlight w:val="none"/>
                    </w:rPr>
                    <w:t>始记录及统计数据齐全有</w:t>
                  </w:r>
                  <w:r>
                    <w:rPr>
                      <w:rFonts w:hint="eastAsia" w:ascii="宋体" w:hAnsi="宋体" w:eastAsia="宋体" w:cs="宋体"/>
                      <w:color w:val="auto"/>
                      <w:spacing w:val="11"/>
                      <w:sz w:val="21"/>
                      <w:szCs w:val="21"/>
                      <w:highlight w:val="none"/>
                    </w:rPr>
                    <w:t>效；具备</w:t>
                  </w:r>
                  <w:r>
                    <w:rPr>
                      <w:rFonts w:hint="eastAsia" w:ascii="宋体" w:hAnsi="宋体" w:eastAsia="宋体" w:cs="宋体"/>
                      <w:color w:val="auto"/>
                      <w:sz w:val="21"/>
                      <w:szCs w:val="21"/>
                      <w:highlight w:val="none"/>
                    </w:rPr>
                    <w:t>HACCP</w:t>
                  </w:r>
                  <w:r>
                    <w:rPr>
                      <w:rFonts w:hint="eastAsia" w:ascii="宋体" w:hAnsi="宋体" w:eastAsia="宋体" w:cs="宋体"/>
                      <w:color w:val="auto"/>
                      <w:spacing w:val="11"/>
                      <w:sz w:val="21"/>
                      <w:szCs w:val="21"/>
                      <w:highlight w:val="none"/>
                    </w:rPr>
                    <w:t>认证条件</w:t>
                  </w:r>
                </w:p>
              </w:tc>
              <w:tc>
                <w:tcPr>
                  <w:tcW w:w="1172" w:type="pct"/>
                  <w:tcBorders>
                    <w:right w:val="single" w:color="000000" w:sz="4" w:space="0"/>
                  </w:tcBorders>
                  <w:vAlign w:val="center"/>
                </w:tcPr>
                <w:p w14:paraId="4DE2A6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按照食用植物油行业企业清洁生产审核</w:t>
                  </w:r>
                  <w:r>
                    <w:rPr>
                      <w:rFonts w:hint="eastAsia" w:ascii="宋体" w:hAnsi="宋体" w:eastAsia="宋体" w:cs="宋体"/>
                      <w:color w:val="auto"/>
                      <w:spacing w:val="7"/>
                      <w:sz w:val="21"/>
                      <w:szCs w:val="21"/>
                      <w:highlight w:val="none"/>
                    </w:rPr>
                    <w:t>指南进行了审核；环</w:t>
                  </w:r>
                  <w:r>
                    <w:rPr>
                      <w:rFonts w:hint="eastAsia" w:ascii="宋体" w:hAnsi="宋体" w:eastAsia="宋体" w:cs="宋体"/>
                      <w:color w:val="auto"/>
                      <w:spacing w:val="14"/>
                      <w:sz w:val="21"/>
                      <w:szCs w:val="21"/>
                      <w:highlight w:val="none"/>
                    </w:rPr>
                    <w:t>境管理制度、原始记</w:t>
                  </w:r>
                  <w:r>
                    <w:rPr>
                      <w:rFonts w:hint="eastAsia" w:ascii="宋体" w:hAnsi="宋体" w:eastAsia="宋体" w:cs="宋体"/>
                      <w:color w:val="auto"/>
                      <w:spacing w:val="11"/>
                      <w:sz w:val="21"/>
                      <w:szCs w:val="21"/>
                      <w:highlight w:val="none"/>
                    </w:rPr>
                    <w:t>录及统计数据基本齐</w:t>
                  </w:r>
                  <w:r>
                    <w:rPr>
                      <w:rFonts w:hint="eastAsia" w:ascii="宋体" w:hAnsi="宋体" w:eastAsia="宋体" w:cs="宋体"/>
                      <w:color w:val="auto"/>
                      <w:spacing w:val="13"/>
                      <w:sz w:val="21"/>
                      <w:szCs w:val="21"/>
                      <w:highlight w:val="none"/>
                    </w:rPr>
                    <w:t>全</w:t>
                  </w:r>
                </w:p>
              </w:tc>
              <w:tc>
                <w:tcPr>
                  <w:tcW w:w="833" w:type="pct"/>
                  <w:tcBorders>
                    <w:right w:val="single" w:color="000000" w:sz="4" w:space="0"/>
                  </w:tcBorders>
                  <w:vAlign w:val="center"/>
                </w:tcPr>
                <w:p w14:paraId="1D7EAB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9"/>
                      <w:sz w:val="21"/>
                      <w:szCs w:val="21"/>
                      <w:highlight w:val="none"/>
                      <w:lang w:val="en-US" w:eastAsia="zh-CN"/>
                    </w:rPr>
                  </w:pPr>
                  <w:r>
                    <w:rPr>
                      <w:rFonts w:hint="eastAsia" w:ascii="宋体" w:hAnsi="宋体" w:eastAsia="宋体" w:cs="宋体"/>
                      <w:color w:val="auto"/>
                      <w:spacing w:val="9"/>
                      <w:sz w:val="21"/>
                      <w:szCs w:val="21"/>
                      <w:highlight w:val="none"/>
                      <w:lang w:val="en-US" w:eastAsia="zh-CN"/>
                    </w:rPr>
                    <w:t>企业，建立了环境管理制度，原始记录级统计数据基本齐全</w:t>
                  </w:r>
                </w:p>
              </w:tc>
              <w:tc>
                <w:tcPr>
                  <w:tcW w:w="537" w:type="pct"/>
                  <w:tcBorders>
                    <w:right w:val="single" w:color="000000" w:sz="4" w:space="0"/>
                  </w:tcBorders>
                  <w:vAlign w:val="center"/>
                </w:tcPr>
                <w:p w14:paraId="134002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9"/>
                      <w:sz w:val="21"/>
                      <w:szCs w:val="21"/>
                      <w:highlight w:val="none"/>
                      <w:lang w:val="en-US" w:eastAsia="zh-CN"/>
                    </w:rPr>
                  </w:pPr>
                  <w:r>
                    <w:rPr>
                      <w:rFonts w:hint="eastAsia" w:ascii="宋体" w:hAnsi="宋体" w:eastAsia="宋体" w:cs="宋体"/>
                      <w:color w:val="auto"/>
                      <w:spacing w:val="9"/>
                      <w:sz w:val="21"/>
                      <w:szCs w:val="21"/>
                      <w:highlight w:val="none"/>
                      <w:lang w:val="en-US" w:eastAsia="zh-CN"/>
                    </w:rPr>
                    <w:t>三级</w:t>
                  </w:r>
                </w:p>
              </w:tc>
            </w:tr>
            <w:tr w14:paraId="0F574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304" w:type="pct"/>
                  <w:vMerge w:val="restart"/>
                  <w:tcBorders>
                    <w:left w:val="single" w:color="000000" w:sz="4" w:space="0"/>
                    <w:bottom w:val="nil"/>
                  </w:tcBorders>
                  <w:vAlign w:val="center"/>
                </w:tcPr>
                <w:p w14:paraId="7F147AE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环境管理</w:t>
                  </w:r>
                </w:p>
              </w:tc>
              <w:tc>
                <w:tcPr>
                  <w:tcW w:w="634" w:type="pct"/>
                  <w:vAlign w:val="center"/>
                </w:tcPr>
                <w:p w14:paraId="37B1F08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7"/>
                      <w:sz w:val="21"/>
                      <w:szCs w:val="21"/>
                      <w:highlight w:val="none"/>
                    </w:rPr>
                    <w:t>环境管理机构</w:t>
                  </w:r>
                </w:p>
              </w:tc>
              <w:tc>
                <w:tcPr>
                  <w:tcW w:w="2688" w:type="pct"/>
                  <w:gridSpan w:val="3"/>
                  <w:tcBorders>
                    <w:right w:val="single" w:color="000000" w:sz="4" w:space="0"/>
                  </w:tcBorders>
                  <w:vAlign w:val="center"/>
                </w:tcPr>
                <w:p w14:paraId="68EA54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8"/>
                      <w:sz w:val="21"/>
                      <w:szCs w:val="21"/>
                      <w:highlight w:val="none"/>
                    </w:rPr>
                    <w:t>建立并有专人负责</w:t>
                  </w:r>
                </w:p>
              </w:tc>
              <w:tc>
                <w:tcPr>
                  <w:tcW w:w="833" w:type="pct"/>
                  <w:tcBorders>
                    <w:right w:val="single" w:color="000000" w:sz="4" w:space="0"/>
                  </w:tcBorders>
                  <w:vAlign w:val="center"/>
                </w:tcPr>
                <w:p w14:paraId="7538BD2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8"/>
                      <w:sz w:val="21"/>
                      <w:szCs w:val="21"/>
                      <w:highlight w:val="none"/>
                      <w:lang w:val="en-US" w:eastAsia="zh-CN"/>
                    </w:rPr>
                  </w:pPr>
                  <w:r>
                    <w:rPr>
                      <w:rFonts w:hint="eastAsia" w:ascii="宋体" w:hAnsi="宋体" w:eastAsia="宋体" w:cs="宋体"/>
                      <w:color w:val="auto"/>
                      <w:spacing w:val="28"/>
                      <w:sz w:val="21"/>
                      <w:szCs w:val="21"/>
                      <w:highlight w:val="none"/>
                      <w:lang w:val="en-US" w:eastAsia="zh-CN"/>
                    </w:rPr>
                    <w:t>建立安环保卫部，并设置专人负责环保工作</w:t>
                  </w:r>
                </w:p>
              </w:tc>
              <w:tc>
                <w:tcPr>
                  <w:tcW w:w="537" w:type="pct"/>
                  <w:tcBorders>
                    <w:right w:val="single" w:color="000000" w:sz="4" w:space="0"/>
                  </w:tcBorders>
                  <w:vAlign w:val="center"/>
                </w:tcPr>
                <w:p w14:paraId="3545BC9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8"/>
                      <w:sz w:val="21"/>
                      <w:szCs w:val="21"/>
                      <w:highlight w:val="none"/>
                      <w:lang w:val="en-US" w:eastAsia="zh-CN"/>
                    </w:rPr>
                  </w:pPr>
                  <w:r>
                    <w:rPr>
                      <w:rFonts w:hint="eastAsia" w:ascii="宋体" w:hAnsi="宋体" w:eastAsia="宋体" w:cs="宋体"/>
                      <w:color w:val="auto"/>
                      <w:spacing w:val="28"/>
                      <w:sz w:val="21"/>
                      <w:szCs w:val="21"/>
                      <w:highlight w:val="none"/>
                      <w:lang w:val="en-US" w:eastAsia="zh-CN"/>
                    </w:rPr>
                    <w:t>一级</w:t>
                  </w:r>
                </w:p>
              </w:tc>
            </w:tr>
            <w:tr w14:paraId="5C485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jc w:val="center"/>
              </w:trPr>
              <w:tc>
                <w:tcPr>
                  <w:tcW w:w="304" w:type="pct"/>
                  <w:vMerge w:val="continue"/>
                  <w:tcBorders>
                    <w:top w:val="nil"/>
                    <w:left w:val="single" w:color="000000" w:sz="4" w:space="0"/>
                    <w:bottom w:val="nil"/>
                  </w:tcBorders>
                  <w:textDirection w:val="tbRlV"/>
                  <w:vAlign w:val="center"/>
                </w:tcPr>
                <w:p w14:paraId="70A4C5C4">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634" w:type="pct"/>
                  <w:vAlign w:val="center"/>
                </w:tcPr>
                <w:p w14:paraId="1CC64B8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7"/>
                      <w:sz w:val="21"/>
                      <w:szCs w:val="21"/>
                      <w:highlight w:val="none"/>
                    </w:rPr>
                    <w:t>环境管理制度</w:t>
                  </w:r>
                </w:p>
              </w:tc>
              <w:tc>
                <w:tcPr>
                  <w:tcW w:w="1516" w:type="pct"/>
                  <w:gridSpan w:val="2"/>
                  <w:vAlign w:val="center"/>
                </w:tcPr>
                <w:p w14:paraId="548CA45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rPr>
                    <w:t>健全、完善并纳入日常管理</w:t>
                  </w:r>
                </w:p>
              </w:tc>
              <w:tc>
                <w:tcPr>
                  <w:tcW w:w="1172" w:type="pct"/>
                  <w:tcBorders>
                    <w:right w:val="single" w:color="000000" w:sz="4" w:space="0"/>
                  </w:tcBorders>
                  <w:vAlign w:val="center"/>
                </w:tcPr>
                <w:p w14:paraId="5B99B7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较完善的环境管理</w:t>
                  </w:r>
                  <w:r>
                    <w:rPr>
                      <w:rFonts w:hint="eastAsia" w:ascii="宋体" w:hAnsi="宋体" w:eastAsia="宋体" w:cs="宋体"/>
                      <w:color w:val="auto"/>
                      <w:spacing w:val="20"/>
                      <w:sz w:val="21"/>
                      <w:szCs w:val="21"/>
                      <w:highlight w:val="none"/>
                    </w:rPr>
                    <w:t>制度</w:t>
                  </w:r>
                </w:p>
              </w:tc>
              <w:tc>
                <w:tcPr>
                  <w:tcW w:w="833" w:type="pct"/>
                  <w:tcBorders>
                    <w:right w:val="single" w:color="000000" w:sz="4" w:space="0"/>
                  </w:tcBorders>
                  <w:vAlign w:val="center"/>
                </w:tcPr>
                <w:p w14:paraId="0A20AB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z w:val="21"/>
                      <w:szCs w:val="21"/>
                      <w:highlight w:val="none"/>
                    </w:rPr>
                    <w:t>设有完善的管理制度，并纳入日常管理，达国际清洁生产先进水平</w:t>
                  </w:r>
                </w:p>
              </w:tc>
              <w:tc>
                <w:tcPr>
                  <w:tcW w:w="537" w:type="pct"/>
                  <w:tcBorders>
                    <w:right w:val="single" w:color="000000" w:sz="4" w:space="0"/>
                  </w:tcBorders>
                  <w:vAlign w:val="center"/>
                </w:tcPr>
                <w:p w14:paraId="7B6733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一级</w:t>
                  </w:r>
                </w:p>
              </w:tc>
            </w:tr>
            <w:tr w14:paraId="47B96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jc w:val="center"/>
              </w:trPr>
              <w:tc>
                <w:tcPr>
                  <w:tcW w:w="304" w:type="pct"/>
                  <w:vMerge w:val="continue"/>
                  <w:tcBorders>
                    <w:top w:val="nil"/>
                    <w:left w:val="single" w:color="000000" w:sz="4" w:space="0"/>
                    <w:bottom w:val="nil"/>
                  </w:tcBorders>
                  <w:textDirection w:val="tbRlV"/>
                  <w:vAlign w:val="center"/>
                </w:tcPr>
                <w:p w14:paraId="4F95E79F">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1385" w:type="pct"/>
                  <w:gridSpan w:val="2"/>
                  <w:vAlign w:val="center"/>
                </w:tcPr>
                <w:p w14:paraId="521C5D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7"/>
                      <w:sz w:val="21"/>
                      <w:szCs w:val="21"/>
                      <w:highlight w:val="none"/>
                    </w:rPr>
                    <w:t>环境管理计划</w:t>
                  </w:r>
                </w:p>
              </w:tc>
              <w:tc>
                <w:tcPr>
                  <w:tcW w:w="765" w:type="pct"/>
                  <w:vAlign w:val="center"/>
                </w:tcPr>
                <w:p w14:paraId="3E9FF53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3"/>
                      <w:sz w:val="21"/>
                      <w:szCs w:val="21"/>
                      <w:highlight w:val="none"/>
                    </w:rPr>
                    <w:t>制定近、远期计划并监督实施</w:t>
                  </w:r>
                </w:p>
              </w:tc>
              <w:tc>
                <w:tcPr>
                  <w:tcW w:w="1172" w:type="pct"/>
                  <w:tcBorders>
                    <w:right w:val="single" w:color="000000" w:sz="4" w:space="0"/>
                  </w:tcBorders>
                  <w:vAlign w:val="center"/>
                </w:tcPr>
                <w:p w14:paraId="0C2F85A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制定日常计划并监</w:t>
                  </w:r>
                  <w:r>
                    <w:rPr>
                      <w:rFonts w:hint="eastAsia" w:ascii="宋体" w:hAnsi="宋体" w:eastAsia="宋体" w:cs="宋体"/>
                      <w:color w:val="auto"/>
                      <w:spacing w:val="24"/>
                      <w:sz w:val="21"/>
                      <w:szCs w:val="21"/>
                      <w:highlight w:val="none"/>
                    </w:rPr>
                    <w:t>督实施</w:t>
                  </w:r>
                </w:p>
              </w:tc>
              <w:tc>
                <w:tcPr>
                  <w:tcW w:w="833" w:type="pct"/>
                  <w:tcBorders>
                    <w:right w:val="single" w:color="000000" w:sz="4" w:space="0"/>
                  </w:tcBorders>
                  <w:vAlign w:val="center"/>
                </w:tcPr>
                <w:p w14:paraId="02BA2E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制定了日常计划并监督实施</w:t>
                  </w:r>
                </w:p>
              </w:tc>
              <w:tc>
                <w:tcPr>
                  <w:tcW w:w="537" w:type="pct"/>
                  <w:tcBorders>
                    <w:right w:val="single" w:color="000000" w:sz="4" w:space="0"/>
                  </w:tcBorders>
                  <w:vAlign w:val="center"/>
                </w:tcPr>
                <w:p w14:paraId="42A4557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三级</w:t>
                  </w:r>
                </w:p>
              </w:tc>
            </w:tr>
            <w:tr w14:paraId="0EB4B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jc w:val="center"/>
              </w:trPr>
              <w:tc>
                <w:tcPr>
                  <w:tcW w:w="304" w:type="pct"/>
                  <w:vMerge w:val="continue"/>
                  <w:tcBorders>
                    <w:top w:val="nil"/>
                    <w:left w:val="single" w:color="000000" w:sz="4" w:space="0"/>
                    <w:bottom w:val="single" w:color="000000" w:sz="4" w:space="0"/>
                  </w:tcBorders>
                  <w:textDirection w:val="tbRlV"/>
                  <w:vAlign w:val="center"/>
                </w:tcPr>
                <w:p w14:paraId="116C22FA">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1385" w:type="pct"/>
                  <w:gridSpan w:val="2"/>
                  <w:tcBorders>
                    <w:bottom w:val="single" w:color="000000" w:sz="4" w:space="0"/>
                  </w:tcBorders>
                  <w:vAlign w:val="center"/>
                </w:tcPr>
                <w:p w14:paraId="25485B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8"/>
                      <w:sz w:val="21"/>
                      <w:szCs w:val="21"/>
                      <w:highlight w:val="none"/>
                    </w:rPr>
                    <w:t>环保设施的运行管理</w:t>
                  </w:r>
                </w:p>
              </w:tc>
              <w:tc>
                <w:tcPr>
                  <w:tcW w:w="765" w:type="pct"/>
                  <w:tcBorders>
                    <w:bottom w:val="single" w:color="000000" w:sz="4" w:space="0"/>
                  </w:tcBorders>
                  <w:vAlign w:val="center"/>
                </w:tcPr>
                <w:p w14:paraId="7BA3123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9"/>
                      <w:sz w:val="21"/>
                      <w:szCs w:val="21"/>
                      <w:highlight w:val="none"/>
                    </w:rPr>
                    <w:t>记录运行数据并建立环保档案</w:t>
                  </w:r>
                </w:p>
              </w:tc>
              <w:tc>
                <w:tcPr>
                  <w:tcW w:w="1172" w:type="pct"/>
                  <w:tcBorders>
                    <w:bottom w:val="single" w:color="000000" w:sz="4" w:space="0"/>
                    <w:right w:val="single" w:color="000000" w:sz="4" w:space="0"/>
                  </w:tcBorders>
                  <w:vAlign w:val="center"/>
                </w:tcPr>
                <w:p w14:paraId="1702030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记录运行数据并进</w:t>
                  </w:r>
                  <w:r>
                    <w:rPr>
                      <w:rFonts w:hint="eastAsia" w:ascii="宋体" w:hAnsi="宋体" w:eastAsia="宋体" w:cs="宋体"/>
                      <w:color w:val="auto"/>
                      <w:spacing w:val="24"/>
                      <w:sz w:val="21"/>
                      <w:szCs w:val="21"/>
                      <w:highlight w:val="none"/>
                    </w:rPr>
                    <w:t>行统计</w:t>
                  </w:r>
                </w:p>
              </w:tc>
              <w:tc>
                <w:tcPr>
                  <w:tcW w:w="833" w:type="pct"/>
                  <w:tcBorders>
                    <w:bottom w:val="single" w:color="000000" w:sz="4" w:space="0"/>
                    <w:right w:val="single" w:color="000000" w:sz="4" w:space="0"/>
                  </w:tcBorders>
                  <w:vAlign w:val="center"/>
                </w:tcPr>
                <w:p w14:paraId="6FA5E5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记录运行数据，建立环保档案</w:t>
                  </w:r>
                </w:p>
              </w:tc>
              <w:tc>
                <w:tcPr>
                  <w:tcW w:w="537" w:type="pct"/>
                  <w:tcBorders>
                    <w:bottom w:val="single" w:color="000000" w:sz="4" w:space="0"/>
                    <w:right w:val="single" w:color="000000" w:sz="4" w:space="0"/>
                  </w:tcBorders>
                  <w:vAlign w:val="center"/>
                </w:tcPr>
                <w:p w14:paraId="783E611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8"/>
                      <w:sz w:val="21"/>
                      <w:szCs w:val="21"/>
                      <w:highlight w:val="none"/>
                      <w:lang w:val="en-US" w:eastAsia="zh-CN"/>
                    </w:rPr>
                  </w:pPr>
                  <w:r>
                    <w:rPr>
                      <w:rFonts w:hint="eastAsia" w:ascii="宋体" w:hAnsi="宋体" w:eastAsia="宋体" w:cs="宋体"/>
                      <w:color w:val="auto"/>
                      <w:spacing w:val="8"/>
                      <w:sz w:val="21"/>
                      <w:szCs w:val="21"/>
                      <w:highlight w:val="none"/>
                      <w:lang w:val="en-US" w:eastAsia="zh-CN"/>
                    </w:rPr>
                    <w:t>一级</w:t>
                  </w:r>
                </w:p>
              </w:tc>
            </w:tr>
            <w:tr w14:paraId="5B75C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jc w:val="center"/>
              </w:trPr>
              <w:tc>
                <w:tcPr>
                  <w:tcW w:w="304" w:type="pct"/>
                  <w:vMerge w:val="restart"/>
                  <w:tcBorders>
                    <w:left w:val="single" w:color="000000" w:sz="4" w:space="0"/>
                    <w:bottom w:val="nil"/>
                  </w:tcBorders>
                  <w:vAlign w:val="center"/>
                </w:tcPr>
                <w:p w14:paraId="586962C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环境管理</w:t>
                  </w:r>
                </w:p>
              </w:tc>
              <w:tc>
                <w:tcPr>
                  <w:tcW w:w="1385" w:type="pct"/>
                  <w:gridSpan w:val="2"/>
                  <w:vAlign w:val="center"/>
                </w:tcPr>
                <w:p w14:paraId="7F57AC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7"/>
                      <w:sz w:val="21"/>
                      <w:szCs w:val="21"/>
                      <w:highlight w:val="none"/>
                    </w:rPr>
                    <w:t>污染源监测系统</w:t>
                  </w:r>
                </w:p>
              </w:tc>
              <w:tc>
                <w:tcPr>
                  <w:tcW w:w="765" w:type="pct"/>
                  <w:vAlign w:val="center"/>
                </w:tcPr>
                <w:p w14:paraId="429F4D9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5"/>
                      <w:sz w:val="21"/>
                      <w:szCs w:val="21"/>
                      <w:highlight w:val="none"/>
                    </w:rPr>
                    <w:t>水、气主要污染源、主要污染物均具备自动监测手段</w:t>
                  </w:r>
                </w:p>
              </w:tc>
              <w:tc>
                <w:tcPr>
                  <w:tcW w:w="1172" w:type="pct"/>
                  <w:tcBorders>
                    <w:right w:val="single" w:color="000000" w:sz="4" w:space="0"/>
                  </w:tcBorders>
                  <w:vAlign w:val="center"/>
                </w:tcPr>
                <w:p w14:paraId="78F5E3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9"/>
                      <w:sz w:val="21"/>
                      <w:szCs w:val="21"/>
                      <w:highlight w:val="none"/>
                    </w:rPr>
                    <w:t>水、气主要污染源、</w:t>
                  </w:r>
                  <w:r>
                    <w:rPr>
                      <w:rFonts w:hint="eastAsia" w:ascii="宋体" w:hAnsi="宋体" w:eastAsia="宋体" w:cs="宋体"/>
                      <w:color w:val="auto"/>
                      <w:spacing w:val="11"/>
                      <w:sz w:val="21"/>
                      <w:szCs w:val="21"/>
                      <w:highlight w:val="none"/>
                    </w:rPr>
                    <w:t>主要污染物均具备监</w:t>
                  </w:r>
                  <w:r>
                    <w:rPr>
                      <w:rFonts w:hint="eastAsia" w:ascii="宋体" w:hAnsi="宋体" w:eastAsia="宋体" w:cs="宋体"/>
                      <w:color w:val="auto"/>
                      <w:spacing w:val="24"/>
                      <w:sz w:val="21"/>
                      <w:szCs w:val="21"/>
                      <w:highlight w:val="none"/>
                    </w:rPr>
                    <w:t>测手段</w:t>
                  </w:r>
                </w:p>
              </w:tc>
              <w:tc>
                <w:tcPr>
                  <w:tcW w:w="833" w:type="pct"/>
                  <w:tcBorders>
                    <w:right w:val="single" w:color="000000" w:sz="4" w:space="0"/>
                  </w:tcBorders>
                  <w:vAlign w:val="center"/>
                </w:tcPr>
                <w:p w14:paraId="5D45B1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9"/>
                      <w:sz w:val="21"/>
                      <w:szCs w:val="21"/>
                      <w:highlight w:val="none"/>
                      <w:lang w:val="en-US" w:eastAsia="zh-CN"/>
                    </w:rPr>
                  </w:pPr>
                  <w:r>
                    <w:rPr>
                      <w:rFonts w:hint="eastAsia" w:ascii="宋体" w:hAnsi="宋体" w:eastAsia="宋体" w:cs="宋体"/>
                      <w:color w:val="auto"/>
                      <w:spacing w:val="29"/>
                      <w:sz w:val="21"/>
                      <w:szCs w:val="21"/>
                      <w:highlight w:val="none"/>
                      <w:lang w:val="en-US" w:eastAsia="zh-CN"/>
                    </w:rPr>
                    <w:t>具备监测手段</w:t>
                  </w:r>
                </w:p>
              </w:tc>
              <w:tc>
                <w:tcPr>
                  <w:tcW w:w="537" w:type="pct"/>
                  <w:tcBorders>
                    <w:right w:val="single" w:color="000000" w:sz="4" w:space="0"/>
                  </w:tcBorders>
                  <w:vAlign w:val="center"/>
                </w:tcPr>
                <w:p w14:paraId="545062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9"/>
                      <w:sz w:val="21"/>
                      <w:szCs w:val="21"/>
                      <w:highlight w:val="none"/>
                    </w:rPr>
                  </w:pPr>
                  <w:r>
                    <w:rPr>
                      <w:rFonts w:hint="eastAsia" w:ascii="宋体" w:hAnsi="宋体" w:eastAsia="宋体" w:cs="宋体"/>
                      <w:color w:val="auto"/>
                      <w:spacing w:val="8"/>
                      <w:sz w:val="21"/>
                      <w:szCs w:val="21"/>
                      <w:highlight w:val="none"/>
                      <w:lang w:val="en-US" w:eastAsia="zh-CN"/>
                    </w:rPr>
                    <w:t>三级</w:t>
                  </w:r>
                </w:p>
              </w:tc>
            </w:tr>
            <w:tr w14:paraId="301B8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jc w:val="center"/>
              </w:trPr>
              <w:tc>
                <w:tcPr>
                  <w:tcW w:w="304" w:type="pct"/>
                  <w:vMerge w:val="continue"/>
                  <w:tcBorders>
                    <w:top w:val="nil"/>
                    <w:left w:val="single" w:color="000000" w:sz="4" w:space="0"/>
                  </w:tcBorders>
                  <w:textDirection w:val="tbRlV"/>
                  <w:vAlign w:val="center"/>
                </w:tcPr>
                <w:p w14:paraId="7DFD67AA">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1385" w:type="pct"/>
                  <w:gridSpan w:val="2"/>
                  <w:vAlign w:val="center"/>
                </w:tcPr>
                <w:p w14:paraId="03E4F29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5"/>
                      <w:sz w:val="21"/>
                      <w:szCs w:val="21"/>
                      <w:highlight w:val="none"/>
                    </w:rPr>
                    <w:t>信息交流</w:t>
                  </w:r>
                </w:p>
              </w:tc>
              <w:tc>
                <w:tcPr>
                  <w:tcW w:w="765" w:type="pct"/>
                  <w:vAlign w:val="center"/>
                </w:tcPr>
                <w:p w14:paraId="161B80B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8"/>
                      <w:sz w:val="21"/>
                      <w:szCs w:val="21"/>
                      <w:highlight w:val="none"/>
                    </w:rPr>
                    <w:t>具备计算机网络化管理系统</w:t>
                  </w:r>
                </w:p>
              </w:tc>
              <w:tc>
                <w:tcPr>
                  <w:tcW w:w="1172" w:type="pct"/>
                  <w:tcBorders>
                    <w:right w:val="single" w:color="000000" w:sz="4" w:space="0"/>
                  </w:tcBorders>
                  <w:vAlign w:val="center"/>
                </w:tcPr>
                <w:p w14:paraId="1AAE9A2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定期交流</w:t>
                  </w:r>
                </w:p>
              </w:tc>
              <w:tc>
                <w:tcPr>
                  <w:tcW w:w="833" w:type="pct"/>
                  <w:tcBorders>
                    <w:right w:val="single" w:color="000000" w:sz="4" w:space="0"/>
                  </w:tcBorders>
                  <w:vAlign w:val="center"/>
                </w:tcPr>
                <w:p w14:paraId="49FD60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6"/>
                      <w:sz w:val="21"/>
                      <w:szCs w:val="21"/>
                      <w:highlight w:val="none"/>
                    </w:rPr>
                  </w:pPr>
                  <w:r>
                    <w:rPr>
                      <w:rFonts w:hint="eastAsia" w:ascii="宋体" w:hAnsi="宋体" w:eastAsia="宋体" w:cs="宋体"/>
                      <w:color w:val="auto"/>
                      <w:spacing w:val="28"/>
                      <w:sz w:val="21"/>
                      <w:szCs w:val="21"/>
                      <w:highlight w:val="none"/>
                    </w:rPr>
                    <w:t>具备计算机网络化管理系统</w:t>
                  </w:r>
                </w:p>
              </w:tc>
              <w:tc>
                <w:tcPr>
                  <w:tcW w:w="537" w:type="pct"/>
                  <w:tcBorders>
                    <w:right w:val="single" w:color="000000" w:sz="4" w:space="0"/>
                  </w:tcBorders>
                  <w:vAlign w:val="center"/>
                </w:tcPr>
                <w:p w14:paraId="66029B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6"/>
                      <w:sz w:val="21"/>
                      <w:szCs w:val="21"/>
                      <w:highlight w:val="none"/>
                    </w:rPr>
                  </w:pPr>
                  <w:r>
                    <w:rPr>
                      <w:rFonts w:hint="eastAsia" w:ascii="宋体" w:hAnsi="宋体" w:eastAsia="宋体" w:cs="宋体"/>
                      <w:color w:val="auto"/>
                      <w:spacing w:val="8"/>
                      <w:sz w:val="21"/>
                      <w:szCs w:val="21"/>
                      <w:highlight w:val="none"/>
                      <w:lang w:val="en-US" w:eastAsia="zh-CN"/>
                    </w:rPr>
                    <w:t>一级</w:t>
                  </w:r>
                </w:p>
              </w:tc>
            </w:tr>
            <w:tr w14:paraId="037D6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jc w:val="center"/>
              </w:trPr>
              <w:tc>
                <w:tcPr>
                  <w:tcW w:w="304" w:type="pct"/>
                  <w:vMerge w:val="restart"/>
                  <w:tcBorders>
                    <w:left w:val="single" w:color="000000" w:sz="4" w:space="0"/>
                    <w:bottom w:val="nil"/>
                  </w:tcBorders>
                  <w:vAlign w:val="center"/>
                </w:tcPr>
                <w:p w14:paraId="379324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7"/>
                      <w:sz w:val="21"/>
                      <w:szCs w:val="21"/>
                      <w:highlight w:val="none"/>
                    </w:rPr>
                    <w:t>相关方环境管理</w:t>
                  </w:r>
                </w:p>
              </w:tc>
              <w:tc>
                <w:tcPr>
                  <w:tcW w:w="1385" w:type="pct"/>
                  <w:gridSpan w:val="2"/>
                  <w:vAlign w:val="center"/>
                </w:tcPr>
                <w:p w14:paraId="1897C67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原辅料供应方、协作</w:t>
                  </w:r>
                  <w:r>
                    <w:rPr>
                      <w:rFonts w:hint="eastAsia" w:ascii="宋体" w:hAnsi="宋体" w:eastAsia="宋体" w:cs="宋体"/>
                      <w:color w:val="auto"/>
                      <w:spacing w:val="19"/>
                      <w:sz w:val="21"/>
                      <w:szCs w:val="21"/>
                      <w:highlight w:val="none"/>
                    </w:rPr>
                    <w:t>方、服务方</w:t>
                  </w:r>
                </w:p>
              </w:tc>
              <w:tc>
                <w:tcPr>
                  <w:tcW w:w="1937" w:type="pct"/>
                  <w:gridSpan w:val="2"/>
                  <w:tcBorders>
                    <w:right w:val="single" w:color="000000" w:sz="4" w:space="0"/>
                  </w:tcBorders>
                  <w:vAlign w:val="center"/>
                </w:tcPr>
                <w:p w14:paraId="408B28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6"/>
                      <w:sz w:val="21"/>
                      <w:szCs w:val="21"/>
                      <w:highlight w:val="none"/>
                    </w:rPr>
                    <w:t>服务协议中要明确原辅料的包装、运输、装</w:t>
                  </w:r>
                  <w:r>
                    <w:rPr>
                      <w:rFonts w:hint="eastAsia" w:ascii="宋体" w:hAnsi="宋体" w:eastAsia="宋体" w:cs="宋体"/>
                      <w:color w:val="auto"/>
                      <w:spacing w:val="25"/>
                      <w:sz w:val="21"/>
                      <w:szCs w:val="21"/>
                      <w:highlight w:val="none"/>
                    </w:rPr>
                    <w:t>卸等过程中的安全要求及环保要求</w:t>
                  </w:r>
                </w:p>
              </w:tc>
              <w:tc>
                <w:tcPr>
                  <w:tcW w:w="833" w:type="pct"/>
                  <w:tcBorders>
                    <w:right w:val="single" w:color="000000" w:sz="4" w:space="0"/>
                  </w:tcBorders>
                  <w:vAlign w:val="center"/>
                </w:tcPr>
                <w:p w14:paraId="2C3936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6"/>
                      <w:sz w:val="21"/>
                      <w:szCs w:val="21"/>
                      <w:highlight w:val="none"/>
                      <w:lang w:val="en-US" w:eastAsia="zh-CN"/>
                    </w:rPr>
                  </w:pPr>
                  <w:r>
                    <w:rPr>
                      <w:rFonts w:hint="eastAsia" w:ascii="宋体" w:hAnsi="宋体" w:eastAsia="宋体" w:cs="宋体"/>
                      <w:color w:val="auto"/>
                      <w:spacing w:val="26"/>
                      <w:sz w:val="21"/>
                      <w:szCs w:val="21"/>
                      <w:highlight w:val="none"/>
                      <w:lang w:val="en-US" w:eastAsia="zh-CN"/>
                    </w:rPr>
                    <w:t>服务协议中明确了原辅料安全要求和环保要求</w:t>
                  </w:r>
                </w:p>
              </w:tc>
              <w:tc>
                <w:tcPr>
                  <w:tcW w:w="537" w:type="pct"/>
                  <w:tcBorders>
                    <w:right w:val="single" w:color="000000" w:sz="4" w:space="0"/>
                  </w:tcBorders>
                  <w:vAlign w:val="center"/>
                </w:tcPr>
                <w:p w14:paraId="056BAD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6"/>
                      <w:sz w:val="21"/>
                      <w:szCs w:val="21"/>
                      <w:highlight w:val="none"/>
                    </w:rPr>
                  </w:pPr>
                  <w:r>
                    <w:rPr>
                      <w:rFonts w:hint="eastAsia" w:ascii="宋体" w:hAnsi="宋体" w:eastAsia="宋体" w:cs="宋体"/>
                      <w:color w:val="auto"/>
                      <w:spacing w:val="8"/>
                      <w:sz w:val="21"/>
                      <w:szCs w:val="21"/>
                      <w:highlight w:val="none"/>
                      <w:lang w:val="en-US" w:eastAsia="zh-CN"/>
                    </w:rPr>
                    <w:t>一级</w:t>
                  </w:r>
                </w:p>
              </w:tc>
            </w:tr>
            <w:tr w14:paraId="46355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jc w:val="center"/>
              </w:trPr>
              <w:tc>
                <w:tcPr>
                  <w:tcW w:w="304" w:type="pct"/>
                  <w:vMerge w:val="continue"/>
                  <w:tcBorders>
                    <w:top w:val="nil"/>
                    <w:left w:val="single" w:color="000000" w:sz="4" w:space="0"/>
                  </w:tcBorders>
                  <w:textDirection w:val="tbRlV"/>
                  <w:vAlign w:val="center"/>
                </w:tcPr>
                <w:p w14:paraId="64E6D5FE">
                  <w:pPr>
                    <w:pStyle w:val="24"/>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p>
              </w:tc>
              <w:tc>
                <w:tcPr>
                  <w:tcW w:w="1385" w:type="pct"/>
                  <w:gridSpan w:val="2"/>
                  <w:vAlign w:val="center"/>
                </w:tcPr>
                <w:p w14:paraId="28BA80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8"/>
                      <w:sz w:val="21"/>
                      <w:szCs w:val="21"/>
                      <w:highlight w:val="none"/>
                    </w:rPr>
                    <w:t>有害废物转移的预防</w:t>
                  </w:r>
                </w:p>
              </w:tc>
              <w:tc>
                <w:tcPr>
                  <w:tcW w:w="1937" w:type="pct"/>
                  <w:gridSpan w:val="2"/>
                  <w:tcBorders>
                    <w:right w:val="single" w:color="000000" w:sz="4" w:space="0"/>
                  </w:tcBorders>
                  <w:vAlign w:val="center"/>
                </w:tcPr>
                <w:p w14:paraId="4AA567E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3"/>
                      <w:sz w:val="21"/>
                      <w:szCs w:val="21"/>
                      <w:highlight w:val="none"/>
                    </w:rPr>
                    <w:t>严格按有害废物处理要求执行，建立台账、定期检查</w:t>
                  </w:r>
                </w:p>
              </w:tc>
              <w:tc>
                <w:tcPr>
                  <w:tcW w:w="833" w:type="pct"/>
                  <w:tcBorders>
                    <w:right w:val="single" w:color="000000" w:sz="4" w:space="0"/>
                  </w:tcBorders>
                  <w:vAlign w:val="center"/>
                </w:tcPr>
                <w:p w14:paraId="26CD87A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3"/>
                      <w:sz w:val="21"/>
                      <w:szCs w:val="21"/>
                      <w:highlight w:val="none"/>
                      <w:lang w:val="en-US" w:eastAsia="zh-CN"/>
                    </w:rPr>
                  </w:pPr>
                  <w:r>
                    <w:rPr>
                      <w:rFonts w:hint="eastAsia" w:ascii="宋体" w:hAnsi="宋体" w:eastAsia="宋体" w:cs="宋体"/>
                      <w:color w:val="auto"/>
                      <w:spacing w:val="23"/>
                      <w:sz w:val="21"/>
                      <w:szCs w:val="21"/>
                      <w:highlight w:val="none"/>
                      <w:lang w:val="en-US" w:eastAsia="zh-CN"/>
                    </w:rPr>
                    <w:t>有害废物严格按照要求执行</w:t>
                  </w:r>
                </w:p>
              </w:tc>
              <w:tc>
                <w:tcPr>
                  <w:tcW w:w="537" w:type="pct"/>
                  <w:tcBorders>
                    <w:right w:val="single" w:color="000000" w:sz="4" w:space="0"/>
                  </w:tcBorders>
                  <w:vAlign w:val="center"/>
                </w:tcPr>
                <w:p w14:paraId="5C4913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color w:val="auto"/>
                      <w:spacing w:val="23"/>
                      <w:sz w:val="21"/>
                      <w:szCs w:val="21"/>
                      <w:highlight w:val="none"/>
                    </w:rPr>
                  </w:pPr>
                  <w:r>
                    <w:rPr>
                      <w:rFonts w:hint="eastAsia" w:ascii="宋体" w:hAnsi="宋体" w:eastAsia="宋体" w:cs="宋体"/>
                      <w:color w:val="auto"/>
                      <w:spacing w:val="8"/>
                      <w:sz w:val="21"/>
                      <w:szCs w:val="21"/>
                      <w:highlight w:val="none"/>
                      <w:lang w:val="en-US" w:eastAsia="zh-CN"/>
                    </w:rPr>
                    <w:t>一级</w:t>
                  </w:r>
                </w:p>
              </w:tc>
            </w:tr>
            <w:tr w14:paraId="50BAF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5000" w:type="pct"/>
                  <w:gridSpan w:val="7"/>
                  <w:tcBorders>
                    <w:left w:val="single" w:color="000000" w:sz="4" w:space="0"/>
                    <w:bottom w:val="single" w:color="000000" w:sz="4" w:space="0"/>
                    <w:right w:val="single" w:color="000000" w:sz="4" w:space="0"/>
                  </w:tcBorders>
                  <w:vAlign w:val="center"/>
                </w:tcPr>
                <w:p w14:paraId="6EFF9C84">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color w:val="auto"/>
                      <w:spacing w:val="15"/>
                      <w:sz w:val="21"/>
                      <w:szCs w:val="21"/>
                      <w:highlight w:val="none"/>
                    </w:rPr>
                  </w:pPr>
                  <w:r>
                    <w:rPr>
                      <w:rFonts w:hint="eastAsia" w:ascii="宋体" w:hAnsi="宋体" w:eastAsia="宋体" w:cs="宋体"/>
                      <w:color w:val="auto"/>
                      <w:spacing w:val="15"/>
                      <w:sz w:val="21"/>
                      <w:szCs w:val="21"/>
                      <w:highlight w:val="none"/>
                    </w:rPr>
                    <w:t>注：</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1</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指吨料溶剂消耗；</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2</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指吨</w:t>
                  </w:r>
                  <w:r>
                    <w:rPr>
                      <w:rFonts w:hint="eastAsia" w:ascii="宋体" w:hAnsi="宋体" w:eastAsia="宋体" w:cs="宋体"/>
                      <w:color w:val="auto"/>
                      <w:spacing w:val="14"/>
                      <w:sz w:val="21"/>
                      <w:szCs w:val="21"/>
                      <w:highlight w:val="none"/>
                    </w:rPr>
                    <w:t>油白土消耗；</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pacing w:val="14"/>
                      <w:sz w:val="21"/>
                      <w:szCs w:val="21"/>
                      <w:highlight w:val="none"/>
                    </w:rPr>
                    <w:t>3</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pacing w:val="14"/>
                      <w:sz w:val="21"/>
                      <w:szCs w:val="21"/>
                      <w:highlight w:val="none"/>
                    </w:rPr>
                    <w:t>指吨料／吨油电耗；</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pacing w:val="14"/>
                      <w:sz w:val="21"/>
                      <w:szCs w:val="21"/>
                      <w:highlight w:val="none"/>
                    </w:rPr>
                    <w:t>4</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pacing w:val="14"/>
                      <w:sz w:val="21"/>
                      <w:szCs w:val="21"/>
                      <w:highlight w:val="none"/>
                    </w:rPr>
                    <w:t>指吨料／吨油水耗；</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pacing w:val="14"/>
                      <w:sz w:val="21"/>
                      <w:szCs w:val="21"/>
                      <w:highlight w:val="none"/>
                    </w:rPr>
                    <w:t>5</w:t>
                  </w:r>
                  <w:r>
                    <w:rPr>
                      <w:rFonts w:hint="eastAsia" w:ascii="宋体" w:hAnsi="宋体" w:eastAsia="宋体" w:cs="宋体"/>
                      <w:color w:val="auto"/>
                      <w:spacing w:val="14"/>
                      <w:sz w:val="21"/>
                      <w:szCs w:val="21"/>
                      <w:highlight w:val="none"/>
                      <w:lang w:eastAsia="zh-CN"/>
                    </w:rPr>
                    <w:t>）</w:t>
                  </w:r>
                  <w:r>
                    <w:rPr>
                      <w:rFonts w:hint="eastAsia" w:ascii="宋体" w:hAnsi="宋体" w:eastAsia="宋体" w:cs="宋体"/>
                      <w:color w:val="auto"/>
                      <w:spacing w:val="14"/>
                      <w:sz w:val="21"/>
                      <w:szCs w:val="21"/>
                      <w:highlight w:val="none"/>
                    </w:rPr>
                    <w:t>指吨</w:t>
                  </w:r>
                  <w:r>
                    <w:rPr>
                      <w:rFonts w:hint="eastAsia" w:ascii="宋体" w:hAnsi="宋体" w:eastAsia="宋体" w:cs="宋体"/>
                      <w:color w:val="auto"/>
                      <w:spacing w:val="15"/>
                      <w:sz w:val="21"/>
                      <w:szCs w:val="21"/>
                      <w:highlight w:val="none"/>
                    </w:rPr>
                    <w:t>料／吨油煤耗；</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6</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指吨料废水产生量；</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7</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指吨油废水产生量；</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8</w:t>
                  </w:r>
                  <w:r>
                    <w:rPr>
                      <w:rFonts w:hint="eastAsia" w:ascii="宋体" w:hAnsi="宋体" w:eastAsia="宋体" w:cs="宋体"/>
                      <w:color w:val="auto"/>
                      <w:spacing w:val="15"/>
                      <w:sz w:val="21"/>
                      <w:szCs w:val="21"/>
                      <w:highlight w:val="none"/>
                      <w:lang w:eastAsia="zh-CN"/>
                    </w:rPr>
                    <w:t>）</w:t>
                  </w:r>
                  <w:r>
                    <w:rPr>
                      <w:rFonts w:hint="eastAsia" w:ascii="宋体" w:hAnsi="宋体" w:eastAsia="宋体" w:cs="宋体"/>
                      <w:color w:val="auto"/>
                      <w:spacing w:val="15"/>
                      <w:sz w:val="21"/>
                      <w:szCs w:val="21"/>
                      <w:highlight w:val="none"/>
                    </w:rPr>
                    <w:t>指吨料／吨油</w:t>
                  </w:r>
                  <w:r>
                    <w:rPr>
                      <w:rFonts w:hint="eastAsia" w:ascii="宋体" w:hAnsi="宋体" w:eastAsia="宋体" w:cs="宋体"/>
                      <w:color w:val="auto"/>
                      <w:sz w:val="21"/>
                      <w:szCs w:val="21"/>
                      <w:highlight w:val="none"/>
                    </w:rPr>
                    <w:t>COD</w:t>
                  </w:r>
                  <w:r>
                    <w:rPr>
                      <w:rFonts w:hint="eastAsia" w:ascii="宋体" w:hAnsi="宋体" w:eastAsia="宋体" w:cs="宋体"/>
                      <w:color w:val="auto"/>
                      <w:spacing w:val="15"/>
                      <w:sz w:val="21"/>
                      <w:szCs w:val="21"/>
                      <w:highlight w:val="none"/>
                    </w:rPr>
                    <w:t>产生总量。</w:t>
                  </w:r>
                </w:p>
              </w:tc>
            </w:tr>
          </w:tbl>
          <w:p w14:paraId="1CECCC31">
            <w:pPr>
              <w:pStyle w:val="2"/>
              <w:rPr>
                <w:rFonts w:hint="default"/>
                <w:color w:val="auto"/>
                <w:highlight w:val="none"/>
                <w:lang w:val="en-US" w:eastAsia="zh-CN"/>
              </w:rPr>
            </w:pPr>
          </w:p>
        </w:tc>
      </w:tr>
    </w:tbl>
    <w:p w14:paraId="59C2A92D">
      <w:pPr>
        <w:rPr>
          <w:rFonts w:hint="default" w:ascii="Times New Roman" w:hAnsi="Times New Roman" w:cs="Times New Roman"/>
          <w:color w:val="auto"/>
          <w:highlight w:val="none"/>
        </w:rPr>
        <w:sectPr>
          <w:pgSz w:w="16838" w:h="11906" w:orient="landscape"/>
          <w:pgMar w:top="1800" w:right="1440" w:bottom="1800" w:left="1440" w:header="851" w:footer="992" w:gutter="0"/>
          <w:cols w:space="425" w:num="1"/>
          <w:docGrid w:type="lines" w:linePitch="312" w:charSpace="0"/>
        </w:sectPr>
      </w:pPr>
    </w:p>
    <w:p w14:paraId="12199DA0">
      <w:pPr>
        <w:rPr>
          <w:rFonts w:hint="default" w:ascii="Times New Roman" w:hAnsi="Times New Roman" w:cs="Times New Roman"/>
          <w:color w:val="auto"/>
          <w:highlight w:val="none"/>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7839"/>
      </w:tblGrid>
      <w:tr w14:paraId="0F91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79375CE2">
            <w:pPr>
              <w:rPr>
                <w:rFonts w:hint="default" w:ascii="Times New Roman" w:hAnsi="Times New Roman" w:cs="Times New Roman"/>
                <w:b/>
                <w:bCs/>
                <w:color w:val="auto"/>
                <w:highlight w:val="none"/>
                <w:vertAlign w:val="baseline"/>
              </w:rPr>
            </w:pPr>
            <w:r>
              <w:rPr>
                <w:rFonts w:hint="default" w:ascii="Times New Roman" w:hAnsi="Times New Roman" w:eastAsia="宋体" w:cs="Times New Roman"/>
                <w:b/>
                <w:bCs w:val="0"/>
                <w:color w:val="auto"/>
                <w:sz w:val="24"/>
                <w:szCs w:val="24"/>
                <w:highlight w:val="none"/>
              </w:rPr>
              <w:t>运营期环境影响和保护措施</w:t>
            </w:r>
          </w:p>
        </w:tc>
        <w:tc>
          <w:tcPr>
            <w:tcW w:w="7839" w:type="dxa"/>
          </w:tcPr>
          <w:p w14:paraId="3A0BA12C">
            <w:pPr>
              <w:spacing w:line="360" w:lineRule="auto"/>
              <w:ind w:firstLine="480" w:firstLineChars="200"/>
              <w:jc w:val="left"/>
              <w:rPr>
                <w:rFonts w:hint="eastAsia" w:hAnsi="宋体"/>
                <w:color w:val="auto"/>
                <w:sz w:val="24"/>
                <w:highlight w:val="none"/>
                <w:lang w:val="en-US" w:eastAsia="zh-CN"/>
              </w:rPr>
            </w:pPr>
            <w:r>
              <w:rPr>
                <w:rFonts w:hAnsi="宋体"/>
                <w:color w:val="auto"/>
                <w:sz w:val="24"/>
                <w:highlight w:val="none"/>
              </w:rPr>
              <w:t>根据表</w:t>
            </w:r>
            <w:r>
              <w:rPr>
                <w:rFonts w:hint="eastAsia"/>
                <w:color w:val="auto"/>
                <w:sz w:val="24"/>
                <w:highlight w:val="none"/>
                <w:lang w:val="en-US" w:eastAsia="zh-CN"/>
              </w:rPr>
              <w:t>4.2-22</w:t>
            </w:r>
            <w:r>
              <w:rPr>
                <w:rFonts w:hAnsi="宋体"/>
                <w:color w:val="auto"/>
                <w:sz w:val="24"/>
                <w:highlight w:val="none"/>
              </w:rPr>
              <w:t>对照分析情况，项目</w:t>
            </w:r>
            <w:r>
              <w:rPr>
                <w:rFonts w:hint="eastAsia" w:hAnsi="宋体"/>
                <w:color w:val="auto"/>
                <w:sz w:val="24"/>
                <w:highlight w:val="none"/>
                <w:lang w:val="en-US" w:eastAsia="zh-CN"/>
              </w:rPr>
              <w:t>清洁生产水平大部分可达到一级水平，极少部分为三级水平。</w:t>
            </w:r>
          </w:p>
          <w:p w14:paraId="17159D6F">
            <w:pPr>
              <w:spacing w:line="360" w:lineRule="auto"/>
              <w:ind w:firstLine="480" w:firstLineChars="200"/>
              <w:jc w:val="left"/>
              <w:rPr>
                <w:color w:val="auto"/>
                <w:sz w:val="24"/>
                <w:highlight w:val="none"/>
              </w:rPr>
            </w:pPr>
            <w:r>
              <w:rPr>
                <w:rFonts w:hAnsi="宋体"/>
                <w:color w:val="auto"/>
                <w:sz w:val="24"/>
                <w:highlight w:val="none"/>
              </w:rPr>
              <w:t>各项清洁生产指标水平如下：</w:t>
            </w:r>
          </w:p>
          <w:p w14:paraId="0CE04240">
            <w:pPr>
              <w:spacing w:line="360" w:lineRule="auto"/>
              <w:ind w:firstLine="480" w:firstLineChars="200"/>
              <w:jc w:val="left"/>
              <w:rPr>
                <w:color w:val="auto"/>
                <w:sz w:val="24"/>
                <w:highlight w:val="none"/>
              </w:rPr>
            </w:pPr>
            <w:r>
              <w:rPr>
                <w:rFonts w:hAnsi="宋体"/>
                <w:color w:val="auto"/>
                <w:sz w:val="24"/>
                <w:highlight w:val="none"/>
              </w:rPr>
              <w:t>（</w:t>
            </w:r>
            <w:r>
              <w:rPr>
                <w:color w:val="auto"/>
                <w:sz w:val="24"/>
                <w:highlight w:val="none"/>
              </w:rPr>
              <w:t>1</w:t>
            </w:r>
            <w:r>
              <w:rPr>
                <w:rFonts w:hAnsi="宋体"/>
                <w:color w:val="auto"/>
                <w:sz w:val="24"/>
                <w:highlight w:val="none"/>
              </w:rPr>
              <w:t>）生产工艺与装备</w:t>
            </w:r>
          </w:p>
          <w:p w14:paraId="76CC92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cs="Times New Roman"/>
                <w:color w:val="auto"/>
                <w:sz w:val="24"/>
                <w:szCs w:val="24"/>
                <w:highlight w:val="none"/>
                <w:lang w:val="en-US" w:eastAsia="zh-CN"/>
              </w:rPr>
              <w:t>改建</w:t>
            </w:r>
            <w:r>
              <w:rPr>
                <w:rFonts w:hint="default" w:ascii="Times New Roman" w:hAnsi="Times New Roman" w:eastAsia="宋体" w:cs="Times New Roman"/>
                <w:color w:val="auto"/>
                <w:sz w:val="24"/>
                <w:szCs w:val="24"/>
                <w:highlight w:val="none"/>
                <w:lang w:val="en-US" w:eastAsia="zh-CN"/>
              </w:rPr>
              <w:t>项目精炼生产线采用水洗工艺水循环回用、预复脱色、脱蜡结晶工序，水洗工序采用先进、低耗离心泵进行离心分离，工艺水经离心后</w:t>
            </w:r>
            <w:r>
              <w:rPr>
                <w:rFonts w:hint="eastAsia" w:cs="Times New Roman"/>
                <w:color w:val="auto"/>
                <w:sz w:val="24"/>
                <w:szCs w:val="24"/>
                <w:highlight w:val="none"/>
                <w:lang w:val="en-US" w:eastAsia="zh-CN"/>
              </w:rPr>
              <w:t>进行油水分离，实现50%</w:t>
            </w:r>
            <w:r>
              <w:rPr>
                <w:rFonts w:hint="default" w:ascii="Times New Roman" w:hAnsi="Times New Roman" w:eastAsia="宋体" w:cs="Times New Roman"/>
                <w:color w:val="auto"/>
                <w:sz w:val="24"/>
                <w:szCs w:val="24"/>
                <w:highlight w:val="none"/>
                <w:lang w:val="en-US" w:eastAsia="zh-CN"/>
              </w:rPr>
              <w:t>清水回用，其工艺耗水量由0.</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t/t-油降低至0.12t/t-油；脱色工序采用预复脱色工艺，</w:t>
            </w:r>
            <w:r>
              <w:rPr>
                <w:rFonts w:hint="default" w:ascii="Times New Roman" w:hAnsi="Times New Roman" w:eastAsia="宋体" w:cs="Times New Roman"/>
                <w:color w:val="auto"/>
                <w:kern w:val="0"/>
                <w:sz w:val="24"/>
                <w:szCs w:val="24"/>
                <w:highlight w:val="none"/>
                <w:lang w:val="en-US" w:eastAsia="zh-CN" w:bidi="ar"/>
              </w:rPr>
              <w:t>充分利用脱色白土的剩余活性，有效脱除油中残磷、残皂、金属离子等杂质，减少白土使用量；脱色工段采用真空脱色系统，真空脱色</w:t>
            </w:r>
            <w:r>
              <w:rPr>
                <w:rFonts w:hint="default" w:ascii="Times New Roman" w:hAnsi="Times New Roman" w:eastAsia="宋体" w:cs="Times New Roman"/>
                <w:color w:val="auto"/>
                <w:spacing w:val="-1"/>
                <w:kern w:val="2"/>
                <w:sz w:val="24"/>
                <w:szCs w:val="24"/>
                <w:highlight w:val="none"/>
                <w:lang w:val="en-US" w:eastAsia="zh-CN" w:bidi="ar-SA"/>
              </w:rPr>
              <w:t>由二级水环真空泵升级为罗茨真空机组+一级水环真空泵，减少了水环真空设备耗水量</w:t>
            </w:r>
            <w:r>
              <w:rPr>
                <w:rFonts w:hint="eastAsia" w:cs="Times New Roman"/>
                <w:color w:val="auto"/>
                <w:spacing w:val="-1"/>
                <w:kern w:val="2"/>
                <w:sz w:val="24"/>
                <w:szCs w:val="24"/>
                <w:highlight w:val="none"/>
                <w:lang w:val="en-US" w:eastAsia="zh-CN" w:bidi="ar-SA"/>
              </w:rPr>
              <w:t>1</w:t>
            </w:r>
            <w:r>
              <w:rPr>
                <w:rFonts w:hint="default" w:ascii="Times New Roman" w:hAnsi="Times New Roman" w:eastAsia="宋体" w:cs="Times New Roman"/>
                <w:color w:val="auto"/>
                <w:spacing w:val="-1"/>
                <w:kern w:val="2"/>
                <w:sz w:val="24"/>
                <w:szCs w:val="24"/>
                <w:highlight w:val="none"/>
                <w:lang w:val="en-US" w:eastAsia="zh-CN" w:bidi="ar-SA"/>
              </w:rPr>
              <w:t>m</w:t>
            </w:r>
            <w:r>
              <w:rPr>
                <w:rFonts w:hint="default" w:ascii="Times New Roman" w:hAnsi="Times New Roman" w:eastAsia="宋体" w:cs="Times New Roman"/>
                <w:color w:val="auto"/>
                <w:spacing w:val="-1"/>
                <w:kern w:val="2"/>
                <w:sz w:val="24"/>
                <w:szCs w:val="24"/>
                <w:highlight w:val="none"/>
                <w:vertAlign w:val="superscript"/>
                <w:lang w:val="en-US" w:eastAsia="zh-CN" w:bidi="ar-SA"/>
              </w:rPr>
              <w:t>3</w:t>
            </w:r>
            <w:r>
              <w:rPr>
                <w:rFonts w:hint="default" w:ascii="Times New Roman" w:hAnsi="Times New Roman" w:eastAsia="宋体" w:cs="Times New Roman"/>
                <w:color w:val="auto"/>
                <w:spacing w:val="-1"/>
                <w:kern w:val="2"/>
                <w:sz w:val="24"/>
                <w:szCs w:val="24"/>
                <w:highlight w:val="none"/>
                <w:lang w:val="en-US" w:eastAsia="zh-CN" w:bidi="ar-SA"/>
              </w:rPr>
              <w:t>/d。</w:t>
            </w:r>
            <w:r>
              <w:rPr>
                <w:rFonts w:hint="default" w:ascii="Times New Roman" w:hAnsi="Times New Roman" w:eastAsia="宋体" w:cs="Times New Roman"/>
                <w:color w:val="auto"/>
                <w:kern w:val="0"/>
                <w:sz w:val="24"/>
                <w:szCs w:val="24"/>
                <w:highlight w:val="none"/>
                <w:lang w:val="en-US" w:eastAsia="zh-CN" w:bidi="ar"/>
              </w:rPr>
              <w:t>脱蜡工段采用连续冬化</w:t>
            </w:r>
            <w:r>
              <w:rPr>
                <w:rFonts w:hint="eastAsia" w:cs="Times New Roman"/>
                <w:color w:val="auto"/>
                <w:kern w:val="0"/>
                <w:sz w:val="24"/>
                <w:szCs w:val="24"/>
                <w:highlight w:val="none"/>
                <w:lang w:val="en-US" w:eastAsia="zh-CN" w:bidi="ar"/>
              </w:rPr>
              <w:t>脱蜡</w:t>
            </w:r>
            <w:r>
              <w:rPr>
                <w:rFonts w:hint="default" w:ascii="Times New Roman" w:hAnsi="Times New Roman" w:eastAsia="宋体" w:cs="Times New Roman"/>
                <w:color w:val="auto"/>
                <w:kern w:val="0"/>
                <w:sz w:val="24"/>
                <w:szCs w:val="24"/>
                <w:highlight w:val="none"/>
                <w:lang w:val="en-US" w:eastAsia="zh-CN" w:bidi="ar"/>
              </w:rPr>
              <w:t>工艺，结晶罐串联，每罐可单独排空，可根据油品不同，结晶时间不同，需要进行选择结晶罐体个数。</w:t>
            </w:r>
          </w:p>
          <w:p w14:paraId="362AB8F9">
            <w:pPr>
              <w:spacing w:line="360" w:lineRule="auto"/>
              <w:ind w:firstLine="480" w:firstLineChars="200"/>
              <w:jc w:val="left"/>
              <w:rPr>
                <w:color w:val="auto"/>
                <w:sz w:val="24"/>
                <w:highlight w:val="none"/>
              </w:rPr>
            </w:pPr>
            <w:r>
              <w:rPr>
                <w:rFonts w:hAnsi="宋体"/>
                <w:color w:val="auto"/>
                <w:sz w:val="24"/>
                <w:highlight w:val="none"/>
              </w:rPr>
              <w:t>因此，</w:t>
            </w:r>
            <w:r>
              <w:rPr>
                <w:rFonts w:hint="eastAsia" w:hAnsi="宋体"/>
                <w:color w:val="auto"/>
                <w:sz w:val="24"/>
                <w:highlight w:val="none"/>
                <w:lang w:val="en-US" w:eastAsia="zh-CN"/>
              </w:rPr>
              <w:t>改建</w:t>
            </w:r>
            <w:r>
              <w:rPr>
                <w:rFonts w:hAnsi="宋体"/>
                <w:color w:val="auto"/>
                <w:sz w:val="24"/>
                <w:highlight w:val="none"/>
              </w:rPr>
              <w:t>项目生产工艺和装备至少满足国内清洁生产基本水平。</w:t>
            </w:r>
          </w:p>
          <w:p w14:paraId="566877AB">
            <w:pPr>
              <w:spacing w:line="360" w:lineRule="auto"/>
              <w:ind w:firstLine="480" w:firstLineChars="200"/>
              <w:jc w:val="left"/>
              <w:rPr>
                <w:color w:val="auto"/>
                <w:sz w:val="24"/>
                <w:highlight w:val="none"/>
              </w:rPr>
            </w:pPr>
            <w:r>
              <w:rPr>
                <w:rFonts w:hAnsi="宋体"/>
                <w:color w:val="auto"/>
                <w:sz w:val="24"/>
                <w:highlight w:val="none"/>
              </w:rPr>
              <w:t>（</w:t>
            </w:r>
            <w:r>
              <w:rPr>
                <w:color w:val="auto"/>
                <w:sz w:val="24"/>
                <w:highlight w:val="none"/>
              </w:rPr>
              <w:t>2</w:t>
            </w:r>
            <w:r>
              <w:rPr>
                <w:rFonts w:hAnsi="宋体"/>
                <w:color w:val="auto"/>
                <w:sz w:val="24"/>
                <w:highlight w:val="none"/>
              </w:rPr>
              <w:t>）原材料先进性</w:t>
            </w:r>
          </w:p>
          <w:p w14:paraId="3C19EAF8">
            <w:pPr>
              <w:spacing w:line="360" w:lineRule="auto"/>
              <w:ind w:firstLine="480" w:firstLineChars="200"/>
              <w:jc w:val="left"/>
              <w:rPr>
                <w:color w:val="auto"/>
                <w:sz w:val="24"/>
                <w:highlight w:val="none"/>
              </w:rPr>
            </w:pPr>
            <w:r>
              <w:rPr>
                <w:rFonts w:hint="eastAsia" w:hAnsi="宋体"/>
                <w:color w:val="auto"/>
                <w:sz w:val="24"/>
                <w:highlight w:val="none"/>
                <w:lang w:val="en-US" w:eastAsia="zh-CN"/>
              </w:rPr>
              <w:t>改建项目原料进厂制定了严格的检验企业标准，辅料（活性白土、过滤剂等）采用工业级，磷酸、氢氧化钠均为食品级，本次改建对现有工艺进行技术升级，减少了原辅料活性白土的消耗，</w:t>
            </w:r>
            <w:r>
              <w:rPr>
                <w:rFonts w:hAnsi="宋体"/>
                <w:color w:val="auto"/>
                <w:sz w:val="24"/>
                <w:highlight w:val="none"/>
              </w:rPr>
              <w:t>满足国内清洁生产水平要求。</w:t>
            </w:r>
          </w:p>
          <w:p w14:paraId="1F96E3E3">
            <w:pPr>
              <w:spacing w:line="360" w:lineRule="auto"/>
              <w:ind w:firstLine="480" w:firstLineChars="200"/>
              <w:jc w:val="left"/>
              <w:rPr>
                <w:color w:val="auto"/>
                <w:sz w:val="24"/>
                <w:highlight w:val="none"/>
              </w:rPr>
            </w:pPr>
            <w:r>
              <w:rPr>
                <w:rFonts w:hAnsi="宋体"/>
                <w:color w:val="auto"/>
                <w:sz w:val="24"/>
                <w:highlight w:val="none"/>
              </w:rPr>
              <w:t>（</w:t>
            </w:r>
            <w:r>
              <w:rPr>
                <w:color w:val="auto"/>
                <w:sz w:val="24"/>
                <w:highlight w:val="none"/>
              </w:rPr>
              <w:t>3</w:t>
            </w:r>
            <w:r>
              <w:rPr>
                <w:rFonts w:hAnsi="宋体"/>
                <w:color w:val="auto"/>
                <w:sz w:val="24"/>
                <w:highlight w:val="none"/>
              </w:rPr>
              <w:t>）资源能源利用</w:t>
            </w:r>
          </w:p>
          <w:p w14:paraId="61139661">
            <w:pPr>
              <w:spacing w:line="360" w:lineRule="auto"/>
              <w:ind w:firstLine="480" w:firstLineChars="200"/>
              <w:jc w:val="left"/>
              <w:rPr>
                <w:color w:val="auto"/>
                <w:sz w:val="24"/>
                <w:highlight w:val="none"/>
              </w:rPr>
            </w:pPr>
            <w:r>
              <w:rPr>
                <w:rFonts w:hint="eastAsia" w:hAnsi="宋体"/>
                <w:color w:val="auto"/>
                <w:sz w:val="24"/>
                <w:highlight w:val="none"/>
                <w:lang w:val="en-US" w:eastAsia="zh-CN"/>
              </w:rPr>
              <w:t>改建项目水洗耗水量减少0.8</w:t>
            </w:r>
            <w:r>
              <w:rPr>
                <w:rFonts w:hint="default" w:ascii="Times New Roman" w:hAnsi="Times New Roman" w:eastAsia="宋体" w:cs="Times New Roman"/>
                <w:color w:val="auto"/>
                <w:sz w:val="24"/>
                <w:szCs w:val="24"/>
                <w:highlight w:val="none"/>
                <w:lang w:val="en-US" w:eastAsia="zh-CN"/>
              </w:rPr>
              <w:t>t/t-油</w:t>
            </w:r>
            <w:r>
              <w:rPr>
                <w:rFonts w:hint="eastAsia" w:hAnsi="宋体"/>
                <w:color w:val="auto"/>
                <w:sz w:val="24"/>
                <w:highlight w:val="none"/>
                <w:lang w:val="en-US" w:eastAsia="zh-CN"/>
              </w:rPr>
              <w:t>，电耗减少</w:t>
            </w:r>
            <w:r>
              <w:rPr>
                <w:rFonts w:hint="eastAsia" w:ascii="Times New Roman" w:hAnsi="宋体" w:eastAsia="宋体" w:cs="Times New Roman"/>
                <w:color w:val="auto"/>
                <w:sz w:val="24"/>
                <w:highlight w:val="none"/>
                <w:lang w:val="en-US" w:eastAsia="zh-CN"/>
              </w:rPr>
              <w:t>10</w:t>
            </w:r>
            <w:r>
              <w:rPr>
                <w:rFonts w:hint="default" w:ascii="Times New Roman" w:hAnsi="宋体" w:eastAsia="宋体" w:cs="Times New Roman"/>
                <w:color w:val="auto"/>
                <w:sz w:val="24"/>
                <w:highlight w:val="none"/>
                <w:lang w:val="en-US" w:eastAsia="zh-CN"/>
              </w:rPr>
              <w:t>kW·h/t</w:t>
            </w:r>
            <w:r>
              <w:rPr>
                <w:rFonts w:hint="eastAsia" w:hAnsi="宋体" w:cs="Times New Roman"/>
                <w:color w:val="auto"/>
                <w:sz w:val="24"/>
                <w:highlight w:val="none"/>
                <w:lang w:val="en-US" w:eastAsia="zh-CN"/>
              </w:rPr>
              <w:t>-产品</w:t>
            </w:r>
            <w:r>
              <w:rPr>
                <w:rFonts w:hint="eastAsia" w:ascii="Times New Roman" w:hAnsi="宋体" w:eastAsia="宋体" w:cs="Times New Roman"/>
                <w:color w:val="auto"/>
                <w:sz w:val="24"/>
                <w:highlight w:val="none"/>
                <w:lang w:val="en-US" w:eastAsia="zh-CN"/>
              </w:rPr>
              <w:t>，</w:t>
            </w:r>
            <w:r>
              <w:rPr>
                <w:rFonts w:hint="eastAsia" w:hAnsi="宋体" w:cs="Times New Roman"/>
                <w:color w:val="auto"/>
                <w:sz w:val="24"/>
                <w:highlight w:val="none"/>
                <w:lang w:val="en-US" w:eastAsia="zh-CN"/>
              </w:rPr>
              <w:t>天然气耗量减少14.4</w:t>
            </w:r>
            <w:r>
              <w:rPr>
                <w:rFonts w:hint="eastAsia" w:ascii="Times New Roman" w:hAnsi="Times New Roman" w:eastAsia="宋体" w:cs="Times New Roman"/>
                <w:b w:val="0"/>
                <w:bCs w:val="0"/>
                <w:color w:val="auto"/>
                <w:spacing w:val="-1"/>
                <w:sz w:val="24"/>
                <w:szCs w:val="24"/>
                <w:highlight w:val="none"/>
                <w:lang w:val="en-US" w:eastAsia="zh-CN"/>
              </w:rPr>
              <w:t>m</w:t>
            </w:r>
            <w:r>
              <w:rPr>
                <w:rFonts w:hint="eastAsia" w:ascii="Times New Roman" w:hAnsi="Times New Roman" w:eastAsia="宋体" w:cs="Times New Roman"/>
                <w:b w:val="0"/>
                <w:bCs w:val="0"/>
                <w:color w:val="auto"/>
                <w:spacing w:val="-1"/>
                <w:sz w:val="24"/>
                <w:szCs w:val="24"/>
                <w:highlight w:val="none"/>
                <w:vertAlign w:val="superscript"/>
                <w:lang w:val="en-US" w:eastAsia="zh-CN"/>
              </w:rPr>
              <w:t>3</w:t>
            </w:r>
            <w:r>
              <w:rPr>
                <w:rFonts w:hint="eastAsia" w:ascii="Times New Roman" w:hAnsi="Times New Roman" w:eastAsia="宋体" w:cs="Times New Roman"/>
                <w:b w:val="0"/>
                <w:bCs w:val="0"/>
                <w:color w:val="auto"/>
                <w:spacing w:val="-1"/>
                <w:sz w:val="24"/>
                <w:szCs w:val="24"/>
                <w:highlight w:val="none"/>
                <w:lang w:val="en-US" w:eastAsia="zh-CN"/>
              </w:rPr>
              <w:t>/t-油</w:t>
            </w:r>
            <w:r>
              <w:rPr>
                <w:rFonts w:hint="eastAsia" w:ascii="Times New Roman" w:hAnsi="宋体" w:eastAsia="宋体" w:cs="Times New Roman"/>
                <w:color w:val="auto"/>
                <w:sz w:val="24"/>
                <w:highlight w:val="none"/>
                <w:lang w:val="en-US" w:eastAsia="zh-CN"/>
              </w:rPr>
              <w:t>，</w:t>
            </w:r>
            <w:r>
              <w:rPr>
                <w:rFonts w:hAnsi="宋体"/>
                <w:color w:val="auto"/>
                <w:sz w:val="24"/>
                <w:highlight w:val="none"/>
              </w:rPr>
              <w:t>生产过程中耗电量</w:t>
            </w:r>
            <w:r>
              <w:rPr>
                <w:rFonts w:hint="eastAsia" w:hAnsi="宋体"/>
                <w:color w:val="auto"/>
                <w:sz w:val="24"/>
                <w:highlight w:val="none"/>
                <w:lang w:eastAsia="zh-CN"/>
              </w:rPr>
              <w:t>、</w:t>
            </w:r>
            <w:r>
              <w:rPr>
                <w:rFonts w:hint="eastAsia" w:hAnsi="宋体"/>
                <w:color w:val="auto"/>
                <w:sz w:val="24"/>
                <w:highlight w:val="none"/>
                <w:lang w:val="en-US" w:eastAsia="zh-CN"/>
              </w:rPr>
              <w:t>耗水量</w:t>
            </w:r>
            <w:r>
              <w:rPr>
                <w:rFonts w:hAnsi="宋体"/>
                <w:color w:val="auto"/>
                <w:sz w:val="24"/>
                <w:highlight w:val="none"/>
              </w:rPr>
              <w:t>满足清洁生产一级要求，即国际清洁生产先进水平。</w:t>
            </w:r>
          </w:p>
          <w:p w14:paraId="3A53731A">
            <w:pPr>
              <w:spacing w:line="360" w:lineRule="auto"/>
              <w:ind w:firstLine="480" w:firstLineChars="200"/>
              <w:jc w:val="left"/>
              <w:rPr>
                <w:color w:val="auto"/>
                <w:sz w:val="24"/>
                <w:highlight w:val="none"/>
              </w:rPr>
            </w:pPr>
            <w:r>
              <w:rPr>
                <w:rFonts w:hint="eastAsia" w:hAnsi="宋体"/>
                <w:color w:val="auto"/>
                <w:sz w:val="24"/>
                <w:highlight w:val="none"/>
                <w:lang w:val="en-US" w:eastAsia="zh-CN"/>
              </w:rPr>
              <w:t>精炼</w:t>
            </w:r>
            <w:r>
              <w:rPr>
                <w:rFonts w:hAnsi="宋体"/>
                <w:color w:val="auto"/>
                <w:sz w:val="24"/>
                <w:highlight w:val="none"/>
              </w:rPr>
              <w:t>采用天然气作为燃料，</w:t>
            </w:r>
            <w:r>
              <w:rPr>
                <w:rFonts w:hint="eastAsia" w:hAnsi="宋体"/>
                <w:color w:val="auto"/>
                <w:sz w:val="24"/>
                <w:highlight w:val="none"/>
                <w:lang w:val="en-US" w:eastAsia="zh-CN"/>
              </w:rPr>
              <w:t>且对锅炉进行节能升级，</w:t>
            </w:r>
            <w:r>
              <w:rPr>
                <w:rFonts w:hAnsi="宋体"/>
                <w:color w:val="auto"/>
                <w:sz w:val="24"/>
                <w:highlight w:val="none"/>
              </w:rPr>
              <w:t>将明显减少燃烧废气中</w:t>
            </w:r>
            <w:r>
              <w:rPr>
                <w:color w:val="auto"/>
                <w:sz w:val="24"/>
                <w:highlight w:val="none"/>
              </w:rPr>
              <w:t>SO</w:t>
            </w:r>
            <w:r>
              <w:rPr>
                <w:color w:val="auto"/>
                <w:sz w:val="24"/>
                <w:highlight w:val="none"/>
                <w:vertAlign w:val="subscript"/>
              </w:rPr>
              <w:t>2</w:t>
            </w:r>
            <w:r>
              <w:rPr>
                <w:rFonts w:hAnsi="宋体"/>
                <w:color w:val="auto"/>
                <w:sz w:val="24"/>
                <w:highlight w:val="none"/>
              </w:rPr>
              <w:t>、</w:t>
            </w:r>
            <w:r>
              <w:rPr>
                <w:color w:val="auto"/>
                <w:sz w:val="24"/>
                <w:highlight w:val="none"/>
              </w:rPr>
              <w:t>NOx</w:t>
            </w:r>
            <w:r>
              <w:rPr>
                <w:rFonts w:hAnsi="宋体"/>
                <w:color w:val="auto"/>
                <w:sz w:val="24"/>
                <w:highlight w:val="none"/>
              </w:rPr>
              <w:t>及烟尘等污染物的排放；供电系统采用节能型变压器，采用动态电容补偿，进行无功就地补偿，减少线损，提高功率因数；照明选用高效节能光源，节约电能；对水、电、热等能源均配备计量仪表，以利于能源的使用和管理。</w:t>
            </w:r>
          </w:p>
          <w:p w14:paraId="5A11CEC5">
            <w:pPr>
              <w:spacing w:line="360" w:lineRule="auto"/>
              <w:ind w:firstLine="480" w:firstLineChars="200"/>
              <w:jc w:val="left"/>
              <w:rPr>
                <w:color w:val="auto"/>
                <w:sz w:val="24"/>
                <w:highlight w:val="none"/>
              </w:rPr>
            </w:pPr>
            <w:r>
              <w:rPr>
                <w:rFonts w:hint="eastAsia" w:hAnsi="宋体"/>
                <w:color w:val="auto"/>
                <w:sz w:val="24"/>
                <w:highlight w:val="none"/>
                <w:lang w:val="en-US" w:eastAsia="zh-CN"/>
              </w:rPr>
              <w:t>同时，改建项目热能循环系统，将脱臭后高温成品油通过循环系统回用于前面工艺</w:t>
            </w:r>
            <w:r>
              <w:rPr>
                <w:rFonts w:hint="eastAsia" w:ascii="Times New Roman" w:hAnsi="宋体" w:eastAsia="宋体" w:cs="Times New Roman"/>
                <w:color w:val="auto"/>
                <w:sz w:val="24"/>
                <w:highlight w:val="none"/>
                <w:lang w:val="en-US" w:eastAsia="zh-CN"/>
              </w:rPr>
              <w:t>的换热，减少了能耗，脱臭真空节能器采用2级真空降膜式蒸发器替代卧式列管换热器，换热效率提高；脱臭真空系统采用先进的冰冻真空系统，采用3级罗茨泵串联+2级冷凝器工艺替代2级真空喷射泵+2级冷凝器工艺。</w:t>
            </w:r>
            <w:r>
              <w:rPr>
                <w:rFonts w:hAnsi="宋体"/>
                <w:color w:val="auto"/>
                <w:sz w:val="24"/>
                <w:highlight w:val="none"/>
              </w:rPr>
              <w:t>项目的资源和能源利用指标满足国内清洁生产先进水平。</w:t>
            </w:r>
          </w:p>
          <w:p w14:paraId="05A179C5">
            <w:pPr>
              <w:spacing w:line="360" w:lineRule="auto"/>
              <w:ind w:firstLine="480" w:firstLineChars="200"/>
              <w:jc w:val="left"/>
              <w:rPr>
                <w:color w:val="auto"/>
                <w:sz w:val="24"/>
                <w:highlight w:val="none"/>
              </w:rPr>
            </w:pPr>
            <w:r>
              <w:rPr>
                <w:rFonts w:hAnsi="宋体"/>
                <w:color w:val="auto"/>
                <w:sz w:val="24"/>
                <w:highlight w:val="none"/>
              </w:rPr>
              <w:t>（</w:t>
            </w:r>
            <w:r>
              <w:rPr>
                <w:color w:val="auto"/>
                <w:sz w:val="24"/>
                <w:highlight w:val="none"/>
              </w:rPr>
              <w:t>4</w:t>
            </w:r>
            <w:r>
              <w:rPr>
                <w:rFonts w:hAnsi="宋体"/>
                <w:color w:val="auto"/>
                <w:sz w:val="24"/>
                <w:highlight w:val="none"/>
              </w:rPr>
              <w:t>）污染物产生指标</w:t>
            </w:r>
          </w:p>
          <w:p w14:paraId="284DD8B2">
            <w:pPr>
              <w:spacing w:line="360" w:lineRule="auto"/>
              <w:ind w:firstLine="480" w:firstLineChars="200"/>
              <w:jc w:val="left"/>
              <w:rPr>
                <w:color w:val="auto"/>
                <w:sz w:val="24"/>
                <w:highlight w:val="none"/>
              </w:rPr>
            </w:pPr>
            <w:r>
              <w:rPr>
                <w:rFonts w:hint="eastAsia" w:cs="Times New Roman"/>
                <w:color w:val="auto"/>
                <w:kern w:val="0"/>
                <w:sz w:val="24"/>
                <w:szCs w:val="24"/>
                <w:highlight w:val="none"/>
                <w:lang w:eastAsia="zh-CN" w:bidi="ar"/>
              </w:rPr>
              <w:t>本项目</w:t>
            </w:r>
            <w:r>
              <w:rPr>
                <w:rFonts w:hint="default" w:ascii="Times New Roman" w:hAnsi="Times New Roman" w:cs="Times New Roman"/>
                <w:color w:val="auto"/>
                <w:kern w:val="0"/>
                <w:sz w:val="24"/>
                <w:szCs w:val="24"/>
                <w:highlight w:val="none"/>
                <w:lang w:bidi="ar"/>
              </w:rPr>
              <w:t>通过优化废气治理措施和采取废水回用的方式后污染物排放种类和排放量均未增加</w:t>
            </w:r>
            <w:r>
              <w:rPr>
                <w:rFonts w:hint="default"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废气治理设施从</w:t>
            </w:r>
            <w:r>
              <w:rPr>
                <w:rFonts w:hint="eastAsia" w:cs="Times New Roman"/>
                <w:color w:val="auto"/>
                <w:sz w:val="24"/>
                <w:szCs w:val="32"/>
                <w:highlight w:val="none"/>
                <w:lang w:val="en-US" w:eastAsia="zh-CN"/>
              </w:rPr>
              <w:t>二级碱喷淋+次氯酸钠喷淋处理工艺升级为</w:t>
            </w:r>
            <w:r>
              <w:rPr>
                <w:rFonts w:hint="eastAsia" w:cs="Times New Roman"/>
                <w:color w:val="auto"/>
                <w:kern w:val="0"/>
                <w:sz w:val="24"/>
                <w:szCs w:val="24"/>
                <w:highlight w:val="none"/>
                <w:lang w:val="en-US" w:eastAsia="zh-CN" w:bidi="ar"/>
              </w:rPr>
              <w:t>冰冻冷凝+二级碱喷淋+次氯酸钠喷淋+活性炭吸附</w:t>
            </w:r>
            <w:r>
              <w:rPr>
                <w:rFonts w:hint="default" w:ascii="Times New Roman" w:hAnsi="Times New Roman" w:cs="Times New Roman"/>
                <w:color w:val="auto"/>
                <w:kern w:val="0"/>
                <w:sz w:val="24"/>
                <w:szCs w:val="24"/>
                <w:highlight w:val="none"/>
                <w:lang w:val="en-US" w:eastAsia="zh-CN" w:bidi="ar"/>
              </w:rPr>
              <w:t>组合处理工艺</w:t>
            </w:r>
            <w:r>
              <w:rPr>
                <w:rFonts w:hint="eastAsia" w:ascii="Times New Roman" w:hAnsi="Times New Roman" w:cs="Times New Roman"/>
                <w:color w:val="auto"/>
                <w:kern w:val="0"/>
                <w:sz w:val="24"/>
                <w:szCs w:val="24"/>
                <w:highlight w:val="none"/>
                <w:lang w:val="en-US" w:eastAsia="zh-CN" w:bidi="ar"/>
              </w:rPr>
              <w:t>，新增了活性炭处理工艺，可进一步降低废气污染物中非甲烷总烃和臭气排放量，实现废气污染物的减少</w:t>
            </w:r>
            <w:r>
              <w:rPr>
                <w:rFonts w:hint="eastAsia" w:cs="Times New Roman"/>
                <w:color w:val="auto"/>
                <w:kern w:val="0"/>
                <w:sz w:val="24"/>
                <w:szCs w:val="24"/>
                <w:highlight w:val="none"/>
                <w:lang w:val="en-US" w:eastAsia="zh-CN" w:bidi="ar"/>
              </w:rPr>
              <w:t>；对</w:t>
            </w:r>
            <w:r>
              <w:rPr>
                <w:rFonts w:hint="eastAsia" w:ascii="Times New Roman" w:hAnsi="Times New Roman" w:cs="Times New Roman"/>
                <w:color w:val="auto"/>
                <w:kern w:val="0"/>
                <w:sz w:val="24"/>
                <w:szCs w:val="24"/>
                <w:highlight w:val="none"/>
                <w:lang w:val="en-US" w:eastAsia="zh-CN" w:bidi="ar"/>
              </w:rPr>
              <w:t>锅炉进行</w:t>
            </w:r>
            <w:r>
              <w:rPr>
                <w:rFonts w:hint="default" w:ascii="Times New Roman" w:hAnsi="Times New Roman" w:eastAsia="宋体" w:cs="Times New Roman"/>
                <w:b w:val="0"/>
                <w:bCs w:val="0"/>
                <w:color w:val="auto"/>
                <w:spacing w:val="-1"/>
                <w:sz w:val="24"/>
                <w:szCs w:val="24"/>
                <w:highlight w:val="none"/>
                <w:lang w:val="en-US" w:eastAsia="zh-CN"/>
              </w:rPr>
              <w:t>提能减排升级改造，</w:t>
            </w:r>
            <w:r>
              <w:rPr>
                <w:rFonts w:hint="eastAsia" w:ascii="Times New Roman" w:hAnsi="Times New Roman" w:eastAsia="宋体" w:cs="Times New Roman"/>
                <w:b w:val="0"/>
                <w:bCs w:val="0"/>
                <w:color w:val="auto"/>
                <w:spacing w:val="-1"/>
                <w:sz w:val="24"/>
                <w:szCs w:val="24"/>
                <w:highlight w:val="none"/>
                <w:lang w:val="en-US" w:eastAsia="zh-CN"/>
              </w:rPr>
              <w:t>实现天然气燃烧废气污染物的减少。水洗工序进行升级改造后水洗废水50%回用，实现废水污染物的减少。综上，本次改建项目的升级改造，可实现清洁生产水平的提高。</w:t>
            </w:r>
          </w:p>
          <w:p w14:paraId="70506429">
            <w:pPr>
              <w:spacing w:line="360" w:lineRule="auto"/>
              <w:ind w:firstLine="480" w:firstLineChars="200"/>
              <w:jc w:val="left"/>
              <w:rPr>
                <w:color w:val="auto"/>
                <w:sz w:val="24"/>
                <w:highlight w:val="none"/>
              </w:rPr>
            </w:pPr>
            <w:r>
              <w:rPr>
                <w:rFonts w:hAnsi="宋体"/>
                <w:color w:val="auto"/>
                <w:sz w:val="24"/>
                <w:highlight w:val="none"/>
              </w:rPr>
              <w:t>（</w:t>
            </w:r>
            <w:r>
              <w:rPr>
                <w:color w:val="auto"/>
                <w:sz w:val="24"/>
                <w:highlight w:val="none"/>
              </w:rPr>
              <w:t>5</w:t>
            </w:r>
            <w:r>
              <w:rPr>
                <w:rFonts w:hAnsi="宋体"/>
                <w:color w:val="auto"/>
                <w:sz w:val="24"/>
                <w:highlight w:val="none"/>
              </w:rPr>
              <w:t>）环境管理指标</w:t>
            </w:r>
          </w:p>
          <w:p w14:paraId="6FE1494D">
            <w:pPr>
              <w:spacing w:line="360" w:lineRule="auto"/>
              <w:ind w:firstLine="480" w:firstLineChars="200"/>
              <w:jc w:val="left"/>
              <w:rPr>
                <w:color w:val="auto"/>
                <w:sz w:val="24"/>
                <w:highlight w:val="none"/>
              </w:rPr>
            </w:pPr>
            <w:r>
              <w:rPr>
                <w:rFonts w:hint="eastAsia" w:hAnsi="宋体"/>
                <w:color w:val="auto"/>
                <w:sz w:val="24"/>
                <w:highlight w:val="none"/>
                <w:lang w:val="en-US" w:eastAsia="zh-CN"/>
              </w:rPr>
              <w:t>红蜻蜓（重庆）植物油脂有限责任公司建</w:t>
            </w:r>
            <w:r>
              <w:rPr>
                <w:rFonts w:hAnsi="宋体"/>
                <w:color w:val="auto"/>
                <w:sz w:val="24"/>
                <w:highlight w:val="none"/>
              </w:rPr>
              <w:t>立了</w:t>
            </w:r>
            <w:r>
              <w:rPr>
                <w:color w:val="auto"/>
                <w:sz w:val="24"/>
                <w:highlight w:val="none"/>
              </w:rPr>
              <w:t>ISO14001</w:t>
            </w:r>
            <w:r>
              <w:rPr>
                <w:rFonts w:hAnsi="宋体"/>
                <w:color w:val="auto"/>
                <w:sz w:val="24"/>
                <w:highlight w:val="none"/>
              </w:rPr>
              <w:t>环境管理体系，清洁生产水平达到国内先进水平。</w:t>
            </w:r>
          </w:p>
          <w:p w14:paraId="11521C1A">
            <w:pPr>
              <w:spacing w:line="360" w:lineRule="auto"/>
              <w:ind w:firstLine="480" w:firstLineChars="200"/>
              <w:jc w:val="left"/>
              <w:rPr>
                <w:rFonts w:hAnsi="宋体"/>
                <w:color w:val="auto"/>
                <w:sz w:val="24"/>
                <w:highlight w:val="none"/>
              </w:rPr>
            </w:pPr>
            <w:r>
              <w:rPr>
                <w:rFonts w:hAnsi="宋体"/>
                <w:color w:val="auto"/>
                <w:sz w:val="24"/>
                <w:highlight w:val="none"/>
              </w:rPr>
              <w:t>根据上文分析结果，</w:t>
            </w:r>
            <w:r>
              <w:rPr>
                <w:rFonts w:hint="eastAsia" w:hAnsi="宋体"/>
                <w:color w:val="auto"/>
                <w:sz w:val="24"/>
                <w:highlight w:val="none"/>
                <w:lang w:val="en-US" w:eastAsia="zh-CN"/>
              </w:rPr>
              <w:t>改建项目</w:t>
            </w:r>
            <w:r>
              <w:rPr>
                <w:rFonts w:hAnsi="宋体"/>
                <w:color w:val="auto"/>
                <w:sz w:val="24"/>
                <w:highlight w:val="none"/>
              </w:rPr>
              <w:t>区域指标均满足国内基本水平以上。</w:t>
            </w:r>
          </w:p>
          <w:p w14:paraId="10C5D046">
            <w:pPr>
              <w:keepNext w:val="0"/>
              <w:keepLines w:val="0"/>
              <w:pageBreakBefore w:val="0"/>
              <w:widowControl w:val="0"/>
              <w:suppressLineNumbers w:val="0"/>
              <w:kinsoku/>
              <w:wordWrap/>
              <w:overflowPunct w:val="0"/>
              <w:topLinePunct/>
              <w:autoSpaceDE/>
              <w:autoSpaceDN/>
              <w:bidi w:val="0"/>
              <w:adjustRightInd w:val="0"/>
              <w:snapToGrid w:val="0"/>
              <w:spacing w:before="0" w:beforeAutospacing="0" w:after="0" w:afterAutospacing="0" w:line="460" w:lineRule="exact"/>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4.2.9“三本账”分析</w:t>
            </w:r>
          </w:p>
          <w:p w14:paraId="1910F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firstLine="480" w:firstLineChars="200"/>
              <w:jc w:val="both"/>
              <w:textAlignment w:val="auto"/>
              <w:rPr>
                <w:rFonts w:hint="default" w:ascii="Times New Roman" w:hAnsi="Times New Roman"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w:t>
            </w:r>
            <w:r>
              <w:rPr>
                <w:rFonts w:hint="default" w:ascii="Times New Roman" w:hAnsi="Times New Roman" w:eastAsia="宋体" w:cs="Times New Roman"/>
                <w:color w:val="auto"/>
                <w:kern w:val="0"/>
                <w:sz w:val="24"/>
                <w:szCs w:val="24"/>
                <w:highlight w:val="none"/>
                <w:lang w:val="en-US" w:eastAsia="zh-CN" w:bidi="ar"/>
              </w:rPr>
              <w:t>实施后全厂污染物“三本账”汇总见表4</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24</w:t>
            </w:r>
            <w:r>
              <w:rPr>
                <w:rFonts w:hint="default" w:ascii="Times New Roman" w:hAnsi="Times New Roman" w:cs="Times New Roman"/>
                <w:color w:val="auto"/>
                <w:kern w:val="0"/>
                <w:sz w:val="24"/>
                <w:szCs w:val="24"/>
                <w:highlight w:val="none"/>
                <w:lang w:val="en-US" w:eastAsia="zh-CN" w:bidi="ar"/>
              </w:rPr>
              <w:t>。</w:t>
            </w:r>
          </w:p>
          <w:p w14:paraId="61C45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p>
          <w:p w14:paraId="04059B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p>
          <w:p w14:paraId="26440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p>
          <w:p w14:paraId="4EB92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p>
          <w:p w14:paraId="456E5B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p>
          <w:p w14:paraId="56979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p>
          <w:p w14:paraId="6332AF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p>
          <w:p w14:paraId="3C352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p>
          <w:p w14:paraId="70FA8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表4</w:t>
            </w:r>
            <w:r>
              <w:rPr>
                <w:rFonts w:hint="eastAsia" w:ascii="Times New Roman" w:hAnsi="Times New Roman" w:eastAsia="宋体" w:cs="Times New Roman"/>
                <w:b/>
                <w:bCs w:val="0"/>
                <w:color w:val="auto"/>
                <w:kern w:val="2"/>
                <w:sz w:val="24"/>
                <w:szCs w:val="24"/>
                <w:highlight w:val="none"/>
                <w:lang w:val="en-US" w:eastAsia="zh-CN" w:bidi="ar-SA"/>
              </w:rPr>
              <w:t>.2</w:t>
            </w:r>
            <w:r>
              <w:rPr>
                <w:rFonts w:hint="default" w:ascii="Times New Roman" w:hAnsi="Times New Roman" w:eastAsia="宋体" w:cs="Times New Roman"/>
                <w:b/>
                <w:bCs w:val="0"/>
                <w:color w:val="auto"/>
                <w:kern w:val="2"/>
                <w:sz w:val="24"/>
                <w:szCs w:val="24"/>
                <w:highlight w:val="none"/>
                <w:lang w:val="en-US" w:eastAsia="zh-CN" w:bidi="ar-SA"/>
              </w:rPr>
              <w:t>-</w:t>
            </w:r>
            <w:r>
              <w:rPr>
                <w:rFonts w:hint="eastAsia" w:cs="Times New Roman"/>
                <w:b/>
                <w:bCs w:val="0"/>
                <w:color w:val="auto"/>
                <w:kern w:val="2"/>
                <w:sz w:val="24"/>
                <w:szCs w:val="24"/>
                <w:highlight w:val="none"/>
                <w:lang w:val="en-US" w:eastAsia="zh-CN" w:bidi="ar-SA"/>
              </w:rPr>
              <w:t>24本项目</w:t>
            </w:r>
            <w:r>
              <w:rPr>
                <w:rFonts w:hint="default" w:ascii="Times New Roman" w:hAnsi="Times New Roman" w:eastAsia="宋体" w:cs="Times New Roman"/>
                <w:b/>
                <w:bCs w:val="0"/>
                <w:color w:val="auto"/>
                <w:kern w:val="2"/>
                <w:sz w:val="24"/>
                <w:szCs w:val="24"/>
                <w:highlight w:val="none"/>
                <w:lang w:val="en-US" w:eastAsia="zh-CN" w:bidi="ar-SA"/>
              </w:rPr>
              <w:t>前后主要污染物排放“</w:t>
            </w:r>
            <w:r>
              <w:rPr>
                <w:rFonts w:hint="eastAsia" w:cs="Times New Roman"/>
                <w:b/>
                <w:bCs w:val="0"/>
                <w:color w:val="auto"/>
                <w:kern w:val="2"/>
                <w:sz w:val="24"/>
                <w:szCs w:val="24"/>
                <w:highlight w:val="none"/>
                <w:lang w:val="en-US" w:eastAsia="zh-CN" w:bidi="ar-SA"/>
              </w:rPr>
              <w:t>三本账</w:t>
            </w:r>
            <w:r>
              <w:rPr>
                <w:rFonts w:hint="default" w:ascii="Times New Roman" w:hAnsi="Times New Roman" w:eastAsia="宋体" w:cs="Times New Roman"/>
                <w:b/>
                <w:bCs w:val="0"/>
                <w:color w:val="auto"/>
                <w:kern w:val="2"/>
                <w:sz w:val="24"/>
                <w:szCs w:val="24"/>
                <w:highlight w:val="none"/>
                <w:lang w:val="en-US" w:eastAsia="zh-CN" w:bidi="ar-SA"/>
              </w:rPr>
              <w:t>”汇总表单位：t/a</w:t>
            </w:r>
          </w:p>
          <w:tbl>
            <w:tblPr>
              <w:tblStyle w:val="38"/>
              <w:tblW w:w="499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Layout w:type="autofit"/>
              <w:tblCellMar>
                <w:top w:w="0" w:type="dxa"/>
                <w:left w:w="0" w:type="dxa"/>
                <w:bottom w:w="0" w:type="dxa"/>
                <w:right w:w="0" w:type="dxa"/>
              </w:tblCellMar>
            </w:tblPr>
            <w:tblGrid>
              <w:gridCol w:w="639"/>
              <w:gridCol w:w="1344"/>
              <w:gridCol w:w="1087"/>
              <w:gridCol w:w="1017"/>
              <w:gridCol w:w="1017"/>
              <w:gridCol w:w="1368"/>
              <w:gridCol w:w="1121"/>
            </w:tblGrid>
            <w:tr w14:paraId="442AD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PrEx>
              <w:trPr>
                <w:trHeight w:val="0" w:hRule="atLeast"/>
              </w:trPr>
              <w:tc>
                <w:tcPr>
                  <w:tcW w:w="421" w:type="pct"/>
                  <w:tcBorders>
                    <w:tl2br w:val="nil"/>
                    <w:tr2bl w:val="nil"/>
                  </w:tcBorders>
                  <w:noWrap w:val="0"/>
                  <w:vAlign w:val="center"/>
                </w:tcPr>
                <w:p w14:paraId="0532E99A">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3"/>
                      <w:sz w:val="21"/>
                      <w:szCs w:val="21"/>
                      <w:highlight w:val="none"/>
                    </w:rPr>
                    <w:t>名称</w:t>
                  </w:r>
                </w:p>
              </w:tc>
              <w:tc>
                <w:tcPr>
                  <w:tcW w:w="885" w:type="pct"/>
                  <w:tcBorders>
                    <w:tl2br w:val="nil"/>
                    <w:tr2bl w:val="nil"/>
                  </w:tcBorders>
                  <w:noWrap w:val="0"/>
                  <w:vAlign w:val="center"/>
                </w:tcPr>
                <w:p w14:paraId="7A7DBECE">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4"/>
                      <w:sz w:val="21"/>
                      <w:szCs w:val="21"/>
                      <w:highlight w:val="none"/>
                    </w:rPr>
                    <w:t>类别</w:t>
                  </w:r>
                </w:p>
              </w:tc>
              <w:tc>
                <w:tcPr>
                  <w:tcW w:w="715" w:type="pct"/>
                  <w:tcBorders>
                    <w:tl2br w:val="nil"/>
                    <w:tr2bl w:val="nil"/>
                  </w:tcBorders>
                  <w:noWrap w:val="0"/>
                  <w:vAlign w:val="center"/>
                </w:tcPr>
                <w:p w14:paraId="584F9C99">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6"/>
                      <w:sz w:val="21"/>
                      <w:szCs w:val="21"/>
                      <w:highlight w:val="none"/>
                    </w:rPr>
                    <w:t>现有项目排放量</w:t>
                  </w:r>
                </w:p>
              </w:tc>
              <w:tc>
                <w:tcPr>
                  <w:tcW w:w="669" w:type="pct"/>
                  <w:tcBorders>
                    <w:tl2br w:val="nil"/>
                    <w:tr2bl w:val="nil"/>
                  </w:tcBorders>
                  <w:noWrap w:val="0"/>
                  <w:vAlign w:val="center"/>
                </w:tcPr>
                <w:p w14:paraId="4AB58EFD">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snapToGrid w:val="0"/>
                      <w:color w:val="auto"/>
                      <w:spacing w:val="6"/>
                      <w:sz w:val="21"/>
                      <w:szCs w:val="21"/>
                      <w:highlight w:val="none"/>
                      <w:lang w:val="en-US" w:eastAsia="zh-CN"/>
                    </w:rPr>
                  </w:pPr>
                  <w:r>
                    <w:rPr>
                      <w:rFonts w:hint="default" w:ascii="Times New Roman" w:hAnsi="Times New Roman" w:cs="Times New Roman"/>
                      <w:snapToGrid w:val="0"/>
                      <w:color w:val="auto"/>
                      <w:spacing w:val="6"/>
                      <w:sz w:val="21"/>
                      <w:szCs w:val="21"/>
                      <w:highlight w:val="none"/>
                      <w:lang w:val="en-US" w:eastAsia="zh-CN"/>
                    </w:rPr>
                    <w:t>以新带老量</w:t>
                  </w:r>
                </w:p>
              </w:tc>
              <w:tc>
                <w:tcPr>
                  <w:tcW w:w="669" w:type="pct"/>
                  <w:tcBorders>
                    <w:tl2br w:val="nil"/>
                    <w:tr2bl w:val="nil"/>
                  </w:tcBorders>
                  <w:noWrap w:val="0"/>
                  <w:vAlign w:val="center"/>
                </w:tcPr>
                <w:p w14:paraId="4D90A90B">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6"/>
                      <w:position w:val="4"/>
                      <w:sz w:val="21"/>
                      <w:szCs w:val="21"/>
                      <w:highlight w:val="none"/>
                      <w:lang w:val="en-US" w:eastAsia="zh-CN"/>
                    </w:rPr>
                    <w:t>本项目</w:t>
                  </w:r>
                </w:p>
                <w:p w14:paraId="3772166D">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6"/>
                      <w:sz w:val="21"/>
                      <w:szCs w:val="21"/>
                      <w:highlight w:val="none"/>
                    </w:rPr>
                    <w:t>排放量</w:t>
                  </w:r>
                </w:p>
              </w:tc>
              <w:tc>
                <w:tcPr>
                  <w:tcW w:w="900" w:type="pct"/>
                  <w:tcBorders>
                    <w:tl2br w:val="nil"/>
                    <w:tr2bl w:val="nil"/>
                  </w:tcBorders>
                  <w:noWrap w:val="0"/>
                  <w:vAlign w:val="center"/>
                </w:tcPr>
                <w:p w14:paraId="785E5992">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7"/>
                      <w:sz w:val="21"/>
                      <w:szCs w:val="21"/>
                      <w:highlight w:val="none"/>
                      <w:lang w:val="en-US" w:eastAsia="zh-CN"/>
                    </w:rPr>
                    <w:t>改建</w:t>
                  </w:r>
                  <w:r>
                    <w:rPr>
                      <w:rFonts w:hint="default" w:ascii="Times New Roman" w:hAnsi="Times New Roman" w:cs="Times New Roman"/>
                      <w:snapToGrid w:val="0"/>
                      <w:color w:val="auto"/>
                      <w:spacing w:val="7"/>
                      <w:sz w:val="21"/>
                      <w:szCs w:val="21"/>
                      <w:highlight w:val="none"/>
                    </w:rPr>
                    <w:t>后全厂最终排放量</w:t>
                  </w:r>
                </w:p>
              </w:tc>
              <w:tc>
                <w:tcPr>
                  <w:tcW w:w="738" w:type="pct"/>
                  <w:tcBorders>
                    <w:tl2br w:val="nil"/>
                    <w:tr2bl w:val="nil"/>
                  </w:tcBorders>
                  <w:noWrap w:val="0"/>
                  <w:vAlign w:val="center"/>
                </w:tcPr>
                <w:p w14:paraId="40092EAB">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6"/>
                      <w:sz w:val="21"/>
                      <w:szCs w:val="21"/>
                      <w:highlight w:val="none"/>
                    </w:rPr>
                    <w:t>排放量</w:t>
                  </w:r>
                </w:p>
                <w:p w14:paraId="201DA2E0">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4"/>
                      <w:sz w:val="21"/>
                      <w:szCs w:val="21"/>
                      <w:highlight w:val="none"/>
                    </w:rPr>
                    <w:t>增减</w:t>
                  </w:r>
                </w:p>
              </w:tc>
            </w:tr>
            <w:tr w14:paraId="677B0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restart"/>
                  <w:tcBorders>
                    <w:tl2br w:val="nil"/>
                    <w:tr2bl w:val="nil"/>
                  </w:tcBorders>
                  <w:noWrap w:val="0"/>
                  <w:vAlign w:val="center"/>
                </w:tcPr>
                <w:p w14:paraId="1F6573A3">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5"/>
                      <w:sz w:val="21"/>
                      <w:szCs w:val="21"/>
                      <w:highlight w:val="none"/>
                    </w:rPr>
                    <w:t>废水</w:t>
                  </w:r>
                </w:p>
              </w:tc>
              <w:tc>
                <w:tcPr>
                  <w:tcW w:w="885" w:type="pct"/>
                  <w:tcBorders>
                    <w:tl2br w:val="nil"/>
                    <w:tr2bl w:val="nil"/>
                  </w:tcBorders>
                  <w:noWrap w:val="0"/>
                  <w:vAlign w:val="center"/>
                </w:tcPr>
                <w:p w14:paraId="76BAAA22">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6"/>
                      <w:sz w:val="21"/>
                      <w:szCs w:val="21"/>
                      <w:highlight w:val="none"/>
                    </w:rPr>
                    <w:t>排水量</w:t>
                  </w:r>
                </w:p>
              </w:tc>
              <w:tc>
                <w:tcPr>
                  <w:tcW w:w="715" w:type="pct"/>
                  <w:tcBorders>
                    <w:tl2br w:val="nil"/>
                    <w:tr2bl w:val="nil"/>
                  </w:tcBorders>
                  <w:noWrap w:val="0"/>
                  <w:vAlign w:val="center"/>
                </w:tcPr>
                <w:p w14:paraId="31EFB011">
                  <w:pPr>
                    <w:pStyle w:val="37"/>
                    <w:keepNext w:val="0"/>
                    <w:keepLines w:val="0"/>
                    <w:pageBreakBefore w:val="0"/>
                    <w:widowControl w:val="0"/>
                    <w:suppressLineNumbers w:val="0"/>
                    <w:kinsoku/>
                    <w:wordWrap/>
                    <w:overflowPunct/>
                    <w:topLinePunct w:val="0"/>
                    <w:autoSpaceDE w:val="0"/>
                    <w:autoSpaceDN/>
                    <w:bidi w:val="0"/>
                    <w:adjustRightInd w:val="0"/>
                    <w:snapToGrid/>
                    <w:spacing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kern w:val="2"/>
                      <w:sz w:val="21"/>
                      <w:szCs w:val="21"/>
                      <w:highlight w:val="none"/>
                      <w:lang w:val="en-US" w:eastAsia="zh-CN"/>
                    </w:rPr>
                    <w:t>34500</w:t>
                  </w:r>
                </w:p>
              </w:tc>
              <w:tc>
                <w:tcPr>
                  <w:tcW w:w="669" w:type="pct"/>
                  <w:tcBorders>
                    <w:tl2br w:val="nil"/>
                    <w:tr2bl w:val="nil"/>
                  </w:tcBorders>
                  <w:noWrap w:val="0"/>
                  <w:vAlign w:val="center"/>
                </w:tcPr>
                <w:p w14:paraId="0B199F57">
                  <w:pPr>
                    <w:pStyle w:val="37"/>
                    <w:keepNext w:val="0"/>
                    <w:keepLines w:val="0"/>
                    <w:pageBreakBefore w:val="0"/>
                    <w:widowControl w:val="0"/>
                    <w:suppressLineNumbers w:val="0"/>
                    <w:kinsoku/>
                    <w:wordWrap/>
                    <w:overflowPunct/>
                    <w:topLinePunct w:val="0"/>
                    <w:autoSpaceDE w:val="0"/>
                    <w:autoSpaceDN/>
                    <w:bidi w:val="0"/>
                    <w:adjustRightInd w:val="0"/>
                    <w:snapToGrid/>
                    <w:spacing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25752</w:t>
                  </w:r>
                </w:p>
              </w:tc>
              <w:tc>
                <w:tcPr>
                  <w:tcW w:w="669" w:type="pct"/>
                  <w:tcBorders>
                    <w:tl2br w:val="nil"/>
                    <w:tr2bl w:val="nil"/>
                  </w:tcBorders>
                  <w:noWrap w:val="0"/>
                  <w:vAlign w:val="center"/>
                </w:tcPr>
                <w:p w14:paraId="2A26E080">
                  <w:pPr>
                    <w:pStyle w:val="37"/>
                    <w:keepNext w:val="0"/>
                    <w:keepLines w:val="0"/>
                    <w:pageBreakBefore w:val="0"/>
                    <w:widowControl w:val="0"/>
                    <w:suppressLineNumbers w:val="0"/>
                    <w:kinsoku/>
                    <w:wordWrap/>
                    <w:overflowPunct/>
                    <w:topLinePunct w:val="0"/>
                    <w:autoSpaceDE w:val="0"/>
                    <w:autoSpaceDN/>
                    <w:bidi w:val="0"/>
                    <w:adjustRightInd w:val="0"/>
                    <w:snapToGrid/>
                    <w:spacing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20703</w:t>
                  </w:r>
                </w:p>
              </w:tc>
              <w:tc>
                <w:tcPr>
                  <w:tcW w:w="900" w:type="pct"/>
                  <w:tcBorders>
                    <w:tl2br w:val="nil"/>
                    <w:tr2bl w:val="nil"/>
                  </w:tcBorders>
                  <w:noWrap w:val="0"/>
                  <w:vAlign w:val="center"/>
                </w:tcPr>
                <w:p w14:paraId="17996300">
                  <w:pPr>
                    <w:pStyle w:val="37"/>
                    <w:keepNext w:val="0"/>
                    <w:keepLines w:val="0"/>
                    <w:pageBreakBefore w:val="0"/>
                    <w:widowControl w:val="0"/>
                    <w:suppressLineNumbers w:val="0"/>
                    <w:kinsoku/>
                    <w:wordWrap/>
                    <w:overflowPunct/>
                    <w:topLinePunct w:val="0"/>
                    <w:autoSpaceDE w:val="0"/>
                    <w:autoSpaceDN/>
                    <w:bidi w:val="0"/>
                    <w:adjustRightInd w:val="0"/>
                    <w:snapToGrid/>
                    <w:spacing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29451</w:t>
                  </w:r>
                </w:p>
              </w:tc>
              <w:tc>
                <w:tcPr>
                  <w:tcW w:w="738" w:type="pct"/>
                  <w:tcBorders>
                    <w:tl2br w:val="nil"/>
                    <w:tr2bl w:val="nil"/>
                  </w:tcBorders>
                  <w:noWrap w:val="0"/>
                  <w:vAlign w:val="center"/>
                </w:tcPr>
                <w:p w14:paraId="40DC8723">
                  <w:pPr>
                    <w:keepNext w:val="0"/>
                    <w:keepLines w:val="0"/>
                    <w:widowControl/>
                    <w:suppressLineNumbers w:val="0"/>
                    <w:spacing w:line="240" w:lineRule="auto"/>
                    <w:jc w:val="center"/>
                    <w:textAlignment w:val="center"/>
                    <w:rPr>
                      <w:rFonts w:hint="default" w:ascii="Times New Roman" w:hAnsi="Times New Roman" w:eastAsia="Times New Roman" w:cs="Times New Roman"/>
                      <w:snapToGrid w:val="0"/>
                      <w:color w:val="auto"/>
                      <w:sz w:val="21"/>
                      <w:szCs w:val="21"/>
                      <w:highlight w:val="none"/>
                      <w:lang w:val="en-US"/>
                    </w:rPr>
                  </w:pPr>
                  <w:r>
                    <w:rPr>
                      <w:rFonts w:hint="default" w:ascii="Times New Roman" w:hAnsi="Times New Roman" w:cs="Times New Roman"/>
                      <w:i w:val="0"/>
                      <w:iCs w:val="0"/>
                      <w:snapToGrid w:val="0"/>
                      <w:color w:val="auto"/>
                      <w:kern w:val="0"/>
                      <w:sz w:val="21"/>
                      <w:szCs w:val="21"/>
                      <w:highlight w:val="none"/>
                      <w:u w:val="none"/>
                      <w:lang w:val="en-US" w:eastAsia="zh-CN" w:bidi="ar"/>
                    </w:rPr>
                    <w:t>-5049</w:t>
                  </w:r>
                </w:p>
              </w:tc>
            </w:tr>
            <w:tr w14:paraId="08A16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64684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20C4A4AB">
                  <w:pPr>
                    <w:spacing w:line="280" w:lineRule="exact"/>
                    <w:jc w:val="center"/>
                    <w:rPr>
                      <w:rFonts w:hint="default" w:ascii="Times New Roman" w:hAnsi="Times New Roman" w:eastAsia="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t>COD</w:t>
                  </w:r>
                </w:p>
              </w:tc>
              <w:tc>
                <w:tcPr>
                  <w:tcW w:w="715" w:type="pct"/>
                  <w:tcBorders>
                    <w:tl2br w:val="nil"/>
                    <w:tr2bl w:val="nil"/>
                  </w:tcBorders>
                  <w:noWrap w:val="0"/>
                  <w:vAlign w:val="center"/>
                </w:tcPr>
                <w:p w14:paraId="44A723DF">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1.04</w:t>
                  </w:r>
                </w:p>
              </w:tc>
              <w:tc>
                <w:tcPr>
                  <w:tcW w:w="669" w:type="pct"/>
                  <w:tcBorders>
                    <w:tl2br w:val="nil"/>
                    <w:tr2bl w:val="nil"/>
                  </w:tcBorders>
                  <w:noWrap w:val="0"/>
                  <w:vAlign w:val="center"/>
                </w:tcPr>
                <w:p w14:paraId="64859DF8">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669" w:type="pct"/>
                  <w:tcBorders>
                    <w:tl2br w:val="nil"/>
                    <w:tr2bl w:val="nil"/>
                  </w:tcBorders>
                  <w:noWrap w:val="0"/>
                  <w:vAlign w:val="center"/>
                </w:tcPr>
                <w:p w14:paraId="6B8DA514">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0.55</w:t>
                  </w:r>
                </w:p>
              </w:tc>
              <w:tc>
                <w:tcPr>
                  <w:tcW w:w="900" w:type="pct"/>
                  <w:tcBorders>
                    <w:tl2br w:val="nil"/>
                    <w:tr2bl w:val="nil"/>
                  </w:tcBorders>
                  <w:noWrap w:val="0"/>
                  <w:vAlign w:val="center"/>
                </w:tcPr>
                <w:p w14:paraId="34EA2DB1">
                  <w:pPr>
                    <w:keepNext w:val="0"/>
                    <w:keepLines w:val="0"/>
                    <w:widowControl/>
                    <w:suppressLineNumbers w:val="0"/>
                    <w:jc w:val="center"/>
                    <w:textAlignment w:val="center"/>
                    <w:rPr>
                      <w:rFonts w:hint="default" w:ascii="Times New Roman" w:hAnsi="Times New Roman" w:eastAsia="Times New Roman" w:cs="Times New Roman"/>
                      <w:snapToGrid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0.81</w:t>
                  </w:r>
                </w:p>
              </w:tc>
              <w:tc>
                <w:tcPr>
                  <w:tcW w:w="738" w:type="pct"/>
                  <w:tcBorders>
                    <w:tl2br w:val="nil"/>
                    <w:tr2bl w:val="nil"/>
                  </w:tcBorders>
                  <w:noWrap w:val="0"/>
                  <w:vAlign w:val="center"/>
                </w:tcPr>
                <w:p w14:paraId="33FAEBDD">
                  <w:pPr>
                    <w:keepNext w:val="0"/>
                    <w:keepLines w:val="0"/>
                    <w:widowControl/>
                    <w:suppressLineNumbers w:val="0"/>
                    <w:jc w:val="center"/>
                    <w:textAlignment w:val="center"/>
                    <w:rPr>
                      <w:rFonts w:hint="default" w:ascii="Times New Roman" w:hAnsi="Times New Roman" w:eastAsia="Times New Roman" w:cs="Times New Roman"/>
                      <w:snapToGrid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-0.23</w:t>
                  </w:r>
                </w:p>
              </w:tc>
            </w:tr>
            <w:tr w14:paraId="7CE5D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7A781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4EF6A5C6">
                  <w:pPr>
                    <w:spacing w:line="280" w:lineRule="exact"/>
                    <w:jc w:val="center"/>
                    <w:rPr>
                      <w:rFonts w:hint="default" w:ascii="Times New Roman" w:hAnsi="Times New Roman" w:eastAsia="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715" w:type="pct"/>
                  <w:tcBorders>
                    <w:tl2br w:val="nil"/>
                    <w:tr2bl w:val="nil"/>
                  </w:tcBorders>
                  <w:noWrap w:val="0"/>
                  <w:vAlign w:val="center"/>
                </w:tcPr>
                <w:p w14:paraId="0B73928B">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0.21</w:t>
                  </w:r>
                </w:p>
              </w:tc>
              <w:tc>
                <w:tcPr>
                  <w:tcW w:w="669" w:type="pct"/>
                  <w:tcBorders>
                    <w:tl2br w:val="nil"/>
                    <w:tr2bl w:val="nil"/>
                  </w:tcBorders>
                  <w:noWrap w:val="0"/>
                  <w:vAlign w:val="center"/>
                </w:tcPr>
                <w:p w14:paraId="1A59E87B">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c>
                <w:tcPr>
                  <w:tcW w:w="669" w:type="pct"/>
                  <w:tcBorders>
                    <w:tl2br w:val="nil"/>
                    <w:tr2bl w:val="nil"/>
                  </w:tcBorders>
                  <w:noWrap w:val="0"/>
                  <w:vAlign w:val="center"/>
                </w:tcPr>
                <w:p w14:paraId="6C8B1FFD">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900" w:type="pct"/>
                  <w:tcBorders>
                    <w:tl2br w:val="nil"/>
                    <w:tr2bl w:val="nil"/>
                  </w:tcBorders>
                  <w:noWrap w:val="0"/>
                  <w:vAlign w:val="center"/>
                </w:tcPr>
                <w:p w14:paraId="644481AD">
                  <w:pPr>
                    <w:keepNext w:val="0"/>
                    <w:keepLines w:val="0"/>
                    <w:widowControl/>
                    <w:suppressLineNumbers w:val="0"/>
                    <w:jc w:val="center"/>
                    <w:textAlignment w:val="center"/>
                    <w:rPr>
                      <w:rFonts w:hint="default" w:ascii="Times New Roman" w:hAnsi="Times New Roman" w:eastAsia="Times New Roman" w:cs="Times New Roman"/>
                      <w:snapToGrid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c>
                <w:tcPr>
                  <w:tcW w:w="738" w:type="pct"/>
                  <w:tcBorders>
                    <w:tl2br w:val="nil"/>
                    <w:tr2bl w:val="nil"/>
                  </w:tcBorders>
                  <w:noWrap w:val="0"/>
                  <w:vAlign w:val="center"/>
                </w:tcPr>
                <w:p w14:paraId="05C94B4D">
                  <w:pPr>
                    <w:keepNext w:val="0"/>
                    <w:keepLines w:val="0"/>
                    <w:widowControl/>
                    <w:suppressLineNumbers w:val="0"/>
                    <w:jc w:val="center"/>
                    <w:textAlignment w:val="center"/>
                    <w:rPr>
                      <w:rFonts w:hint="default" w:ascii="Times New Roman" w:hAnsi="Times New Roman" w:eastAsia="Times New Roman" w:cs="Times New Roman"/>
                      <w:snapToGrid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1C689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72C84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34D11864">
                  <w:pPr>
                    <w:spacing w:line="280" w:lineRule="exact"/>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z w:val="21"/>
                      <w:szCs w:val="21"/>
                      <w:highlight w:val="none"/>
                    </w:rPr>
                    <w:t>SS</w:t>
                  </w:r>
                </w:p>
              </w:tc>
              <w:tc>
                <w:tcPr>
                  <w:tcW w:w="715" w:type="pct"/>
                  <w:tcBorders>
                    <w:tl2br w:val="nil"/>
                    <w:tr2bl w:val="nil"/>
                  </w:tcBorders>
                  <w:noWrap w:val="0"/>
                  <w:vAlign w:val="center"/>
                </w:tcPr>
                <w:p w14:paraId="09BA89ED">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0.28</w:t>
                  </w:r>
                </w:p>
              </w:tc>
              <w:tc>
                <w:tcPr>
                  <w:tcW w:w="669" w:type="pct"/>
                  <w:tcBorders>
                    <w:tl2br w:val="nil"/>
                    <w:tr2bl w:val="nil"/>
                  </w:tcBorders>
                  <w:noWrap w:val="0"/>
                  <w:vAlign w:val="center"/>
                </w:tcPr>
                <w:p w14:paraId="36327469">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0.21</w:t>
                  </w:r>
                </w:p>
              </w:tc>
              <w:tc>
                <w:tcPr>
                  <w:tcW w:w="669" w:type="pct"/>
                  <w:tcBorders>
                    <w:tl2br w:val="nil"/>
                    <w:tr2bl w:val="nil"/>
                  </w:tcBorders>
                  <w:noWrap w:val="0"/>
                  <w:vAlign w:val="center"/>
                </w:tcPr>
                <w:p w14:paraId="39836726">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900" w:type="pct"/>
                  <w:tcBorders>
                    <w:tl2br w:val="nil"/>
                    <w:tr2bl w:val="nil"/>
                  </w:tcBorders>
                  <w:noWrap w:val="0"/>
                  <w:vAlign w:val="center"/>
                </w:tcPr>
                <w:p w14:paraId="33648BE4">
                  <w:pPr>
                    <w:keepNext w:val="0"/>
                    <w:keepLines w:val="0"/>
                    <w:widowControl/>
                    <w:suppressLineNumbers w:val="0"/>
                    <w:jc w:val="center"/>
                    <w:textAlignment w:val="center"/>
                    <w:rPr>
                      <w:rFonts w:hint="default" w:ascii="Times New Roman" w:hAnsi="Times New Roman" w:eastAsia="Times New Roman" w:cs="Times New Roman"/>
                      <w:snapToGrid w:val="0"/>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738" w:type="pct"/>
                  <w:tcBorders>
                    <w:tl2br w:val="nil"/>
                    <w:tr2bl w:val="nil"/>
                  </w:tcBorders>
                  <w:noWrap w:val="0"/>
                  <w:vAlign w:val="center"/>
                </w:tcPr>
                <w:p w14:paraId="69DF85E7">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14:paraId="51229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7028A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53CB38F0">
                  <w:pPr>
                    <w:spacing w:line="280" w:lineRule="exact"/>
                    <w:jc w:val="center"/>
                    <w:rPr>
                      <w:rFonts w:hint="default" w:ascii="Times New Roman" w:hAnsi="Times New Roman" w:cs="Times New Roman"/>
                      <w:snapToGrid w:val="0"/>
                      <w:color w:val="auto"/>
                      <w:spacing w:val="4"/>
                      <w:sz w:val="21"/>
                      <w:szCs w:val="21"/>
                      <w:highlight w:val="none"/>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715" w:type="pct"/>
                  <w:tcBorders>
                    <w:tl2br w:val="nil"/>
                    <w:tr2bl w:val="nil"/>
                  </w:tcBorders>
                  <w:noWrap w:val="0"/>
                  <w:vAlign w:val="center"/>
                </w:tcPr>
                <w:p w14:paraId="7906EC14">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69" w:type="pct"/>
                  <w:tcBorders>
                    <w:tl2br w:val="nil"/>
                    <w:tr2bl w:val="nil"/>
                  </w:tcBorders>
                  <w:noWrap w:val="0"/>
                  <w:vAlign w:val="center"/>
                </w:tcPr>
                <w:p w14:paraId="4E41514A">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669" w:type="pct"/>
                  <w:tcBorders>
                    <w:tl2br w:val="nil"/>
                    <w:tr2bl w:val="nil"/>
                  </w:tcBorders>
                  <w:noWrap w:val="0"/>
                  <w:vAlign w:val="center"/>
                </w:tcPr>
                <w:p w14:paraId="6F808031">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900" w:type="pct"/>
                  <w:tcBorders>
                    <w:tl2br w:val="nil"/>
                    <w:tr2bl w:val="nil"/>
                  </w:tcBorders>
                  <w:noWrap w:val="0"/>
                  <w:vAlign w:val="center"/>
                </w:tcPr>
                <w:p w14:paraId="5B0C86AA">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738" w:type="pct"/>
                  <w:tcBorders>
                    <w:tl2br w:val="nil"/>
                    <w:tr2bl w:val="nil"/>
                  </w:tcBorders>
                  <w:noWrap w:val="0"/>
                  <w:vAlign w:val="center"/>
                </w:tcPr>
                <w:p w14:paraId="56463AE2">
                  <w:pPr>
                    <w:keepNext w:val="0"/>
                    <w:keepLines w:val="0"/>
                    <w:widowControl/>
                    <w:suppressLineNumbers w:val="0"/>
                    <w:jc w:val="center"/>
                    <w:textAlignment w:val="center"/>
                    <w:rPr>
                      <w:rFonts w:hint="default" w:ascii="Times New Roman" w:hAnsi="Times New Roman"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29A0D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1BC2E3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669EF4D9">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snapToGrid w:val="0"/>
                      <w:color w:val="auto"/>
                      <w:spacing w:val="4"/>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715" w:type="pct"/>
                  <w:tcBorders>
                    <w:tl2br w:val="nil"/>
                    <w:tr2bl w:val="nil"/>
                  </w:tcBorders>
                  <w:noWrap w:val="0"/>
                  <w:vAlign w:val="center"/>
                </w:tcPr>
                <w:p w14:paraId="7184B68B">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w:t>
                  </w:r>
                </w:p>
              </w:tc>
              <w:tc>
                <w:tcPr>
                  <w:tcW w:w="669" w:type="pct"/>
                  <w:tcBorders>
                    <w:tl2br w:val="nil"/>
                    <w:tr2bl w:val="nil"/>
                  </w:tcBorders>
                  <w:noWrap w:val="0"/>
                  <w:vAlign w:val="center"/>
                </w:tcPr>
                <w:p w14:paraId="1542390E">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669" w:type="pct"/>
                  <w:tcBorders>
                    <w:tl2br w:val="nil"/>
                    <w:tr2bl w:val="nil"/>
                  </w:tcBorders>
                  <w:noWrap w:val="0"/>
                  <w:vAlign w:val="center"/>
                </w:tcPr>
                <w:p w14:paraId="02B71AD4">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900" w:type="pct"/>
                  <w:tcBorders>
                    <w:tl2br w:val="nil"/>
                    <w:tr2bl w:val="nil"/>
                  </w:tcBorders>
                  <w:noWrap w:val="0"/>
                  <w:vAlign w:val="center"/>
                </w:tcPr>
                <w:p w14:paraId="3BF84ECD">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738" w:type="pct"/>
                  <w:tcBorders>
                    <w:tl2br w:val="nil"/>
                    <w:tr2bl w:val="nil"/>
                  </w:tcBorders>
                  <w:noWrap w:val="0"/>
                  <w:vAlign w:val="center"/>
                </w:tcPr>
                <w:p w14:paraId="04968006">
                  <w:pPr>
                    <w:keepNext w:val="0"/>
                    <w:keepLines w:val="0"/>
                    <w:widowControl/>
                    <w:suppressLineNumbers w:val="0"/>
                    <w:jc w:val="center"/>
                    <w:textAlignment w:val="center"/>
                    <w:rPr>
                      <w:rFonts w:hint="default" w:ascii="Times New Roman" w:hAnsi="Times New Roman"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4758D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593A9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shd w:val="clear" w:color="auto" w:fill="auto"/>
                  <w:noWrap w:val="0"/>
                  <w:vAlign w:val="center"/>
                </w:tcPr>
                <w:p w14:paraId="57A178E8">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TP</w:t>
                  </w:r>
                </w:p>
              </w:tc>
              <w:tc>
                <w:tcPr>
                  <w:tcW w:w="715" w:type="pct"/>
                  <w:tcBorders>
                    <w:tl2br w:val="nil"/>
                    <w:tr2bl w:val="nil"/>
                  </w:tcBorders>
                  <w:shd w:val="clear" w:color="auto" w:fill="auto"/>
                  <w:noWrap w:val="0"/>
                  <w:vAlign w:val="center"/>
                </w:tcPr>
                <w:p w14:paraId="6BC63479">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669" w:type="pct"/>
                  <w:tcBorders>
                    <w:tl2br w:val="nil"/>
                    <w:tr2bl w:val="nil"/>
                  </w:tcBorders>
                  <w:shd w:val="clear" w:color="auto" w:fill="auto"/>
                  <w:noWrap w:val="0"/>
                  <w:vAlign w:val="center"/>
                </w:tcPr>
                <w:p w14:paraId="6E897C3C">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c>
                <w:tcPr>
                  <w:tcW w:w="669" w:type="pct"/>
                  <w:tcBorders>
                    <w:tl2br w:val="nil"/>
                    <w:tr2bl w:val="nil"/>
                  </w:tcBorders>
                  <w:shd w:val="clear" w:color="auto" w:fill="auto"/>
                  <w:noWrap w:val="0"/>
                  <w:vAlign w:val="center"/>
                </w:tcPr>
                <w:p w14:paraId="60ED15FB">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0.0009</w:t>
                  </w:r>
                </w:p>
              </w:tc>
              <w:tc>
                <w:tcPr>
                  <w:tcW w:w="900" w:type="pct"/>
                  <w:tcBorders>
                    <w:tl2br w:val="nil"/>
                    <w:tr2bl w:val="nil"/>
                  </w:tcBorders>
                  <w:shd w:val="clear" w:color="auto" w:fill="auto"/>
                  <w:noWrap w:val="0"/>
                  <w:vAlign w:val="center"/>
                </w:tcPr>
                <w:p w14:paraId="7235017A">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0.0013</w:t>
                  </w:r>
                </w:p>
              </w:tc>
              <w:tc>
                <w:tcPr>
                  <w:tcW w:w="738" w:type="pct"/>
                  <w:tcBorders>
                    <w:tl2br w:val="nil"/>
                    <w:tr2bl w:val="nil"/>
                  </w:tcBorders>
                  <w:shd w:val="clear" w:color="auto" w:fill="auto"/>
                  <w:noWrap w:val="0"/>
                  <w:vAlign w:val="center"/>
                </w:tcPr>
                <w:p w14:paraId="514C5E04">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-0.0007</w:t>
                  </w:r>
                </w:p>
              </w:tc>
            </w:tr>
            <w:tr w14:paraId="5B6F8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35E74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24E0BC6D">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715" w:type="pct"/>
                  <w:tcBorders>
                    <w:tl2br w:val="nil"/>
                    <w:tr2bl w:val="nil"/>
                  </w:tcBorders>
                  <w:noWrap w:val="0"/>
                  <w:vAlign w:val="center"/>
                </w:tcPr>
                <w:p w14:paraId="7E122FE2">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669" w:type="pct"/>
                  <w:tcBorders>
                    <w:tl2br w:val="nil"/>
                    <w:tr2bl w:val="nil"/>
                  </w:tcBorders>
                  <w:noWrap w:val="0"/>
                  <w:vAlign w:val="center"/>
                </w:tcPr>
                <w:p w14:paraId="38DB0A16">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669" w:type="pct"/>
                  <w:tcBorders>
                    <w:tl2br w:val="nil"/>
                    <w:tr2bl w:val="nil"/>
                  </w:tcBorders>
                  <w:noWrap w:val="0"/>
                  <w:vAlign w:val="center"/>
                </w:tcPr>
                <w:p w14:paraId="3728270C">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900" w:type="pct"/>
                  <w:tcBorders>
                    <w:tl2br w:val="nil"/>
                    <w:tr2bl w:val="nil"/>
                  </w:tcBorders>
                  <w:noWrap w:val="0"/>
                  <w:vAlign w:val="center"/>
                </w:tcPr>
                <w:p w14:paraId="01D0C398">
                  <w:pPr>
                    <w:keepNext w:val="0"/>
                    <w:keepLines w:val="0"/>
                    <w:widowControl/>
                    <w:suppressLineNumbers w:val="0"/>
                    <w:jc w:val="center"/>
                    <w:textAlignment w:val="center"/>
                    <w:rPr>
                      <w:rFonts w:hint="default" w:ascii="Times New Roman" w:hAnsi="Times New Roman" w:cs="Times New Roman"/>
                      <w:snapToGrid w:val="0"/>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c>
                <w:tcPr>
                  <w:tcW w:w="738" w:type="pct"/>
                  <w:tcBorders>
                    <w:tl2br w:val="nil"/>
                    <w:tr2bl w:val="nil"/>
                  </w:tcBorders>
                  <w:noWrap w:val="0"/>
                  <w:vAlign w:val="center"/>
                </w:tcPr>
                <w:p w14:paraId="62807EFF">
                  <w:pPr>
                    <w:keepNext w:val="0"/>
                    <w:keepLines w:val="0"/>
                    <w:widowControl/>
                    <w:suppressLineNumbers w:val="0"/>
                    <w:jc w:val="center"/>
                    <w:textAlignment w:val="center"/>
                    <w:rPr>
                      <w:rFonts w:hint="default" w:ascii="Times New Roman" w:hAnsi="Times New Roman"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62370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90" w:hRule="atLeast"/>
              </w:trPr>
              <w:tc>
                <w:tcPr>
                  <w:tcW w:w="421" w:type="pct"/>
                  <w:vMerge w:val="restart"/>
                  <w:tcBorders>
                    <w:tl2br w:val="nil"/>
                    <w:tr2bl w:val="nil"/>
                  </w:tcBorders>
                  <w:noWrap w:val="0"/>
                  <w:vAlign w:val="center"/>
                </w:tcPr>
                <w:p w14:paraId="02A53E22">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pacing w:val="5"/>
                      <w:sz w:val="21"/>
                      <w:szCs w:val="21"/>
                      <w:highlight w:val="none"/>
                    </w:rPr>
                    <w:t>废气</w:t>
                  </w:r>
                </w:p>
              </w:tc>
              <w:tc>
                <w:tcPr>
                  <w:tcW w:w="885" w:type="pct"/>
                  <w:tcBorders>
                    <w:tl2br w:val="nil"/>
                    <w:tr2bl w:val="nil"/>
                  </w:tcBorders>
                  <w:noWrap w:val="0"/>
                  <w:vAlign w:val="center"/>
                </w:tcPr>
                <w:p w14:paraId="7EC7D048">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宋体" w:cs="Times New Roman"/>
                      <w:color w:val="auto"/>
                      <w:spacing w:val="-3"/>
                      <w:sz w:val="21"/>
                      <w:szCs w:val="21"/>
                      <w:highlight w:val="none"/>
                      <w:lang w:val="en-US" w:eastAsia="zh-CN"/>
                    </w:rPr>
                    <w:t>颗粒物</w:t>
                  </w:r>
                </w:p>
              </w:tc>
              <w:tc>
                <w:tcPr>
                  <w:tcW w:w="715" w:type="pct"/>
                  <w:tcBorders>
                    <w:tl2br w:val="nil"/>
                    <w:tr2bl w:val="nil"/>
                  </w:tcBorders>
                  <w:noWrap w:val="0"/>
                  <w:vAlign w:val="center"/>
                </w:tcPr>
                <w:p w14:paraId="52C714E6">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0.066</w:t>
                  </w:r>
                </w:p>
              </w:tc>
              <w:tc>
                <w:tcPr>
                  <w:tcW w:w="1795" w:type="dxa"/>
                  <w:tcBorders>
                    <w:tl2br w:val="nil"/>
                    <w:tr2bl w:val="nil"/>
                  </w:tcBorders>
                  <w:noWrap w:val="0"/>
                  <w:vAlign w:val="center"/>
                </w:tcPr>
                <w:p w14:paraId="601440AB">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0.066</w:t>
                  </w:r>
                </w:p>
              </w:tc>
              <w:tc>
                <w:tcPr>
                  <w:tcW w:w="669" w:type="pct"/>
                  <w:tcBorders>
                    <w:tl2br w:val="nil"/>
                    <w:tr2bl w:val="nil"/>
                  </w:tcBorders>
                  <w:noWrap w:val="0"/>
                  <w:vAlign w:val="center"/>
                </w:tcPr>
                <w:p w14:paraId="6AB25EC4">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i w:val="0"/>
                      <w:iCs w:val="0"/>
                      <w:color w:val="auto"/>
                      <w:sz w:val="21"/>
                      <w:szCs w:val="21"/>
                      <w:highlight w:val="none"/>
                      <w:u w:val="none"/>
                      <w:lang w:val="en-US" w:eastAsia="zh-CN"/>
                    </w:rPr>
                    <w:t>0.05</w:t>
                  </w:r>
                  <w:r>
                    <w:rPr>
                      <w:rFonts w:hint="eastAsia" w:cs="Times New Roman"/>
                      <w:i w:val="0"/>
                      <w:iCs w:val="0"/>
                      <w:color w:val="auto"/>
                      <w:sz w:val="21"/>
                      <w:szCs w:val="21"/>
                      <w:highlight w:val="none"/>
                      <w:u w:val="none"/>
                      <w:lang w:val="en-US" w:eastAsia="zh-CN"/>
                    </w:rPr>
                    <w:t>67</w:t>
                  </w:r>
                </w:p>
              </w:tc>
              <w:tc>
                <w:tcPr>
                  <w:tcW w:w="900" w:type="pct"/>
                  <w:tcBorders>
                    <w:tl2br w:val="nil"/>
                    <w:tr2bl w:val="nil"/>
                  </w:tcBorders>
                  <w:noWrap w:val="0"/>
                  <w:vAlign w:val="center"/>
                </w:tcPr>
                <w:p w14:paraId="4F9865F8">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i w:val="0"/>
                      <w:iCs w:val="0"/>
                      <w:color w:val="auto"/>
                      <w:sz w:val="21"/>
                      <w:szCs w:val="21"/>
                      <w:highlight w:val="none"/>
                      <w:u w:val="none"/>
                      <w:lang w:val="en-US" w:eastAsia="zh-CN"/>
                    </w:rPr>
                    <w:t>0.</w:t>
                  </w:r>
                  <w:r>
                    <w:rPr>
                      <w:rFonts w:hint="eastAsia" w:cs="Times New Roman"/>
                      <w:i w:val="0"/>
                      <w:iCs w:val="0"/>
                      <w:color w:val="auto"/>
                      <w:sz w:val="21"/>
                      <w:szCs w:val="21"/>
                      <w:highlight w:val="none"/>
                      <w:u w:val="none"/>
                      <w:lang w:val="en-US" w:eastAsia="zh-CN"/>
                    </w:rPr>
                    <w:t>0567</w:t>
                  </w:r>
                </w:p>
              </w:tc>
              <w:tc>
                <w:tcPr>
                  <w:tcW w:w="738" w:type="pct"/>
                  <w:tcBorders>
                    <w:tl2br w:val="nil"/>
                    <w:tr2bl w:val="nil"/>
                  </w:tcBorders>
                  <w:noWrap w:val="0"/>
                  <w:vAlign w:val="center"/>
                </w:tcPr>
                <w:p w14:paraId="7F30B570">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093</w:t>
                  </w:r>
                </w:p>
              </w:tc>
            </w:tr>
            <w:tr w14:paraId="1C826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77FAF1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513F4E83">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Times New Roman" w:cs="Times New Roman"/>
                      <w:color w:val="auto"/>
                      <w:spacing w:val="-4"/>
                      <w:sz w:val="21"/>
                      <w:szCs w:val="21"/>
                      <w:highlight w:val="none"/>
                    </w:rPr>
                    <w:t>SO</w:t>
                  </w:r>
                  <w:r>
                    <w:rPr>
                      <w:rFonts w:hint="default" w:ascii="Times New Roman" w:hAnsi="Times New Roman" w:eastAsia="Times New Roman" w:cs="Times New Roman"/>
                      <w:color w:val="auto"/>
                      <w:spacing w:val="-4"/>
                      <w:position w:val="-1"/>
                      <w:sz w:val="21"/>
                      <w:szCs w:val="21"/>
                      <w:highlight w:val="none"/>
                      <w:vertAlign w:val="subscript"/>
                    </w:rPr>
                    <w:t>2</w:t>
                  </w:r>
                </w:p>
              </w:tc>
              <w:tc>
                <w:tcPr>
                  <w:tcW w:w="715" w:type="pct"/>
                  <w:tcBorders>
                    <w:tl2br w:val="nil"/>
                    <w:tr2bl w:val="nil"/>
                  </w:tcBorders>
                  <w:noWrap w:val="0"/>
                  <w:vAlign w:val="center"/>
                </w:tcPr>
                <w:p w14:paraId="298185B2">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0.806</w:t>
                  </w:r>
                </w:p>
              </w:tc>
              <w:tc>
                <w:tcPr>
                  <w:tcW w:w="1795" w:type="dxa"/>
                  <w:tcBorders>
                    <w:tl2br w:val="nil"/>
                    <w:tr2bl w:val="nil"/>
                  </w:tcBorders>
                  <w:noWrap w:val="0"/>
                  <w:vAlign w:val="center"/>
                </w:tcPr>
                <w:p w14:paraId="7932846A">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0.806</w:t>
                  </w:r>
                </w:p>
              </w:tc>
              <w:tc>
                <w:tcPr>
                  <w:tcW w:w="669" w:type="pct"/>
                  <w:tcBorders>
                    <w:tl2br w:val="nil"/>
                    <w:tr2bl w:val="nil"/>
                  </w:tcBorders>
                  <w:noWrap w:val="0"/>
                  <w:vAlign w:val="center"/>
                </w:tcPr>
                <w:p w14:paraId="5B9EBA12">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i w:val="0"/>
                      <w:iCs w:val="0"/>
                      <w:color w:val="auto"/>
                      <w:sz w:val="21"/>
                      <w:szCs w:val="21"/>
                      <w:highlight w:val="none"/>
                      <w:u w:val="none"/>
                      <w:lang w:val="en-US" w:eastAsia="zh-CN"/>
                    </w:rPr>
                    <w:t>0.691</w:t>
                  </w:r>
                </w:p>
              </w:tc>
              <w:tc>
                <w:tcPr>
                  <w:tcW w:w="900" w:type="pct"/>
                  <w:tcBorders>
                    <w:tl2br w:val="nil"/>
                    <w:tr2bl w:val="nil"/>
                  </w:tcBorders>
                  <w:noWrap w:val="0"/>
                  <w:vAlign w:val="center"/>
                </w:tcPr>
                <w:p w14:paraId="5170056D">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i w:val="0"/>
                      <w:iCs w:val="0"/>
                      <w:color w:val="auto"/>
                      <w:sz w:val="21"/>
                      <w:szCs w:val="21"/>
                      <w:highlight w:val="none"/>
                      <w:u w:val="none"/>
                      <w:lang w:val="en-US" w:eastAsia="zh-CN"/>
                    </w:rPr>
                    <w:t>0.</w:t>
                  </w:r>
                  <w:r>
                    <w:rPr>
                      <w:rFonts w:hint="eastAsia" w:cs="Times New Roman"/>
                      <w:i w:val="0"/>
                      <w:iCs w:val="0"/>
                      <w:color w:val="auto"/>
                      <w:sz w:val="21"/>
                      <w:szCs w:val="21"/>
                      <w:highlight w:val="none"/>
                      <w:u w:val="none"/>
                      <w:lang w:val="en-US" w:eastAsia="zh-CN"/>
                    </w:rPr>
                    <w:t>691</w:t>
                  </w:r>
                </w:p>
              </w:tc>
              <w:tc>
                <w:tcPr>
                  <w:tcW w:w="738" w:type="pct"/>
                  <w:tcBorders>
                    <w:tl2br w:val="nil"/>
                    <w:tr2bl w:val="nil"/>
                  </w:tcBorders>
                  <w:noWrap w:val="0"/>
                  <w:vAlign w:val="center"/>
                </w:tcPr>
                <w:p w14:paraId="12EC76BE">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115</w:t>
                  </w:r>
                </w:p>
              </w:tc>
            </w:tr>
            <w:tr w14:paraId="7DC78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00C2D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1B6510E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eastAsia="Times New Roman" w:cs="Times New Roman"/>
                      <w:color w:val="auto"/>
                      <w:spacing w:val="2"/>
                      <w:sz w:val="21"/>
                      <w:szCs w:val="21"/>
                      <w:highlight w:val="none"/>
                    </w:rPr>
                    <w:t>NO</w:t>
                  </w:r>
                  <w:r>
                    <w:rPr>
                      <w:rFonts w:hint="default" w:ascii="Times New Roman" w:hAnsi="Times New Roman" w:eastAsia="Times New Roman" w:cs="Times New Roman"/>
                      <w:color w:val="auto"/>
                      <w:spacing w:val="2"/>
                      <w:position w:val="-1"/>
                      <w:sz w:val="21"/>
                      <w:szCs w:val="21"/>
                      <w:highlight w:val="none"/>
                      <w:vertAlign w:val="subscript"/>
                    </w:rPr>
                    <w:t>X</w:t>
                  </w:r>
                </w:p>
              </w:tc>
              <w:tc>
                <w:tcPr>
                  <w:tcW w:w="715" w:type="pct"/>
                  <w:tcBorders>
                    <w:tl2br w:val="nil"/>
                    <w:tr2bl w:val="nil"/>
                  </w:tcBorders>
                  <w:noWrap w:val="0"/>
                  <w:vAlign w:val="center"/>
                </w:tcPr>
                <w:p w14:paraId="0562392F">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0.288</w:t>
                  </w:r>
                </w:p>
              </w:tc>
              <w:tc>
                <w:tcPr>
                  <w:tcW w:w="1795" w:type="dxa"/>
                  <w:tcBorders>
                    <w:tl2br w:val="nil"/>
                    <w:tr2bl w:val="nil"/>
                  </w:tcBorders>
                  <w:noWrap w:val="0"/>
                  <w:vAlign w:val="center"/>
                </w:tcPr>
                <w:p w14:paraId="7CF023B1">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0.288</w:t>
                  </w:r>
                </w:p>
              </w:tc>
              <w:tc>
                <w:tcPr>
                  <w:tcW w:w="669" w:type="pct"/>
                  <w:tcBorders>
                    <w:tl2br w:val="nil"/>
                    <w:tr2bl w:val="nil"/>
                  </w:tcBorders>
                  <w:noWrap w:val="0"/>
                  <w:vAlign w:val="center"/>
                </w:tcPr>
                <w:p w14:paraId="14D4550A">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i w:val="0"/>
                      <w:iCs w:val="0"/>
                      <w:color w:val="auto"/>
                      <w:sz w:val="21"/>
                      <w:szCs w:val="21"/>
                      <w:highlight w:val="none"/>
                      <w:u w:val="none"/>
                      <w:lang w:val="en-US" w:eastAsia="zh-CN"/>
                    </w:rPr>
                    <w:t>0.241</w:t>
                  </w:r>
                </w:p>
              </w:tc>
              <w:tc>
                <w:tcPr>
                  <w:tcW w:w="900" w:type="pct"/>
                  <w:tcBorders>
                    <w:tl2br w:val="nil"/>
                    <w:tr2bl w:val="nil"/>
                  </w:tcBorders>
                  <w:noWrap w:val="0"/>
                  <w:vAlign w:val="center"/>
                </w:tcPr>
                <w:p w14:paraId="42680DF7">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i w:val="0"/>
                      <w:iCs w:val="0"/>
                      <w:color w:val="auto"/>
                      <w:sz w:val="21"/>
                      <w:szCs w:val="21"/>
                      <w:highlight w:val="none"/>
                      <w:u w:val="none"/>
                      <w:lang w:val="en-US" w:eastAsia="zh-CN"/>
                    </w:rPr>
                    <w:t>0.241</w:t>
                  </w:r>
                </w:p>
              </w:tc>
              <w:tc>
                <w:tcPr>
                  <w:tcW w:w="738" w:type="pct"/>
                  <w:tcBorders>
                    <w:tl2br w:val="nil"/>
                    <w:tr2bl w:val="nil"/>
                  </w:tcBorders>
                  <w:noWrap w:val="0"/>
                  <w:vAlign w:val="center"/>
                </w:tcPr>
                <w:p w14:paraId="2D7E5E58">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047</w:t>
                  </w:r>
                </w:p>
              </w:tc>
            </w:tr>
            <w:tr w14:paraId="76357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58322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noWrap w:val="0"/>
                  <w:vAlign w:val="center"/>
                </w:tcPr>
                <w:p w14:paraId="36915987">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pacing w:val="7"/>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非甲烷总烃</w:t>
                  </w:r>
                </w:p>
              </w:tc>
              <w:tc>
                <w:tcPr>
                  <w:tcW w:w="715" w:type="pct"/>
                  <w:tcBorders>
                    <w:tl2br w:val="nil"/>
                    <w:tr2bl w:val="nil"/>
                  </w:tcBorders>
                  <w:noWrap w:val="0"/>
                  <w:vAlign w:val="center"/>
                </w:tcPr>
                <w:p w14:paraId="2B1541E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snapToGrid w:val="0"/>
                      <w:color w:val="auto"/>
                      <w:kern w:val="2"/>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0.803</w:t>
                  </w:r>
                </w:p>
              </w:tc>
              <w:tc>
                <w:tcPr>
                  <w:tcW w:w="669" w:type="pct"/>
                  <w:tcBorders>
                    <w:tl2br w:val="nil"/>
                    <w:tr2bl w:val="nil"/>
                  </w:tcBorders>
                  <w:noWrap w:val="0"/>
                  <w:vAlign w:val="center"/>
                </w:tcPr>
                <w:p w14:paraId="7A31BADA">
                  <w:pPr>
                    <w:keepNext w:val="0"/>
                    <w:keepLines w:val="0"/>
                    <w:widowControl/>
                    <w:suppressLineNumbers w:val="0"/>
                    <w:jc w:val="center"/>
                    <w:textAlignment w:val="center"/>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0.625</w:t>
                  </w:r>
                </w:p>
              </w:tc>
              <w:tc>
                <w:tcPr>
                  <w:tcW w:w="669" w:type="pct"/>
                  <w:tcBorders>
                    <w:tl2br w:val="nil"/>
                    <w:tr2bl w:val="nil"/>
                  </w:tcBorders>
                  <w:noWrap w:val="0"/>
                  <w:vAlign w:val="center"/>
                </w:tcPr>
                <w:p w14:paraId="554475F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0.535</w:t>
                  </w:r>
                </w:p>
              </w:tc>
              <w:tc>
                <w:tcPr>
                  <w:tcW w:w="900" w:type="pct"/>
                  <w:tcBorders>
                    <w:tl2br w:val="nil"/>
                    <w:tr2bl w:val="nil"/>
                  </w:tcBorders>
                  <w:noWrap w:val="0"/>
                  <w:vAlign w:val="center"/>
                </w:tcPr>
                <w:p w14:paraId="1638AFC8">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u w:val="none"/>
                      <w:lang w:val="en-US" w:eastAsia="zh-CN"/>
                    </w:rPr>
                    <w:t>0.</w:t>
                  </w:r>
                  <w:r>
                    <w:rPr>
                      <w:rFonts w:hint="default" w:ascii="Times New Roman" w:hAnsi="Times New Roman" w:cs="Times New Roman"/>
                      <w:i w:val="0"/>
                      <w:iCs w:val="0"/>
                      <w:color w:val="auto"/>
                      <w:sz w:val="21"/>
                      <w:szCs w:val="21"/>
                      <w:highlight w:val="none"/>
                      <w:u w:val="none"/>
                      <w:lang w:val="en-US" w:eastAsia="zh-CN"/>
                    </w:rPr>
                    <w:t>713</w:t>
                  </w:r>
                </w:p>
              </w:tc>
              <w:tc>
                <w:tcPr>
                  <w:tcW w:w="738" w:type="pct"/>
                  <w:tcBorders>
                    <w:tl2br w:val="nil"/>
                    <w:tr2bl w:val="nil"/>
                  </w:tcBorders>
                  <w:noWrap w:val="0"/>
                  <w:vAlign w:val="center"/>
                </w:tcPr>
                <w:p w14:paraId="76CC9919">
                  <w:pPr>
                    <w:keepNext w:val="0"/>
                    <w:keepLines w:val="0"/>
                    <w:widowControl/>
                    <w:suppressLineNumbers w:val="0"/>
                    <w:jc w:val="center"/>
                    <w:textAlignment w:val="center"/>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cs="Times New Roman"/>
                      <w:i w:val="0"/>
                      <w:iCs w:val="0"/>
                      <w:color w:val="auto"/>
                      <w:kern w:val="0"/>
                      <w:sz w:val="21"/>
                      <w:szCs w:val="21"/>
                      <w:highlight w:val="none"/>
                      <w:u w:val="none"/>
                      <w:lang w:val="en-US" w:eastAsia="zh-CN" w:bidi="ar"/>
                    </w:rPr>
                    <w:t>009</w:t>
                  </w:r>
                </w:p>
              </w:tc>
            </w:tr>
            <w:tr w14:paraId="4DFC5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restart"/>
                  <w:tcBorders>
                    <w:tl2br w:val="nil"/>
                    <w:tr2bl w:val="nil"/>
                  </w:tcBorders>
                  <w:noWrap w:val="0"/>
                  <w:vAlign w:val="center"/>
                </w:tcPr>
                <w:p w14:paraId="1FFD1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color w:val="auto"/>
                      <w:spacing w:val="-8"/>
                      <w:sz w:val="21"/>
                      <w:szCs w:val="21"/>
                      <w:highlight w:val="none"/>
                    </w:rPr>
                    <w:t>固体废物</w:t>
                  </w:r>
                </w:p>
              </w:tc>
              <w:tc>
                <w:tcPr>
                  <w:tcW w:w="885" w:type="pct"/>
                  <w:tcBorders>
                    <w:tl2br w:val="nil"/>
                    <w:tr2bl w:val="nil"/>
                  </w:tcBorders>
                  <w:shd w:val="clear" w:color="auto" w:fill="auto"/>
                  <w:noWrap w:val="0"/>
                  <w:vAlign w:val="center"/>
                </w:tcPr>
                <w:p w14:paraId="3188B4CD">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过滤杂质</w:t>
                  </w:r>
                </w:p>
              </w:tc>
              <w:tc>
                <w:tcPr>
                  <w:tcW w:w="715" w:type="pct"/>
                  <w:tcBorders>
                    <w:tl2br w:val="nil"/>
                    <w:tr2bl w:val="nil"/>
                  </w:tcBorders>
                  <w:noWrap w:val="0"/>
                  <w:vAlign w:val="center"/>
                </w:tcPr>
                <w:p w14:paraId="63F7EA5D">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0.68</w:t>
                  </w:r>
                </w:p>
              </w:tc>
              <w:tc>
                <w:tcPr>
                  <w:tcW w:w="669" w:type="pct"/>
                  <w:tcBorders>
                    <w:tl2br w:val="nil"/>
                    <w:tr2bl w:val="nil"/>
                  </w:tcBorders>
                  <w:noWrap w:val="0"/>
                  <w:vAlign w:val="center"/>
                </w:tcPr>
                <w:p w14:paraId="42899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tcBorders>
                    <w:tl2br w:val="nil"/>
                    <w:tr2bl w:val="nil"/>
                  </w:tcBorders>
                  <w:noWrap w:val="0"/>
                  <w:vAlign w:val="center"/>
                </w:tcPr>
                <w:p w14:paraId="4CFB57C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900" w:type="pct"/>
                  <w:tcBorders>
                    <w:tl2br w:val="nil"/>
                    <w:tr2bl w:val="nil"/>
                  </w:tcBorders>
                  <w:noWrap w:val="0"/>
                  <w:vAlign w:val="center"/>
                </w:tcPr>
                <w:p w14:paraId="286D431B">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738" w:type="pct"/>
                  <w:tcBorders>
                    <w:tl2br w:val="nil"/>
                    <w:tr2bl w:val="nil"/>
                  </w:tcBorders>
                  <w:noWrap w:val="0"/>
                  <w:vAlign w:val="center"/>
                </w:tcPr>
                <w:p w14:paraId="77868F5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0.32</w:t>
                  </w:r>
                </w:p>
              </w:tc>
            </w:tr>
            <w:tr w14:paraId="5AE0D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2760F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shd w:val="clear" w:color="auto" w:fill="auto"/>
                  <w:noWrap w:val="0"/>
                  <w:vAlign w:val="center"/>
                </w:tcPr>
                <w:p w14:paraId="16E4A97B">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皂脚</w:t>
                  </w:r>
                </w:p>
              </w:tc>
              <w:tc>
                <w:tcPr>
                  <w:tcW w:w="715" w:type="pct"/>
                  <w:tcBorders>
                    <w:tl2br w:val="nil"/>
                    <w:tr2bl w:val="nil"/>
                  </w:tcBorders>
                  <w:noWrap w:val="0"/>
                  <w:vAlign w:val="center"/>
                </w:tcPr>
                <w:p w14:paraId="12B51754">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3860</w:t>
                  </w:r>
                </w:p>
              </w:tc>
              <w:tc>
                <w:tcPr>
                  <w:tcW w:w="669" w:type="pct"/>
                  <w:tcBorders>
                    <w:tl2br w:val="nil"/>
                    <w:tr2bl w:val="nil"/>
                  </w:tcBorders>
                  <w:noWrap w:val="0"/>
                  <w:vAlign w:val="center"/>
                </w:tcPr>
                <w:p w14:paraId="137CE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tcBorders>
                    <w:tl2br w:val="nil"/>
                    <w:tr2bl w:val="nil"/>
                  </w:tcBorders>
                  <w:noWrap w:val="0"/>
                  <w:vAlign w:val="center"/>
                </w:tcPr>
                <w:p w14:paraId="3D94D21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5770</w:t>
                  </w:r>
                </w:p>
              </w:tc>
              <w:tc>
                <w:tcPr>
                  <w:tcW w:w="900" w:type="pct"/>
                  <w:tcBorders>
                    <w:tl2br w:val="nil"/>
                    <w:tr2bl w:val="nil"/>
                  </w:tcBorders>
                  <w:noWrap w:val="0"/>
                  <w:vAlign w:val="center"/>
                </w:tcPr>
                <w:p w14:paraId="254A5C4C">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5770</w:t>
                  </w:r>
                </w:p>
              </w:tc>
              <w:tc>
                <w:tcPr>
                  <w:tcW w:w="738" w:type="pct"/>
                  <w:tcBorders>
                    <w:tl2br w:val="nil"/>
                    <w:tr2bl w:val="nil"/>
                  </w:tcBorders>
                  <w:noWrap w:val="0"/>
                  <w:vAlign w:val="center"/>
                </w:tcPr>
                <w:p w14:paraId="3895DCB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1910</w:t>
                  </w:r>
                </w:p>
              </w:tc>
            </w:tr>
            <w:tr w14:paraId="664C9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53D0B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shd w:val="clear" w:color="auto" w:fill="auto"/>
                  <w:noWrap w:val="0"/>
                  <w:vAlign w:val="center"/>
                </w:tcPr>
                <w:p w14:paraId="0C190CD9">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废白土</w:t>
                  </w:r>
                </w:p>
              </w:tc>
              <w:tc>
                <w:tcPr>
                  <w:tcW w:w="715" w:type="pct"/>
                  <w:tcBorders>
                    <w:tl2br w:val="nil"/>
                    <w:tr2bl w:val="nil"/>
                  </w:tcBorders>
                  <w:noWrap w:val="0"/>
                  <w:vAlign w:val="center"/>
                </w:tcPr>
                <w:p w14:paraId="2FDA8E57">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373</w:t>
                  </w:r>
                </w:p>
              </w:tc>
              <w:tc>
                <w:tcPr>
                  <w:tcW w:w="669" w:type="pct"/>
                  <w:tcBorders>
                    <w:tl2br w:val="nil"/>
                    <w:tr2bl w:val="nil"/>
                  </w:tcBorders>
                  <w:noWrap w:val="0"/>
                  <w:vAlign w:val="center"/>
                </w:tcPr>
                <w:p w14:paraId="15C946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tcBorders>
                    <w:tl2br w:val="nil"/>
                    <w:tr2bl w:val="nil"/>
                  </w:tcBorders>
                  <w:noWrap w:val="0"/>
                  <w:vAlign w:val="center"/>
                </w:tcPr>
                <w:p w14:paraId="118E140A">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580</w:t>
                  </w:r>
                </w:p>
              </w:tc>
              <w:tc>
                <w:tcPr>
                  <w:tcW w:w="900" w:type="pct"/>
                  <w:tcBorders>
                    <w:tl2br w:val="nil"/>
                    <w:tr2bl w:val="nil"/>
                  </w:tcBorders>
                  <w:noWrap w:val="0"/>
                  <w:vAlign w:val="center"/>
                </w:tcPr>
                <w:p w14:paraId="05A2C26C">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sz w:val="21"/>
                      <w:szCs w:val="21"/>
                      <w:highlight w:val="none"/>
                      <w:lang w:val="en-US" w:eastAsia="zh-CN"/>
                    </w:rPr>
                    <w:t>580</w:t>
                  </w:r>
                </w:p>
              </w:tc>
              <w:tc>
                <w:tcPr>
                  <w:tcW w:w="738" w:type="pct"/>
                  <w:tcBorders>
                    <w:tl2br w:val="nil"/>
                    <w:tr2bl w:val="nil"/>
                  </w:tcBorders>
                  <w:noWrap w:val="0"/>
                  <w:vAlign w:val="center"/>
                </w:tcPr>
                <w:p w14:paraId="06D9AE0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pacing w:val="-1"/>
                      <w:sz w:val="21"/>
                      <w:szCs w:val="21"/>
                      <w:highlight w:val="none"/>
                      <w:lang w:val="en-US" w:eastAsia="zh-CN"/>
                    </w:rPr>
                    <w:t>207</w:t>
                  </w:r>
                </w:p>
              </w:tc>
            </w:tr>
            <w:tr w14:paraId="0A600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7E343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shd w:val="clear" w:color="auto" w:fill="auto"/>
                  <w:noWrap w:val="0"/>
                  <w:vAlign w:val="center"/>
                </w:tcPr>
                <w:p w14:paraId="1C6A5233">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废助滤剂</w:t>
                  </w:r>
                </w:p>
              </w:tc>
              <w:tc>
                <w:tcPr>
                  <w:tcW w:w="715" w:type="pct"/>
                  <w:tcBorders>
                    <w:tl2br w:val="nil"/>
                    <w:tr2bl w:val="nil"/>
                  </w:tcBorders>
                  <w:noWrap w:val="0"/>
                  <w:vAlign w:val="center"/>
                </w:tcPr>
                <w:p w14:paraId="4BC2CC19">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tcBorders>
                    <w:tl2br w:val="nil"/>
                    <w:tr2bl w:val="nil"/>
                  </w:tcBorders>
                  <w:noWrap w:val="0"/>
                  <w:vAlign w:val="center"/>
                </w:tcPr>
                <w:p w14:paraId="2ED53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tcBorders>
                    <w:tl2br w:val="nil"/>
                    <w:tr2bl w:val="nil"/>
                  </w:tcBorders>
                  <w:noWrap w:val="0"/>
                  <w:vAlign w:val="center"/>
                </w:tcPr>
                <w:p w14:paraId="5FB487F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pacing w:val="-3"/>
                      <w:kern w:val="2"/>
                      <w:sz w:val="21"/>
                      <w:szCs w:val="21"/>
                      <w:highlight w:val="none"/>
                      <w:lang w:val="en-US" w:eastAsia="zh-CN" w:bidi="ar-SA"/>
                    </w:rPr>
                    <w:t>30</w:t>
                  </w:r>
                </w:p>
              </w:tc>
              <w:tc>
                <w:tcPr>
                  <w:tcW w:w="900" w:type="pct"/>
                  <w:tcBorders>
                    <w:tl2br w:val="nil"/>
                    <w:tr2bl w:val="nil"/>
                  </w:tcBorders>
                  <w:noWrap w:val="0"/>
                  <w:vAlign w:val="center"/>
                </w:tcPr>
                <w:p w14:paraId="297EE42B">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30</w:t>
                  </w:r>
                </w:p>
              </w:tc>
              <w:tc>
                <w:tcPr>
                  <w:tcW w:w="738" w:type="pct"/>
                  <w:tcBorders>
                    <w:tl2br w:val="nil"/>
                    <w:tr2bl w:val="nil"/>
                  </w:tcBorders>
                  <w:noWrap w:val="0"/>
                  <w:vAlign w:val="center"/>
                </w:tcPr>
                <w:p w14:paraId="0292AED7">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pacing w:val="-1"/>
                      <w:sz w:val="21"/>
                      <w:szCs w:val="21"/>
                      <w:highlight w:val="none"/>
                      <w:lang w:val="en-US" w:eastAsia="zh-CN"/>
                    </w:rPr>
                    <w:t>30</w:t>
                  </w:r>
                </w:p>
              </w:tc>
            </w:tr>
            <w:tr w14:paraId="6CF1F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Borders>
                    <w:tl2br w:val="nil"/>
                    <w:tr2bl w:val="nil"/>
                  </w:tcBorders>
                  <w:noWrap w:val="0"/>
                  <w:vAlign w:val="center"/>
                </w:tcPr>
                <w:p w14:paraId="4BD4E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885" w:type="pct"/>
                  <w:tcBorders>
                    <w:tl2br w:val="nil"/>
                    <w:tr2bl w:val="nil"/>
                  </w:tcBorders>
                  <w:shd w:val="clear" w:color="auto" w:fill="auto"/>
                  <w:noWrap w:val="0"/>
                  <w:vAlign w:val="center"/>
                </w:tcPr>
                <w:p w14:paraId="2735B46C">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脂肪酸</w:t>
                  </w:r>
                </w:p>
              </w:tc>
              <w:tc>
                <w:tcPr>
                  <w:tcW w:w="715" w:type="pct"/>
                  <w:tcBorders>
                    <w:tl2br w:val="nil"/>
                    <w:tr2bl w:val="nil"/>
                  </w:tcBorders>
                  <w:noWrap w:val="0"/>
                  <w:vAlign w:val="center"/>
                </w:tcPr>
                <w:p w14:paraId="092CC62E">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69" w:type="pct"/>
                  <w:tcBorders>
                    <w:tl2br w:val="nil"/>
                    <w:tr2bl w:val="nil"/>
                  </w:tcBorders>
                  <w:noWrap w:val="0"/>
                  <w:vAlign w:val="center"/>
                </w:tcPr>
                <w:p w14:paraId="72BF8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tcBorders>
                    <w:tl2br w:val="nil"/>
                    <w:tr2bl w:val="nil"/>
                  </w:tcBorders>
                  <w:noWrap w:val="0"/>
                  <w:vAlign w:val="center"/>
                </w:tcPr>
                <w:p w14:paraId="014AF4F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pacing w:val="-3"/>
                      <w:kern w:val="2"/>
                      <w:sz w:val="21"/>
                      <w:szCs w:val="21"/>
                      <w:highlight w:val="none"/>
                      <w:lang w:val="en-US" w:eastAsia="zh-CN" w:bidi="ar-SA"/>
                    </w:rPr>
                    <w:t>15</w:t>
                  </w:r>
                </w:p>
              </w:tc>
              <w:tc>
                <w:tcPr>
                  <w:tcW w:w="900" w:type="pct"/>
                  <w:tcBorders>
                    <w:tl2br w:val="nil"/>
                    <w:tr2bl w:val="nil"/>
                  </w:tcBorders>
                  <w:noWrap w:val="0"/>
                  <w:vAlign w:val="center"/>
                </w:tcPr>
                <w:p w14:paraId="38155D99">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15</w:t>
                  </w:r>
                </w:p>
              </w:tc>
              <w:tc>
                <w:tcPr>
                  <w:tcW w:w="738" w:type="pct"/>
                  <w:tcBorders>
                    <w:tl2br w:val="nil"/>
                    <w:tr2bl w:val="nil"/>
                  </w:tcBorders>
                  <w:noWrap w:val="0"/>
                  <w:vAlign w:val="center"/>
                </w:tcPr>
                <w:p w14:paraId="0646D5C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pacing w:val="-1"/>
                      <w:sz w:val="21"/>
                      <w:szCs w:val="21"/>
                      <w:highlight w:val="none"/>
                      <w:lang w:val="en-US" w:eastAsia="zh-CN"/>
                    </w:rPr>
                    <w:t>5</w:t>
                  </w:r>
                </w:p>
              </w:tc>
            </w:tr>
            <w:tr w14:paraId="415D9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Pr>
                <w:p w14:paraId="19BFE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0" w:type="auto"/>
                  <w:shd w:val="clear" w:color="auto" w:fill="auto"/>
                  <w:vAlign w:val="center"/>
                </w:tcPr>
                <w:p w14:paraId="079EDFE9">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实验废液</w:t>
                  </w:r>
                </w:p>
              </w:tc>
              <w:tc>
                <w:tcPr>
                  <w:tcW w:w="715" w:type="pct"/>
                  <w:vAlign w:val="center"/>
                </w:tcPr>
                <w:p w14:paraId="7444C28D">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0" w:type="auto"/>
                </w:tcPr>
                <w:p w14:paraId="1F3BBA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vAlign w:val="center"/>
                </w:tcPr>
                <w:p w14:paraId="4920ECB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pacing w:val="-3"/>
                      <w:kern w:val="2"/>
                      <w:sz w:val="21"/>
                      <w:szCs w:val="21"/>
                      <w:highlight w:val="none"/>
                      <w:lang w:val="en-US" w:eastAsia="zh-CN" w:bidi="ar-SA"/>
                    </w:rPr>
                    <w:t>-</w:t>
                  </w:r>
                </w:p>
              </w:tc>
              <w:tc>
                <w:tcPr>
                  <w:tcW w:w="900" w:type="pct"/>
                  <w:vAlign w:val="center"/>
                </w:tcPr>
                <w:p w14:paraId="24B0A78B">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0.2</w:t>
                  </w:r>
                </w:p>
              </w:tc>
              <w:tc>
                <w:tcPr>
                  <w:tcW w:w="738" w:type="pct"/>
                  <w:vAlign w:val="center"/>
                </w:tcPr>
                <w:p w14:paraId="36A84418">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0</w:t>
                  </w:r>
                </w:p>
              </w:tc>
            </w:tr>
            <w:tr w14:paraId="21DA0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Pr>
                <w:p w14:paraId="761BF0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0" w:type="auto"/>
                  <w:shd w:val="clear" w:color="auto" w:fill="auto"/>
                  <w:vAlign w:val="center"/>
                </w:tcPr>
                <w:p w14:paraId="5ABE2CBB">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废活性炭</w:t>
                  </w:r>
                </w:p>
              </w:tc>
              <w:tc>
                <w:tcPr>
                  <w:tcW w:w="715" w:type="pct"/>
                  <w:vAlign w:val="center"/>
                </w:tcPr>
                <w:p w14:paraId="0E5FA27A">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0" w:type="auto"/>
                </w:tcPr>
                <w:p w14:paraId="6E6CF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vAlign w:val="center"/>
                </w:tcPr>
                <w:p w14:paraId="5A0EEC39">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3.6</w:t>
                  </w:r>
                </w:p>
              </w:tc>
              <w:tc>
                <w:tcPr>
                  <w:tcW w:w="900" w:type="pct"/>
                  <w:vAlign w:val="center"/>
                </w:tcPr>
                <w:p w14:paraId="23FE49CC">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3.6</w:t>
                  </w:r>
                </w:p>
              </w:tc>
              <w:tc>
                <w:tcPr>
                  <w:tcW w:w="738" w:type="pct"/>
                  <w:vAlign w:val="center"/>
                </w:tcPr>
                <w:p w14:paraId="27C14436">
                  <w:pPr>
                    <w:pStyle w:val="2"/>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+3.6</w:t>
                  </w:r>
                </w:p>
              </w:tc>
            </w:tr>
            <w:tr w14:paraId="7C9F6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Pr>
                <w:p w14:paraId="7FC30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0" w:type="auto"/>
                  <w:shd w:val="clear" w:color="auto" w:fill="auto"/>
                  <w:vAlign w:val="center"/>
                </w:tcPr>
                <w:p w14:paraId="006ABA13">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废RO膜</w:t>
                  </w:r>
                </w:p>
              </w:tc>
              <w:tc>
                <w:tcPr>
                  <w:tcW w:w="715" w:type="pct"/>
                  <w:vAlign w:val="center"/>
                </w:tcPr>
                <w:p w14:paraId="43B41ADB">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0" w:type="auto"/>
                </w:tcPr>
                <w:p w14:paraId="7D2830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vAlign w:val="center"/>
                </w:tcPr>
                <w:p w14:paraId="1AFEF36A">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pacing w:val="-3"/>
                      <w:kern w:val="2"/>
                      <w:sz w:val="21"/>
                      <w:szCs w:val="21"/>
                      <w:highlight w:val="none"/>
                      <w:lang w:val="en-US" w:eastAsia="zh-CN" w:bidi="ar-SA"/>
                    </w:rPr>
                    <w:t>0.005</w:t>
                  </w:r>
                </w:p>
              </w:tc>
              <w:tc>
                <w:tcPr>
                  <w:tcW w:w="900" w:type="pct"/>
                  <w:vAlign w:val="center"/>
                </w:tcPr>
                <w:p w14:paraId="596CAD4E">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0.005</w:t>
                  </w:r>
                </w:p>
              </w:tc>
              <w:tc>
                <w:tcPr>
                  <w:tcW w:w="738" w:type="pct"/>
                  <w:vAlign w:val="center"/>
                </w:tcPr>
                <w:p w14:paraId="43C6970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w:t>
                  </w:r>
                </w:p>
              </w:tc>
            </w:tr>
            <w:tr w14:paraId="2A0A3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Pr>
                <w:p w14:paraId="4A70B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0" w:type="auto"/>
                  <w:shd w:val="clear" w:color="auto" w:fill="auto"/>
                  <w:vAlign w:val="center"/>
                </w:tcPr>
                <w:p w14:paraId="7EAA3478">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废包装袋</w:t>
                  </w:r>
                </w:p>
              </w:tc>
              <w:tc>
                <w:tcPr>
                  <w:tcW w:w="715" w:type="pct"/>
                  <w:vAlign w:val="center"/>
                </w:tcPr>
                <w:p w14:paraId="350FC9C5">
                  <w:pPr>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0" w:type="auto"/>
                </w:tcPr>
                <w:p w14:paraId="16E94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vAlign w:val="center"/>
                </w:tcPr>
                <w:p w14:paraId="0471291C">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color w:val="auto"/>
                      <w:spacing w:val="-3"/>
                      <w:kern w:val="2"/>
                      <w:sz w:val="21"/>
                      <w:szCs w:val="21"/>
                      <w:highlight w:val="none"/>
                      <w:lang w:val="en-US" w:eastAsia="zh-CN" w:bidi="ar-SA"/>
                    </w:rPr>
                    <w:t>1.5</w:t>
                  </w:r>
                </w:p>
              </w:tc>
              <w:tc>
                <w:tcPr>
                  <w:tcW w:w="900" w:type="pct"/>
                  <w:vAlign w:val="center"/>
                </w:tcPr>
                <w:p w14:paraId="10CD930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1.5</w:t>
                  </w:r>
                </w:p>
              </w:tc>
              <w:tc>
                <w:tcPr>
                  <w:tcW w:w="738" w:type="pct"/>
                  <w:vAlign w:val="center"/>
                </w:tcPr>
                <w:p w14:paraId="18562C9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14:paraId="1A075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4" w:space="0"/>
                </w:tblBorders>
                <w:tblCellMar>
                  <w:top w:w="0" w:type="dxa"/>
                  <w:left w:w="0" w:type="dxa"/>
                  <w:bottom w:w="0" w:type="dxa"/>
                  <w:right w:w="0" w:type="dxa"/>
                </w:tblCellMar>
              </w:tblPrEx>
              <w:trPr>
                <w:trHeight w:val="0" w:hRule="atLeast"/>
              </w:trPr>
              <w:tc>
                <w:tcPr>
                  <w:tcW w:w="421" w:type="pct"/>
                  <w:vMerge w:val="continue"/>
                </w:tcPr>
                <w:p w14:paraId="38B181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snapToGrid w:val="0"/>
                      <w:color w:val="auto"/>
                      <w:sz w:val="21"/>
                      <w:szCs w:val="21"/>
                      <w:highlight w:val="none"/>
                    </w:rPr>
                  </w:pPr>
                </w:p>
              </w:tc>
              <w:tc>
                <w:tcPr>
                  <w:tcW w:w="0" w:type="auto"/>
                  <w:shd w:val="clear" w:color="auto" w:fill="auto"/>
                  <w:vAlign w:val="center"/>
                </w:tcPr>
                <w:p w14:paraId="780455CC">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生活垃圾</w:t>
                  </w:r>
                </w:p>
              </w:tc>
              <w:tc>
                <w:tcPr>
                  <w:tcW w:w="715" w:type="pct"/>
                  <w:vAlign w:val="center"/>
                </w:tcPr>
                <w:p w14:paraId="5610640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w:t>
                  </w:r>
                </w:p>
              </w:tc>
              <w:tc>
                <w:tcPr>
                  <w:tcW w:w="0" w:type="auto"/>
                </w:tcPr>
                <w:p w14:paraId="47895B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69" w:type="pct"/>
                  <w:vAlign w:val="center"/>
                </w:tcPr>
                <w:p w14:paraId="00D52BD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900" w:type="pct"/>
                  <w:vAlign w:val="center"/>
                </w:tcPr>
                <w:p w14:paraId="75AA0BF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0.2</w:t>
                  </w:r>
                </w:p>
              </w:tc>
              <w:tc>
                <w:tcPr>
                  <w:tcW w:w="738" w:type="pct"/>
                  <w:vAlign w:val="center"/>
                </w:tcPr>
                <w:p w14:paraId="176426C8">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bl>
          <w:p w14:paraId="3E25647B">
            <w:pPr>
              <w:pStyle w:val="2"/>
              <w:rPr>
                <w:rFonts w:hint="default" w:ascii="Times New Roman" w:hAnsi="Times New Roman" w:cs="Times New Roman"/>
                <w:color w:val="auto"/>
                <w:kern w:val="0"/>
                <w:sz w:val="24"/>
                <w:szCs w:val="24"/>
                <w:highlight w:val="none"/>
                <w:lang w:val="en-US" w:eastAsia="zh-CN" w:bidi="ar"/>
              </w:rPr>
            </w:pPr>
          </w:p>
          <w:p w14:paraId="4ECDB7DE">
            <w:pPr>
              <w:pStyle w:val="3"/>
              <w:rPr>
                <w:rFonts w:hint="default" w:ascii="Times New Roman" w:hAnsi="Times New Roman" w:cs="Times New Roman"/>
                <w:color w:val="auto"/>
                <w:kern w:val="0"/>
                <w:sz w:val="24"/>
                <w:szCs w:val="24"/>
                <w:highlight w:val="none"/>
                <w:lang w:val="en-US" w:eastAsia="zh-CN" w:bidi="ar"/>
              </w:rPr>
            </w:pPr>
          </w:p>
          <w:p w14:paraId="3755DB7A">
            <w:pPr>
              <w:rPr>
                <w:rFonts w:hint="default" w:ascii="Times New Roman" w:hAnsi="Times New Roman" w:cs="Times New Roman"/>
                <w:color w:val="auto"/>
                <w:kern w:val="0"/>
                <w:sz w:val="24"/>
                <w:szCs w:val="24"/>
                <w:highlight w:val="none"/>
                <w:lang w:val="en-US" w:eastAsia="zh-CN" w:bidi="ar"/>
              </w:rPr>
            </w:pPr>
          </w:p>
          <w:p w14:paraId="23F434BD">
            <w:pPr>
              <w:pStyle w:val="2"/>
              <w:rPr>
                <w:rFonts w:hint="default" w:ascii="Times New Roman" w:hAnsi="Times New Roman" w:cs="Times New Roman"/>
                <w:color w:val="auto"/>
                <w:kern w:val="0"/>
                <w:sz w:val="24"/>
                <w:szCs w:val="24"/>
                <w:highlight w:val="none"/>
                <w:lang w:val="en-US" w:eastAsia="zh-CN" w:bidi="ar"/>
              </w:rPr>
            </w:pPr>
          </w:p>
          <w:p w14:paraId="17A42890">
            <w:pPr>
              <w:pStyle w:val="3"/>
              <w:rPr>
                <w:rFonts w:hint="default" w:ascii="Times New Roman" w:hAnsi="Times New Roman" w:cs="Times New Roman"/>
                <w:color w:val="auto"/>
                <w:kern w:val="0"/>
                <w:sz w:val="24"/>
                <w:szCs w:val="24"/>
                <w:highlight w:val="none"/>
                <w:lang w:val="en-US" w:eastAsia="zh-CN" w:bidi="ar"/>
              </w:rPr>
            </w:pPr>
          </w:p>
          <w:p w14:paraId="54C4F715">
            <w:pPr>
              <w:rPr>
                <w:rFonts w:hint="default" w:ascii="Times New Roman" w:hAnsi="Times New Roman" w:cs="Times New Roman"/>
                <w:color w:val="auto"/>
                <w:kern w:val="0"/>
                <w:sz w:val="24"/>
                <w:szCs w:val="24"/>
                <w:highlight w:val="none"/>
                <w:lang w:val="en-US" w:eastAsia="zh-CN" w:bidi="ar"/>
              </w:rPr>
            </w:pPr>
          </w:p>
          <w:p w14:paraId="3A2860DF">
            <w:pPr>
              <w:pStyle w:val="2"/>
              <w:rPr>
                <w:rFonts w:hint="default" w:ascii="Times New Roman" w:hAnsi="Times New Roman" w:cs="Times New Roman"/>
                <w:color w:val="auto"/>
                <w:kern w:val="0"/>
                <w:sz w:val="24"/>
                <w:szCs w:val="24"/>
                <w:highlight w:val="none"/>
                <w:lang w:val="en-US" w:eastAsia="zh-CN" w:bidi="ar"/>
              </w:rPr>
            </w:pPr>
          </w:p>
          <w:p w14:paraId="4DAC88FA">
            <w:pPr>
              <w:pStyle w:val="3"/>
              <w:rPr>
                <w:rFonts w:hint="default"/>
                <w:lang w:val="en-US" w:eastAsia="zh-CN"/>
              </w:rPr>
            </w:pPr>
          </w:p>
          <w:p w14:paraId="6A2A62E3">
            <w:pPr>
              <w:rPr>
                <w:rFonts w:hint="default"/>
                <w:lang w:val="en-US"/>
              </w:rPr>
            </w:pPr>
          </w:p>
          <w:p w14:paraId="1BF44828">
            <w:pPr>
              <w:rPr>
                <w:rFonts w:hint="default" w:ascii="Times New Roman" w:hAnsi="Times New Roman" w:cs="Times New Roman"/>
                <w:color w:val="auto"/>
                <w:highlight w:val="none"/>
                <w:vertAlign w:val="baseline"/>
              </w:rPr>
            </w:pPr>
          </w:p>
        </w:tc>
      </w:tr>
    </w:tbl>
    <w:p w14:paraId="52DF4273">
      <w:pPr>
        <w:rPr>
          <w:rFonts w:hint="default" w:ascii="Times New Roman" w:hAnsi="Times New Roman" w:cs="Times New Roman"/>
          <w:color w:val="auto"/>
          <w:highlight w:val="none"/>
        </w:rPr>
        <w:sectPr>
          <w:pgSz w:w="11906" w:h="16838"/>
          <w:pgMar w:top="1440" w:right="1800" w:bottom="1440" w:left="1800" w:header="851" w:footer="992" w:gutter="0"/>
          <w:cols w:space="425" w:num="1"/>
          <w:rtlGutter w:val="0"/>
          <w:docGrid w:type="lines" w:linePitch="317" w:charSpace="0"/>
        </w:sectPr>
      </w:pPr>
    </w:p>
    <w:p w14:paraId="28C18FC0">
      <w:pPr>
        <w:pStyle w:val="16"/>
        <w:pageBreakBefore w:val="0"/>
        <w:kinsoku/>
        <w:wordWrap/>
        <w:overflowPunct w:val="0"/>
        <w:topLinePunct/>
        <w:bidi w:val="0"/>
        <w:spacing w:before="156" w:beforeLines="50" w:beforeAutospacing="0" w:after="156" w:afterLines="50" w:afterAutospacing="0"/>
        <w:jc w:val="center"/>
        <w:outlineLvl w:val="0"/>
        <w:rPr>
          <w:rFonts w:hint="eastAsia" w:ascii="Times New Roman" w:hAnsi="Times New Roman" w:eastAsia="宋体" w:cs="Times New Roman"/>
          <w:b/>
          <w:bCs/>
          <w:snapToGrid w:val="0"/>
          <w:color w:val="auto"/>
          <w:sz w:val="30"/>
          <w:szCs w:val="30"/>
          <w:highlight w:val="none"/>
          <w:lang w:eastAsia="zh-CN"/>
        </w:rPr>
      </w:pPr>
      <w:bookmarkStart w:id="12" w:name="_Toc10489"/>
      <w:r>
        <w:rPr>
          <w:rFonts w:hint="default" w:ascii="Times New Roman" w:hAnsi="Times New Roman" w:eastAsia="宋体" w:cs="Times New Roman"/>
          <w:b/>
          <w:bCs/>
          <w:snapToGrid w:val="0"/>
          <w:color w:val="auto"/>
          <w:sz w:val="30"/>
          <w:szCs w:val="30"/>
          <w:highlight w:val="none"/>
        </w:rPr>
        <w:t>五、</w:t>
      </w:r>
      <w:bookmarkStart w:id="13" w:name="_Hlk54167917"/>
      <w:r>
        <w:rPr>
          <w:rFonts w:hint="default" w:ascii="Times New Roman" w:hAnsi="Times New Roman" w:eastAsia="宋体" w:cs="Times New Roman"/>
          <w:b/>
          <w:bCs/>
          <w:snapToGrid w:val="0"/>
          <w:color w:val="auto"/>
          <w:sz w:val="30"/>
          <w:szCs w:val="30"/>
          <w:highlight w:val="none"/>
        </w:rPr>
        <w:t>环境保护措施监督检查清单</w:t>
      </w:r>
      <w:bookmarkEnd w:id="12"/>
      <w:bookmarkEnd w:id="13"/>
    </w:p>
    <w:p w14:paraId="41EDE161">
      <w:pPr>
        <w:pageBreakBefore w:val="0"/>
        <w:kinsoku/>
        <w:wordWrap/>
        <w:overflowPunct w:val="0"/>
        <w:topLinePunct/>
        <w:bidi w:val="0"/>
        <w:spacing w:line="114" w:lineRule="exact"/>
        <w:rPr>
          <w:rFonts w:hint="default" w:ascii="Times New Roman" w:hAnsi="Times New Roman" w:cs="Times New Roman"/>
          <w:color w:val="auto"/>
          <w:highlight w:val="none"/>
        </w:rPr>
      </w:pPr>
    </w:p>
    <w:tbl>
      <w:tblPr>
        <w:tblStyle w:val="18"/>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498"/>
        <w:gridCol w:w="1680"/>
        <w:gridCol w:w="2941"/>
        <w:gridCol w:w="1601"/>
      </w:tblGrid>
      <w:tr w14:paraId="319F1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single" w:color="auto" w:sz="4" w:space="0"/>
            </w:tcBorders>
            <w:noWrap w:val="0"/>
            <w:vAlign w:val="center"/>
          </w:tcPr>
          <w:p w14:paraId="5C6CDF3F">
            <w:pPr>
              <w:pageBreakBefore w:val="0"/>
              <w:kinsoku/>
              <w:wordWrap/>
              <w:overflowPunct w:val="0"/>
              <w:topLinePunct/>
              <w:bidi w:val="0"/>
              <w:adjustRightInd w:val="0"/>
              <w:snapToGrid w:val="0"/>
              <w:ind w:firstLine="210" w:firstLineChars="100"/>
              <w:jc w:val="righ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14:paraId="18EB5EAA">
            <w:pPr>
              <w:pageBreakBefore w:val="0"/>
              <w:kinsoku/>
              <w:wordWrap/>
              <w:overflowPunct w:val="0"/>
              <w:topLinePunct/>
              <w:bidi w:val="0"/>
              <w:adjustRightInd w:val="0"/>
              <w:snapToGrid w:val="0"/>
              <w:rPr>
                <w:rFonts w:hint="default" w:ascii="Times New Roman" w:hAnsi="Times New Roman" w:eastAsia="宋体" w:cs="Times New Roman"/>
                <w:color w:val="auto"/>
                <w:sz w:val="21"/>
                <w:szCs w:val="21"/>
                <w:highlight w:val="none"/>
              </w:rPr>
            </w:pPr>
          </w:p>
          <w:p w14:paraId="2E885408">
            <w:pPr>
              <w:pageBreakBefore w:val="0"/>
              <w:kinsoku/>
              <w:wordWrap/>
              <w:overflowPunct w:val="0"/>
              <w:topLinePunct/>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498" w:type="dxa"/>
            <w:noWrap w:val="0"/>
            <w:vAlign w:val="center"/>
          </w:tcPr>
          <w:p w14:paraId="540B7DBC">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1680" w:type="dxa"/>
            <w:noWrap w:val="0"/>
            <w:vAlign w:val="center"/>
          </w:tcPr>
          <w:p w14:paraId="3CD7402F">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941" w:type="dxa"/>
            <w:noWrap w:val="0"/>
            <w:vAlign w:val="center"/>
          </w:tcPr>
          <w:p w14:paraId="1C1D9B37">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1601" w:type="dxa"/>
            <w:noWrap w:val="0"/>
            <w:vAlign w:val="center"/>
          </w:tcPr>
          <w:p w14:paraId="4BF9EFF4">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14:paraId="26BA9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noWrap w:val="0"/>
            <w:vAlign w:val="center"/>
          </w:tcPr>
          <w:p w14:paraId="609E5C66">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498" w:type="dxa"/>
            <w:shd w:val="clear" w:color="auto" w:fill="auto"/>
            <w:noWrap w:val="0"/>
            <w:vAlign w:val="center"/>
          </w:tcPr>
          <w:p w14:paraId="4FC98255">
            <w:pPr>
              <w:pageBreakBefore w:val="0"/>
              <w:kinsoku/>
              <w:wordWrap/>
              <w:overflowPunct w:val="0"/>
              <w:topLinePunct/>
              <w:bidi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DA00</w:t>
            </w:r>
            <w:r>
              <w:rPr>
                <w:rFonts w:hint="default" w:ascii="Times New Roman" w:hAnsi="Times New Roman"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w:t>
            </w:r>
            <w:r>
              <w:rPr>
                <w:rFonts w:hint="eastAsia" w:cs="Times New Roman"/>
                <w:color w:val="auto"/>
                <w:kern w:val="0"/>
                <w:sz w:val="21"/>
                <w:szCs w:val="21"/>
                <w:highlight w:val="none"/>
                <w:lang w:val="en-US" w:eastAsia="zh-CN"/>
              </w:rPr>
              <w:t>脱色、除臭</w:t>
            </w:r>
            <w:r>
              <w:rPr>
                <w:rFonts w:hint="default" w:ascii="Times New Roman" w:hAnsi="Times New Roman" w:eastAsia="宋体" w:cs="Times New Roman"/>
                <w:color w:val="auto"/>
                <w:kern w:val="0"/>
                <w:sz w:val="21"/>
                <w:szCs w:val="21"/>
                <w:highlight w:val="none"/>
              </w:rPr>
              <w:t>废气</w:t>
            </w:r>
          </w:p>
        </w:tc>
        <w:tc>
          <w:tcPr>
            <w:tcW w:w="1680" w:type="dxa"/>
            <w:shd w:val="clear" w:color="auto" w:fill="auto"/>
            <w:noWrap w:val="0"/>
            <w:vAlign w:val="center"/>
          </w:tcPr>
          <w:p w14:paraId="46999D2A">
            <w:pPr>
              <w:pageBreakBefore w:val="0"/>
              <w:kinsoku/>
              <w:wordWrap/>
              <w:overflowPunct w:val="0"/>
              <w:topLinePunct/>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kern w:val="2"/>
                <w:sz w:val="21"/>
                <w:szCs w:val="21"/>
                <w:highlight w:val="none"/>
                <w:lang w:val="en-US" w:eastAsia="zh-CN" w:bidi="ar"/>
              </w:rPr>
              <w:t>臭气浓度</w:t>
            </w:r>
          </w:p>
        </w:tc>
        <w:tc>
          <w:tcPr>
            <w:tcW w:w="2941" w:type="dxa"/>
            <w:shd w:val="clear" w:color="auto" w:fill="auto"/>
            <w:noWrap w:val="0"/>
            <w:vAlign w:val="center"/>
          </w:tcPr>
          <w:p w14:paraId="027A8B4F">
            <w:pPr>
              <w:pageBreakBefore w:val="0"/>
              <w:widowControl/>
              <w:kinsoku/>
              <w:wordWrap/>
              <w:overflowPunct w:val="0"/>
              <w:topLinePunct/>
              <w:bidi w:val="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rPr>
              <w:t>经</w:t>
            </w:r>
            <w:r>
              <w:rPr>
                <w:rFonts w:hint="eastAsia" w:cs="Times New Roman"/>
                <w:bCs/>
                <w:color w:val="auto"/>
                <w:kern w:val="2"/>
                <w:sz w:val="21"/>
                <w:szCs w:val="21"/>
                <w:highlight w:val="none"/>
                <w:lang w:val="en-US" w:eastAsia="zh-CN"/>
              </w:rPr>
              <w:t>冰冻冷凝+二级碱喷淋+次氯酸钠喷淋+活性炭吸附</w:t>
            </w:r>
            <w:r>
              <w:rPr>
                <w:rFonts w:hint="default" w:ascii="Times New Roman" w:hAnsi="Times New Roman" w:eastAsia="宋体" w:cs="Times New Roman"/>
                <w:bCs/>
                <w:color w:val="auto"/>
                <w:kern w:val="2"/>
                <w:sz w:val="21"/>
                <w:szCs w:val="21"/>
                <w:highlight w:val="none"/>
                <w:lang w:val="en-US" w:eastAsia="zh-CN"/>
              </w:rPr>
              <w:t>处理工艺，废气经处理后通过1根</w:t>
            </w:r>
            <w:r>
              <w:rPr>
                <w:rFonts w:hint="default" w:ascii="Times New Roman" w:hAnsi="Times New Roman" w:cs="Times New Roman"/>
                <w:bCs/>
                <w:color w:val="auto"/>
                <w:kern w:val="2"/>
                <w:sz w:val="21"/>
                <w:szCs w:val="21"/>
                <w:highlight w:val="none"/>
                <w:lang w:val="en-US" w:eastAsia="zh-CN"/>
              </w:rPr>
              <w:t>25</w:t>
            </w:r>
            <w:r>
              <w:rPr>
                <w:rFonts w:hint="default" w:ascii="Times New Roman" w:hAnsi="Times New Roman" w:eastAsia="宋体" w:cs="Times New Roman"/>
                <w:bCs/>
                <w:color w:val="auto"/>
                <w:kern w:val="2"/>
                <w:sz w:val="21"/>
                <w:szCs w:val="21"/>
                <w:highlight w:val="none"/>
                <w:lang w:val="en-US" w:eastAsia="zh-CN"/>
              </w:rPr>
              <w:t>m高排气筒排放</w:t>
            </w:r>
          </w:p>
        </w:tc>
        <w:tc>
          <w:tcPr>
            <w:tcW w:w="1601" w:type="dxa"/>
            <w:shd w:val="clear" w:color="auto" w:fill="auto"/>
            <w:noWrap w:val="0"/>
            <w:vAlign w:val="center"/>
          </w:tcPr>
          <w:p w14:paraId="6CE1377F">
            <w:pPr>
              <w:pageBreakBefore w:val="0"/>
              <w:kinsoku/>
              <w:wordWrap/>
              <w:overflowPunct w:val="0"/>
              <w:topLinePunct/>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《大气污染物综合排放标准》（DB50/418-2016）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《恶臭污染物排放标准》(GB14554-93)</w:t>
            </w:r>
          </w:p>
        </w:tc>
      </w:tr>
      <w:tr w14:paraId="48329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14:paraId="2F1A7430">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p>
        </w:tc>
        <w:tc>
          <w:tcPr>
            <w:tcW w:w="1498" w:type="dxa"/>
            <w:shd w:val="clear" w:color="auto" w:fill="auto"/>
            <w:noWrap w:val="0"/>
            <w:vAlign w:val="center"/>
          </w:tcPr>
          <w:p w14:paraId="4C2DAEF6">
            <w:pPr>
              <w:pageBreakBefore w:val="0"/>
              <w:kinsoku/>
              <w:wordWrap/>
              <w:overflowPunct w:val="0"/>
              <w:topLinePunct/>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DA00</w:t>
            </w:r>
            <w:r>
              <w:rPr>
                <w:rFonts w:hint="default" w:ascii="Times New Roman" w:hAnsi="Times New Roman"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锅炉废气</w:t>
            </w:r>
          </w:p>
        </w:tc>
        <w:tc>
          <w:tcPr>
            <w:tcW w:w="1680" w:type="dxa"/>
            <w:shd w:val="clear" w:color="auto" w:fill="auto"/>
            <w:noWrap w:val="0"/>
            <w:vAlign w:val="center"/>
          </w:tcPr>
          <w:p w14:paraId="786BF51E">
            <w:pPr>
              <w:pageBreakBefore w:val="0"/>
              <w:kinsoku/>
              <w:wordWrap/>
              <w:overflowPunct w:val="0"/>
              <w:topLinePunct/>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2941" w:type="dxa"/>
            <w:shd w:val="clear" w:color="auto" w:fill="auto"/>
            <w:noWrap w:val="0"/>
            <w:vAlign w:val="center"/>
          </w:tcPr>
          <w:p w14:paraId="47072864">
            <w:pPr>
              <w:pageBreakBefore w:val="0"/>
              <w:kinsoku/>
              <w:wordWrap/>
              <w:overflowPunct w:val="0"/>
              <w:topLinePunct/>
              <w:bidi w:val="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rPr>
              <w:t>使用天然气为燃料，采用低氮燃烧</w:t>
            </w:r>
            <w:r>
              <w:rPr>
                <w:rFonts w:hint="eastAsia" w:cs="Times New Roman"/>
                <w:bCs/>
                <w:color w:val="auto"/>
                <w:kern w:val="2"/>
                <w:sz w:val="21"/>
                <w:szCs w:val="21"/>
                <w:highlight w:val="none"/>
                <w:lang w:val="en-US" w:eastAsia="zh-CN"/>
              </w:rPr>
              <w:t>技术</w:t>
            </w:r>
            <w:r>
              <w:rPr>
                <w:rFonts w:hint="default" w:ascii="Times New Roman" w:hAnsi="Times New Roman" w:eastAsia="宋体" w:cs="Times New Roman"/>
                <w:bCs/>
                <w:color w:val="auto"/>
                <w:kern w:val="2"/>
                <w:sz w:val="21"/>
                <w:szCs w:val="21"/>
                <w:highlight w:val="none"/>
                <w:lang w:val="en-US" w:eastAsia="zh-CN"/>
              </w:rPr>
              <w:t>，设1根高25米高压锅炉排气筒排放</w:t>
            </w:r>
          </w:p>
        </w:tc>
        <w:tc>
          <w:tcPr>
            <w:tcW w:w="1601" w:type="dxa"/>
            <w:shd w:val="clear" w:color="auto" w:fill="auto"/>
            <w:noWrap w:val="0"/>
            <w:vAlign w:val="center"/>
          </w:tcPr>
          <w:p w14:paraId="4BE30009">
            <w:pPr>
              <w:pageBreakBefore w:val="0"/>
              <w:kinsoku/>
              <w:wordWrap/>
              <w:overflowPunct w:val="0"/>
              <w:topLinePunct/>
              <w:bidi w:val="0"/>
              <w:adjustRightInd w:val="0"/>
              <w:snapToGrid w:val="0"/>
              <w:jc w:val="center"/>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sz w:val="21"/>
                <w:szCs w:val="21"/>
                <w:highlight w:val="none"/>
                <w:shd w:val="clear" w:color="auto" w:fill="FFFFFF"/>
              </w:rPr>
              <w:t>《锅炉大气污染物排放标准》(DB50/658-2016）</w:t>
            </w:r>
          </w:p>
        </w:tc>
      </w:tr>
      <w:tr w14:paraId="6DB6A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14:paraId="43CFDF60">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p>
        </w:tc>
        <w:tc>
          <w:tcPr>
            <w:tcW w:w="1498" w:type="dxa"/>
            <w:noWrap w:val="0"/>
            <w:vAlign w:val="center"/>
          </w:tcPr>
          <w:p w14:paraId="4CA11FD3">
            <w:pPr>
              <w:pageBreakBefore w:val="0"/>
              <w:kinsoku/>
              <w:wordWrap/>
              <w:overflowPunct w:val="0"/>
              <w:topLinePunct/>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DA00</w:t>
            </w:r>
            <w:r>
              <w:rPr>
                <w:rFonts w:hint="default" w:ascii="Times New Roman" w:hAnsi="Times New Roman"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锅炉废气</w:t>
            </w:r>
          </w:p>
        </w:tc>
        <w:tc>
          <w:tcPr>
            <w:tcW w:w="1680" w:type="dxa"/>
            <w:noWrap w:val="0"/>
            <w:vAlign w:val="center"/>
          </w:tcPr>
          <w:p w14:paraId="2283AFDE">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p>
        </w:tc>
        <w:tc>
          <w:tcPr>
            <w:tcW w:w="2941" w:type="dxa"/>
            <w:noWrap w:val="0"/>
            <w:vAlign w:val="center"/>
          </w:tcPr>
          <w:p w14:paraId="2C199C9E">
            <w:pPr>
              <w:pageBreakBefore w:val="0"/>
              <w:widowControl/>
              <w:kinsoku/>
              <w:wordWrap/>
              <w:overflowPunct w:val="0"/>
              <w:topLinePunct/>
              <w:bidi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lang w:val="en-US" w:eastAsia="zh-CN"/>
              </w:rPr>
              <w:t>使用天然气为燃料，采用低氮燃烧</w:t>
            </w:r>
            <w:r>
              <w:rPr>
                <w:rFonts w:hint="eastAsia" w:cs="Times New Roman"/>
                <w:bCs/>
                <w:color w:val="auto"/>
                <w:kern w:val="2"/>
                <w:sz w:val="21"/>
                <w:szCs w:val="21"/>
                <w:highlight w:val="none"/>
                <w:lang w:val="en-US" w:eastAsia="zh-CN"/>
              </w:rPr>
              <w:t>技术</w:t>
            </w:r>
            <w:r>
              <w:rPr>
                <w:rFonts w:hint="default" w:ascii="Times New Roman" w:hAnsi="Times New Roman" w:eastAsia="宋体" w:cs="Times New Roman"/>
                <w:bCs/>
                <w:color w:val="auto"/>
                <w:kern w:val="2"/>
                <w:sz w:val="21"/>
                <w:szCs w:val="21"/>
                <w:highlight w:val="none"/>
                <w:lang w:val="en-US" w:eastAsia="zh-CN"/>
              </w:rPr>
              <w:t>，设1根高19米蒸汽锅炉及蒸汽发生器排气筒排放</w:t>
            </w:r>
          </w:p>
        </w:tc>
        <w:tc>
          <w:tcPr>
            <w:tcW w:w="1601" w:type="dxa"/>
            <w:noWrap w:val="0"/>
            <w:vAlign w:val="center"/>
          </w:tcPr>
          <w:p w14:paraId="067B4C95">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《锅炉大气污染物排放标准》(DB50/658-2016）</w:t>
            </w:r>
          </w:p>
        </w:tc>
      </w:tr>
      <w:tr w14:paraId="5BC41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14:paraId="61B09263">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p>
        </w:tc>
        <w:tc>
          <w:tcPr>
            <w:tcW w:w="1498" w:type="dxa"/>
            <w:noWrap w:val="0"/>
            <w:vAlign w:val="center"/>
          </w:tcPr>
          <w:p w14:paraId="5B92C379">
            <w:pPr>
              <w:pageBreakBefore w:val="0"/>
              <w:kinsoku/>
              <w:wordWrap/>
              <w:overflowPunct w:val="0"/>
              <w:topLinePunct/>
              <w:bidi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白土投料</w:t>
            </w:r>
          </w:p>
        </w:tc>
        <w:tc>
          <w:tcPr>
            <w:tcW w:w="1680" w:type="dxa"/>
            <w:noWrap w:val="0"/>
            <w:vAlign w:val="center"/>
          </w:tcPr>
          <w:p w14:paraId="391A3741">
            <w:pPr>
              <w:pageBreakBefore w:val="0"/>
              <w:kinsoku/>
              <w:wordWrap/>
              <w:overflowPunct w:val="0"/>
              <w:topLinePunct/>
              <w:bidi w:val="0"/>
              <w:adjustRightInd w:val="0"/>
              <w:snapToGrid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2941" w:type="dxa"/>
            <w:noWrap w:val="0"/>
            <w:vAlign w:val="center"/>
          </w:tcPr>
          <w:p w14:paraId="069FC540">
            <w:pPr>
              <w:pageBreakBefore w:val="0"/>
              <w:widowControl/>
              <w:kinsoku/>
              <w:wordWrap/>
              <w:overflowPunct w:val="0"/>
              <w:topLinePunct/>
              <w:bidi w:val="0"/>
              <w:jc w:val="left"/>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负压密闭投料，经布袋除尘后无组织排放</w:t>
            </w:r>
          </w:p>
        </w:tc>
        <w:tc>
          <w:tcPr>
            <w:tcW w:w="1601" w:type="dxa"/>
            <w:noWrap w:val="0"/>
            <w:vAlign w:val="center"/>
          </w:tcPr>
          <w:p w14:paraId="05343699">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《大气污染物综合排放标准》（DB50/418-2016）</w:t>
            </w:r>
          </w:p>
        </w:tc>
      </w:tr>
      <w:tr w14:paraId="167AA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14:paraId="3B914178">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p>
        </w:tc>
        <w:tc>
          <w:tcPr>
            <w:tcW w:w="1498" w:type="dxa"/>
            <w:noWrap w:val="0"/>
            <w:vAlign w:val="center"/>
          </w:tcPr>
          <w:p w14:paraId="4671C2FB">
            <w:pPr>
              <w:pageBreakBefore w:val="0"/>
              <w:kinsoku/>
              <w:wordWrap/>
              <w:overflowPunct w:val="0"/>
              <w:topLinePunct/>
              <w:bidi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无组织</w:t>
            </w:r>
          </w:p>
        </w:tc>
        <w:tc>
          <w:tcPr>
            <w:tcW w:w="1680" w:type="dxa"/>
            <w:noWrap w:val="0"/>
            <w:vAlign w:val="center"/>
          </w:tcPr>
          <w:p w14:paraId="771F46D0">
            <w:pPr>
              <w:pageBreakBefore w:val="0"/>
              <w:kinsoku/>
              <w:wordWrap/>
              <w:overflowPunct w:val="0"/>
              <w:topLinePunct/>
              <w:bidi w:val="0"/>
              <w:adjustRightInd w:val="0"/>
              <w:snapToGrid w:val="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kern w:val="2"/>
                <w:sz w:val="21"/>
                <w:szCs w:val="21"/>
                <w:highlight w:val="none"/>
                <w:lang w:val="en-US" w:eastAsia="zh-CN" w:bidi="ar"/>
              </w:rPr>
              <w:t>臭气浓度</w:t>
            </w:r>
          </w:p>
        </w:tc>
        <w:tc>
          <w:tcPr>
            <w:tcW w:w="2941" w:type="dxa"/>
            <w:noWrap w:val="0"/>
            <w:vAlign w:val="center"/>
          </w:tcPr>
          <w:p w14:paraId="0EF0C4DE">
            <w:pPr>
              <w:pageBreakBefore w:val="0"/>
              <w:widowControl/>
              <w:kinsoku/>
              <w:wordWrap/>
              <w:overflowPunct w:val="0"/>
              <w:topLinePunct/>
              <w:bidi w:val="0"/>
              <w:jc w:val="left"/>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加强车间通风</w:t>
            </w:r>
          </w:p>
        </w:tc>
        <w:tc>
          <w:tcPr>
            <w:tcW w:w="1601" w:type="dxa"/>
            <w:noWrap w:val="0"/>
            <w:vAlign w:val="center"/>
          </w:tcPr>
          <w:p w14:paraId="41D5401E">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《大气污染物综合排放标准》（DB50/418-2016）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《恶臭污染物排放标准》(GB14554-93)</w:t>
            </w:r>
          </w:p>
        </w:tc>
      </w:tr>
      <w:tr w14:paraId="1D12C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5DBE1FA2">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p w14:paraId="6788CD2F">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tc>
        <w:tc>
          <w:tcPr>
            <w:tcW w:w="1498" w:type="dxa"/>
            <w:noWrap w:val="0"/>
            <w:vAlign w:val="center"/>
          </w:tcPr>
          <w:p w14:paraId="299F7BFF">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DW001生化池排放口</w:t>
            </w:r>
          </w:p>
        </w:tc>
        <w:tc>
          <w:tcPr>
            <w:tcW w:w="1680" w:type="dxa"/>
            <w:noWrap w:val="0"/>
            <w:vAlign w:val="center"/>
          </w:tcPr>
          <w:p w14:paraId="4E25EFBA">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r>
              <w:rPr>
                <w:rFonts w:hint="eastAsia" w:cs="Times New Roman"/>
                <w:color w:val="auto"/>
                <w:sz w:val="21"/>
                <w:szCs w:val="21"/>
                <w:highlight w:val="none"/>
                <w:lang w:val="en-US" w:eastAsia="zh-CN"/>
              </w:rPr>
              <w:t>色度、</w:t>
            </w: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、SS、氨氮、</w:t>
            </w:r>
            <w:r>
              <w:rPr>
                <w:rFonts w:hint="eastAsia" w:cs="Times New Roman"/>
                <w:color w:val="auto"/>
                <w:sz w:val="21"/>
                <w:szCs w:val="21"/>
                <w:highlight w:val="none"/>
                <w:lang w:val="en-US" w:eastAsia="zh-CN"/>
              </w:rPr>
              <w:t>动植物油、</w:t>
            </w:r>
            <w:r>
              <w:rPr>
                <w:rFonts w:hint="default" w:ascii="Times New Roman" w:hAnsi="Times New Roman" w:eastAsia="宋体" w:cs="Times New Roman"/>
                <w:color w:val="auto"/>
                <w:sz w:val="21"/>
                <w:szCs w:val="21"/>
                <w:highlight w:val="none"/>
              </w:rPr>
              <w:t>总磷</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TN</w:t>
            </w:r>
          </w:p>
        </w:tc>
        <w:tc>
          <w:tcPr>
            <w:tcW w:w="2941" w:type="dxa"/>
            <w:noWrap w:val="0"/>
            <w:vAlign w:val="center"/>
          </w:tcPr>
          <w:p w14:paraId="72CCEDC5">
            <w:pPr>
              <w:pageBreakBefore w:val="0"/>
              <w:kinsoku/>
              <w:wordWrap/>
              <w:overflowPunct w:val="0"/>
              <w:topLinePunct/>
              <w:bidi w:val="0"/>
              <w:adjustRightInd w:val="0"/>
              <w:snapToGrid w:val="0"/>
              <w:jc w:val="both"/>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精炼车间新建隔油池（15m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/d）1个，</w:t>
            </w:r>
            <w:r>
              <w:rPr>
                <w:rFonts w:hint="default" w:ascii="Times New Roman" w:hAnsi="Times New Roman" w:eastAsia="宋体" w:cs="Times New Roman"/>
                <w:color w:val="auto"/>
                <w:sz w:val="21"/>
                <w:szCs w:val="21"/>
                <w:highlight w:val="none"/>
              </w:rPr>
              <w:t>运营期</w:t>
            </w:r>
            <w:r>
              <w:rPr>
                <w:rFonts w:hint="default" w:ascii="Times New Roman" w:hAnsi="Times New Roman" w:cs="Times New Roman"/>
                <w:color w:val="auto"/>
                <w:sz w:val="21"/>
                <w:szCs w:val="21"/>
                <w:highlight w:val="none"/>
                <w:lang w:val="en-US" w:eastAsia="zh-CN"/>
              </w:rPr>
              <w:t>生产废水依托现有</w:t>
            </w:r>
            <w:r>
              <w:rPr>
                <w:rFonts w:hint="eastAsia" w:cs="Times New Roman"/>
                <w:color w:val="auto"/>
                <w:sz w:val="21"/>
                <w:szCs w:val="21"/>
                <w:highlight w:val="none"/>
                <w:lang w:val="en-US" w:eastAsia="zh-CN"/>
              </w:rPr>
              <w:t>150t/d的</w:t>
            </w:r>
            <w:r>
              <w:rPr>
                <w:rFonts w:hint="default" w:ascii="Times New Roman" w:hAnsi="Times New Roman" w:cs="Times New Roman"/>
                <w:color w:val="auto"/>
                <w:sz w:val="21"/>
                <w:szCs w:val="21"/>
                <w:highlight w:val="none"/>
                <w:lang w:val="en-US" w:eastAsia="zh-CN"/>
              </w:rPr>
              <w:t>污水处理站处理</w:t>
            </w:r>
            <w:r>
              <w:rPr>
                <w:rFonts w:hint="default" w:ascii="Times New Roman" w:hAnsi="Times New Roman" w:eastAsia="宋体" w:cs="Times New Roman"/>
                <w:color w:val="auto"/>
                <w:sz w:val="21"/>
                <w:szCs w:val="21"/>
                <w:highlight w:val="none"/>
              </w:rPr>
              <w:t>，处理达</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食品加工制造业水污染物排放标准</w:t>
            </w:r>
            <w:r>
              <w:rPr>
                <w:rFonts w:hint="default" w:ascii="Times New Roman" w:hAnsi="Times New Roman" w:eastAsia="宋体" w:cs="Times New Roman"/>
                <w:bCs/>
                <w:snapToGrid w:val="0"/>
                <w:color w:val="auto"/>
                <w:kern w:val="0"/>
                <w:sz w:val="21"/>
                <w:szCs w:val="21"/>
                <w:highlight w:val="none"/>
                <w:lang w:val="en-US" w:eastAsia="zh-CN"/>
              </w:rPr>
              <w:t>》（GB</w:t>
            </w:r>
            <w:r>
              <w:rPr>
                <w:rFonts w:hint="eastAsia" w:cs="Times New Roman"/>
                <w:bCs/>
                <w:snapToGrid w:val="0"/>
                <w:color w:val="auto"/>
                <w:kern w:val="0"/>
                <w:sz w:val="21"/>
                <w:szCs w:val="21"/>
                <w:highlight w:val="none"/>
                <w:lang w:val="en-US" w:eastAsia="zh-CN"/>
              </w:rPr>
              <w:t>46817</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2025</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表1间接排放标准</w:t>
            </w:r>
            <w:r>
              <w:rPr>
                <w:rFonts w:hint="default" w:ascii="Times New Roman" w:hAnsi="Times New Roman" w:eastAsia="宋体" w:cs="Times New Roman"/>
                <w:color w:val="auto"/>
                <w:sz w:val="21"/>
                <w:szCs w:val="21"/>
                <w:highlight w:val="none"/>
              </w:rPr>
              <w:t>后经市政污水管网排至铜罐驿污水处理厂进一步处理，处理达《地表水环境质量标准》（GB3838-2002）IV类标准（其中TN、SS满足《城镇污水处理厂污染物排放标准》（GB18918-2002）一级A标准），尾水排入金竹沟，最终汇入长江。</w:t>
            </w:r>
          </w:p>
          <w:p w14:paraId="09ACB881">
            <w:pPr>
              <w:pageBreakBefore w:val="0"/>
              <w:kinsoku/>
              <w:wordWrap/>
              <w:overflowPunct w:val="0"/>
              <w:topLinePunct/>
              <w:bidi w:val="0"/>
              <w:adjustRightInd w:val="0"/>
              <w:snapToGrid w:val="0"/>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现有冷却排水、锅炉排水和真空泵排水整改接入污水处理站进行处理</w:t>
            </w:r>
          </w:p>
        </w:tc>
        <w:tc>
          <w:tcPr>
            <w:tcW w:w="1601" w:type="dxa"/>
            <w:noWrap w:val="0"/>
            <w:vAlign w:val="center"/>
          </w:tcPr>
          <w:p w14:paraId="2CF6976B">
            <w:pPr>
              <w:pageBreakBefore w:val="0"/>
              <w:widowControl/>
              <w:kinsoku/>
              <w:wordWrap/>
              <w:overflowPunct w:val="0"/>
              <w:topLinePunct/>
              <w:bidi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食品加工制造业水污染物排放标准</w:t>
            </w:r>
            <w:r>
              <w:rPr>
                <w:rFonts w:hint="default" w:ascii="Times New Roman" w:hAnsi="Times New Roman" w:eastAsia="宋体" w:cs="Times New Roman"/>
                <w:bCs/>
                <w:snapToGrid w:val="0"/>
                <w:color w:val="auto"/>
                <w:kern w:val="0"/>
                <w:sz w:val="21"/>
                <w:szCs w:val="21"/>
                <w:highlight w:val="none"/>
                <w:lang w:val="en-US" w:eastAsia="zh-CN"/>
              </w:rPr>
              <w:t>》（GB</w:t>
            </w:r>
            <w:r>
              <w:rPr>
                <w:rFonts w:hint="eastAsia" w:cs="Times New Roman"/>
                <w:bCs/>
                <w:snapToGrid w:val="0"/>
                <w:color w:val="auto"/>
                <w:kern w:val="0"/>
                <w:sz w:val="21"/>
                <w:szCs w:val="21"/>
                <w:highlight w:val="none"/>
                <w:lang w:val="en-US" w:eastAsia="zh-CN"/>
              </w:rPr>
              <w:t>46817</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2025</w:t>
            </w:r>
            <w:r>
              <w:rPr>
                <w:rFonts w:hint="default" w:ascii="Times New Roman" w:hAnsi="Times New Roman" w:eastAsia="宋体" w:cs="Times New Roman"/>
                <w:bCs/>
                <w:snapToGrid w:val="0"/>
                <w:color w:val="auto"/>
                <w:kern w:val="0"/>
                <w:sz w:val="21"/>
                <w:szCs w:val="21"/>
                <w:highlight w:val="none"/>
                <w:lang w:val="en-US" w:eastAsia="zh-CN"/>
              </w:rPr>
              <w:t>）</w:t>
            </w:r>
            <w:r>
              <w:rPr>
                <w:rFonts w:hint="eastAsia" w:cs="Times New Roman"/>
                <w:bCs/>
                <w:snapToGrid w:val="0"/>
                <w:color w:val="auto"/>
                <w:kern w:val="0"/>
                <w:sz w:val="21"/>
                <w:szCs w:val="21"/>
                <w:highlight w:val="none"/>
                <w:lang w:val="en-US" w:eastAsia="zh-CN"/>
              </w:rPr>
              <w:t>表1间接排放标准、</w:t>
            </w:r>
            <w:r>
              <w:rPr>
                <w:rFonts w:hint="default" w:ascii="Times New Roman" w:hAnsi="Times New Roman" w:eastAsia="宋体" w:cs="Times New Roman"/>
                <w:color w:val="auto"/>
                <w:sz w:val="21"/>
                <w:szCs w:val="21"/>
                <w:highlight w:val="none"/>
              </w:rPr>
              <w:t>《地表水环境质量标准》（GB3838-2002）IV类标准（其中TN、SS满足《城镇污水处理厂污染物排放标准》（GB18918-2002）一级A标准）</w:t>
            </w:r>
          </w:p>
        </w:tc>
      </w:tr>
      <w:tr w14:paraId="44AB9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799AA210">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498" w:type="dxa"/>
            <w:noWrap w:val="0"/>
            <w:vAlign w:val="center"/>
          </w:tcPr>
          <w:p w14:paraId="392CED43">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680" w:type="dxa"/>
            <w:noWrap w:val="0"/>
            <w:vAlign w:val="center"/>
          </w:tcPr>
          <w:p w14:paraId="2E10ACAE">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dB(A)</w:t>
            </w:r>
          </w:p>
        </w:tc>
        <w:tc>
          <w:tcPr>
            <w:tcW w:w="2941" w:type="dxa"/>
            <w:noWrap w:val="0"/>
            <w:vAlign w:val="center"/>
          </w:tcPr>
          <w:p w14:paraId="432DFBC9">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选用高效低噪设备，建筑降噪、基础减振措施。</w:t>
            </w:r>
          </w:p>
        </w:tc>
        <w:tc>
          <w:tcPr>
            <w:tcW w:w="1601" w:type="dxa"/>
            <w:noWrap w:val="0"/>
            <w:vAlign w:val="center"/>
          </w:tcPr>
          <w:p w14:paraId="58144BEA">
            <w:pPr>
              <w:pageBreakBefore w:val="0"/>
              <w:kinsoku/>
              <w:wordWrap/>
              <w:overflowPunct w:val="0"/>
              <w:topLinePunct/>
              <w:bidi w:val="0"/>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《工业企业厂界环境噪声排放标准》（GB12348-2008）3类</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4类</w:t>
            </w:r>
            <w:r>
              <w:rPr>
                <w:rFonts w:hint="default" w:ascii="Times New Roman" w:hAnsi="Times New Roman" w:eastAsia="宋体" w:cs="Times New Roman"/>
                <w:color w:val="auto"/>
                <w:kern w:val="0"/>
                <w:sz w:val="21"/>
                <w:szCs w:val="21"/>
                <w:highlight w:val="none"/>
              </w:rPr>
              <w:t>标准</w:t>
            </w:r>
          </w:p>
        </w:tc>
      </w:tr>
      <w:tr w14:paraId="3AEF5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2C730E20">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498" w:type="dxa"/>
            <w:noWrap w:val="0"/>
            <w:vAlign w:val="center"/>
          </w:tcPr>
          <w:p w14:paraId="46E3EE04">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80" w:type="dxa"/>
            <w:noWrap w:val="0"/>
            <w:vAlign w:val="center"/>
          </w:tcPr>
          <w:p w14:paraId="676659AA">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941" w:type="dxa"/>
            <w:noWrap w:val="0"/>
            <w:vAlign w:val="center"/>
          </w:tcPr>
          <w:p w14:paraId="6FC0330D">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01" w:type="dxa"/>
            <w:noWrap w:val="0"/>
            <w:vAlign w:val="center"/>
          </w:tcPr>
          <w:p w14:paraId="7F25D4DF">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DD51B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3D0474E6">
            <w:pPr>
              <w:pageBreakBefore w:val="0"/>
              <w:kinsoku/>
              <w:wordWrap/>
              <w:overflowPunct w:val="0"/>
              <w:topLinePunct/>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720" w:type="dxa"/>
            <w:gridSpan w:val="4"/>
            <w:noWrap w:val="0"/>
            <w:vAlign w:val="center"/>
          </w:tcPr>
          <w:p w14:paraId="1558CC8F">
            <w:pPr>
              <w:pageBreakBefore w:val="0"/>
              <w:kinsoku/>
              <w:wordWrap/>
              <w:overflowPunct w:val="0"/>
              <w:topLinePunct/>
              <w:bidi w:val="0"/>
              <w:adjustRightInd w:val="0"/>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废包装袋收集后暂存于精炼车间1F废包材区，定期外售</w:t>
            </w:r>
            <w:r>
              <w:rPr>
                <w:rFonts w:hint="default" w:ascii="Times New Roman" w:hAnsi="Times New Roman" w:eastAsia="宋体" w:cs="Times New Roman"/>
                <w:color w:val="auto"/>
                <w:sz w:val="21"/>
                <w:szCs w:val="21"/>
                <w:highlight w:val="none"/>
                <w:lang w:eastAsia="zh-CN"/>
              </w:rPr>
              <w:t>。</w:t>
            </w:r>
          </w:p>
          <w:p w14:paraId="73B53AE2">
            <w:pPr>
              <w:pageBreakBefore w:val="0"/>
              <w:kinsoku/>
              <w:wordWrap/>
              <w:overflowPunct w:val="0"/>
              <w:topLinePunct/>
              <w:bidi w:val="0"/>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2.皂脚经皂脚罐收集后</w:t>
            </w:r>
            <w:r>
              <w:rPr>
                <w:rFonts w:hint="eastAsia" w:cs="Times New Roman"/>
                <w:color w:val="auto"/>
                <w:sz w:val="21"/>
                <w:szCs w:val="21"/>
                <w:highlight w:val="none"/>
                <w:lang w:val="en-US" w:eastAsia="zh-CN"/>
              </w:rPr>
              <w:t>交</w:t>
            </w:r>
            <w:r>
              <w:rPr>
                <w:rFonts w:hint="eastAsia" w:cs="Times New Roman"/>
                <w:color w:val="auto"/>
                <w:spacing w:val="8"/>
                <w:sz w:val="21"/>
                <w:szCs w:val="21"/>
                <w:highlight w:val="none"/>
                <w:lang w:val="en-US" w:eastAsia="zh-CN"/>
              </w:rPr>
              <w:t>四川宝汉丰废弃资源综合利用有限公司处置</w:t>
            </w:r>
            <w:r>
              <w:rPr>
                <w:rFonts w:hint="default" w:ascii="Times New Roman" w:hAnsi="Times New Roman" w:eastAsia="宋体" w:cs="Times New Roman"/>
                <w:color w:val="auto"/>
                <w:sz w:val="21"/>
                <w:szCs w:val="21"/>
                <w:highlight w:val="none"/>
                <w:lang w:val="en-US" w:eastAsia="zh-CN"/>
              </w:rPr>
              <w:t>；</w:t>
            </w:r>
          </w:p>
          <w:p w14:paraId="1669F5AB">
            <w:pPr>
              <w:pageBreakBefore w:val="0"/>
              <w:kinsoku/>
              <w:wordWrap/>
              <w:overflowPunct w:val="0"/>
              <w:topLinePunct/>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3.设废白土储存间1间，位于精炼车间1F西侧，面积80m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，内设废白土存料箱2个，单个容积19m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，用于存放废白土</w:t>
            </w:r>
            <w:r>
              <w:rPr>
                <w:rFonts w:hint="eastAsia" w:cs="Times New Roman"/>
                <w:color w:val="auto"/>
                <w:sz w:val="21"/>
                <w:szCs w:val="21"/>
                <w:highlight w:val="none"/>
                <w:lang w:val="en-US" w:eastAsia="zh-CN"/>
              </w:rPr>
              <w:t>，交</w:t>
            </w:r>
            <w:r>
              <w:rPr>
                <w:rFonts w:hint="eastAsia" w:cs="Times New Roman"/>
                <w:color w:val="auto"/>
                <w:spacing w:val="8"/>
                <w:sz w:val="21"/>
                <w:szCs w:val="21"/>
                <w:highlight w:val="none"/>
                <w:lang w:val="en-US" w:eastAsia="zh-CN"/>
              </w:rPr>
              <w:t>四川宝汉丰废弃资源综合利用有限公司处置</w:t>
            </w:r>
            <w:r>
              <w:rPr>
                <w:rFonts w:hint="default" w:ascii="Times New Roman" w:hAnsi="Times New Roman" w:eastAsia="宋体" w:cs="Times New Roman"/>
                <w:color w:val="auto"/>
                <w:sz w:val="21"/>
                <w:szCs w:val="21"/>
                <w:highlight w:val="none"/>
              </w:rPr>
              <w:t>。</w:t>
            </w:r>
          </w:p>
          <w:p w14:paraId="0734D7AE">
            <w:pPr>
              <w:pageBreakBefore w:val="0"/>
              <w:kinsoku/>
              <w:wordWrap/>
              <w:overflowPunct w:val="0"/>
              <w:topLinePunct/>
              <w:bidi w:val="0"/>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4.脂肪酸经</w:t>
            </w:r>
            <w:r>
              <w:rPr>
                <w:rFonts w:hint="eastAsia" w:cs="Times New Roman"/>
                <w:color w:val="auto"/>
                <w:sz w:val="21"/>
                <w:szCs w:val="21"/>
                <w:highlight w:val="none"/>
                <w:lang w:val="en-US" w:eastAsia="zh-CN"/>
              </w:rPr>
              <w:t>脂肪酸罐</w:t>
            </w:r>
            <w:r>
              <w:rPr>
                <w:rFonts w:hint="default" w:ascii="Times New Roman" w:hAnsi="Times New Roman" w:eastAsia="宋体" w:cs="Times New Roman"/>
                <w:color w:val="auto"/>
                <w:sz w:val="21"/>
                <w:szCs w:val="21"/>
                <w:highlight w:val="none"/>
                <w:lang w:val="en-US" w:eastAsia="zh-CN"/>
              </w:rPr>
              <w:t>收集后</w:t>
            </w:r>
            <w:r>
              <w:rPr>
                <w:rFonts w:hint="eastAsia" w:cs="Times New Roman"/>
                <w:color w:val="auto"/>
                <w:sz w:val="21"/>
                <w:szCs w:val="21"/>
                <w:highlight w:val="none"/>
                <w:lang w:val="en-US" w:eastAsia="zh-CN"/>
              </w:rPr>
              <w:t>交</w:t>
            </w:r>
            <w:r>
              <w:rPr>
                <w:rFonts w:hint="eastAsia" w:cs="Times New Roman"/>
                <w:color w:val="auto"/>
                <w:spacing w:val="8"/>
                <w:sz w:val="21"/>
                <w:szCs w:val="21"/>
                <w:highlight w:val="none"/>
                <w:lang w:val="en-US" w:eastAsia="zh-CN"/>
              </w:rPr>
              <w:t>四川宝汉丰废弃资源综合利用有限公司处置</w:t>
            </w:r>
            <w:r>
              <w:rPr>
                <w:rFonts w:hint="default" w:ascii="Times New Roman" w:hAnsi="Times New Roman" w:eastAsia="宋体" w:cs="Times New Roman"/>
                <w:color w:val="auto"/>
                <w:sz w:val="21"/>
                <w:szCs w:val="21"/>
                <w:highlight w:val="none"/>
              </w:rPr>
              <w:t>。</w:t>
            </w:r>
          </w:p>
          <w:p w14:paraId="032EB6AC">
            <w:pPr>
              <w:pageBreakBefore w:val="0"/>
              <w:widowControl w:val="0"/>
              <w:pBdr>
                <w:top w:val="none" w:color="auto" w:sz="0" w:space="1"/>
                <w:left w:val="none" w:color="auto" w:sz="0" w:space="4"/>
                <w:bottom w:val="none" w:color="auto" w:sz="0" w:space="1"/>
                <w:right w:val="none" w:color="auto" w:sz="0" w:space="4"/>
              </w:pBdr>
              <w:kinsoku/>
              <w:wordWrap/>
              <w:overflowPunct w:val="0"/>
              <w:topLinePunct/>
              <w:bidi w:val="0"/>
              <w:snapToGrid w:val="0"/>
              <w:spacing w:line="240" w:lineRule="auto"/>
              <w:jc w:val="both"/>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r>
              <w:rPr>
                <w:rFonts w:hint="default" w:ascii="Times New Roman" w:hAnsi="Times New Roman" w:cs="Times New Roman"/>
                <w:color w:val="auto"/>
                <w:sz w:val="21"/>
                <w:szCs w:val="21"/>
                <w:highlight w:val="none"/>
                <w:lang w:val="en-US" w:eastAsia="zh-CN"/>
              </w:rPr>
              <w:t>设废</w:t>
            </w:r>
            <w:r>
              <w:rPr>
                <w:rFonts w:hint="default" w:ascii="Times New Roman" w:hAnsi="Times New Roman" w:eastAsia="宋体" w:cs="Times New Roman"/>
                <w:color w:val="auto"/>
                <w:kern w:val="0"/>
                <w:sz w:val="21"/>
                <w:szCs w:val="21"/>
                <w:highlight w:val="none"/>
                <w:lang w:val="en-US" w:eastAsia="zh-CN" w:bidi="ar"/>
              </w:rPr>
              <w:t>助滤剂间</w:t>
            </w:r>
            <w:r>
              <w:rPr>
                <w:rFonts w:hint="default" w:ascii="Times New Roman" w:hAnsi="Times New Roman" w:cs="Times New Roman"/>
                <w:color w:val="auto"/>
                <w:sz w:val="21"/>
                <w:szCs w:val="21"/>
                <w:highlight w:val="none"/>
                <w:lang w:val="en-US" w:eastAsia="zh-CN"/>
              </w:rPr>
              <w:t>1间，位于精炼车间1F西侧，面积80m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，内设废助滤剂存料箱2个，单个容积19m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，用于存放废</w:t>
            </w:r>
            <w:r>
              <w:rPr>
                <w:rFonts w:hint="default" w:ascii="Times New Roman" w:hAnsi="Times New Roman" w:eastAsia="宋体" w:cs="Times New Roman"/>
                <w:color w:val="auto"/>
                <w:kern w:val="0"/>
                <w:sz w:val="21"/>
                <w:szCs w:val="21"/>
                <w:highlight w:val="none"/>
                <w:lang w:val="en-US" w:eastAsia="zh-CN" w:bidi="ar"/>
              </w:rPr>
              <w:t>助滤剂</w:t>
            </w:r>
            <w:r>
              <w:rPr>
                <w:rFonts w:hint="eastAsia" w:cs="Times New Roman"/>
                <w:color w:val="auto"/>
                <w:kern w:val="0"/>
                <w:sz w:val="21"/>
                <w:szCs w:val="21"/>
                <w:highlight w:val="none"/>
                <w:lang w:val="en-US" w:eastAsia="zh-CN" w:bidi="ar"/>
              </w:rPr>
              <w:t>，</w:t>
            </w:r>
            <w:r>
              <w:rPr>
                <w:rFonts w:hint="eastAsia" w:cs="Times New Roman"/>
                <w:color w:val="auto"/>
                <w:sz w:val="21"/>
                <w:szCs w:val="21"/>
                <w:highlight w:val="none"/>
                <w:lang w:val="en-US" w:eastAsia="zh-CN"/>
              </w:rPr>
              <w:t>交</w:t>
            </w:r>
            <w:r>
              <w:rPr>
                <w:rFonts w:hint="eastAsia" w:cs="Times New Roman"/>
                <w:color w:val="auto"/>
                <w:spacing w:val="8"/>
                <w:sz w:val="21"/>
                <w:szCs w:val="21"/>
                <w:highlight w:val="none"/>
                <w:lang w:val="en-US" w:eastAsia="zh-CN"/>
              </w:rPr>
              <w:t>四川宝汉丰废弃资源综合利用有限公司处置</w:t>
            </w:r>
            <w:r>
              <w:rPr>
                <w:rFonts w:hint="default" w:ascii="Times New Roman" w:hAnsi="Times New Roman" w:eastAsia="宋体" w:cs="Times New Roman"/>
                <w:color w:val="auto"/>
                <w:kern w:val="2"/>
                <w:sz w:val="21"/>
                <w:szCs w:val="21"/>
                <w:highlight w:val="none"/>
                <w:lang w:val="en-US" w:eastAsia="zh-CN" w:bidi="ar-SA"/>
              </w:rPr>
              <w:t>。</w:t>
            </w:r>
          </w:p>
          <w:p w14:paraId="13E5AA33">
            <w:pPr>
              <w:pageBreakBefore w:val="0"/>
              <w:widowControl w:val="0"/>
              <w:pBdr>
                <w:top w:val="none" w:color="auto" w:sz="0" w:space="1"/>
                <w:left w:val="none" w:color="auto" w:sz="0" w:space="4"/>
                <w:bottom w:val="none" w:color="auto" w:sz="0" w:space="1"/>
                <w:right w:val="none" w:color="auto" w:sz="0" w:space="4"/>
              </w:pBdr>
              <w:kinsoku/>
              <w:wordWrap/>
              <w:overflowPunct w:val="0"/>
              <w:topLinePunct/>
              <w:bidi w:val="0"/>
              <w:snapToGrid w:val="0"/>
              <w:spacing w:line="240" w:lineRule="auto"/>
              <w:jc w:val="both"/>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6、废活性炭依托现有工程危废暂存间（15m</w:t>
            </w:r>
            <w:r>
              <w:rPr>
                <w:rFonts w:hint="eastAsia" w:cs="Times New Roman"/>
                <w:color w:val="auto"/>
                <w:kern w:val="2"/>
                <w:sz w:val="21"/>
                <w:szCs w:val="21"/>
                <w:highlight w:val="none"/>
                <w:vertAlign w:val="superscript"/>
                <w:lang w:val="en-US" w:eastAsia="zh-CN" w:bidi="ar-SA"/>
              </w:rPr>
              <w:t>2</w:t>
            </w:r>
            <w:r>
              <w:rPr>
                <w:rFonts w:hint="eastAsia" w:cs="Times New Roman"/>
                <w:color w:val="auto"/>
                <w:kern w:val="2"/>
                <w:sz w:val="21"/>
                <w:szCs w:val="21"/>
                <w:highlight w:val="none"/>
                <w:lang w:val="en-US" w:eastAsia="zh-CN" w:bidi="ar-SA"/>
              </w:rPr>
              <w:t>），定期交有资质单位处置。</w:t>
            </w:r>
          </w:p>
        </w:tc>
      </w:tr>
      <w:tr w14:paraId="1D438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39D3CC4D">
            <w:pPr>
              <w:keepNext w:val="0"/>
              <w:keepLines w:val="0"/>
              <w:pageBreakBefore w:val="0"/>
              <w:kinsoku/>
              <w:wordWrap/>
              <w:overflowPunct w:val="0"/>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720" w:type="dxa"/>
            <w:gridSpan w:val="4"/>
            <w:noWrap w:val="0"/>
            <w:vAlign w:val="center"/>
          </w:tcPr>
          <w:p w14:paraId="579D2F7A">
            <w:pPr>
              <w:keepNext w:val="0"/>
              <w:keepLines w:val="0"/>
              <w:pageBreakBefore w:val="0"/>
              <w:kinsoku/>
              <w:wordWrap/>
              <w:overflowPunct w:val="0"/>
              <w:topLinePunct/>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厂区采取分区防渗措施，分为重点防渗区、一般防渗区。</w:t>
            </w:r>
          </w:p>
          <w:p w14:paraId="18E7C970">
            <w:pPr>
              <w:keepNext w:val="0"/>
              <w:keepLines w:val="0"/>
              <w:pageBreakBefore w:val="0"/>
              <w:kinsoku/>
              <w:wordWrap/>
              <w:overflowPunct w:val="0"/>
              <w:topLinePunct/>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①重点防渗区</w:t>
            </w:r>
          </w:p>
          <w:p w14:paraId="16A49D20">
            <w:pPr>
              <w:keepNext w:val="0"/>
              <w:keepLines w:val="0"/>
              <w:pageBreakBefore w:val="0"/>
              <w:kinsoku/>
              <w:wordWrap/>
              <w:overflowPunct w:val="0"/>
              <w:topLinePunct/>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pacing w:val="8"/>
                <w:kern w:val="0"/>
                <w:sz w:val="21"/>
                <w:szCs w:val="21"/>
                <w:highlight w:val="none"/>
                <w:lang w:val="en-US" w:eastAsia="zh-CN"/>
              </w:rPr>
              <w:t>储罐区</w:t>
            </w:r>
            <w:r>
              <w:rPr>
                <w:rFonts w:hint="eastAsia" w:cs="Times New Roman"/>
                <w:bCs/>
                <w:color w:val="auto"/>
                <w:spacing w:val="8"/>
                <w:kern w:val="0"/>
                <w:sz w:val="21"/>
                <w:szCs w:val="21"/>
                <w:highlight w:val="none"/>
                <w:lang w:val="en-US" w:eastAsia="zh-CN"/>
              </w:rPr>
              <w:t>和生产</w:t>
            </w:r>
            <w:r>
              <w:rPr>
                <w:rFonts w:hint="default" w:ascii="Times New Roman" w:hAnsi="Times New Roman" w:eastAsia="宋体" w:cs="Times New Roman"/>
                <w:b w:val="0"/>
                <w:bCs w:val="0"/>
                <w:color w:val="auto"/>
                <w:spacing w:val="-3"/>
                <w:sz w:val="21"/>
                <w:szCs w:val="21"/>
                <w:highlight w:val="none"/>
                <w:vertAlign w:val="baseline"/>
                <w:lang w:val="en-US" w:eastAsia="zh-CN"/>
              </w:rPr>
              <w:t>区域</w:t>
            </w:r>
            <w:r>
              <w:rPr>
                <w:rFonts w:hint="default" w:ascii="Times New Roman" w:hAnsi="Times New Roman" w:eastAsia="宋体" w:cs="Times New Roman"/>
                <w:color w:val="auto"/>
                <w:sz w:val="21"/>
                <w:szCs w:val="21"/>
                <w:highlight w:val="none"/>
              </w:rPr>
              <w:t>为重点防渗区，防渗技术要求为：等效黏土防渗层Mb≥6.0m，K≤1.0×10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p w14:paraId="4F2814CF">
            <w:pPr>
              <w:keepNext w:val="0"/>
              <w:keepLines w:val="0"/>
              <w:pageBreakBefore w:val="0"/>
              <w:kinsoku/>
              <w:wordWrap/>
              <w:overflowPunct w:val="0"/>
              <w:topLinePunct/>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②一般防渗区</w:t>
            </w:r>
          </w:p>
          <w:p w14:paraId="4F998A95">
            <w:pPr>
              <w:keepNext w:val="0"/>
              <w:keepLines w:val="0"/>
              <w:pageBreakBefore w:val="0"/>
              <w:kinsoku/>
              <w:wordWrap/>
              <w:overflowPunct w:val="0"/>
              <w:topLinePunct/>
              <w:autoSpaceDE/>
              <w:autoSpaceDN/>
              <w:bidi w:val="0"/>
              <w:adjustRightInd w:val="0"/>
              <w:snapToGrid w:val="0"/>
              <w:spacing w:line="240" w:lineRule="auto"/>
              <w:textAlignment w:val="auto"/>
              <w:rPr>
                <w:rFonts w:hint="default" w:ascii="Times New Roman" w:hAnsi="Times New Roman" w:eastAsia="仿宋_GB2312"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除重点防渗区外的其他区域</w:t>
            </w:r>
            <w:r>
              <w:rPr>
                <w:rFonts w:hint="default" w:ascii="Times New Roman" w:hAnsi="Times New Roman" w:eastAsia="宋体" w:cs="Times New Roman"/>
                <w:color w:val="auto"/>
                <w:sz w:val="21"/>
                <w:szCs w:val="21"/>
                <w:highlight w:val="none"/>
              </w:rPr>
              <w:t>为一般防渗区，</w:t>
            </w:r>
            <w:r>
              <w:rPr>
                <w:rFonts w:hint="default" w:ascii="Times New Roman" w:hAnsi="Times New Roman" w:eastAsia="宋体" w:cs="Times New Roman"/>
                <w:color w:val="auto"/>
                <w:sz w:val="21"/>
                <w:szCs w:val="21"/>
                <w:highlight w:val="none"/>
                <w:lang w:val="zh-CN"/>
              </w:rPr>
              <w:t>采取水泥硬化并做防渗处理</w:t>
            </w:r>
            <w:r>
              <w:rPr>
                <w:rFonts w:hint="default" w:ascii="Times New Roman" w:hAnsi="Times New Roman" w:eastAsia="宋体" w:cs="Times New Roman"/>
                <w:color w:val="auto"/>
                <w:sz w:val="21"/>
                <w:szCs w:val="21"/>
                <w:highlight w:val="none"/>
              </w:rPr>
              <w:t>。</w:t>
            </w:r>
          </w:p>
        </w:tc>
      </w:tr>
      <w:tr w14:paraId="5DE2B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6621E754">
            <w:pPr>
              <w:keepNext w:val="0"/>
              <w:keepLines w:val="0"/>
              <w:pageBreakBefore w:val="0"/>
              <w:kinsoku/>
              <w:wordWrap/>
              <w:overflowPunct w:val="0"/>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720" w:type="dxa"/>
            <w:gridSpan w:val="4"/>
            <w:noWrap w:val="0"/>
            <w:vAlign w:val="center"/>
          </w:tcPr>
          <w:p w14:paraId="7D48EF10">
            <w:pPr>
              <w:keepNext w:val="0"/>
              <w:keepLines w:val="0"/>
              <w:pageBreakBefore w:val="0"/>
              <w:kinsoku/>
              <w:wordWrap/>
              <w:overflowPunct w:val="0"/>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w:t>
            </w:r>
          </w:p>
        </w:tc>
      </w:tr>
      <w:tr w14:paraId="24722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0" w:type="dxa"/>
            <w:noWrap w:val="0"/>
            <w:vAlign w:val="center"/>
          </w:tcPr>
          <w:p w14:paraId="7B1A4396">
            <w:pPr>
              <w:keepNext w:val="0"/>
              <w:keepLines w:val="0"/>
              <w:pageBreakBefore w:val="0"/>
              <w:kinsoku/>
              <w:wordWrap/>
              <w:overflowPunct w:val="0"/>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w:t>
            </w:r>
          </w:p>
          <w:p w14:paraId="3B5B61ED">
            <w:pPr>
              <w:keepNext w:val="0"/>
              <w:keepLines w:val="0"/>
              <w:pageBreakBefore w:val="0"/>
              <w:kinsoku/>
              <w:wordWrap/>
              <w:overflowPunct w:val="0"/>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防范措施</w:t>
            </w:r>
          </w:p>
        </w:tc>
        <w:tc>
          <w:tcPr>
            <w:tcW w:w="7720" w:type="dxa"/>
            <w:gridSpan w:val="4"/>
            <w:noWrap w:val="0"/>
            <w:vAlign w:val="center"/>
          </w:tcPr>
          <w:p w14:paraId="23A35539">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w:t>
            </w:r>
            <w:r>
              <w:rPr>
                <w:rFonts w:hint="eastAsia" w:cs="Times New Roman"/>
                <w:color w:val="auto"/>
                <w:sz w:val="21"/>
                <w:szCs w:val="21"/>
                <w:highlight w:val="none"/>
                <w:lang w:val="en-US" w:eastAsia="zh-CN"/>
              </w:rPr>
              <w:t>改建精炼车间磷酸罐、碱液罐设置围堰，磷酸罐围堰高度1.6m，容积为8m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，碱液罐围堰高度1.6m，容积30m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，并采取防渗措施</w:t>
            </w:r>
            <w:r>
              <w:rPr>
                <w:rFonts w:hint="default" w:ascii="Times New Roman" w:hAnsi="Times New Roman" w:cs="Times New Roman"/>
                <w:color w:val="auto"/>
                <w:sz w:val="21"/>
                <w:szCs w:val="21"/>
                <w:highlight w:val="none"/>
                <w:lang w:val="en-US" w:eastAsia="zh-CN"/>
              </w:rPr>
              <w:t>；</w:t>
            </w:r>
          </w:p>
          <w:p w14:paraId="3E6DC52A">
            <w:pPr>
              <w:pStyle w:val="2"/>
              <w:keepNext w:val="0"/>
              <w:keepLines w:val="0"/>
              <w:pageBreakBefore w:val="0"/>
              <w:widowControl/>
              <w:kinsoku/>
              <w:wordWrap/>
              <w:overflowPunct w:val="0"/>
              <w:topLinePunct/>
              <w:autoSpaceDE/>
              <w:autoSpaceDN/>
              <w:bidi w:val="0"/>
              <w:adjustRightInd/>
              <w:snapToGrid w:val="0"/>
              <w:spacing w:before="0" w:after="0" w:line="240" w:lineRule="auto"/>
              <w:ind w:right="113"/>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w:t>
            </w:r>
            <w:r>
              <w:rPr>
                <w:rFonts w:hint="default" w:ascii="Times New Roman" w:hAnsi="Times New Roman" w:cs="Times New Roman"/>
                <w:color w:val="auto"/>
                <w:sz w:val="21"/>
                <w:szCs w:val="21"/>
                <w:highlight w:val="none"/>
              </w:rPr>
              <w:t>建立安全生产岗位责任制；设置安全标志；</w:t>
            </w:r>
            <w:r>
              <w:rPr>
                <w:rFonts w:hint="default" w:ascii="Times New Roman" w:hAnsi="Times New Roman" w:cs="Times New Roman"/>
                <w:b w:val="0"/>
                <w:bCs w:val="0"/>
                <w:color w:val="auto"/>
                <w:sz w:val="21"/>
                <w:szCs w:val="21"/>
                <w:highlight w:val="none"/>
              </w:rPr>
              <w:t>装置设物料走向、厂区设风向标等</w:t>
            </w:r>
            <w:r>
              <w:rPr>
                <w:rFonts w:hint="default" w:ascii="Times New Roman" w:hAnsi="Times New Roman" w:cs="Times New Roman"/>
                <w:b/>
                <w:bCs/>
                <w:color w:val="auto"/>
                <w:sz w:val="21"/>
                <w:szCs w:val="21"/>
                <w:highlight w:val="none"/>
              </w:rPr>
              <w:t>；</w:t>
            </w:r>
          </w:p>
          <w:p w14:paraId="02C3711C">
            <w:pPr>
              <w:pStyle w:val="2"/>
              <w:keepNext w:val="0"/>
              <w:keepLines w:val="0"/>
              <w:pageBreakBefore w:val="0"/>
              <w:widowControl/>
              <w:kinsoku/>
              <w:wordWrap/>
              <w:overflowPunct w:val="0"/>
              <w:topLinePunct/>
              <w:autoSpaceDE/>
              <w:autoSpaceDN/>
              <w:bidi w:val="0"/>
              <w:adjustRightInd/>
              <w:snapToGrid w:val="0"/>
              <w:spacing w:before="0" w:after="0" w:line="240" w:lineRule="auto"/>
              <w:ind w:right="113"/>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w:t>
            </w:r>
            <w:r>
              <w:rPr>
                <w:rFonts w:hint="eastAsia" w:cs="Times New Roman"/>
                <w:color w:val="auto"/>
                <w:sz w:val="21"/>
                <w:szCs w:val="21"/>
                <w:highlight w:val="none"/>
                <w:lang w:val="en-US" w:eastAsia="zh-CN"/>
              </w:rPr>
              <w:t>储罐区和生产区采取重点防渗措施，且</w:t>
            </w:r>
            <w:r>
              <w:rPr>
                <w:rFonts w:hint="default" w:ascii="Times New Roman" w:hAnsi="Times New Roman" w:cs="Times New Roman"/>
                <w:color w:val="auto"/>
                <w:sz w:val="21"/>
                <w:szCs w:val="21"/>
                <w:highlight w:val="none"/>
              </w:rPr>
              <w:t>设导流沟及收集池</w:t>
            </w:r>
            <w:r>
              <w:rPr>
                <w:rFonts w:hint="default" w:ascii="Times New Roman" w:hAnsi="Times New Roman" w:cs="Times New Roman"/>
                <w:color w:val="auto"/>
                <w:sz w:val="21"/>
                <w:szCs w:val="21"/>
                <w:highlight w:val="none"/>
                <w:lang w:val="en-US" w:eastAsia="zh-CN"/>
              </w:rPr>
              <w:t>；</w:t>
            </w:r>
          </w:p>
        </w:tc>
      </w:tr>
      <w:tr w14:paraId="4289D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14:paraId="21D35A15">
            <w:pPr>
              <w:keepNext w:val="0"/>
              <w:keepLines w:val="0"/>
              <w:pageBreakBefore w:val="0"/>
              <w:kinsoku/>
              <w:wordWrap/>
              <w:overflowPunct w:val="0"/>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14:paraId="3F0563AF">
            <w:pPr>
              <w:keepNext w:val="0"/>
              <w:keepLines w:val="0"/>
              <w:pageBreakBefore w:val="0"/>
              <w:kinsoku/>
              <w:wordWrap/>
              <w:overflowPunct w:val="0"/>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720" w:type="dxa"/>
            <w:gridSpan w:val="4"/>
            <w:noWrap w:val="0"/>
            <w:vAlign w:val="center"/>
          </w:tcPr>
          <w:p w14:paraId="088BFE95">
            <w:pPr>
              <w:keepNext w:val="0"/>
              <w:keepLines w:val="0"/>
              <w:pageBreakBefore w:val="0"/>
              <w:widowControl w:val="0"/>
              <w:kinsoku/>
              <w:wordWrap/>
              <w:overflowPunct w:val="0"/>
              <w:topLinePunct/>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1.</w:t>
            </w:r>
            <w:r>
              <w:rPr>
                <w:rFonts w:hint="default" w:ascii="Times New Roman" w:hAnsi="Times New Roman" w:eastAsia="宋体" w:cs="Times New Roman"/>
                <w:color w:val="auto"/>
                <w:sz w:val="21"/>
                <w:szCs w:val="21"/>
                <w:highlight w:val="none"/>
              </w:rPr>
              <w:t>严格落实环保“三同时”要求；</w:t>
            </w:r>
          </w:p>
          <w:p w14:paraId="4913EB0C">
            <w:pPr>
              <w:keepNext w:val="0"/>
              <w:keepLines w:val="0"/>
              <w:pageBreakBefore w:val="0"/>
              <w:widowControl w:val="0"/>
              <w:kinsoku/>
              <w:wordWrap/>
              <w:overflowPunct w:val="0"/>
              <w:topLinePunct/>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rPr>
              <w:t>保证各环保设施正常运行的同时，最大限度地减少各种污染物的产生，减轻</w:t>
            </w:r>
            <w:r>
              <w:rPr>
                <w:rFonts w:hint="eastAsia"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rPr>
              <w:t>对环境的影响；</w:t>
            </w:r>
          </w:p>
          <w:p w14:paraId="0C4D8B8A">
            <w:pPr>
              <w:keepNext w:val="0"/>
              <w:keepLines w:val="0"/>
              <w:pageBreakBefore w:val="0"/>
              <w:widowControl w:val="0"/>
              <w:kinsoku/>
              <w:wordWrap/>
              <w:overflowPunct w:val="0"/>
              <w:topLinePunct/>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3.</w:t>
            </w:r>
            <w:r>
              <w:rPr>
                <w:rFonts w:hint="eastAsia"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rPr>
              <w:t>竣工后，及时按照建设项目竣工环保验收规范要求开展验收。</w:t>
            </w:r>
          </w:p>
          <w:p w14:paraId="567AA0E1">
            <w:pPr>
              <w:keepNext w:val="0"/>
              <w:keepLines w:val="0"/>
              <w:pageBreakBefore w:val="0"/>
              <w:widowControl w:val="0"/>
              <w:kinsoku/>
              <w:wordWrap/>
              <w:overflowPunct w:val="0"/>
              <w:topLinePunct/>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4.环境管理</w:t>
            </w:r>
          </w:p>
          <w:p w14:paraId="136CAC94">
            <w:pPr>
              <w:keepNext w:val="0"/>
              <w:keepLines w:val="0"/>
              <w:pageBreakBefore w:val="0"/>
              <w:widowControl w:val="0"/>
              <w:kinsoku/>
              <w:wordWrap/>
              <w:overflowPunct w:val="0"/>
              <w:topLinePunct/>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兼职1人负责日常环境管理工作，定期对构筑物、设备、电气及自控仪表进行检查维护。由于紧急事故造成停止运行的，应立即报告当地环保部门。电气设备的运行与操作须执行供电管理部门的安全操作规程。建立健全运行台账制度，如实填写运行记录，并妥善保存。</w:t>
            </w:r>
          </w:p>
          <w:p w14:paraId="63C9326D">
            <w:pPr>
              <w:keepNext w:val="0"/>
              <w:keepLines w:val="0"/>
              <w:pageBreakBefore w:val="0"/>
              <w:widowControl w:val="0"/>
              <w:kinsoku/>
              <w:wordWrap/>
              <w:overflowPunct w:val="0"/>
              <w:topLinePunct/>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5.排污口规范化管理</w:t>
            </w:r>
          </w:p>
          <w:p w14:paraId="3A80B9AD">
            <w:pPr>
              <w:keepNext w:val="0"/>
              <w:keepLines w:val="0"/>
              <w:pageBreakBefore w:val="0"/>
              <w:widowControl w:val="0"/>
              <w:kinsoku/>
              <w:wordWrap/>
              <w:overflowPunct w:val="0"/>
              <w:topLinePunct/>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①废气排气筒应修建采样平台，设置监测采样口，采样口的设置应符合《污染源技术规范》要求；采样口必须设置常备电源；排气筒应设置图形标志牌；</w:t>
            </w:r>
          </w:p>
          <w:p w14:paraId="3F63D144">
            <w:pPr>
              <w:keepNext w:val="0"/>
              <w:keepLines w:val="0"/>
              <w:pageBreakBefore w:val="0"/>
              <w:widowControl w:val="0"/>
              <w:kinsoku/>
              <w:wordWrap/>
              <w:overflowPunct w:val="0"/>
              <w:topLinePunct/>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②工业企业厂界噪声监测点应在法定厂界外1米处，在固定噪声源厂界噪声敏感且对外界影响最大处设置监测点。在噪声较大的车间外或噪声较大的地方醒目处应设置环保图形标志牌；</w:t>
            </w:r>
          </w:p>
          <w:p w14:paraId="579C3A80">
            <w:pPr>
              <w:keepNext w:val="0"/>
              <w:keepLines w:val="0"/>
              <w:pageBreakBefore w:val="0"/>
              <w:widowControl w:val="0"/>
              <w:kinsoku/>
              <w:wordWrap/>
              <w:overflowPunct w:val="0"/>
              <w:topLinePunct/>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③废水应设立一个规范化的废水排放口，设立标志牌，并进行保持维护。</w:t>
            </w:r>
          </w:p>
          <w:p w14:paraId="7111BEC8">
            <w:pPr>
              <w:keepNext w:val="0"/>
              <w:keepLines w:val="0"/>
              <w:pageBreakBefore w:val="0"/>
              <w:widowControl w:val="0"/>
              <w:kinsoku/>
              <w:wordWrap/>
              <w:overflowPunct w:val="0"/>
              <w:topLinePunct/>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④一般固废贮存区进出口和危废贮存点进出口醒目处应设置环保图形标志牌。</w:t>
            </w:r>
          </w:p>
          <w:p w14:paraId="7CE49142">
            <w:pPr>
              <w:keepNext w:val="0"/>
              <w:keepLines w:val="0"/>
              <w:pageBreakBefore w:val="0"/>
              <w:widowControl w:val="0"/>
              <w:kinsoku/>
              <w:wordWrap/>
              <w:overflowPunct w:val="0"/>
              <w:topLinePunct/>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⑤标志牌的设置要求应按《环境保护图形标志牌—排放口（源）》（GB15562.1-1995）的规定执行。标志牌必须保持清晰、完整，当发现有损坏或颜色有变化，应及时修复或更换。检查时间为一年两次。</w:t>
            </w:r>
          </w:p>
          <w:p w14:paraId="61B74349">
            <w:pPr>
              <w:keepNext w:val="0"/>
              <w:keepLines w:val="0"/>
              <w:pageBreakBefore w:val="0"/>
              <w:widowControl w:val="0"/>
              <w:kinsoku/>
              <w:wordWrap/>
              <w:overflowPunct w:val="0"/>
              <w:topLinePunct/>
              <w:autoSpaceDE/>
              <w:autoSpaceDN/>
              <w:bidi w:val="0"/>
              <w:adjustRightInd w:val="0"/>
              <w:snapToGrid w:val="0"/>
              <w:spacing w:line="240" w:lineRule="auto"/>
              <w:ind w:firstLine="0" w:firstLineChars="0"/>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6.长江上游珍稀特有鱼类国家级自然保护区重叠区域</w:t>
            </w:r>
            <w:r>
              <w:rPr>
                <w:rFonts w:hint="eastAsia" w:cs="Times New Roman"/>
                <w:color w:val="auto"/>
                <w:sz w:val="21"/>
                <w:szCs w:val="21"/>
                <w:highlight w:val="none"/>
                <w:lang w:val="en-US" w:eastAsia="zh-CN"/>
              </w:rPr>
              <w:t>退让方案</w:t>
            </w:r>
          </w:p>
          <w:p w14:paraId="6B0B7E0E">
            <w:pPr>
              <w:keepNext w:val="0"/>
              <w:keepLines w:val="0"/>
              <w:pageBreakBefore w:val="0"/>
              <w:widowControl w:val="0"/>
              <w:kinsoku/>
              <w:wordWrap/>
              <w:overflowPunct w:val="0"/>
              <w:topLinePunct/>
              <w:autoSpaceDE/>
              <w:autoSpaceDN/>
              <w:bidi w:val="0"/>
              <w:adjustRightInd w:val="0"/>
              <w:snapToGrid w:val="0"/>
              <w:spacing w:line="240" w:lineRule="auto"/>
              <w:ind w:firstLine="420" w:firstLineChars="200"/>
              <w:textAlignment w:val="auto"/>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与长江上游珍稀特有鱼类国家级自然保护区重叠区域储罐</w:t>
            </w:r>
            <w:r>
              <w:rPr>
                <w:rFonts w:hint="default" w:ascii="Times New Roman" w:hAnsi="Times New Roman" w:cs="Times New Roman"/>
                <w:color w:val="auto"/>
                <w:spacing w:val="0"/>
                <w:position w:val="0"/>
                <w:sz w:val="24"/>
                <w:szCs w:val="24"/>
                <w:highlight w:val="none"/>
                <w:lang w:val="en-US" w:eastAsia="zh-CN" w:bidi="ar"/>
              </w:rPr>
              <w:t>（</w:t>
            </w:r>
            <w:r>
              <w:rPr>
                <w:rFonts w:hint="default" w:ascii="Times New Roman" w:cs="Times New Roman"/>
                <w:color w:val="auto"/>
                <w:spacing w:val="0"/>
                <w:position w:val="0"/>
                <w:sz w:val="24"/>
                <w:szCs w:val="24"/>
                <w:highlight w:val="none"/>
                <w:lang w:val="en-US" w:eastAsia="zh-CN" w:bidi="ar"/>
              </w:rPr>
              <w:t>0Y04#、0Y05#</w:t>
            </w:r>
            <w:r>
              <w:rPr>
                <w:rFonts w:hint="default" w:ascii="Times New Roman" w:hAnsi="Times New Roman" w:cs="Times New Roman"/>
                <w:color w:val="auto"/>
                <w:spacing w:val="0"/>
                <w:position w:val="0"/>
                <w:sz w:val="24"/>
                <w:szCs w:val="24"/>
                <w:highlight w:val="none"/>
                <w:lang w:val="en-US" w:eastAsia="zh-CN" w:bidi="ar"/>
              </w:rPr>
              <w:t>）</w:t>
            </w:r>
            <w:r>
              <w:rPr>
                <w:rFonts w:hint="eastAsia" w:ascii="Times New Roman" w:hAnsi="Times New Roman" w:eastAsia="宋体" w:cs="Times New Roman"/>
                <w:color w:val="auto"/>
                <w:sz w:val="21"/>
                <w:szCs w:val="21"/>
                <w:highlight w:val="none"/>
                <w:lang w:val="en-US" w:eastAsia="zh-CN"/>
              </w:rPr>
              <w:t>转为空置，并封堵其与输油管线连通</w:t>
            </w:r>
            <w:r>
              <w:rPr>
                <w:rFonts w:hint="eastAsia" w:cs="Times New Roman"/>
                <w:color w:val="auto"/>
                <w:sz w:val="21"/>
                <w:szCs w:val="21"/>
                <w:highlight w:val="none"/>
                <w:lang w:val="en-US" w:eastAsia="zh-CN"/>
              </w:rPr>
              <w:t>。后续严格遵循政府相关要求，积极配合完成重叠区域的调整工作。</w:t>
            </w:r>
          </w:p>
        </w:tc>
      </w:tr>
    </w:tbl>
    <w:p w14:paraId="342A5A62">
      <w:pPr>
        <w:pStyle w:val="16"/>
        <w:pageBreakBefore w:val="0"/>
        <w:kinsoku/>
        <w:wordWrap/>
        <w:overflowPunct w:val="0"/>
        <w:topLinePunct/>
        <w:bidi w:val="0"/>
        <w:spacing w:before="156" w:beforeLines="50" w:beforeAutospacing="0" w:after="156" w:afterLines="50" w:afterAutospacing="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14" w:name="_Toc20912"/>
      <w:r>
        <w:rPr>
          <w:rFonts w:hint="default" w:ascii="Times New Roman" w:hAnsi="Times New Roman" w:eastAsia="宋体" w:cs="Times New Roman"/>
          <w:b/>
          <w:bCs/>
          <w:snapToGrid w:val="0"/>
          <w:color w:val="auto"/>
          <w:sz w:val="30"/>
          <w:szCs w:val="30"/>
          <w:highlight w:val="none"/>
        </w:rPr>
        <w:t>六、结论</w:t>
      </w:r>
      <w:bookmarkEnd w:id="14"/>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A78B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14:paraId="267A7112">
            <w:pPr>
              <w:keepNext w:val="0"/>
              <w:keepLines w:val="0"/>
              <w:pageBreakBefore w:val="0"/>
              <w:widowControl/>
              <w:suppressLineNumbers w:val="0"/>
              <w:kinsoku/>
              <w:wordWrap/>
              <w:overflowPunct w:val="0"/>
              <w:topLinePunct/>
              <w:autoSpaceDE/>
              <w:autoSpaceDN/>
              <w:bidi w:val="0"/>
              <w:adjustRightInd/>
              <w:snapToGrid/>
              <w:spacing w:line="460" w:lineRule="exact"/>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改建600t/d油脂精炼车间（含脱蜡工段600t/d）项目加工单元</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kern w:val="0"/>
                <w:sz w:val="24"/>
                <w:szCs w:val="24"/>
                <w:highlight w:val="none"/>
                <w:lang w:val="en-US" w:eastAsia="zh-CN" w:bidi="ar"/>
              </w:rPr>
              <w:t>符合国家相关产业政策，符合相关规范和规划要求，项目建设产生的各种污染物经相应治理措施后均可达标排放，对环境影响不大。项目在落实环评提出的各项污染防治措施，严格执行“三同时”制度的前提下，加强环保管理以确保污染物达标排放，从生态环境保护角度而言，</w:t>
            </w:r>
            <w:r>
              <w:rPr>
                <w:rFonts w:hint="eastAsia" w:cs="Times New Roman"/>
                <w:color w:val="auto"/>
                <w:kern w:val="0"/>
                <w:sz w:val="24"/>
                <w:szCs w:val="24"/>
                <w:highlight w:val="none"/>
                <w:lang w:val="en-US" w:eastAsia="zh-CN" w:bidi="ar"/>
              </w:rPr>
              <w:t>本项目</w:t>
            </w:r>
            <w:r>
              <w:rPr>
                <w:rFonts w:hint="default" w:ascii="Times New Roman" w:hAnsi="Times New Roman" w:eastAsia="宋体" w:cs="Times New Roman"/>
                <w:color w:val="auto"/>
                <w:kern w:val="0"/>
                <w:sz w:val="24"/>
                <w:szCs w:val="24"/>
                <w:highlight w:val="none"/>
                <w:lang w:val="en-US" w:eastAsia="zh-CN" w:bidi="ar"/>
              </w:rPr>
              <w:t>的实施是可行的</w:t>
            </w:r>
            <w:r>
              <w:rPr>
                <w:rFonts w:hint="default" w:ascii="Times New Roman" w:hAnsi="Times New Roman" w:cs="Times New Roman"/>
                <w:color w:val="auto"/>
                <w:spacing w:val="-8"/>
                <w:sz w:val="24"/>
                <w:szCs w:val="24"/>
                <w:highlight w:val="none"/>
                <w:lang w:eastAsia="zh-CN"/>
              </w:rPr>
              <w:t>。</w:t>
            </w:r>
          </w:p>
          <w:p w14:paraId="6FD4BE36">
            <w:pPr>
              <w:pStyle w:val="17"/>
              <w:pageBreakBefore w:val="0"/>
              <w:kinsoku/>
              <w:wordWrap/>
              <w:overflowPunct w:val="0"/>
              <w:topLinePunct/>
              <w:bidi w:val="0"/>
              <w:rPr>
                <w:rFonts w:hint="default" w:ascii="Times New Roman" w:hAnsi="Times New Roman" w:eastAsia="宋体" w:cs="Times New Roman"/>
                <w:color w:val="auto"/>
                <w:highlight w:val="none"/>
              </w:rPr>
            </w:pPr>
          </w:p>
        </w:tc>
      </w:tr>
    </w:tbl>
    <w:p w14:paraId="6B198FE4">
      <w:pPr>
        <w:pStyle w:val="16"/>
        <w:pageBreakBefore w:val="0"/>
        <w:kinsoku/>
        <w:wordWrap/>
        <w:overflowPunct w:val="0"/>
        <w:topLinePunct/>
        <w:bidi w:val="0"/>
        <w:spacing w:before="0" w:beforeAutospacing="0" w:after="0" w:afterAutospacing="0"/>
        <w:outlineLvl w:val="9"/>
        <w:rPr>
          <w:rFonts w:hint="default" w:ascii="Times New Roman" w:hAnsi="Times New Roman" w:eastAsia="宋体" w:cs="Times New Roman"/>
          <w:snapToGrid w:val="0"/>
          <w:color w:val="auto"/>
          <w:sz w:val="32"/>
          <w:szCs w:val="32"/>
          <w:highlight w:val="none"/>
        </w:rPr>
        <w:sectPr>
          <w:footerReference r:id="rId4" w:type="default"/>
          <w:pgSz w:w="11906" w:h="16838"/>
          <w:pgMar w:top="1701" w:right="1531" w:bottom="1701" w:left="1531" w:header="851" w:footer="1417" w:gutter="0"/>
          <w:pgBorders>
            <w:top w:val="none" w:sz="0" w:space="0"/>
            <w:left w:val="none" w:sz="0" w:space="0"/>
            <w:bottom w:val="none" w:sz="0" w:space="0"/>
            <w:right w:val="none" w:sz="0" w:space="0"/>
          </w:pgBorders>
          <w:pgNumType w:fmt="decimal"/>
          <w:cols w:space="720" w:num="1"/>
          <w:docGrid w:type="lines" w:linePitch="312" w:charSpace="0"/>
        </w:sectPr>
      </w:pPr>
    </w:p>
    <w:p w14:paraId="6641AD46">
      <w:pPr>
        <w:pStyle w:val="16"/>
        <w:pageBreakBefore w:val="0"/>
        <w:kinsoku/>
        <w:wordWrap/>
        <w:overflowPunct w:val="0"/>
        <w:topLinePunct/>
        <w:bidi w:val="0"/>
        <w:spacing w:before="0" w:beforeAutospacing="0" w:after="0" w:afterAutospacing="0"/>
        <w:outlineLvl w:val="0"/>
        <w:rPr>
          <w:rFonts w:hint="default" w:ascii="Times New Roman" w:hAnsi="Times New Roman" w:eastAsia="宋体" w:cs="Times New Roman"/>
          <w:snapToGrid w:val="0"/>
          <w:color w:val="auto"/>
          <w:sz w:val="32"/>
          <w:szCs w:val="32"/>
          <w:highlight w:val="none"/>
        </w:rPr>
      </w:pPr>
      <w:bookmarkStart w:id="15" w:name="_Toc6535"/>
      <w:r>
        <w:rPr>
          <w:rFonts w:hint="default" w:ascii="Times New Roman" w:hAnsi="Times New Roman" w:eastAsia="宋体" w:cs="Times New Roman"/>
          <w:snapToGrid w:val="0"/>
          <w:color w:val="auto"/>
          <w:sz w:val="32"/>
          <w:szCs w:val="32"/>
          <w:highlight w:val="none"/>
        </w:rPr>
        <w:t>附表</w:t>
      </w:r>
      <w:bookmarkEnd w:id="15"/>
    </w:p>
    <w:p w14:paraId="5EE56879">
      <w:pPr>
        <w:pStyle w:val="16"/>
        <w:pageBreakBefore w:val="0"/>
        <w:kinsoku/>
        <w:wordWrap/>
        <w:overflowPunct w:val="0"/>
        <w:topLinePunct/>
        <w:bidi w:val="0"/>
        <w:spacing w:before="0" w:beforeAutospacing="0" w:after="0" w:afterAutospacing="0"/>
        <w:jc w:val="center"/>
        <w:outlineLvl w:val="0"/>
        <w:rPr>
          <w:rFonts w:hint="default" w:ascii="Times New Roman" w:hAnsi="Times New Roman" w:eastAsia="宋体" w:cs="Times New Roman"/>
          <w:b/>
          <w:bCs/>
          <w:snapToGrid w:val="0"/>
          <w:color w:val="auto"/>
          <w:sz w:val="30"/>
          <w:szCs w:val="30"/>
          <w:highlight w:val="none"/>
        </w:rPr>
      </w:pPr>
      <w:bookmarkStart w:id="16" w:name="_Toc4283"/>
      <w:r>
        <w:rPr>
          <w:rFonts w:hint="default" w:ascii="Times New Roman" w:hAnsi="Times New Roman" w:eastAsia="宋体" w:cs="Times New Roman"/>
          <w:b/>
          <w:bCs/>
          <w:snapToGrid w:val="0"/>
          <w:color w:val="auto"/>
          <w:sz w:val="30"/>
          <w:szCs w:val="30"/>
          <w:highlight w:val="none"/>
        </w:rPr>
        <w:t>建设项目污染物排放量汇总表</w:t>
      </w:r>
      <w:bookmarkEnd w:id="16"/>
    </w:p>
    <w:tbl>
      <w:tblPr>
        <w:tblStyle w:val="38"/>
        <w:tblW w:w="148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2002"/>
        <w:gridCol w:w="1639"/>
        <w:gridCol w:w="1601"/>
        <w:gridCol w:w="1641"/>
        <w:gridCol w:w="1722"/>
        <w:gridCol w:w="1642"/>
        <w:gridCol w:w="2082"/>
        <w:gridCol w:w="1322"/>
      </w:tblGrid>
      <w:tr w14:paraId="2D6BA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tcBorders>
              <w:tl2br w:val="nil"/>
              <w:tr2bl w:val="nil"/>
            </w:tcBorders>
            <w:noWrap w:val="0"/>
            <w:vAlign w:val="center"/>
            <mc:AlternateContent>
              <mc:Choice Requires="wpsCustomData">
                <wpsCustomData:diagonals>
                  <wpsCustomData:diagonal from="30000" to="10000">
                    <wpsCustomData:border w:val="single" w:color="000000" w:sz="2" w:space="0"/>
                  </wpsCustomData:diagonal>
                </wpsCustomData:diagonals>
              </mc:Choice>
            </mc:AlternateContent>
          </w:tcPr>
          <w:p w14:paraId="485186D1">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right"/>
              <w:textAlignment w:val="auto"/>
              <w:rPr>
                <w:rFonts w:hint="default" w:ascii="Times New Roman" w:hAnsi="Times New Roman" w:cs="Times New Roman"/>
                <w:color w:val="auto"/>
                <w:sz w:val="21"/>
                <w:szCs w:val="21"/>
                <w:highlight w:val="none"/>
              </w:rPr>
            </w:pPr>
          </w:p>
          <w:p w14:paraId="6E1229BE">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right"/>
              <w:textAlignment w:val="auto"/>
              <w:rPr>
                <w:rFonts w:hint="default" w:ascii="Times New Roman" w:hAnsi="Times New Roman" w:cs="Times New Roman"/>
                <w:color w:val="auto"/>
                <w:sz w:val="21"/>
                <w:szCs w:val="21"/>
                <w:highlight w:val="none"/>
              </w:rPr>
            </w:pPr>
          </w:p>
          <w:p w14:paraId="018E3C43">
            <w:pPr>
              <w:pStyle w:val="24"/>
              <w:keepNext w:val="0"/>
              <w:keepLines w:val="0"/>
              <w:pageBreakBefore w:val="0"/>
              <w:widowControl w:val="0"/>
              <w:kinsoku/>
              <w:wordWrap/>
              <w:overflowPunct w:val="0"/>
              <w:topLinePunct/>
              <w:autoSpaceDE/>
              <w:autoSpaceDN/>
              <w:bidi w:val="0"/>
              <w:adjustRightInd/>
              <w:snapToGrid w:val="0"/>
              <w:spacing w:line="240" w:lineRule="auto"/>
              <w:ind w:left="0" w:right="0" w:firstLine="0"/>
              <w:jc w:val="left"/>
              <w:textAlignment w:val="auto"/>
              <mc:AlternateContent>
                <mc:Choice Requires="wpsCustomData">
                  <wpsCustomData:diagonalParaType/>
                </mc:Choice>
              </mc:AlternateContent>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分类</w:t>
            </w:r>
          </w:p>
          <w:p w14:paraId="34A3438F">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righ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项目</w:t>
            </w:r>
          </w:p>
          <w:p w14:paraId="521D9E10">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left"/>
              <w:textAlignment w:val="auto"/>
              <w:rPr>
                <w:rFonts w:hint="default" w:ascii="Times New Roman" w:hAnsi="Times New Roman" w:cs="Times New Roman"/>
                <w:color w:val="auto"/>
                <w:sz w:val="21"/>
                <w:szCs w:val="21"/>
                <w:highlight w:val="none"/>
              </w:rPr>
            </w:pPr>
          </w:p>
        </w:tc>
        <w:tc>
          <w:tcPr>
            <w:tcW w:w="2002" w:type="dxa"/>
            <w:tcBorders>
              <w:tl2br w:val="nil"/>
              <w:tr2bl w:val="nil"/>
            </w:tcBorders>
            <w:noWrap w:val="0"/>
            <w:vAlign w:val="center"/>
          </w:tcPr>
          <w:p w14:paraId="12402B87">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污染物名称</w:t>
            </w:r>
          </w:p>
        </w:tc>
        <w:tc>
          <w:tcPr>
            <w:tcW w:w="1639" w:type="dxa"/>
            <w:tcBorders>
              <w:tl2br w:val="nil"/>
              <w:tr2bl w:val="nil"/>
            </w:tcBorders>
            <w:noWrap w:val="0"/>
            <w:vAlign w:val="center"/>
          </w:tcPr>
          <w:p w14:paraId="3DCF2F60">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现有工程排</w:t>
            </w:r>
            <w:r>
              <w:rPr>
                <w:rFonts w:hint="default" w:ascii="Times New Roman" w:hAnsi="Times New Roman" w:cs="Times New Roman"/>
                <w:color w:val="auto"/>
                <w:spacing w:val="-5"/>
                <w:sz w:val="21"/>
                <w:szCs w:val="21"/>
                <w:highlight w:val="none"/>
              </w:rPr>
              <w:t>放量（固体废物产生量）①</w:t>
            </w:r>
          </w:p>
        </w:tc>
        <w:tc>
          <w:tcPr>
            <w:tcW w:w="1601" w:type="dxa"/>
            <w:tcBorders>
              <w:tl2br w:val="nil"/>
              <w:tr2bl w:val="nil"/>
            </w:tcBorders>
            <w:noWrap w:val="0"/>
            <w:vAlign w:val="center"/>
          </w:tcPr>
          <w:p w14:paraId="1F43A337">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pacing w:val="-3"/>
                <w:sz w:val="21"/>
                <w:szCs w:val="21"/>
                <w:highlight w:val="none"/>
              </w:rPr>
              <w:t>现有工程许可</w:t>
            </w:r>
          </w:p>
          <w:p w14:paraId="767AFCD0">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排放量②</w:t>
            </w:r>
          </w:p>
        </w:tc>
        <w:tc>
          <w:tcPr>
            <w:tcW w:w="1641" w:type="dxa"/>
            <w:tcBorders>
              <w:tl2br w:val="nil"/>
              <w:tr2bl w:val="nil"/>
            </w:tcBorders>
            <w:noWrap w:val="0"/>
            <w:vAlign w:val="center"/>
          </w:tcPr>
          <w:p w14:paraId="1AC77A55">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在建工程排</w:t>
            </w:r>
            <w:r>
              <w:rPr>
                <w:rFonts w:hint="default" w:ascii="Times New Roman" w:hAnsi="Times New Roman" w:cs="Times New Roman"/>
                <w:color w:val="auto"/>
                <w:spacing w:val="-4"/>
                <w:sz w:val="21"/>
                <w:szCs w:val="21"/>
                <w:highlight w:val="none"/>
              </w:rPr>
              <w:t>放量（固体废物产生量）③</w:t>
            </w:r>
          </w:p>
        </w:tc>
        <w:tc>
          <w:tcPr>
            <w:tcW w:w="1722" w:type="dxa"/>
            <w:tcBorders>
              <w:tl2br w:val="nil"/>
              <w:tr2bl w:val="nil"/>
            </w:tcBorders>
            <w:noWrap w:val="0"/>
            <w:vAlign w:val="center"/>
          </w:tcPr>
          <w:p w14:paraId="63FD77EE">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
                <w:sz w:val="21"/>
                <w:szCs w:val="21"/>
                <w:highlight w:val="none"/>
                <w:lang w:eastAsia="zh-CN"/>
              </w:rPr>
              <w:t>本项目</w:t>
            </w:r>
            <w:r>
              <w:rPr>
                <w:rFonts w:hint="default" w:ascii="Times New Roman" w:hAnsi="Times New Roman" w:cs="Times New Roman"/>
                <w:color w:val="auto"/>
                <w:spacing w:val="-2"/>
                <w:sz w:val="21"/>
                <w:szCs w:val="21"/>
                <w:highlight w:val="none"/>
              </w:rPr>
              <w:t>排放量</w:t>
            </w:r>
          </w:p>
          <w:p w14:paraId="5CE786EE">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（固体废物产</w:t>
            </w:r>
          </w:p>
          <w:p w14:paraId="2DA70734">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生量）④</w:t>
            </w:r>
          </w:p>
        </w:tc>
        <w:tc>
          <w:tcPr>
            <w:tcW w:w="1642" w:type="dxa"/>
            <w:tcBorders>
              <w:tl2br w:val="nil"/>
              <w:tr2bl w:val="nil"/>
            </w:tcBorders>
            <w:noWrap w:val="0"/>
            <w:vAlign w:val="center"/>
          </w:tcPr>
          <w:p w14:paraId="28380B15">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以新带老削</w:t>
            </w:r>
            <w:r>
              <w:rPr>
                <w:rFonts w:hint="default" w:ascii="Times New Roman" w:hAnsi="Times New Roman" w:cs="Times New Roman"/>
                <w:color w:val="auto"/>
                <w:spacing w:val="-4"/>
                <w:sz w:val="21"/>
                <w:szCs w:val="21"/>
                <w:highlight w:val="none"/>
              </w:rPr>
              <w:t>减量（新建项</w:t>
            </w:r>
            <w:r>
              <w:rPr>
                <w:rFonts w:hint="default" w:ascii="Times New Roman" w:hAnsi="Times New Roman" w:cs="Times New Roman"/>
                <w:color w:val="auto"/>
                <w:spacing w:val="-10"/>
                <w:sz w:val="21"/>
                <w:szCs w:val="21"/>
                <w:highlight w:val="none"/>
              </w:rPr>
              <w:t>目不填）⑤</w:t>
            </w:r>
          </w:p>
        </w:tc>
        <w:tc>
          <w:tcPr>
            <w:tcW w:w="2082" w:type="dxa"/>
            <w:tcBorders>
              <w:tl2br w:val="nil"/>
              <w:tr2bl w:val="nil"/>
            </w:tcBorders>
            <w:noWrap w:val="0"/>
            <w:vAlign w:val="center"/>
          </w:tcPr>
          <w:p w14:paraId="1EA673AB">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
                <w:sz w:val="21"/>
                <w:szCs w:val="21"/>
                <w:highlight w:val="none"/>
                <w:lang w:eastAsia="zh-CN"/>
              </w:rPr>
              <w:t>本项目</w:t>
            </w:r>
            <w:r>
              <w:rPr>
                <w:rFonts w:hint="default" w:ascii="Times New Roman" w:hAnsi="Times New Roman" w:cs="Times New Roman"/>
                <w:color w:val="auto"/>
                <w:spacing w:val="-2"/>
                <w:sz w:val="21"/>
                <w:szCs w:val="21"/>
                <w:highlight w:val="none"/>
              </w:rPr>
              <w:t>建成后全</w:t>
            </w:r>
          </w:p>
          <w:p w14:paraId="3E5F3328">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9"/>
                <w:sz w:val="21"/>
                <w:szCs w:val="21"/>
                <w:highlight w:val="none"/>
              </w:rPr>
              <w:t>厂排放量（固体废</w:t>
            </w:r>
          </w:p>
          <w:p w14:paraId="40895D41">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物产生量）⑥</w:t>
            </w:r>
          </w:p>
        </w:tc>
        <w:tc>
          <w:tcPr>
            <w:tcW w:w="1322" w:type="dxa"/>
            <w:tcBorders>
              <w:tl2br w:val="nil"/>
              <w:tr2bl w:val="nil"/>
            </w:tcBorders>
            <w:noWrap w:val="0"/>
            <w:vAlign w:val="center"/>
          </w:tcPr>
          <w:p w14:paraId="0EE7E48D">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p w14:paraId="2B70EDE1">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变化量⑦</w:t>
            </w:r>
          </w:p>
        </w:tc>
      </w:tr>
      <w:tr w14:paraId="1E2E5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restart"/>
            <w:tcBorders>
              <w:tl2br w:val="nil"/>
              <w:tr2bl w:val="nil"/>
            </w:tcBorders>
            <w:noWrap w:val="0"/>
            <w:vAlign w:val="center"/>
          </w:tcPr>
          <w:p w14:paraId="3AF46FD6">
            <w:pPr>
              <w:pStyle w:val="24"/>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废气</w:t>
            </w:r>
          </w:p>
        </w:tc>
        <w:tc>
          <w:tcPr>
            <w:tcW w:w="2002" w:type="dxa"/>
            <w:tcBorders>
              <w:tl2br w:val="nil"/>
              <w:tr2bl w:val="nil"/>
            </w:tcBorders>
            <w:noWrap w:val="0"/>
            <w:vAlign w:val="center"/>
          </w:tcPr>
          <w:p w14:paraId="17CF050D">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3"/>
                <w:sz w:val="21"/>
                <w:szCs w:val="21"/>
                <w:highlight w:val="none"/>
                <w:lang w:val="en-US" w:eastAsia="zh-CN"/>
              </w:rPr>
              <w:t>颗粒物</w:t>
            </w:r>
          </w:p>
        </w:tc>
        <w:tc>
          <w:tcPr>
            <w:tcW w:w="1639" w:type="dxa"/>
            <w:tcBorders>
              <w:tl2br w:val="nil"/>
              <w:tr2bl w:val="nil"/>
            </w:tcBorders>
            <w:noWrap w:val="0"/>
            <w:vAlign w:val="center"/>
          </w:tcPr>
          <w:p w14:paraId="7FDEE614">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0.066</w:t>
            </w:r>
          </w:p>
        </w:tc>
        <w:tc>
          <w:tcPr>
            <w:tcW w:w="1601" w:type="dxa"/>
            <w:tcBorders>
              <w:tl2br w:val="nil"/>
              <w:tr2bl w:val="nil"/>
            </w:tcBorders>
            <w:noWrap w:val="0"/>
            <w:vAlign w:val="center"/>
          </w:tcPr>
          <w:p w14:paraId="029821E4">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lang w:val="en-US"/>
              </w:rPr>
            </w:pPr>
          </w:p>
        </w:tc>
        <w:tc>
          <w:tcPr>
            <w:tcW w:w="1641" w:type="dxa"/>
            <w:tcBorders>
              <w:tl2br w:val="nil"/>
              <w:tr2bl w:val="nil"/>
            </w:tcBorders>
            <w:noWrap w:val="0"/>
            <w:vAlign w:val="center"/>
          </w:tcPr>
          <w:p w14:paraId="3ACBBFB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noWrap w:val="0"/>
            <w:vAlign w:val="center"/>
          </w:tcPr>
          <w:p w14:paraId="36BA21F3">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sz w:val="21"/>
                <w:szCs w:val="21"/>
                <w:highlight w:val="none"/>
                <w:u w:val="none"/>
                <w:lang w:val="en-US" w:eastAsia="zh-CN"/>
              </w:rPr>
              <w:t>0.0567</w:t>
            </w:r>
          </w:p>
        </w:tc>
        <w:tc>
          <w:tcPr>
            <w:tcW w:w="1642" w:type="dxa"/>
            <w:tcBorders>
              <w:tl2br w:val="nil"/>
              <w:tr2bl w:val="nil"/>
            </w:tcBorders>
            <w:noWrap w:val="0"/>
            <w:vAlign w:val="center"/>
          </w:tcPr>
          <w:p w14:paraId="61DA84FF">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0.066</w:t>
            </w:r>
          </w:p>
        </w:tc>
        <w:tc>
          <w:tcPr>
            <w:tcW w:w="2082" w:type="dxa"/>
            <w:tcBorders>
              <w:tl2br w:val="nil"/>
              <w:tr2bl w:val="nil"/>
            </w:tcBorders>
            <w:noWrap w:val="0"/>
            <w:vAlign w:val="center"/>
          </w:tcPr>
          <w:p w14:paraId="312FA59B">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sz w:val="21"/>
                <w:szCs w:val="21"/>
                <w:highlight w:val="none"/>
                <w:u w:val="none"/>
                <w:lang w:val="en-US" w:eastAsia="zh-CN"/>
              </w:rPr>
              <w:t>0.0567</w:t>
            </w:r>
          </w:p>
        </w:tc>
        <w:tc>
          <w:tcPr>
            <w:tcW w:w="1322" w:type="dxa"/>
            <w:tcBorders>
              <w:tl2br w:val="nil"/>
              <w:tr2bl w:val="nil"/>
            </w:tcBorders>
            <w:shd w:val="clear" w:color="auto" w:fill="auto"/>
            <w:noWrap w:val="0"/>
            <w:vAlign w:val="center"/>
          </w:tcPr>
          <w:p w14:paraId="7CA4F73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0093</w:t>
            </w:r>
          </w:p>
        </w:tc>
      </w:tr>
      <w:tr w14:paraId="3A970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75AD6A4A">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noWrap w:val="0"/>
            <w:vAlign w:val="center"/>
          </w:tcPr>
          <w:p w14:paraId="088BED3C">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SO</w:t>
            </w:r>
            <w:r>
              <w:rPr>
                <w:rFonts w:hint="default" w:ascii="Times New Roman" w:hAnsi="Times New Roman" w:eastAsia="Times New Roman" w:cs="Times New Roman"/>
                <w:color w:val="auto"/>
                <w:spacing w:val="-4"/>
                <w:position w:val="-1"/>
                <w:sz w:val="21"/>
                <w:szCs w:val="21"/>
                <w:highlight w:val="none"/>
                <w:vertAlign w:val="subscript"/>
              </w:rPr>
              <w:t>2</w:t>
            </w:r>
          </w:p>
        </w:tc>
        <w:tc>
          <w:tcPr>
            <w:tcW w:w="1639" w:type="dxa"/>
            <w:tcBorders>
              <w:tl2br w:val="nil"/>
              <w:tr2bl w:val="nil"/>
            </w:tcBorders>
            <w:noWrap w:val="0"/>
            <w:vAlign w:val="center"/>
          </w:tcPr>
          <w:p w14:paraId="35F7A862">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0.806</w:t>
            </w:r>
          </w:p>
        </w:tc>
        <w:tc>
          <w:tcPr>
            <w:tcW w:w="1601" w:type="dxa"/>
            <w:tcBorders>
              <w:tl2br w:val="nil"/>
              <w:tr2bl w:val="nil"/>
            </w:tcBorders>
            <w:noWrap w:val="0"/>
            <w:vAlign w:val="center"/>
          </w:tcPr>
          <w:p w14:paraId="29277B8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2D6A984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noWrap w:val="0"/>
            <w:vAlign w:val="center"/>
          </w:tcPr>
          <w:p w14:paraId="55798A56">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Times New Roman" w:cs="Times New Roman"/>
                <w:color w:val="auto"/>
                <w:sz w:val="21"/>
                <w:szCs w:val="21"/>
                <w:highlight w:val="none"/>
              </w:rPr>
            </w:pPr>
            <w:r>
              <w:rPr>
                <w:rFonts w:hint="eastAsia" w:cs="Times New Roman"/>
                <w:i w:val="0"/>
                <w:iCs w:val="0"/>
                <w:color w:val="auto"/>
                <w:sz w:val="21"/>
                <w:szCs w:val="21"/>
                <w:highlight w:val="none"/>
                <w:u w:val="none"/>
                <w:lang w:val="en-US" w:eastAsia="zh-CN"/>
              </w:rPr>
              <w:t>0.691</w:t>
            </w:r>
          </w:p>
        </w:tc>
        <w:tc>
          <w:tcPr>
            <w:tcW w:w="1642" w:type="dxa"/>
            <w:tcBorders>
              <w:tl2br w:val="nil"/>
              <w:tr2bl w:val="nil"/>
            </w:tcBorders>
            <w:noWrap w:val="0"/>
            <w:vAlign w:val="center"/>
          </w:tcPr>
          <w:p w14:paraId="6BB7A098">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0.806</w:t>
            </w:r>
          </w:p>
        </w:tc>
        <w:tc>
          <w:tcPr>
            <w:tcW w:w="2082" w:type="dxa"/>
            <w:tcBorders>
              <w:tl2br w:val="nil"/>
              <w:tr2bl w:val="nil"/>
            </w:tcBorders>
            <w:noWrap w:val="0"/>
            <w:vAlign w:val="center"/>
          </w:tcPr>
          <w:p w14:paraId="3BEC8F12">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sz w:val="21"/>
                <w:szCs w:val="21"/>
                <w:highlight w:val="none"/>
                <w:u w:val="none"/>
                <w:lang w:val="en-US" w:eastAsia="zh-CN"/>
              </w:rPr>
              <w:t>0.691</w:t>
            </w:r>
          </w:p>
        </w:tc>
        <w:tc>
          <w:tcPr>
            <w:tcW w:w="1322" w:type="dxa"/>
            <w:tcBorders>
              <w:tl2br w:val="nil"/>
              <w:tr2bl w:val="nil"/>
            </w:tcBorders>
            <w:shd w:val="clear" w:color="auto" w:fill="auto"/>
            <w:noWrap w:val="0"/>
            <w:vAlign w:val="center"/>
          </w:tcPr>
          <w:p w14:paraId="6E466B5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115</w:t>
            </w:r>
          </w:p>
        </w:tc>
      </w:tr>
      <w:tr w14:paraId="3C4C8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2158AE74">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noWrap w:val="0"/>
            <w:vAlign w:val="center"/>
          </w:tcPr>
          <w:p w14:paraId="7324A013">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NO</w:t>
            </w:r>
            <w:r>
              <w:rPr>
                <w:rFonts w:hint="default" w:ascii="Times New Roman" w:hAnsi="Times New Roman" w:eastAsia="Times New Roman" w:cs="Times New Roman"/>
                <w:color w:val="auto"/>
                <w:spacing w:val="2"/>
                <w:position w:val="-1"/>
                <w:sz w:val="21"/>
                <w:szCs w:val="21"/>
                <w:highlight w:val="none"/>
                <w:vertAlign w:val="subscript"/>
              </w:rPr>
              <w:t>X</w:t>
            </w:r>
          </w:p>
        </w:tc>
        <w:tc>
          <w:tcPr>
            <w:tcW w:w="1639" w:type="dxa"/>
            <w:tcBorders>
              <w:tl2br w:val="nil"/>
              <w:tr2bl w:val="nil"/>
            </w:tcBorders>
            <w:noWrap w:val="0"/>
            <w:vAlign w:val="center"/>
          </w:tcPr>
          <w:p w14:paraId="0998D6B4">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0.288</w:t>
            </w:r>
          </w:p>
        </w:tc>
        <w:tc>
          <w:tcPr>
            <w:tcW w:w="1601" w:type="dxa"/>
            <w:tcBorders>
              <w:tl2br w:val="nil"/>
              <w:tr2bl w:val="nil"/>
            </w:tcBorders>
            <w:noWrap w:val="0"/>
            <w:vAlign w:val="center"/>
          </w:tcPr>
          <w:p w14:paraId="7148A2EE">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515F024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noWrap w:val="0"/>
            <w:vAlign w:val="center"/>
          </w:tcPr>
          <w:p w14:paraId="0F79DC2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sz w:val="21"/>
                <w:szCs w:val="21"/>
                <w:highlight w:val="none"/>
                <w:u w:val="none"/>
                <w:lang w:val="en-US" w:eastAsia="zh-CN"/>
              </w:rPr>
              <w:t>0.241</w:t>
            </w:r>
          </w:p>
        </w:tc>
        <w:tc>
          <w:tcPr>
            <w:tcW w:w="1642" w:type="dxa"/>
            <w:tcBorders>
              <w:tl2br w:val="nil"/>
              <w:tr2bl w:val="nil"/>
            </w:tcBorders>
            <w:noWrap w:val="0"/>
            <w:vAlign w:val="center"/>
          </w:tcPr>
          <w:p w14:paraId="7CFC40DE">
            <w:pPr>
              <w:keepNext w:val="0"/>
              <w:keepLines w:val="0"/>
              <w:pageBreakBefore w:val="0"/>
              <w:widowControl w:val="0"/>
              <w:kinsoku/>
              <w:wordWrap/>
              <w:overflowPunct/>
              <w:topLinePunct w:val="0"/>
              <w:autoSpaceDE/>
              <w:autoSpaceDN/>
              <w:bidi w:val="0"/>
              <w:adjustRightInd/>
              <w:snapToGrid/>
              <w:spacing w:line="240" w:lineRule="auto"/>
              <w:ind w:left="-57" w:leftChars="0" w:right="-57"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0.288</w:t>
            </w:r>
          </w:p>
        </w:tc>
        <w:tc>
          <w:tcPr>
            <w:tcW w:w="2082" w:type="dxa"/>
            <w:tcBorders>
              <w:tl2br w:val="nil"/>
              <w:tr2bl w:val="nil"/>
            </w:tcBorders>
            <w:noWrap w:val="0"/>
            <w:vAlign w:val="center"/>
          </w:tcPr>
          <w:p w14:paraId="68A201C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sz w:val="21"/>
                <w:szCs w:val="21"/>
                <w:highlight w:val="none"/>
                <w:u w:val="none"/>
                <w:lang w:val="en-US" w:eastAsia="zh-CN"/>
              </w:rPr>
              <w:t>0.241</w:t>
            </w:r>
          </w:p>
        </w:tc>
        <w:tc>
          <w:tcPr>
            <w:tcW w:w="1322" w:type="dxa"/>
            <w:tcBorders>
              <w:tl2br w:val="nil"/>
              <w:tr2bl w:val="nil"/>
            </w:tcBorders>
            <w:shd w:val="clear" w:color="auto" w:fill="auto"/>
            <w:noWrap w:val="0"/>
            <w:vAlign w:val="center"/>
          </w:tcPr>
          <w:p w14:paraId="6216463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047</w:t>
            </w:r>
          </w:p>
        </w:tc>
      </w:tr>
      <w:tr w14:paraId="5966A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79726AA3">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noWrap w:val="0"/>
            <w:vAlign w:val="center"/>
          </w:tcPr>
          <w:p w14:paraId="0656E432">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lang w:val="en-US" w:eastAsia="zh-CN"/>
              </w:rPr>
              <w:t>非甲烷总烃</w:t>
            </w:r>
          </w:p>
        </w:tc>
        <w:tc>
          <w:tcPr>
            <w:tcW w:w="1639" w:type="dxa"/>
            <w:tcBorders>
              <w:tl2br w:val="nil"/>
              <w:tr2bl w:val="nil"/>
            </w:tcBorders>
            <w:noWrap w:val="0"/>
            <w:vAlign w:val="center"/>
          </w:tcPr>
          <w:p w14:paraId="580052A9">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0.803</w:t>
            </w:r>
          </w:p>
        </w:tc>
        <w:tc>
          <w:tcPr>
            <w:tcW w:w="1601" w:type="dxa"/>
            <w:tcBorders>
              <w:tl2br w:val="nil"/>
              <w:tr2bl w:val="nil"/>
            </w:tcBorders>
            <w:noWrap w:val="0"/>
            <w:vAlign w:val="center"/>
          </w:tcPr>
          <w:p w14:paraId="0241AAB8">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722A303E">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noWrap w:val="0"/>
            <w:vAlign w:val="center"/>
          </w:tcPr>
          <w:p w14:paraId="3A7825C4">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0.535</w:t>
            </w:r>
          </w:p>
        </w:tc>
        <w:tc>
          <w:tcPr>
            <w:tcW w:w="1642" w:type="dxa"/>
            <w:tcBorders>
              <w:tl2br w:val="nil"/>
              <w:tr2bl w:val="nil"/>
            </w:tcBorders>
            <w:noWrap w:val="0"/>
            <w:vAlign w:val="center"/>
          </w:tcPr>
          <w:p w14:paraId="7C359C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snapToGrid w:val="0"/>
                <w:color w:val="auto"/>
                <w:sz w:val="21"/>
                <w:szCs w:val="21"/>
                <w:highlight w:val="none"/>
                <w:lang w:val="en-US" w:eastAsia="zh-CN"/>
              </w:rPr>
              <w:t>0.625</w:t>
            </w:r>
          </w:p>
        </w:tc>
        <w:tc>
          <w:tcPr>
            <w:tcW w:w="2082" w:type="dxa"/>
            <w:tcBorders>
              <w:tl2br w:val="nil"/>
              <w:tr2bl w:val="nil"/>
            </w:tcBorders>
            <w:noWrap w:val="0"/>
            <w:vAlign w:val="center"/>
          </w:tcPr>
          <w:p w14:paraId="2F665682">
            <w:pPr>
              <w:keepNext w:val="0"/>
              <w:keepLines w:val="0"/>
              <w:pageBreakBefore w:val="0"/>
              <w:widowControl/>
              <w:suppressLineNumbers w:val="0"/>
              <w:kinsoku/>
              <w:wordWrap/>
              <w:overflowPunct w:val="0"/>
              <w:topLinePunct/>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w:t>
            </w:r>
            <w:r>
              <w:rPr>
                <w:rFonts w:hint="eastAsia" w:cs="Times New Roman"/>
                <w:i w:val="0"/>
                <w:iCs w:val="0"/>
                <w:color w:val="auto"/>
                <w:sz w:val="21"/>
                <w:szCs w:val="21"/>
                <w:highlight w:val="none"/>
                <w:u w:val="none"/>
                <w:lang w:val="en-US" w:eastAsia="zh-CN"/>
              </w:rPr>
              <w:t>713</w:t>
            </w:r>
          </w:p>
        </w:tc>
        <w:tc>
          <w:tcPr>
            <w:tcW w:w="1322" w:type="dxa"/>
            <w:tcBorders>
              <w:tl2br w:val="nil"/>
              <w:tr2bl w:val="nil"/>
            </w:tcBorders>
            <w:shd w:val="clear" w:color="auto" w:fill="auto"/>
            <w:noWrap w:val="0"/>
            <w:vAlign w:val="center"/>
          </w:tcPr>
          <w:p w14:paraId="1E74FD7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09</w:t>
            </w:r>
          </w:p>
        </w:tc>
      </w:tr>
      <w:tr w14:paraId="3EE25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247" w:type="dxa"/>
            <w:vMerge w:val="restart"/>
            <w:tcBorders>
              <w:tl2br w:val="nil"/>
              <w:tr2bl w:val="nil"/>
            </w:tcBorders>
            <w:noWrap w:val="0"/>
            <w:vAlign w:val="center"/>
          </w:tcPr>
          <w:p w14:paraId="64DC5CBB">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2002" w:type="dxa"/>
            <w:tcBorders>
              <w:tl2br w:val="nil"/>
              <w:tr2bl w:val="nil"/>
            </w:tcBorders>
            <w:noWrap w:val="0"/>
            <w:vAlign w:val="center"/>
          </w:tcPr>
          <w:p w14:paraId="7C5D11CB">
            <w:pPr>
              <w:spacing w:line="280" w:lineRule="exact"/>
              <w:jc w:val="center"/>
              <w:rPr>
                <w:rFonts w:hint="default" w:ascii="Times New Roman" w:hAnsi="Times New Roman" w:eastAsia="Times New Roman" w:cs="Times New Roman"/>
                <w:color w:val="auto"/>
                <w:spacing w:val="2"/>
                <w:sz w:val="21"/>
                <w:szCs w:val="21"/>
                <w:highlight w:val="none"/>
              </w:rPr>
            </w:pPr>
            <w:r>
              <w:rPr>
                <w:rFonts w:hint="default" w:ascii="Times New Roman" w:hAnsi="Times New Roman" w:cs="Times New Roman"/>
                <w:color w:val="auto"/>
                <w:sz w:val="21"/>
                <w:szCs w:val="21"/>
                <w:highlight w:val="none"/>
              </w:rPr>
              <w:t>COD</w:t>
            </w:r>
          </w:p>
        </w:tc>
        <w:tc>
          <w:tcPr>
            <w:tcW w:w="1639" w:type="dxa"/>
            <w:tcBorders>
              <w:tl2br w:val="nil"/>
              <w:tr2bl w:val="nil"/>
            </w:tcBorders>
            <w:noWrap w:val="0"/>
            <w:vAlign w:val="center"/>
          </w:tcPr>
          <w:p w14:paraId="6EF9522B">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1.04</w:t>
            </w:r>
          </w:p>
        </w:tc>
        <w:tc>
          <w:tcPr>
            <w:tcW w:w="1601" w:type="dxa"/>
            <w:tcBorders>
              <w:tl2br w:val="nil"/>
              <w:tr2bl w:val="nil"/>
            </w:tcBorders>
            <w:noWrap w:val="0"/>
            <w:vAlign w:val="center"/>
          </w:tcPr>
          <w:p w14:paraId="71F11E53">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7F44F076">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noWrap w:val="0"/>
            <w:vAlign w:val="center"/>
          </w:tcPr>
          <w:p w14:paraId="7CED779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0.55</w:t>
            </w:r>
          </w:p>
        </w:tc>
        <w:tc>
          <w:tcPr>
            <w:tcW w:w="1642" w:type="dxa"/>
            <w:tcBorders>
              <w:tl2br w:val="nil"/>
              <w:tr2bl w:val="nil"/>
            </w:tcBorders>
            <w:noWrap w:val="0"/>
            <w:vAlign w:val="center"/>
          </w:tcPr>
          <w:p w14:paraId="07EF0F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2082" w:type="dxa"/>
            <w:tcBorders>
              <w:tl2br w:val="nil"/>
              <w:tr2bl w:val="nil"/>
            </w:tcBorders>
            <w:noWrap w:val="0"/>
            <w:vAlign w:val="center"/>
          </w:tcPr>
          <w:p w14:paraId="5B201F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0.81</w:t>
            </w:r>
          </w:p>
        </w:tc>
        <w:tc>
          <w:tcPr>
            <w:tcW w:w="1322" w:type="dxa"/>
            <w:tcBorders>
              <w:tl2br w:val="nil"/>
              <w:tr2bl w:val="nil"/>
            </w:tcBorders>
            <w:shd w:val="clear" w:color="auto" w:fill="auto"/>
            <w:noWrap w:val="0"/>
            <w:vAlign w:val="center"/>
          </w:tcPr>
          <w:p w14:paraId="55FC18A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-0.23</w:t>
            </w:r>
          </w:p>
        </w:tc>
      </w:tr>
      <w:tr w14:paraId="721F2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4A23DF01">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lang w:val="en-US" w:eastAsia="zh-CN"/>
              </w:rPr>
            </w:pPr>
          </w:p>
        </w:tc>
        <w:tc>
          <w:tcPr>
            <w:tcW w:w="2002" w:type="dxa"/>
            <w:tcBorders>
              <w:tl2br w:val="nil"/>
              <w:tr2bl w:val="nil"/>
            </w:tcBorders>
            <w:shd w:val="clear" w:color="auto" w:fill="auto"/>
            <w:noWrap w:val="0"/>
            <w:vAlign w:val="center"/>
          </w:tcPr>
          <w:p w14:paraId="7DD71B7E">
            <w:pPr>
              <w:spacing w:line="280" w:lineRule="exact"/>
              <w:jc w:val="center"/>
              <w:rPr>
                <w:rFonts w:hint="default" w:ascii="Times New Roman" w:hAnsi="Times New Roman" w:eastAsia="Times New Roman" w:cs="Times New Roman"/>
                <w:color w:val="auto"/>
                <w:spacing w:val="2"/>
                <w:kern w:val="2"/>
                <w:sz w:val="21"/>
                <w:szCs w:val="21"/>
                <w:highlight w:val="none"/>
                <w:lang w:val="en-US" w:eastAsia="zh-CN" w:bidi="ar-SA"/>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639" w:type="dxa"/>
            <w:tcBorders>
              <w:tl2br w:val="nil"/>
              <w:tr2bl w:val="nil"/>
            </w:tcBorders>
            <w:shd w:val="clear" w:color="auto" w:fill="auto"/>
            <w:noWrap w:val="0"/>
            <w:vAlign w:val="center"/>
          </w:tcPr>
          <w:p w14:paraId="5BCFC003">
            <w:pPr>
              <w:keepNext w:val="0"/>
              <w:keepLines w:val="0"/>
              <w:widowControl/>
              <w:suppressLineNumbers w:val="0"/>
              <w:jc w:val="center"/>
              <w:textAlignment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0.21</w:t>
            </w:r>
          </w:p>
        </w:tc>
        <w:tc>
          <w:tcPr>
            <w:tcW w:w="1601" w:type="dxa"/>
            <w:tcBorders>
              <w:tl2br w:val="nil"/>
              <w:tr2bl w:val="nil"/>
            </w:tcBorders>
            <w:shd w:val="clear" w:color="auto" w:fill="auto"/>
            <w:noWrap w:val="0"/>
            <w:vAlign w:val="center"/>
          </w:tcPr>
          <w:p w14:paraId="602F5914">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41" w:type="dxa"/>
            <w:tcBorders>
              <w:tl2br w:val="nil"/>
              <w:tr2bl w:val="nil"/>
            </w:tcBorders>
            <w:shd w:val="clear" w:color="auto" w:fill="auto"/>
            <w:noWrap w:val="0"/>
            <w:vAlign w:val="center"/>
          </w:tcPr>
          <w:p w14:paraId="71AA1BFC">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shd w:val="clear" w:color="auto" w:fill="auto"/>
            <w:noWrap w:val="0"/>
            <w:vAlign w:val="center"/>
          </w:tcPr>
          <w:p w14:paraId="44921F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1642" w:type="dxa"/>
            <w:tcBorders>
              <w:tl2br w:val="nil"/>
              <w:tr2bl w:val="nil"/>
            </w:tcBorders>
            <w:shd w:val="clear" w:color="auto" w:fill="auto"/>
            <w:noWrap w:val="0"/>
            <w:vAlign w:val="center"/>
          </w:tcPr>
          <w:p w14:paraId="500FE8C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0.16</w:t>
            </w:r>
          </w:p>
        </w:tc>
        <w:tc>
          <w:tcPr>
            <w:tcW w:w="2082" w:type="dxa"/>
            <w:tcBorders>
              <w:tl2br w:val="nil"/>
              <w:tr2bl w:val="nil"/>
            </w:tcBorders>
            <w:shd w:val="clear" w:color="auto" w:fill="auto"/>
            <w:noWrap w:val="0"/>
            <w:vAlign w:val="center"/>
          </w:tcPr>
          <w:p w14:paraId="47A63B0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0.16</w:t>
            </w:r>
          </w:p>
        </w:tc>
        <w:tc>
          <w:tcPr>
            <w:tcW w:w="1322" w:type="dxa"/>
            <w:tcBorders>
              <w:tl2br w:val="nil"/>
              <w:tr2bl w:val="nil"/>
            </w:tcBorders>
            <w:shd w:val="clear" w:color="auto" w:fill="auto"/>
            <w:noWrap w:val="0"/>
            <w:vAlign w:val="center"/>
          </w:tcPr>
          <w:p w14:paraId="335896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41284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26DB3EA1">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noWrap w:val="0"/>
            <w:vAlign w:val="center"/>
          </w:tcPr>
          <w:p w14:paraId="03CD729F">
            <w:pPr>
              <w:spacing w:line="280" w:lineRule="exact"/>
              <w:jc w:val="center"/>
              <w:rPr>
                <w:rFonts w:hint="default" w:ascii="Times New Roman" w:hAnsi="Times New Roman" w:eastAsia="Times New Roman" w:cs="Times New Roman"/>
                <w:color w:val="auto"/>
                <w:spacing w:val="2"/>
                <w:sz w:val="21"/>
                <w:szCs w:val="21"/>
                <w:highlight w:val="none"/>
              </w:rPr>
            </w:pPr>
            <w:r>
              <w:rPr>
                <w:rFonts w:hint="default" w:ascii="Times New Roman" w:hAnsi="Times New Roman" w:cs="Times New Roman"/>
                <w:color w:val="auto"/>
                <w:sz w:val="21"/>
                <w:szCs w:val="21"/>
                <w:highlight w:val="none"/>
              </w:rPr>
              <w:t>SS</w:t>
            </w:r>
          </w:p>
        </w:tc>
        <w:tc>
          <w:tcPr>
            <w:tcW w:w="1639" w:type="dxa"/>
            <w:tcBorders>
              <w:tl2br w:val="nil"/>
              <w:tr2bl w:val="nil"/>
            </w:tcBorders>
            <w:noWrap w:val="0"/>
            <w:vAlign w:val="center"/>
          </w:tcPr>
          <w:p w14:paraId="430A70CA">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0.28</w:t>
            </w:r>
          </w:p>
        </w:tc>
        <w:tc>
          <w:tcPr>
            <w:tcW w:w="1601" w:type="dxa"/>
            <w:tcBorders>
              <w:tl2br w:val="nil"/>
              <w:tr2bl w:val="nil"/>
            </w:tcBorders>
            <w:noWrap w:val="0"/>
            <w:vAlign w:val="center"/>
          </w:tcPr>
          <w:p w14:paraId="39BBE2C4">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10681AE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noWrap w:val="0"/>
            <w:vAlign w:val="center"/>
          </w:tcPr>
          <w:p w14:paraId="29F5C31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w:t>
            </w:r>
          </w:p>
        </w:tc>
        <w:tc>
          <w:tcPr>
            <w:tcW w:w="1642" w:type="dxa"/>
            <w:tcBorders>
              <w:tl2br w:val="nil"/>
              <w:tr2bl w:val="nil"/>
            </w:tcBorders>
            <w:noWrap w:val="0"/>
            <w:vAlign w:val="center"/>
          </w:tcPr>
          <w:p w14:paraId="430510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0.21</w:t>
            </w:r>
          </w:p>
        </w:tc>
        <w:tc>
          <w:tcPr>
            <w:tcW w:w="2082" w:type="dxa"/>
            <w:tcBorders>
              <w:tl2br w:val="nil"/>
              <w:tr2bl w:val="nil"/>
            </w:tcBorders>
            <w:noWrap w:val="0"/>
            <w:vAlign w:val="center"/>
          </w:tcPr>
          <w:p w14:paraId="013A8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0.22</w:t>
            </w:r>
          </w:p>
        </w:tc>
        <w:tc>
          <w:tcPr>
            <w:tcW w:w="1322" w:type="dxa"/>
            <w:tcBorders>
              <w:tl2br w:val="nil"/>
              <w:tr2bl w:val="nil"/>
            </w:tcBorders>
            <w:shd w:val="clear" w:color="auto" w:fill="auto"/>
            <w:noWrap w:val="0"/>
            <w:vAlign w:val="center"/>
          </w:tcPr>
          <w:p w14:paraId="71BA7C2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14:paraId="1AFFA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7DEFC405">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shd w:val="clear" w:color="auto" w:fill="auto"/>
            <w:noWrap w:val="0"/>
            <w:vAlign w:val="center"/>
          </w:tcPr>
          <w:p w14:paraId="436A7DC0">
            <w:pPr>
              <w:spacing w:line="280" w:lineRule="exact"/>
              <w:jc w:val="center"/>
              <w:rPr>
                <w:rFonts w:hint="default" w:ascii="Times New Roman" w:hAnsi="Times New Roman" w:eastAsia="Times New Roman" w:cs="Times New Roman"/>
                <w:color w:val="auto"/>
                <w:spacing w:val="2"/>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639" w:type="dxa"/>
            <w:tcBorders>
              <w:tl2br w:val="nil"/>
              <w:tr2bl w:val="nil"/>
            </w:tcBorders>
            <w:shd w:val="clear" w:color="auto" w:fill="auto"/>
            <w:noWrap w:val="0"/>
            <w:vAlign w:val="center"/>
          </w:tcPr>
          <w:p w14:paraId="57D4DB8C">
            <w:pPr>
              <w:keepNext w:val="0"/>
              <w:keepLines w:val="0"/>
              <w:widowControl/>
              <w:suppressLineNumbers w:val="0"/>
              <w:jc w:val="center"/>
              <w:textAlignment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0.03</w:t>
            </w:r>
          </w:p>
        </w:tc>
        <w:tc>
          <w:tcPr>
            <w:tcW w:w="1601" w:type="dxa"/>
            <w:tcBorders>
              <w:tl2br w:val="nil"/>
              <w:tr2bl w:val="nil"/>
            </w:tcBorders>
            <w:shd w:val="clear" w:color="auto" w:fill="auto"/>
            <w:noWrap w:val="0"/>
            <w:vAlign w:val="center"/>
          </w:tcPr>
          <w:p w14:paraId="6BB0143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41" w:type="dxa"/>
            <w:tcBorders>
              <w:tl2br w:val="nil"/>
              <w:tr2bl w:val="nil"/>
            </w:tcBorders>
            <w:shd w:val="clear" w:color="auto" w:fill="auto"/>
            <w:noWrap w:val="0"/>
            <w:vAlign w:val="center"/>
          </w:tcPr>
          <w:p w14:paraId="5B9B40D4">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shd w:val="clear" w:color="auto" w:fill="auto"/>
            <w:noWrap w:val="0"/>
            <w:vAlign w:val="center"/>
          </w:tcPr>
          <w:p w14:paraId="2D39020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642" w:type="dxa"/>
            <w:tcBorders>
              <w:tl2br w:val="nil"/>
              <w:tr2bl w:val="nil"/>
            </w:tcBorders>
            <w:shd w:val="clear" w:color="auto" w:fill="auto"/>
            <w:noWrap w:val="0"/>
            <w:vAlign w:val="center"/>
          </w:tcPr>
          <w:p w14:paraId="3E46E2C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2082" w:type="dxa"/>
            <w:tcBorders>
              <w:tl2br w:val="nil"/>
              <w:tr2bl w:val="nil"/>
            </w:tcBorders>
            <w:shd w:val="clear" w:color="auto" w:fill="auto"/>
            <w:noWrap w:val="0"/>
            <w:vAlign w:val="center"/>
          </w:tcPr>
          <w:p w14:paraId="3D5D6C3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0.03</w:t>
            </w:r>
          </w:p>
        </w:tc>
        <w:tc>
          <w:tcPr>
            <w:tcW w:w="1322" w:type="dxa"/>
            <w:tcBorders>
              <w:tl2br w:val="nil"/>
              <w:tr2bl w:val="nil"/>
            </w:tcBorders>
            <w:shd w:val="clear" w:color="auto" w:fill="auto"/>
            <w:noWrap w:val="0"/>
            <w:vAlign w:val="center"/>
          </w:tcPr>
          <w:p w14:paraId="333DCD8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39445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0D4F725A">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noWrap w:val="0"/>
            <w:vAlign w:val="center"/>
          </w:tcPr>
          <w:p w14:paraId="546C98D8">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Times New Roman" w:cs="Times New Roman"/>
                <w:color w:val="auto"/>
                <w:spacing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1639" w:type="dxa"/>
            <w:tcBorders>
              <w:tl2br w:val="nil"/>
              <w:tr2bl w:val="nil"/>
            </w:tcBorders>
            <w:noWrap w:val="0"/>
            <w:vAlign w:val="center"/>
          </w:tcPr>
          <w:p w14:paraId="33732BE7">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0.09</w:t>
            </w:r>
          </w:p>
        </w:tc>
        <w:tc>
          <w:tcPr>
            <w:tcW w:w="1601" w:type="dxa"/>
            <w:tcBorders>
              <w:tl2br w:val="nil"/>
              <w:tr2bl w:val="nil"/>
            </w:tcBorders>
            <w:noWrap w:val="0"/>
            <w:vAlign w:val="center"/>
          </w:tcPr>
          <w:p w14:paraId="1610D58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616EC8A3">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noWrap w:val="0"/>
            <w:vAlign w:val="center"/>
          </w:tcPr>
          <w:p w14:paraId="68C2A6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642" w:type="dxa"/>
            <w:tcBorders>
              <w:tl2br w:val="nil"/>
              <w:tr2bl w:val="nil"/>
            </w:tcBorders>
            <w:noWrap w:val="0"/>
            <w:vAlign w:val="center"/>
          </w:tcPr>
          <w:p w14:paraId="3E4596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w:t>
            </w:r>
          </w:p>
        </w:tc>
        <w:tc>
          <w:tcPr>
            <w:tcW w:w="2082" w:type="dxa"/>
            <w:tcBorders>
              <w:tl2br w:val="nil"/>
              <w:tr2bl w:val="nil"/>
            </w:tcBorders>
            <w:noWrap w:val="0"/>
            <w:vAlign w:val="center"/>
          </w:tcPr>
          <w:p w14:paraId="49F3EB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1322" w:type="dxa"/>
            <w:tcBorders>
              <w:tl2br w:val="nil"/>
              <w:tr2bl w:val="nil"/>
            </w:tcBorders>
            <w:shd w:val="clear" w:color="auto" w:fill="auto"/>
            <w:noWrap w:val="0"/>
            <w:vAlign w:val="center"/>
          </w:tcPr>
          <w:p w14:paraId="62D5315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14:paraId="7887E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2A0C53DD">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shd w:val="clear" w:color="auto" w:fill="auto"/>
            <w:noWrap w:val="0"/>
            <w:vAlign w:val="center"/>
          </w:tcPr>
          <w:p w14:paraId="54148EFE">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TP</w:t>
            </w:r>
          </w:p>
        </w:tc>
        <w:tc>
          <w:tcPr>
            <w:tcW w:w="1639" w:type="dxa"/>
            <w:tcBorders>
              <w:tl2br w:val="nil"/>
              <w:tr2bl w:val="nil"/>
            </w:tcBorders>
            <w:shd w:val="clear" w:color="auto" w:fill="auto"/>
            <w:noWrap w:val="0"/>
            <w:vAlign w:val="center"/>
          </w:tcPr>
          <w:p w14:paraId="7758FF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0.002</w:t>
            </w:r>
          </w:p>
        </w:tc>
        <w:tc>
          <w:tcPr>
            <w:tcW w:w="1601" w:type="dxa"/>
            <w:tcBorders>
              <w:tl2br w:val="nil"/>
              <w:tr2bl w:val="nil"/>
            </w:tcBorders>
            <w:shd w:val="clear" w:color="auto" w:fill="auto"/>
            <w:noWrap w:val="0"/>
            <w:vAlign w:val="center"/>
          </w:tcPr>
          <w:p w14:paraId="531FC9B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41" w:type="dxa"/>
            <w:tcBorders>
              <w:tl2br w:val="nil"/>
              <w:tr2bl w:val="nil"/>
            </w:tcBorders>
            <w:shd w:val="clear" w:color="auto" w:fill="auto"/>
            <w:noWrap w:val="0"/>
            <w:vAlign w:val="center"/>
          </w:tcPr>
          <w:p w14:paraId="5A42FD33">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722" w:type="dxa"/>
            <w:tcBorders>
              <w:tl2br w:val="nil"/>
              <w:tr2bl w:val="nil"/>
            </w:tcBorders>
            <w:shd w:val="clear" w:color="auto" w:fill="auto"/>
            <w:noWrap w:val="0"/>
            <w:vAlign w:val="center"/>
          </w:tcPr>
          <w:p w14:paraId="6A629E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0.0009</w:t>
            </w:r>
          </w:p>
        </w:tc>
        <w:tc>
          <w:tcPr>
            <w:tcW w:w="1642" w:type="dxa"/>
            <w:tcBorders>
              <w:tl2br w:val="nil"/>
              <w:tr2bl w:val="nil"/>
            </w:tcBorders>
            <w:shd w:val="clear" w:color="auto" w:fill="auto"/>
            <w:noWrap w:val="0"/>
            <w:vAlign w:val="center"/>
          </w:tcPr>
          <w:p w14:paraId="14CE73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c>
          <w:tcPr>
            <w:tcW w:w="2082" w:type="dxa"/>
            <w:tcBorders>
              <w:tl2br w:val="nil"/>
              <w:tr2bl w:val="nil"/>
            </w:tcBorders>
            <w:shd w:val="clear" w:color="auto" w:fill="auto"/>
            <w:noWrap w:val="0"/>
            <w:vAlign w:val="center"/>
          </w:tcPr>
          <w:p w14:paraId="18952E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0.0013</w:t>
            </w:r>
          </w:p>
        </w:tc>
        <w:tc>
          <w:tcPr>
            <w:tcW w:w="1322" w:type="dxa"/>
            <w:tcBorders>
              <w:tl2br w:val="nil"/>
              <w:tr2bl w:val="nil"/>
            </w:tcBorders>
            <w:shd w:val="clear" w:color="auto" w:fill="auto"/>
            <w:noWrap w:val="0"/>
            <w:vAlign w:val="center"/>
          </w:tcPr>
          <w:p w14:paraId="709BDC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-0.0007</w:t>
            </w:r>
          </w:p>
        </w:tc>
      </w:tr>
      <w:tr w14:paraId="61CA1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59A1D580">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noWrap w:val="0"/>
            <w:vAlign w:val="center"/>
          </w:tcPr>
          <w:p w14:paraId="291EE3BB">
            <w:pPr>
              <w:pStyle w:val="51"/>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TN</w:t>
            </w:r>
          </w:p>
        </w:tc>
        <w:tc>
          <w:tcPr>
            <w:tcW w:w="1639" w:type="dxa"/>
            <w:tcBorders>
              <w:tl2br w:val="nil"/>
              <w:tr2bl w:val="nil"/>
            </w:tcBorders>
            <w:noWrap w:val="0"/>
            <w:vAlign w:val="center"/>
          </w:tcPr>
          <w:p w14:paraId="7C2D42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0.07</w:t>
            </w:r>
          </w:p>
        </w:tc>
        <w:tc>
          <w:tcPr>
            <w:tcW w:w="1601" w:type="dxa"/>
            <w:tcBorders>
              <w:tl2br w:val="nil"/>
              <w:tr2bl w:val="nil"/>
            </w:tcBorders>
            <w:noWrap w:val="0"/>
            <w:vAlign w:val="center"/>
          </w:tcPr>
          <w:p w14:paraId="21FA84FE">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6DE9367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722" w:type="dxa"/>
            <w:tcBorders>
              <w:tl2br w:val="nil"/>
              <w:tr2bl w:val="nil"/>
            </w:tcBorders>
            <w:noWrap w:val="0"/>
            <w:vAlign w:val="center"/>
          </w:tcPr>
          <w:p w14:paraId="49E0EF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642" w:type="dxa"/>
            <w:tcBorders>
              <w:tl2br w:val="nil"/>
              <w:tr2bl w:val="nil"/>
            </w:tcBorders>
            <w:noWrap w:val="0"/>
            <w:vAlign w:val="center"/>
          </w:tcPr>
          <w:p w14:paraId="43968A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2082" w:type="dxa"/>
            <w:tcBorders>
              <w:tl2br w:val="nil"/>
              <w:tr2bl w:val="nil"/>
            </w:tcBorders>
            <w:noWrap w:val="0"/>
            <w:vAlign w:val="center"/>
          </w:tcPr>
          <w:p w14:paraId="4BAE8D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0.06</w:t>
            </w:r>
          </w:p>
        </w:tc>
        <w:tc>
          <w:tcPr>
            <w:tcW w:w="1322" w:type="dxa"/>
            <w:tcBorders>
              <w:tl2br w:val="nil"/>
              <w:tr2bl w:val="nil"/>
            </w:tcBorders>
            <w:shd w:val="clear" w:color="auto" w:fill="auto"/>
            <w:noWrap w:val="0"/>
            <w:vAlign w:val="center"/>
          </w:tcPr>
          <w:p w14:paraId="448EEF3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523C2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restart"/>
            <w:tcBorders>
              <w:top w:val="single" w:color="auto" w:sz="4" w:space="0"/>
              <w:tl2br w:val="nil"/>
              <w:tr2bl w:val="nil"/>
            </w:tcBorders>
            <w:noWrap w:val="0"/>
            <w:vAlign w:val="center"/>
          </w:tcPr>
          <w:p w14:paraId="30BCFF24">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固体废物</w:t>
            </w:r>
          </w:p>
        </w:tc>
        <w:tc>
          <w:tcPr>
            <w:tcW w:w="2002" w:type="dxa"/>
            <w:tcBorders>
              <w:top w:val="single" w:color="auto" w:sz="4" w:space="0"/>
              <w:tl2br w:val="nil"/>
              <w:tr2bl w:val="nil"/>
            </w:tcBorders>
            <w:shd w:val="clear" w:color="auto" w:fill="auto"/>
            <w:noWrap w:val="0"/>
            <w:vAlign w:val="center"/>
          </w:tcPr>
          <w:p w14:paraId="2F783EFC">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过滤杂质</w:t>
            </w:r>
          </w:p>
        </w:tc>
        <w:tc>
          <w:tcPr>
            <w:tcW w:w="1639" w:type="dxa"/>
            <w:tcBorders>
              <w:tl2br w:val="nil"/>
              <w:tr2bl w:val="nil"/>
            </w:tcBorders>
            <w:shd w:val="clear" w:color="auto" w:fill="auto"/>
            <w:noWrap w:val="0"/>
            <w:vAlign w:val="center"/>
          </w:tcPr>
          <w:p w14:paraId="1F08E767">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0.68</w:t>
            </w:r>
          </w:p>
        </w:tc>
        <w:tc>
          <w:tcPr>
            <w:tcW w:w="1601" w:type="dxa"/>
            <w:tcBorders>
              <w:tl2br w:val="nil"/>
              <w:tr2bl w:val="nil"/>
            </w:tcBorders>
            <w:noWrap w:val="0"/>
            <w:vAlign w:val="center"/>
          </w:tcPr>
          <w:p w14:paraId="04882D9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p>
        </w:tc>
        <w:tc>
          <w:tcPr>
            <w:tcW w:w="1641" w:type="dxa"/>
            <w:tcBorders>
              <w:tl2br w:val="nil"/>
              <w:tr2bl w:val="nil"/>
            </w:tcBorders>
            <w:noWrap w:val="0"/>
            <w:vAlign w:val="center"/>
          </w:tcPr>
          <w:p w14:paraId="5E5556AE">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shd w:val="clear" w:color="auto" w:fill="auto"/>
            <w:noWrap w:val="0"/>
            <w:vAlign w:val="center"/>
          </w:tcPr>
          <w:p w14:paraId="3CE40AC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642" w:type="dxa"/>
            <w:tcBorders>
              <w:tl2br w:val="nil"/>
              <w:tr2bl w:val="nil"/>
            </w:tcBorders>
            <w:shd w:val="clear" w:color="auto" w:fill="auto"/>
            <w:noWrap w:val="0"/>
            <w:vAlign w:val="center"/>
          </w:tcPr>
          <w:p w14:paraId="5A01AC9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0.68</w:t>
            </w:r>
          </w:p>
        </w:tc>
        <w:tc>
          <w:tcPr>
            <w:tcW w:w="2082" w:type="dxa"/>
            <w:tcBorders>
              <w:tl2br w:val="nil"/>
              <w:tr2bl w:val="nil"/>
            </w:tcBorders>
            <w:shd w:val="clear" w:color="auto" w:fill="auto"/>
            <w:noWrap w:val="0"/>
            <w:vAlign w:val="center"/>
          </w:tcPr>
          <w:p w14:paraId="090209CB">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322" w:type="dxa"/>
            <w:tcBorders>
              <w:tl2br w:val="nil"/>
              <w:tr2bl w:val="nil"/>
            </w:tcBorders>
            <w:shd w:val="clear" w:color="auto" w:fill="auto"/>
            <w:noWrap w:val="0"/>
            <w:vAlign w:val="center"/>
          </w:tcPr>
          <w:p w14:paraId="56096AB9">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0.32</w:t>
            </w:r>
          </w:p>
        </w:tc>
      </w:tr>
      <w:tr w14:paraId="581B3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793574D4">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l2br w:val="nil"/>
              <w:tr2bl w:val="nil"/>
            </w:tcBorders>
            <w:shd w:val="clear" w:color="auto" w:fill="auto"/>
            <w:noWrap w:val="0"/>
            <w:vAlign w:val="center"/>
          </w:tcPr>
          <w:p w14:paraId="798482BE">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皂脚</w:t>
            </w:r>
          </w:p>
        </w:tc>
        <w:tc>
          <w:tcPr>
            <w:tcW w:w="1639" w:type="dxa"/>
            <w:tcBorders>
              <w:tl2br w:val="nil"/>
              <w:tr2bl w:val="nil"/>
            </w:tcBorders>
            <w:shd w:val="clear" w:color="auto" w:fill="auto"/>
            <w:noWrap w:val="0"/>
            <w:vAlign w:val="center"/>
          </w:tcPr>
          <w:p w14:paraId="3ABEF0E1">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3860</w:t>
            </w:r>
          </w:p>
        </w:tc>
        <w:tc>
          <w:tcPr>
            <w:tcW w:w="1601" w:type="dxa"/>
            <w:tcBorders>
              <w:tl2br w:val="nil"/>
              <w:tr2bl w:val="nil"/>
            </w:tcBorders>
            <w:noWrap w:val="0"/>
            <w:vAlign w:val="center"/>
          </w:tcPr>
          <w:p w14:paraId="69D3610B">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p>
        </w:tc>
        <w:tc>
          <w:tcPr>
            <w:tcW w:w="1641" w:type="dxa"/>
            <w:tcBorders>
              <w:tl2br w:val="nil"/>
              <w:tr2bl w:val="nil"/>
            </w:tcBorders>
            <w:noWrap w:val="0"/>
            <w:vAlign w:val="center"/>
          </w:tcPr>
          <w:p w14:paraId="5485BCE9">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shd w:val="clear" w:color="auto" w:fill="auto"/>
            <w:noWrap w:val="0"/>
            <w:vAlign w:val="center"/>
          </w:tcPr>
          <w:p w14:paraId="512C10D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sz w:val="21"/>
                <w:szCs w:val="21"/>
                <w:highlight w:val="none"/>
                <w:lang w:val="en-US" w:eastAsia="zh-CN"/>
              </w:rPr>
              <w:t>5770</w:t>
            </w:r>
          </w:p>
        </w:tc>
        <w:tc>
          <w:tcPr>
            <w:tcW w:w="1642" w:type="dxa"/>
            <w:tcBorders>
              <w:tl2br w:val="nil"/>
              <w:tr2bl w:val="nil"/>
            </w:tcBorders>
            <w:shd w:val="clear" w:color="auto" w:fill="auto"/>
            <w:noWrap w:val="0"/>
            <w:vAlign w:val="center"/>
          </w:tcPr>
          <w:p w14:paraId="2323951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3860</w:t>
            </w:r>
          </w:p>
        </w:tc>
        <w:tc>
          <w:tcPr>
            <w:tcW w:w="2082" w:type="dxa"/>
            <w:tcBorders>
              <w:tl2br w:val="nil"/>
              <w:tr2bl w:val="nil"/>
            </w:tcBorders>
            <w:shd w:val="clear" w:color="auto" w:fill="auto"/>
            <w:noWrap w:val="0"/>
            <w:vAlign w:val="center"/>
          </w:tcPr>
          <w:p w14:paraId="3D95AD1A">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sz w:val="21"/>
                <w:szCs w:val="21"/>
                <w:highlight w:val="none"/>
                <w:lang w:val="en-US" w:eastAsia="zh-CN"/>
              </w:rPr>
              <w:t>5770</w:t>
            </w:r>
          </w:p>
        </w:tc>
        <w:tc>
          <w:tcPr>
            <w:tcW w:w="1322" w:type="dxa"/>
            <w:tcBorders>
              <w:tl2br w:val="nil"/>
              <w:tr2bl w:val="nil"/>
            </w:tcBorders>
            <w:shd w:val="clear" w:color="auto" w:fill="auto"/>
            <w:noWrap w:val="0"/>
            <w:vAlign w:val="center"/>
          </w:tcPr>
          <w:p w14:paraId="2F9B9A67">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1910</w:t>
            </w:r>
          </w:p>
        </w:tc>
      </w:tr>
      <w:tr w14:paraId="4558A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59482772">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bottom w:val="single" w:color="auto" w:sz="4" w:space="0"/>
              <w:tl2br w:val="nil"/>
              <w:tr2bl w:val="nil"/>
            </w:tcBorders>
            <w:shd w:val="clear" w:color="auto" w:fill="auto"/>
            <w:noWrap w:val="0"/>
            <w:vAlign w:val="center"/>
          </w:tcPr>
          <w:p w14:paraId="3F8A3FBB">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废白土</w:t>
            </w:r>
          </w:p>
        </w:tc>
        <w:tc>
          <w:tcPr>
            <w:tcW w:w="1639" w:type="dxa"/>
            <w:tcBorders>
              <w:tl2br w:val="nil"/>
              <w:tr2bl w:val="nil"/>
            </w:tcBorders>
            <w:shd w:val="clear" w:color="auto" w:fill="auto"/>
            <w:noWrap w:val="0"/>
            <w:vAlign w:val="center"/>
          </w:tcPr>
          <w:p w14:paraId="67C80771">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373</w:t>
            </w:r>
          </w:p>
        </w:tc>
        <w:tc>
          <w:tcPr>
            <w:tcW w:w="1601" w:type="dxa"/>
            <w:tcBorders>
              <w:tl2br w:val="nil"/>
              <w:tr2bl w:val="nil"/>
            </w:tcBorders>
            <w:noWrap w:val="0"/>
            <w:vAlign w:val="center"/>
          </w:tcPr>
          <w:p w14:paraId="287E43A5">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6EB18C2E">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shd w:val="clear" w:color="auto" w:fill="auto"/>
            <w:noWrap w:val="0"/>
            <w:vAlign w:val="center"/>
          </w:tcPr>
          <w:p w14:paraId="2E1E904A">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sz w:val="21"/>
                <w:szCs w:val="21"/>
                <w:highlight w:val="none"/>
                <w:lang w:val="en-US" w:eastAsia="zh-CN"/>
              </w:rPr>
              <w:t>580</w:t>
            </w:r>
          </w:p>
        </w:tc>
        <w:tc>
          <w:tcPr>
            <w:tcW w:w="1642" w:type="dxa"/>
            <w:tcBorders>
              <w:tl2br w:val="nil"/>
              <w:tr2bl w:val="nil"/>
            </w:tcBorders>
            <w:shd w:val="clear" w:color="auto" w:fill="auto"/>
            <w:noWrap w:val="0"/>
            <w:vAlign w:val="center"/>
          </w:tcPr>
          <w:p w14:paraId="2B3D350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373</w:t>
            </w:r>
          </w:p>
        </w:tc>
        <w:tc>
          <w:tcPr>
            <w:tcW w:w="2082" w:type="dxa"/>
            <w:tcBorders>
              <w:tl2br w:val="nil"/>
              <w:tr2bl w:val="nil"/>
            </w:tcBorders>
            <w:shd w:val="clear" w:color="auto" w:fill="auto"/>
            <w:noWrap w:val="0"/>
            <w:vAlign w:val="center"/>
          </w:tcPr>
          <w:p w14:paraId="080F9AE4">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sz w:val="21"/>
                <w:szCs w:val="21"/>
                <w:highlight w:val="none"/>
                <w:lang w:val="en-US" w:eastAsia="zh-CN"/>
              </w:rPr>
              <w:t>580</w:t>
            </w:r>
          </w:p>
        </w:tc>
        <w:tc>
          <w:tcPr>
            <w:tcW w:w="1322" w:type="dxa"/>
            <w:tcBorders>
              <w:tl2br w:val="nil"/>
              <w:tr2bl w:val="nil"/>
            </w:tcBorders>
            <w:shd w:val="clear" w:color="auto" w:fill="auto"/>
            <w:noWrap w:val="0"/>
            <w:vAlign w:val="center"/>
          </w:tcPr>
          <w:p w14:paraId="1E1DA4B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r>
              <w:rPr>
                <w:rFonts w:hint="eastAsia" w:cs="Times New Roman"/>
                <w:color w:val="auto"/>
                <w:spacing w:val="-1"/>
                <w:sz w:val="21"/>
                <w:szCs w:val="21"/>
                <w:highlight w:val="none"/>
                <w:lang w:val="en-US" w:eastAsia="zh-CN"/>
              </w:rPr>
              <w:t>207</w:t>
            </w:r>
          </w:p>
        </w:tc>
      </w:tr>
      <w:tr w14:paraId="2E707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5179223F">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bottom w:val="single" w:color="auto" w:sz="4" w:space="0"/>
              <w:tl2br w:val="nil"/>
              <w:tr2bl w:val="nil"/>
            </w:tcBorders>
            <w:shd w:val="clear" w:color="auto" w:fill="auto"/>
            <w:noWrap w:val="0"/>
            <w:vAlign w:val="center"/>
          </w:tcPr>
          <w:p w14:paraId="48E2EE74">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废助滤剂</w:t>
            </w:r>
          </w:p>
        </w:tc>
        <w:tc>
          <w:tcPr>
            <w:tcW w:w="1639" w:type="dxa"/>
            <w:tcBorders>
              <w:tl2br w:val="nil"/>
              <w:tr2bl w:val="nil"/>
            </w:tcBorders>
            <w:shd w:val="clear" w:color="auto" w:fill="auto"/>
            <w:noWrap w:val="0"/>
            <w:vAlign w:val="center"/>
          </w:tcPr>
          <w:p w14:paraId="1FA94397">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601" w:type="dxa"/>
            <w:tcBorders>
              <w:tl2br w:val="nil"/>
              <w:tr2bl w:val="nil"/>
            </w:tcBorders>
            <w:noWrap w:val="0"/>
            <w:vAlign w:val="center"/>
          </w:tcPr>
          <w:p w14:paraId="16CE454B">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795B1556">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1722" w:type="dxa"/>
            <w:tcBorders>
              <w:tl2br w:val="nil"/>
              <w:tr2bl w:val="nil"/>
            </w:tcBorders>
            <w:shd w:val="clear" w:color="auto" w:fill="auto"/>
            <w:noWrap w:val="0"/>
            <w:vAlign w:val="center"/>
          </w:tcPr>
          <w:p w14:paraId="14E88DAC">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30</w:t>
            </w:r>
          </w:p>
        </w:tc>
        <w:tc>
          <w:tcPr>
            <w:tcW w:w="1642" w:type="dxa"/>
            <w:tcBorders>
              <w:tl2br w:val="nil"/>
              <w:tr2bl w:val="nil"/>
            </w:tcBorders>
            <w:shd w:val="clear" w:color="auto" w:fill="auto"/>
            <w:noWrap w:val="0"/>
            <w:vAlign w:val="center"/>
          </w:tcPr>
          <w:p w14:paraId="4895809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082" w:type="dxa"/>
            <w:tcBorders>
              <w:tl2br w:val="nil"/>
              <w:tr2bl w:val="nil"/>
            </w:tcBorders>
            <w:shd w:val="clear" w:color="auto" w:fill="auto"/>
            <w:noWrap w:val="0"/>
            <w:vAlign w:val="center"/>
          </w:tcPr>
          <w:p w14:paraId="58B676C7">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30</w:t>
            </w:r>
          </w:p>
        </w:tc>
        <w:tc>
          <w:tcPr>
            <w:tcW w:w="1322" w:type="dxa"/>
            <w:tcBorders>
              <w:tl2br w:val="nil"/>
              <w:tr2bl w:val="nil"/>
            </w:tcBorders>
            <w:shd w:val="clear" w:color="auto" w:fill="auto"/>
            <w:noWrap w:val="0"/>
            <w:vAlign w:val="center"/>
          </w:tcPr>
          <w:p w14:paraId="06265062">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r>
              <w:rPr>
                <w:rFonts w:hint="eastAsia" w:cs="Times New Roman"/>
                <w:color w:val="auto"/>
                <w:spacing w:val="-1"/>
                <w:sz w:val="21"/>
                <w:szCs w:val="21"/>
                <w:highlight w:val="none"/>
                <w:lang w:val="en-US" w:eastAsia="zh-CN"/>
              </w:rPr>
              <w:t>30</w:t>
            </w:r>
          </w:p>
        </w:tc>
      </w:tr>
      <w:tr w14:paraId="16BCB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5EC4D5C6">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bottom w:val="single" w:color="auto" w:sz="4" w:space="0"/>
              <w:tl2br w:val="nil"/>
              <w:tr2bl w:val="nil"/>
            </w:tcBorders>
            <w:shd w:val="clear" w:color="auto" w:fill="auto"/>
            <w:noWrap w:val="0"/>
            <w:vAlign w:val="center"/>
          </w:tcPr>
          <w:p w14:paraId="7A832683">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脂肪酸</w:t>
            </w:r>
          </w:p>
        </w:tc>
        <w:tc>
          <w:tcPr>
            <w:tcW w:w="1639" w:type="dxa"/>
            <w:tcBorders>
              <w:tl2br w:val="nil"/>
              <w:tr2bl w:val="nil"/>
            </w:tcBorders>
            <w:shd w:val="clear" w:color="auto" w:fill="auto"/>
            <w:noWrap w:val="0"/>
            <w:vAlign w:val="center"/>
          </w:tcPr>
          <w:p w14:paraId="41C7EE0E">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1601" w:type="dxa"/>
            <w:tcBorders>
              <w:tl2br w:val="nil"/>
              <w:tr2bl w:val="nil"/>
            </w:tcBorders>
            <w:noWrap w:val="0"/>
            <w:vAlign w:val="center"/>
          </w:tcPr>
          <w:p w14:paraId="4E2E0424">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54EBF9CD">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1722" w:type="dxa"/>
            <w:tcBorders>
              <w:tl2br w:val="nil"/>
              <w:tr2bl w:val="nil"/>
            </w:tcBorders>
            <w:shd w:val="clear" w:color="auto" w:fill="auto"/>
            <w:noWrap w:val="0"/>
            <w:vAlign w:val="center"/>
          </w:tcPr>
          <w:p w14:paraId="7D66743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15</w:t>
            </w:r>
          </w:p>
        </w:tc>
        <w:tc>
          <w:tcPr>
            <w:tcW w:w="1642" w:type="dxa"/>
            <w:tcBorders>
              <w:tl2br w:val="nil"/>
              <w:tr2bl w:val="nil"/>
            </w:tcBorders>
            <w:shd w:val="clear" w:color="auto" w:fill="auto"/>
            <w:noWrap w:val="0"/>
            <w:vAlign w:val="center"/>
          </w:tcPr>
          <w:p w14:paraId="7B7C43C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2082" w:type="dxa"/>
            <w:tcBorders>
              <w:tl2br w:val="nil"/>
              <w:tr2bl w:val="nil"/>
            </w:tcBorders>
            <w:shd w:val="clear" w:color="auto" w:fill="auto"/>
            <w:noWrap w:val="0"/>
            <w:vAlign w:val="center"/>
          </w:tcPr>
          <w:p w14:paraId="0E51E78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15</w:t>
            </w:r>
          </w:p>
        </w:tc>
        <w:tc>
          <w:tcPr>
            <w:tcW w:w="1322" w:type="dxa"/>
            <w:tcBorders>
              <w:tl2br w:val="nil"/>
              <w:tr2bl w:val="nil"/>
            </w:tcBorders>
            <w:shd w:val="clear" w:color="auto" w:fill="auto"/>
            <w:noWrap w:val="0"/>
            <w:vAlign w:val="center"/>
          </w:tcPr>
          <w:p w14:paraId="78B48B07">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w:t>
            </w:r>
            <w:r>
              <w:rPr>
                <w:rFonts w:hint="eastAsia" w:cs="Times New Roman"/>
                <w:color w:val="auto"/>
                <w:spacing w:val="-1"/>
                <w:sz w:val="21"/>
                <w:szCs w:val="21"/>
                <w:highlight w:val="none"/>
                <w:lang w:val="en-US" w:eastAsia="zh-CN"/>
              </w:rPr>
              <w:t>5</w:t>
            </w:r>
          </w:p>
        </w:tc>
      </w:tr>
      <w:tr w14:paraId="58191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14C01410">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bottom w:val="single" w:color="auto" w:sz="4" w:space="0"/>
              <w:tl2br w:val="nil"/>
              <w:tr2bl w:val="nil"/>
            </w:tcBorders>
            <w:shd w:val="clear" w:color="auto" w:fill="auto"/>
            <w:noWrap w:val="0"/>
            <w:vAlign w:val="center"/>
          </w:tcPr>
          <w:p w14:paraId="61F649A9">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实验废液</w:t>
            </w:r>
          </w:p>
        </w:tc>
        <w:tc>
          <w:tcPr>
            <w:tcW w:w="1639" w:type="dxa"/>
            <w:tcBorders>
              <w:tl2br w:val="nil"/>
              <w:tr2bl w:val="nil"/>
            </w:tcBorders>
            <w:shd w:val="clear" w:color="auto" w:fill="auto"/>
            <w:noWrap w:val="0"/>
            <w:vAlign w:val="center"/>
          </w:tcPr>
          <w:p w14:paraId="5B4B7203">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w:t>
            </w:r>
          </w:p>
        </w:tc>
        <w:tc>
          <w:tcPr>
            <w:tcW w:w="1601" w:type="dxa"/>
            <w:tcBorders>
              <w:tl2br w:val="nil"/>
              <w:tr2bl w:val="nil"/>
            </w:tcBorders>
            <w:noWrap w:val="0"/>
            <w:vAlign w:val="center"/>
          </w:tcPr>
          <w:p w14:paraId="6DCD82E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1AB8B1F7">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1722" w:type="dxa"/>
            <w:tcBorders>
              <w:tl2br w:val="nil"/>
              <w:tr2bl w:val="nil"/>
            </w:tcBorders>
            <w:shd w:val="clear" w:color="auto" w:fill="auto"/>
            <w:noWrap w:val="0"/>
            <w:vAlign w:val="center"/>
          </w:tcPr>
          <w:p w14:paraId="4D174EF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w:t>
            </w:r>
          </w:p>
        </w:tc>
        <w:tc>
          <w:tcPr>
            <w:tcW w:w="1642" w:type="dxa"/>
            <w:tcBorders>
              <w:tl2br w:val="nil"/>
              <w:tr2bl w:val="nil"/>
            </w:tcBorders>
            <w:shd w:val="clear" w:color="auto" w:fill="auto"/>
            <w:noWrap w:val="0"/>
            <w:vAlign w:val="center"/>
          </w:tcPr>
          <w:p w14:paraId="4908EEE9">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082" w:type="dxa"/>
            <w:tcBorders>
              <w:tl2br w:val="nil"/>
              <w:tr2bl w:val="nil"/>
            </w:tcBorders>
            <w:shd w:val="clear" w:color="auto" w:fill="auto"/>
            <w:noWrap w:val="0"/>
            <w:vAlign w:val="center"/>
          </w:tcPr>
          <w:p w14:paraId="40E03395">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0.2</w:t>
            </w:r>
          </w:p>
        </w:tc>
        <w:tc>
          <w:tcPr>
            <w:tcW w:w="1322" w:type="dxa"/>
            <w:tcBorders>
              <w:tl2br w:val="nil"/>
              <w:tr2bl w:val="nil"/>
            </w:tcBorders>
            <w:shd w:val="clear" w:color="auto" w:fill="auto"/>
            <w:noWrap w:val="0"/>
            <w:vAlign w:val="center"/>
          </w:tcPr>
          <w:p w14:paraId="27EBDABA">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1"/>
                <w:sz w:val="21"/>
                <w:szCs w:val="21"/>
                <w:highlight w:val="none"/>
                <w:lang w:val="en-US" w:eastAsia="zh-CN"/>
              </w:rPr>
              <w:t>0</w:t>
            </w:r>
          </w:p>
        </w:tc>
      </w:tr>
      <w:tr w14:paraId="24788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77482D8E">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op w:val="single" w:color="auto" w:sz="4" w:space="0"/>
              <w:bottom w:val="single" w:color="auto" w:sz="4" w:space="0"/>
              <w:tl2br w:val="nil"/>
              <w:tr2bl w:val="nil"/>
            </w:tcBorders>
            <w:shd w:val="clear" w:color="auto" w:fill="auto"/>
            <w:noWrap w:val="0"/>
            <w:vAlign w:val="center"/>
          </w:tcPr>
          <w:p w14:paraId="6AB72829">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ascii="Times New Roman" w:hAnsi="Times New Roman" w:cs="Times New Roman"/>
                <w:color w:val="auto"/>
                <w:spacing w:val="-3"/>
                <w:kern w:val="2"/>
                <w:sz w:val="21"/>
                <w:szCs w:val="21"/>
                <w:highlight w:val="none"/>
                <w:lang w:val="en-US" w:eastAsia="zh-CN" w:bidi="ar-SA"/>
              </w:rPr>
              <w:t>废活性炭</w:t>
            </w:r>
          </w:p>
        </w:tc>
        <w:tc>
          <w:tcPr>
            <w:tcW w:w="1639" w:type="dxa"/>
            <w:tcBorders>
              <w:tl2br w:val="nil"/>
              <w:tr2bl w:val="nil"/>
            </w:tcBorders>
            <w:shd w:val="clear" w:color="auto" w:fill="auto"/>
            <w:noWrap w:val="0"/>
            <w:vAlign w:val="center"/>
          </w:tcPr>
          <w:p w14:paraId="2C61BD8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601" w:type="dxa"/>
            <w:tcBorders>
              <w:tl2br w:val="nil"/>
              <w:tr2bl w:val="nil"/>
            </w:tcBorders>
            <w:noWrap w:val="0"/>
            <w:vAlign w:val="center"/>
          </w:tcPr>
          <w:p w14:paraId="12283C58">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1"/>
                <w:szCs w:val="21"/>
                <w:highlight w:val="none"/>
              </w:rPr>
            </w:pPr>
          </w:p>
        </w:tc>
        <w:tc>
          <w:tcPr>
            <w:tcW w:w="1641" w:type="dxa"/>
            <w:tcBorders>
              <w:tl2br w:val="nil"/>
              <w:tr2bl w:val="nil"/>
            </w:tcBorders>
            <w:noWrap w:val="0"/>
            <w:vAlign w:val="center"/>
          </w:tcPr>
          <w:p w14:paraId="0EA18404">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shd w:val="clear" w:color="auto" w:fill="auto"/>
            <w:noWrap w:val="0"/>
            <w:vAlign w:val="center"/>
          </w:tcPr>
          <w:p w14:paraId="323686DF">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3.6</w:t>
            </w:r>
          </w:p>
        </w:tc>
        <w:tc>
          <w:tcPr>
            <w:tcW w:w="1642" w:type="dxa"/>
            <w:tcBorders>
              <w:tl2br w:val="nil"/>
              <w:tr2bl w:val="nil"/>
            </w:tcBorders>
            <w:shd w:val="clear" w:color="auto" w:fill="auto"/>
            <w:noWrap w:val="0"/>
            <w:vAlign w:val="center"/>
          </w:tcPr>
          <w:p w14:paraId="13129CC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082" w:type="dxa"/>
            <w:tcBorders>
              <w:tl2br w:val="nil"/>
              <w:tr2bl w:val="nil"/>
            </w:tcBorders>
            <w:shd w:val="clear" w:color="auto" w:fill="auto"/>
            <w:noWrap w:val="0"/>
            <w:vAlign w:val="center"/>
          </w:tcPr>
          <w:p w14:paraId="084E9B9C">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3.6</w:t>
            </w:r>
          </w:p>
        </w:tc>
        <w:tc>
          <w:tcPr>
            <w:tcW w:w="1322" w:type="dxa"/>
            <w:tcBorders>
              <w:tl2br w:val="nil"/>
              <w:tr2bl w:val="nil"/>
            </w:tcBorders>
            <w:shd w:val="clear" w:color="auto" w:fill="auto"/>
            <w:noWrap w:val="0"/>
            <w:vAlign w:val="center"/>
          </w:tcPr>
          <w:p w14:paraId="2ABD5409">
            <w:pPr>
              <w:pStyle w:val="2"/>
              <w:ind w:right="113" w:rightChars="0"/>
              <w:jc w:val="center"/>
              <w:rPr>
                <w:rFonts w:hint="default" w:ascii="Times New Roman" w:hAnsi="Times New Roman" w:eastAsia="宋体" w:cs="Times New Roman"/>
                <w:color w:val="auto"/>
                <w:kern w:val="0"/>
                <w:sz w:val="18"/>
                <w:szCs w:val="20"/>
                <w:highlight w:val="none"/>
                <w:lang w:val="en-US" w:eastAsia="zh-CN" w:bidi="ar-SA"/>
              </w:rPr>
            </w:pPr>
            <w:r>
              <w:rPr>
                <w:rFonts w:hint="eastAsia" w:cs="Times New Roman"/>
                <w:color w:val="auto"/>
                <w:spacing w:val="-1"/>
                <w:sz w:val="21"/>
                <w:szCs w:val="21"/>
                <w:highlight w:val="none"/>
                <w:lang w:val="en-US" w:eastAsia="zh-CN"/>
              </w:rPr>
              <w:t>+3.6</w:t>
            </w:r>
          </w:p>
        </w:tc>
      </w:tr>
      <w:tr w14:paraId="2D05C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4EFC8BAF">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op w:val="single" w:color="auto" w:sz="4" w:space="0"/>
              <w:bottom w:val="single" w:color="auto" w:sz="4" w:space="0"/>
              <w:tl2br w:val="nil"/>
              <w:tr2bl w:val="nil"/>
            </w:tcBorders>
            <w:shd w:val="clear" w:color="auto" w:fill="auto"/>
            <w:noWrap w:val="0"/>
            <w:vAlign w:val="center"/>
          </w:tcPr>
          <w:p w14:paraId="41EF07AD">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废RO膜</w:t>
            </w:r>
          </w:p>
        </w:tc>
        <w:tc>
          <w:tcPr>
            <w:tcW w:w="1639" w:type="dxa"/>
            <w:tcBorders>
              <w:tl2br w:val="nil"/>
              <w:tr2bl w:val="nil"/>
            </w:tcBorders>
            <w:shd w:val="clear" w:color="auto" w:fill="auto"/>
            <w:noWrap w:val="0"/>
            <w:vAlign w:val="center"/>
          </w:tcPr>
          <w:p w14:paraId="21E769D5">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601" w:type="dxa"/>
            <w:tcBorders>
              <w:tl2br w:val="nil"/>
              <w:tr2bl w:val="nil"/>
            </w:tcBorders>
            <w:noWrap w:val="0"/>
            <w:vAlign w:val="center"/>
          </w:tcPr>
          <w:p w14:paraId="2936844D">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605C9A5E">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22" w:type="dxa"/>
            <w:tcBorders>
              <w:tl2br w:val="nil"/>
              <w:tr2bl w:val="nil"/>
            </w:tcBorders>
            <w:shd w:val="clear" w:color="auto" w:fill="auto"/>
            <w:noWrap w:val="0"/>
            <w:vAlign w:val="center"/>
          </w:tcPr>
          <w:p w14:paraId="703DEF95">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0.005</w:t>
            </w:r>
          </w:p>
        </w:tc>
        <w:tc>
          <w:tcPr>
            <w:tcW w:w="1642" w:type="dxa"/>
            <w:tcBorders>
              <w:tl2br w:val="nil"/>
              <w:tr2bl w:val="nil"/>
            </w:tcBorders>
            <w:shd w:val="clear" w:color="auto" w:fill="auto"/>
            <w:noWrap w:val="0"/>
            <w:vAlign w:val="center"/>
          </w:tcPr>
          <w:p w14:paraId="08112DFE">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082" w:type="dxa"/>
            <w:tcBorders>
              <w:tl2br w:val="nil"/>
              <w:tr2bl w:val="nil"/>
            </w:tcBorders>
            <w:shd w:val="clear" w:color="auto" w:fill="auto"/>
            <w:noWrap w:val="0"/>
            <w:vAlign w:val="center"/>
          </w:tcPr>
          <w:p w14:paraId="1F3A79A1">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0.005</w:t>
            </w:r>
          </w:p>
        </w:tc>
        <w:tc>
          <w:tcPr>
            <w:tcW w:w="1322" w:type="dxa"/>
            <w:tcBorders>
              <w:tl2br w:val="nil"/>
              <w:tr2bl w:val="nil"/>
            </w:tcBorders>
            <w:shd w:val="clear" w:color="auto" w:fill="auto"/>
            <w:noWrap w:val="0"/>
            <w:vAlign w:val="center"/>
          </w:tcPr>
          <w:p w14:paraId="59769445">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+0.005</w:t>
            </w:r>
          </w:p>
        </w:tc>
      </w:tr>
      <w:tr w14:paraId="6352D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07F37BDC">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op w:val="single" w:color="auto" w:sz="4" w:space="0"/>
              <w:bottom w:val="single" w:color="auto" w:sz="4" w:space="0"/>
              <w:tl2br w:val="nil"/>
              <w:tr2bl w:val="nil"/>
            </w:tcBorders>
            <w:shd w:val="clear" w:color="auto" w:fill="auto"/>
            <w:noWrap w:val="0"/>
            <w:vAlign w:val="center"/>
          </w:tcPr>
          <w:p w14:paraId="49E92639">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pacing w:val="-3"/>
                <w:kern w:val="2"/>
                <w:sz w:val="21"/>
                <w:szCs w:val="21"/>
                <w:highlight w:val="none"/>
                <w:lang w:val="en-US" w:eastAsia="zh-CN" w:bidi="ar-SA"/>
              </w:rPr>
              <w:t>废包装袋</w:t>
            </w:r>
          </w:p>
        </w:tc>
        <w:tc>
          <w:tcPr>
            <w:tcW w:w="1639" w:type="dxa"/>
            <w:tcBorders>
              <w:tl2br w:val="nil"/>
              <w:tr2bl w:val="nil"/>
            </w:tcBorders>
            <w:shd w:val="clear" w:color="auto" w:fill="auto"/>
            <w:noWrap w:val="0"/>
            <w:vAlign w:val="center"/>
          </w:tcPr>
          <w:p w14:paraId="12074544">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1601" w:type="dxa"/>
            <w:tcBorders>
              <w:tl2br w:val="nil"/>
              <w:tr2bl w:val="nil"/>
            </w:tcBorders>
            <w:noWrap w:val="0"/>
            <w:vAlign w:val="center"/>
          </w:tcPr>
          <w:p w14:paraId="0B7E3485">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41C935D1">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1722" w:type="dxa"/>
            <w:tcBorders>
              <w:tl2br w:val="nil"/>
              <w:tr2bl w:val="nil"/>
            </w:tcBorders>
            <w:shd w:val="clear" w:color="auto" w:fill="auto"/>
            <w:noWrap w:val="0"/>
            <w:vAlign w:val="center"/>
          </w:tcPr>
          <w:p w14:paraId="04B954E6">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1.5</w:t>
            </w:r>
          </w:p>
        </w:tc>
        <w:tc>
          <w:tcPr>
            <w:tcW w:w="1642" w:type="dxa"/>
            <w:tcBorders>
              <w:tl2br w:val="nil"/>
              <w:tr2bl w:val="nil"/>
            </w:tcBorders>
            <w:shd w:val="clear" w:color="auto" w:fill="auto"/>
            <w:noWrap w:val="0"/>
            <w:vAlign w:val="center"/>
          </w:tcPr>
          <w:p w14:paraId="4B7B8698">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2082" w:type="dxa"/>
            <w:tcBorders>
              <w:tl2br w:val="nil"/>
              <w:tr2bl w:val="nil"/>
            </w:tcBorders>
            <w:shd w:val="clear" w:color="auto" w:fill="auto"/>
            <w:noWrap w:val="0"/>
            <w:vAlign w:val="center"/>
          </w:tcPr>
          <w:p w14:paraId="04E8DDDA">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pacing w:val="-3"/>
                <w:kern w:val="2"/>
                <w:sz w:val="21"/>
                <w:szCs w:val="21"/>
                <w:highlight w:val="none"/>
                <w:lang w:val="en-US" w:eastAsia="zh-CN" w:bidi="ar-SA"/>
              </w:rPr>
              <w:t>1.5</w:t>
            </w:r>
          </w:p>
        </w:tc>
        <w:tc>
          <w:tcPr>
            <w:tcW w:w="1322" w:type="dxa"/>
            <w:tcBorders>
              <w:tl2br w:val="nil"/>
              <w:tr2bl w:val="nil"/>
            </w:tcBorders>
            <w:shd w:val="clear" w:color="auto" w:fill="auto"/>
            <w:noWrap w:val="0"/>
            <w:vAlign w:val="center"/>
          </w:tcPr>
          <w:p w14:paraId="08A6D21E">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r>
      <w:tr w14:paraId="68574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247" w:type="dxa"/>
            <w:vMerge w:val="continue"/>
            <w:tcBorders>
              <w:tl2br w:val="nil"/>
              <w:tr2bl w:val="nil"/>
            </w:tcBorders>
            <w:noWrap w:val="0"/>
            <w:vAlign w:val="center"/>
          </w:tcPr>
          <w:p w14:paraId="738885FC">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002" w:type="dxa"/>
            <w:tcBorders>
              <w:top w:val="single" w:color="auto" w:sz="4" w:space="0"/>
              <w:bottom w:val="single" w:color="auto" w:sz="4" w:space="0"/>
              <w:tl2br w:val="nil"/>
              <w:tr2bl w:val="nil"/>
            </w:tcBorders>
            <w:shd w:val="clear" w:color="auto" w:fill="auto"/>
            <w:noWrap w:val="0"/>
            <w:vAlign w:val="center"/>
          </w:tcPr>
          <w:p w14:paraId="0E6D515E">
            <w:pPr>
              <w:pStyle w:val="24"/>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ascii="Times New Roman" w:hAnsi="Times New Roman" w:cs="Times New Roman"/>
                <w:color w:val="auto"/>
                <w:spacing w:val="-3"/>
                <w:kern w:val="2"/>
                <w:sz w:val="21"/>
                <w:szCs w:val="21"/>
                <w:highlight w:val="none"/>
                <w:lang w:val="en-US" w:eastAsia="zh-CN" w:bidi="ar-SA"/>
              </w:rPr>
              <w:t>生活垃圾</w:t>
            </w:r>
          </w:p>
        </w:tc>
        <w:tc>
          <w:tcPr>
            <w:tcW w:w="1639" w:type="dxa"/>
            <w:tcBorders>
              <w:tl2br w:val="nil"/>
              <w:tr2bl w:val="nil"/>
            </w:tcBorders>
            <w:shd w:val="clear" w:color="auto" w:fill="auto"/>
            <w:noWrap w:val="0"/>
            <w:vAlign w:val="center"/>
          </w:tcPr>
          <w:p w14:paraId="4A0A1FF9">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2.7</w:t>
            </w:r>
          </w:p>
        </w:tc>
        <w:tc>
          <w:tcPr>
            <w:tcW w:w="1601" w:type="dxa"/>
            <w:tcBorders>
              <w:tl2br w:val="nil"/>
              <w:tr2bl w:val="nil"/>
            </w:tcBorders>
            <w:noWrap w:val="0"/>
            <w:vAlign w:val="center"/>
          </w:tcPr>
          <w:p w14:paraId="08F615C7">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41" w:type="dxa"/>
            <w:tcBorders>
              <w:tl2br w:val="nil"/>
              <w:tr2bl w:val="nil"/>
            </w:tcBorders>
            <w:noWrap w:val="0"/>
            <w:vAlign w:val="center"/>
          </w:tcPr>
          <w:p w14:paraId="69C9B64D">
            <w:pPr>
              <w:keepNext w:val="0"/>
              <w:keepLines w:val="0"/>
              <w:pageBreakBefore w:val="0"/>
              <w:widowControl w:val="0"/>
              <w:kinsoku/>
              <w:wordWrap/>
              <w:overflowPunct w:val="0"/>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c>
          <w:tcPr>
            <w:tcW w:w="1722" w:type="dxa"/>
            <w:tcBorders>
              <w:tl2br w:val="nil"/>
              <w:tr2bl w:val="nil"/>
            </w:tcBorders>
            <w:shd w:val="clear" w:color="auto" w:fill="auto"/>
            <w:noWrap w:val="0"/>
            <w:vAlign w:val="center"/>
          </w:tcPr>
          <w:p w14:paraId="6E1F3A79">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642" w:type="dxa"/>
            <w:tcBorders>
              <w:tl2br w:val="nil"/>
              <w:tr2bl w:val="nil"/>
            </w:tcBorders>
            <w:shd w:val="clear" w:color="auto" w:fill="auto"/>
            <w:noWrap w:val="0"/>
            <w:vAlign w:val="center"/>
          </w:tcPr>
          <w:p w14:paraId="4FF12450">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082" w:type="dxa"/>
            <w:tcBorders>
              <w:tl2br w:val="nil"/>
              <w:tr2bl w:val="nil"/>
            </w:tcBorders>
            <w:shd w:val="clear" w:color="auto" w:fill="auto"/>
            <w:noWrap w:val="0"/>
            <w:vAlign w:val="center"/>
          </w:tcPr>
          <w:p w14:paraId="7F97039B">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kern w:val="2"/>
                <w:sz w:val="21"/>
                <w:szCs w:val="21"/>
                <w:highlight w:val="none"/>
                <w:lang w:val="en-US" w:eastAsia="zh-CN" w:bidi="ar-SA"/>
              </w:rPr>
            </w:pPr>
            <w:r>
              <w:rPr>
                <w:rFonts w:hint="eastAsia" w:cs="Times New Roman"/>
                <w:color w:val="auto"/>
                <w:sz w:val="21"/>
                <w:szCs w:val="21"/>
                <w:highlight w:val="none"/>
                <w:lang w:val="en-US" w:eastAsia="zh-CN"/>
              </w:rPr>
              <w:t>27</w:t>
            </w:r>
          </w:p>
        </w:tc>
        <w:tc>
          <w:tcPr>
            <w:tcW w:w="1322" w:type="dxa"/>
            <w:tcBorders>
              <w:tl2br w:val="nil"/>
              <w:tr2bl w:val="nil"/>
            </w:tcBorders>
            <w:shd w:val="clear" w:color="auto" w:fill="auto"/>
            <w:noWrap w:val="0"/>
            <w:vAlign w:val="center"/>
          </w:tcPr>
          <w:p w14:paraId="1F6A4F96">
            <w:pPr>
              <w:keepNext w:val="0"/>
              <w:keepLines w:val="0"/>
              <w:pageBreakBefore w:val="0"/>
              <w:widowControl w:val="0"/>
              <w:kinsoku/>
              <w:wordWrap/>
              <w:overflowPunct w:val="0"/>
              <w:topLinePunct/>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r>
      <w:tr w14:paraId="1E098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4898" w:type="dxa"/>
            <w:gridSpan w:val="9"/>
            <w:tcBorders>
              <w:tl2br w:val="nil"/>
              <w:tr2bl w:val="nil"/>
            </w:tcBorders>
            <w:noWrap w:val="0"/>
            <w:vAlign w:val="center"/>
          </w:tcPr>
          <w:p w14:paraId="3BB8D898">
            <w:pPr>
              <w:keepNext w:val="0"/>
              <w:keepLines w:val="0"/>
              <w:pageBreakBefore w:val="0"/>
              <w:widowControl w:val="0"/>
              <w:kinsoku/>
              <w:wordWrap/>
              <w:overflowPunct w:val="0"/>
              <w:topLinePunct/>
              <w:autoSpaceDE/>
              <w:autoSpaceDN/>
              <w:bidi w:val="0"/>
              <w:adjustRightInd/>
              <w:snapToGrid/>
              <w:spacing w:line="240" w:lineRule="auto"/>
              <w:ind w:left="0" w:right="0" w:firstLine="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注：本次评价仅统计</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涉及的污染物。</w:t>
            </w:r>
          </w:p>
        </w:tc>
      </w:tr>
    </w:tbl>
    <w:p w14:paraId="66D469CA">
      <w:pPr>
        <w:pStyle w:val="36"/>
        <w:pageBreakBefore w:val="0"/>
        <w:kinsoku/>
        <w:wordWrap/>
        <w:overflowPunct w:val="0"/>
        <w:topLinePunct/>
        <w:bidi w:val="0"/>
        <w:spacing w:before="95" w:beforeLines="30" w:after="31" w:line="260" w:lineRule="auto"/>
        <w:jc w:val="left"/>
        <w:rPr>
          <w:rFonts w:hint="default" w:ascii="Times New Roman" w:hAnsi="Times New Roman" w:eastAsia="宋体" w:cs="Times New Roman"/>
          <w:snapToGrid w:val="0"/>
          <w:color w:val="auto"/>
          <w:spacing w:val="-6"/>
          <w:kern w:val="21"/>
          <w:sz w:val="21"/>
          <w:szCs w:val="15"/>
          <w:highlight w:val="none"/>
        </w:rPr>
      </w:pPr>
      <w:r>
        <w:rPr>
          <w:rFonts w:hint="default" w:ascii="Times New Roman" w:hAnsi="Times New Roman" w:eastAsia="宋体" w:cs="Times New Roman"/>
          <w:snapToGrid w:val="0"/>
          <w:color w:val="auto"/>
          <w:kern w:val="21"/>
          <w:sz w:val="21"/>
          <w:szCs w:val="15"/>
          <w:highlight w:val="none"/>
        </w:rPr>
        <w:t>注：</w:t>
      </w:r>
      <w:r>
        <w:rPr>
          <w:rFonts w:hint="default" w:ascii="Times New Roman" w:hAnsi="Times New Roman" w:eastAsia="宋体" w:cs="Times New Roman"/>
          <w:snapToGrid w:val="0"/>
          <w:color w:val="auto"/>
          <w:spacing w:val="-16"/>
          <w:kern w:val="21"/>
          <w:sz w:val="21"/>
          <w:szCs w:val="15"/>
          <w:highlight w:val="none"/>
        </w:rPr>
        <w:fldChar w:fldCharType="begin"/>
      </w:r>
      <w:r>
        <w:rPr>
          <w:rFonts w:hint="default" w:ascii="Times New Roman" w:hAnsi="Times New Roman" w:eastAsia="宋体" w:cs="Times New Roman"/>
          <w:snapToGrid w:val="0"/>
          <w:color w:val="auto"/>
          <w:spacing w:val="-16"/>
          <w:kern w:val="21"/>
          <w:sz w:val="21"/>
          <w:szCs w:val="15"/>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15"/>
          <w:highlight w:val="none"/>
        </w:rPr>
        <w:fldChar w:fldCharType="separate"/>
      </w:r>
      <w:r>
        <w:rPr>
          <w:rFonts w:hint="default" w:ascii="Times New Roman" w:hAnsi="Times New Roman" w:eastAsia="宋体" w:cs="Times New Roman"/>
          <w:color w:val="auto"/>
          <w:sz w:val="21"/>
          <w:szCs w:val="15"/>
          <w:highlight w:val="none"/>
        </w:rPr>
        <w:t>⑥</w:t>
      </w:r>
      <w:r>
        <w:rPr>
          <w:rFonts w:hint="default" w:ascii="Times New Roman" w:hAnsi="Times New Roman" w:eastAsia="宋体" w:cs="Times New Roman"/>
          <w:snapToGrid w:val="0"/>
          <w:color w:val="auto"/>
          <w:spacing w:val="-16"/>
          <w:kern w:val="21"/>
          <w:sz w:val="21"/>
          <w:szCs w:val="15"/>
          <w:highlight w:val="none"/>
        </w:rPr>
        <w:fldChar w:fldCharType="end"/>
      </w:r>
      <w:r>
        <w:rPr>
          <w:rFonts w:hint="default" w:ascii="Times New Roman" w:hAnsi="Times New Roman" w:eastAsia="宋体" w:cs="Times New Roman"/>
          <w:snapToGrid w:val="0"/>
          <w:color w:val="auto"/>
          <w:spacing w:val="-16"/>
          <w:kern w:val="21"/>
          <w:sz w:val="21"/>
          <w:szCs w:val="15"/>
          <w:highlight w:val="none"/>
        </w:rPr>
        <w:t>=</w:t>
      </w:r>
      <w:r>
        <w:rPr>
          <w:rFonts w:hint="default" w:ascii="Times New Roman" w:hAnsi="Times New Roman" w:eastAsia="宋体" w:cs="Times New Roman"/>
          <w:snapToGrid w:val="0"/>
          <w:color w:val="auto"/>
          <w:spacing w:val="-6"/>
          <w:kern w:val="21"/>
          <w:sz w:val="21"/>
          <w:szCs w:val="15"/>
          <w:highlight w:val="none"/>
        </w:rPr>
        <w:fldChar w:fldCharType="begin"/>
      </w:r>
      <w:r>
        <w:rPr>
          <w:rFonts w:hint="default" w:ascii="Times New Roman" w:hAnsi="Times New Roman" w:eastAsia="宋体" w:cs="Times New Roman"/>
          <w:snapToGrid w:val="0"/>
          <w:color w:val="auto"/>
          <w:spacing w:val="-6"/>
          <w:kern w:val="21"/>
          <w:sz w:val="21"/>
          <w:szCs w:val="15"/>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15"/>
          <w:highlight w:val="none"/>
        </w:rPr>
        <w:fldChar w:fldCharType="separate"/>
      </w:r>
      <w:r>
        <w:rPr>
          <w:rFonts w:hint="default" w:ascii="Times New Roman" w:hAnsi="Times New Roman" w:eastAsia="宋体" w:cs="Times New Roman"/>
          <w:color w:val="auto"/>
          <w:sz w:val="21"/>
          <w:szCs w:val="15"/>
          <w:highlight w:val="none"/>
        </w:rPr>
        <w:t>①</w:t>
      </w:r>
      <w:r>
        <w:rPr>
          <w:rFonts w:hint="default" w:ascii="Times New Roman" w:hAnsi="Times New Roman" w:eastAsia="宋体" w:cs="Times New Roman"/>
          <w:snapToGrid w:val="0"/>
          <w:color w:val="auto"/>
          <w:spacing w:val="-6"/>
          <w:kern w:val="21"/>
          <w:sz w:val="21"/>
          <w:szCs w:val="15"/>
          <w:highlight w:val="none"/>
        </w:rPr>
        <w:fldChar w:fldCharType="end"/>
      </w:r>
      <w:r>
        <w:rPr>
          <w:rFonts w:hint="default" w:ascii="Times New Roman" w:hAnsi="Times New Roman" w:eastAsia="宋体" w:cs="Times New Roman"/>
          <w:snapToGrid w:val="0"/>
          <w:color w:val="auto"/>
          <w:spacing w:val="-6"/>
          <w:kern w:val="21"/>
          <w:sz w:val="21"/>
          <w:szCs w:val="15"/>
          <w:highlight w:val="none"/>
        </w:rPr>
        <w:t>+</w:t>
      </w:r>
      <w:r>
        <w:rPr>
          <w:rFonts w:hint="default" w:ascii="Times New Roman" w:hAnsi="Times New Roman" w:eastAsia="宋体" w:cs="Times New Roman"/>
          <w:snapToGrid w:val="0"/>
          <w:color w:val="auto"/>
          <w:spacing w:val="-6"/>
          <w:kern w:val="21"/>
          <w:sz w:val="21"/>
          <w:szCs w:val="15"/>
          <w:highlight w:val="none"/>
        </w:rPr>
        <w:fldChar w:fldCharType="begin"/>
      </w:r>
      <w:r>
        <w:rPr>
          <w:rFonts w:hint="default" w:ascii="Times New Roman" w:hAnsi="Times New Roman" w:eastAsia="宋体" w:cs="Times New Roman"/>
          <w:snapToGrid w:val="0"/>
          <w:color w:val="auto"/>
          <w:spacing w:val="-6"/>
          <w:kern w:val="21"/>
          <w:sz w:val="21"/>
          <w:szCs w:val="15"/>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15"/>
          <w:highlight w:val="none"/>
        </w:rPr>
        <w:fldChar w:fldCharType="separate"/>
      </w:r>
      <w:r>
        <w:rPr>
          <w:rFonts w:hint="default" w:ascii="Times New Roman" w:hAnsi="Times New Roman" w:eastAsia="宋体" w:cs="Times New Roman"/>
          <w:color w:val="auto"/>
          <w:sz w:val="21"/>
          <w:szCs w:val="15"/>
          <w:highlight w:val="none"/>
        </w:rPr>
        <w:t>③</w:t>
      </w:r>
      <w:r>
        <w:rPr>
          <w:rFonts w:hint="default" w:ascii="Times New Roman" w:hAnsi="Times New Roman" w:eastAsia="宋体" w:cs="Times New Roman"/>
          <w:snapToGrid w:val="0"/>
          <w:color w:val="auto"/>
          <w:spacing w:val="-6"/>
          <w:kern w:val="21"/>
          <w:sz w:val="21"/>
          <w:szCs w:val="15"/>
          <w:highlight w:val="none"/>
        </w:rPr>
        <w:fldChar w:fldCharType="end"/>
      </w:r>
      <w:r>
        <w:rPr>
          <w:rFonts w:hint="default" w:ascii="Times New Roman" w:hAnsi="Times New Roman" w:eastAsia="宋体" w:cs="Times New Roman"/>
          <w:snapToGrid w:val="0"/>
          <w:color w:val="auto"/>
          <w:spacing w:val="-6"/>
          <w:kern w:val="21"/>
          <w:sz w:val="21"/>
          <w:szCs w:val="15"/>
          <w:highlight w:val="none"/>
        </w:rPr>
        <w:t>+</w:t>
      </w:r>
      <w:r>
        <w:rPr>
          <w:rFonts w:hint="default" w:ascii="Times New Roman" w:hAnsi="Times New Roman" w:eastAsia="宋体" w:cs="Times New Roman"/>
          <w:snapToGrid w:val="0"/>
          <w:color w:val="auto"/>
          <w:spacing w:val="-6"/>
          <w:kern w:val="21"/>
          <w:sz w:val="21"/>
          <w:szCs w:val="15"/>
          <w:highlight w:val="none"/>
        </w:rPr>
        <w:fldChar w:fldCharType="begin"/>
      </w:r>
      <w:r>
        <w:rPr>
          <w:rFonts w:hint="default" w:ascii="Times New Roman" w:hAnsi="Times New Roman" w:eastAsia="宋体" w:cs="Times New Roman"/>
          <w:snapToGrid w:val="0"/>
          <w:color w:val="auto"/>
          <w:spacing w:val="-6"/>
          <w:kern w:val="21"/>
          <w:sz w:val="21"/>
          <w:szCs w:val="15"/>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15"/>
          <w:highlight w:val="none"/>
        </w:rPr>
        <w:fldChar w:fldCharType="separate"/>
      </w:r>
      <w:r>
        <w:rPr>
          <w:rFonts w:hint="default" w:ascii="Times New Roman" w:hAnsi="Times New Roman" w:eastAsia="宋体" w:cs="Times New Roman"/>
          <w:color w:val="auto"/>
          <w:sz w:val="21"/>
          <w:szCs w:val="15"/>
          <w:highlight w:val="none"/>
        </w:rPr>
        <w:t>④</w:t>
      </w:r>
      <w:r>
        <w:rPr>
          <w:rFonts w:hint="default" w:ascii="Times New Roman" w:hAnsi="Times New Roman" w:eastAsia="宋体" w:cs="Times New Roman"/>
          <w:snapToGrid w:val="0"/>
          <w:color w:val="auto"/>
          <w:spacing w:val="-6"/>
          <w:kern w:val="21"/>
          <w:sz w:val="21"/>
          <w:szCs w:val="15"/>
          <w:highlight w:val="none"/>
        </w:rPr>
        <w:fldChar w:fldCharType="end"/>
      </w:r>
      <w:r>
        <w:rPr>
          <w:rFonts w:hint="default" w:ascii="Times New Roman" w:hAnsi="Times New Roman" w:eastAsia="宋体" w:cs="Times New Roman"/>
          <w:snapToGrid w:val="0"/>
          <w:color w:val="auto"/>
          <w:spacing w:val="-6"/>
          <w:kern w:val="21"/>
          <w:sz w:val="21"/>
          <w:szCs w:val="15"/>
          <w:highlight w:val="none"/>
        </w:rPr>
        <w:t>-</w:t>
      </w:r>
      <w:r>
        <w:rPr>
          <w:rFonts w:hint="default" w:ascii="Times New Roman" w:hAnsi="Times New Roman" w:eastAsia="宋体" w:cs="Times New Roman"/>
          <w:snapToGrid w:val="0"/>
          <w:color w:val="auto"/>
          <w:spacing w:val="-16"/>
          <w:kern w:val="21"/>
          <w:sz w:val="21"/>
          <w:szCs w:val="15"/>
          <w:highlight w:val="none"/>
        </w:rPr>
        <w:fldChar w:fldCharType="begin"/>
      </w:r>
      <w:r>
        <w:rPr>
          <w:rFonts w:hint="default" w:ascii="Times New Roman" w:hAnsi="Times New Roman" w:eastAsia="宋体" w:cs="Times New Roman"/>
          <w:snapToGrid w:val="0"/>
          <w:color w:val="auto"/>
          <w:spacing w:val="-16"/>
          <w:kern w:val="21"/>
          <w:sz w:val="21"/>
          <w:szCs w:val="15"/>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15"/>
          <w:highlight w:val="none"/>
        </w:rPr>
        <w:fldChar w:fldCharType="separate"/>
      </w:r>
      <w:r>
        <w:rPr>
          <w:rFonts w:hint="default" w:ascii="Times New Roman" w:hAnsi="Times New Roman" w:eastAsia="宋体" w:cs="Times New Roman"/>
          <w:color w:val="auto"/>
          <w:sz w:val="21"/>
          <w:szCs w:val="15"/>
          <w:highlight w:val="none"/>
        </w:rPr>
        <w:t>⑤</w:t>
      </w:r>
      <w:r>
        <w:rPr>
          <w:rFonts w:hint="default" w:ascii="Times New Roman" w:hAnsi="Times New Roman" w:eastAsia="宋体" w:cs="Times New Roman"/>
          <w:snapToGrid w:val="0"/>
          <w:color w:val="auto"/>
          <w:spacing w:val="-16"/>
          <w:kern w:val="21"/>
          <w:sz w:val="21"/>
          <w:szCs w:val="15"/>
          <w:highlight w:val="none"/>
        </w:rPr>
        <w:fldChar w:fldCharType="end"/>
      </w:r>
      <w:r>
        <w:rPr>
          <w:rFonts w:hint="default" w:ascii="Times New Roman" w:hAnsi="Times New Roman" w:eastAsia="宋体" w:cs="Times New Roman"/>
          <w:snapToGrid w:val="0"/>
          <w:color w:val="auto"/>
          <w:spacing w:val="-16"/>
          <w:kern w:val="21"/>
          <w:sz w:val="21"/>
          <w:szCs w:val="15"/>
          <w:highlight w:val="none"/>
        </w:rPr>
        <w:t>；</w:t>
      </w:r>
      <w:r>
        <w:rPr>
          <w:rFonts w:hint="default" w:ascii="Times New Roman" w:hAnsi="Times New Roman" w:eastAsia="宋体" w:cs="Times New Roman"/>
          <w:snapToGrid w:val="0"/>
          <w:color w:val="auto"/>
          <w:spacing w:val="-6"/>
          <w:kern w:val="21"/>
          <w:sz w:val="21"/>
          <w:szCs w:val="15"/>
          <w:highlight w:val="none"/>
        </w:rPr>
        <w:fldChar w:fldCharType="begin"/>
      </w:r>
      <w:r>
        <w:rPr>
          <w:rFonts w:hint="default" w:ascii="Times New Roman" w:hAnsi="Times New Roman" w:eastAsia="宋体" w:cs="Times New Roman"/>
          <w:snapToGrid w:val="0"/>
          <w:color w:val="auto"/>
          <w:spacing w:val="-6"/>
          <w:kern w:val="21"/>
          <w:sz w:val="21"/>
          <w:szCs w:val="15"/>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15"/>
          <w:highlight w:val="none"/>
        </w:rPr>
        <w:fldChar w:fldCharType="separate"/>
      </w:r>
      <w:r>
        <w:rPr>
          <w:rFonts w:hint="default" w:ascii="Times New Roman" w:hAnsi="Times New Roman" w:eastAsia="宋体" w:cs="Times New Roman"/>
          <w:color w:val="auto"/>
          <w:sz w:val="21"/>
          <w:szCs w:val="15"/>
          <w:highlight w:val="none"/>
        </w:rPr>
        <w:t>⑦</w:t>
      </w:r>
      <w:r>
        <w:rPr>
          <w:rFonts w:hint="default" w:ascii="Times New Roman" w:hAnsi="Times New Roman" w:eastAsia="宋体" w:cs="Times New Roman"/>
          <w:snapToGrid w:val="0"/>
          <w:color w:val="auto"/>
          <w:spacing w:val="-6"/>
          <w:kern w:val="21"/>
          <w:sz w:val="21"/>
          <w:szCs w:val="15"/>
          <w:highlight w:val="none"/>
        </w:rPr>
        <w:fldChar w:fldCharType="end"/>
      </w:r>
      <w:r>
        <w:rPr>
          <w:rFonts w:hint="default" w:ascii="Times New Roman" w:hAnsi="Times New Roman" w:eastAsia="宋体" w:cs="Times New Roman"/>
          <w:snapToGrid w:val="0"/>
          <w:color w:val="auto"/>
          <w:spacing w:val="-6"/>
          <w:kern w:val="21"/>
          <w:sz w:val="21"/>
          <w:szCs w:val="15"/>
          <w:highlight w:val="none"/>
        </w:rPr>
        <w:t>=</w:t>
      </w:r>
      <w:r>
        <w:rPr>
          <w:rFonts w:hint="default" w:ascii="Times New Roman" w:hAnsi="Times New Roman" w:eastAsia="宋体" w:cs="Times New Roman"/>
          <w:snapToGrid w:val="0"/>
          <w:color w:val="auto"/>
          <w:spacing w:val="-16"/>
          <w:kern w:val="21"/>
          <w:sz w:val="21"/>
          <w:szCs w:val="15"/>
          <w:highlight w:val="none"/>
        </w:rPr>
        <w:fldChar w:fldCharType="begin"/>
      </w:r>
      <w:r>
        <w:rPr>
          <w:rFonts w:hint="default" w:ascii="Times New Roman" w:hAnsi="Times New Roman" w:eastAsia="宋体" w:cs="Times New Roman"/>
          <w:snapToGrid w:val="0"/>
          <w:color w:val="auto"/>
          <w:spacing w:val="-16"/>
          <w:kern w:val="21"/>
          <w:sz w:val="21"/>
          <w:szCs w:val="15"/>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15"/>
          <w:highlight w:val="none"/>
        </w:rPr>
        <w:fldChar w:fldCharType="separate"/>
      </w:r>
      <w:r>
        <w:rPr>
          <w:rFonts w:hint="default" w:ascii="Times New Roman" w:hAnsi="Times New Roman" w:eastAsia="宋体" w:cs="Times New Roman"/>
          <w:color w:val="auto"/>
          <w:sz w:val="21"/>
          <w:szCs w:val="15"/>
          <w:highlight w:val="none"/>
        </w:rPr>
        <w:t>⑥</w:t>
      </w:r>
      <w:r>
        <w:rPr>
          <w:rFonts w:hint="default" w:ascii="Times New Roman" w:hAnsi="Times New Roman" w:eastAsia="宋体" w:cs="Times New Roman"/>
          <w:snapToGrid w:val="0"/>
          <w:color w:val="auto"/>
          <w:spacing w:val="-16"/>
          <w:kern w:val="21"/>
          <w:sz w:val="21"/>
          <w:szCs w:val="15"/>
          <w:highlight w:val="none"/>
        </w:rPr>
        <w:fldChar w:fldCharType="end"/>
      </w:r>
      <w:r>
        <w:rPr>
          <w:rFonts w:hint="default" w:ascii="Times New Roman" w:hAnsi="Times New Roman" w:eastAsia="宋体" w:cs="Times New Roman"/>
          <w:snapToGrid w:val="0"/>
          <w:color w:val="auto"/>
          <w:spacing w:val="-16"/>
          <w:kern w:val="21"/>
          <w:sz w:val="21"/>
          <w:szCs w:val="15"/>
          <w:highlight w:val="none"/>
        </w:rPr>
        <w:t>-</w:t>
      </w:r>
      <w:r>
        <w:rPr>
          <w:rFonts w:hint="default" w:ascii="Times New Roman" w:hAnsi="Times New Roman" w:eastAsia="宋体" w:cs="Times New Roman"/>
          <w:snapToGrid w:val="0"/>
          <w:color w:val="auto"/>
          <w:spacing w:val="-6"/>
          <w:kern w:val="21"/>
          <w:sz w:val="21"/>
          <w:szCs w:val="15"/>
          <w:highlight w:val="none"/>
        </w:rPr>
        <w:fldChar w:fldCharType="begin"/>
      </w:r>
      <w:r>
        <w:rPr>
          <w:rFonts w:hint="default" w:ascii="Times New Roman" w:hAnsi="Times New Roman" w:eastAsia="宋体" w:cs="Times New Roman"/>
          <w:snapToGrid w:val="0"/>
          <w:color w:val="auto"/>
          <w:spacing w:val="-6"/>
          <w:kern w:val="21"/>
          <w:sz w:val="21"/>
          <w:szCs w:val="15"/>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15"/>
          <w:highlight w:val="none"/>
        </w:rPr>
        <w:fldChar w:fldCharType="separate"/>
      </w:r>
      <w:r>
        <w:rPr>
          <w:rFonts w:hint="default" w:ascii="Times New Roman" w:hAnsi="Times New Roman" w:eastAsia="宋体" w:cs="Times New Roman"/>
          <w:color w:val="auto"/>
          <w:sz w:val="21"/>
          <w:szCs w:val="15"/>
          <w:highlight w:val="none"/>
        </w:rPr>
        <w:t>①</w:t>
      </w:r>
      <w:r>
        <w:rPr>
          <w:rFonts w:hint="default" w:ascii="Times New Roman" w:hAnsi="Times New Roman" w:eastAsia="宋体" w:cs="Times New Roman"/>
          <w:snapToGrid w:val="0"/>
          <w:color w:val="auto"/>
          <w:spacing w:val="-6"/>
          <w:kern w:val="21"/>
          <w:sz w:val="21"/>
          <w:szCs w:val="15"/>
          <w:highlight w:val="none"/>
        </w:rPr>
        <w:fldChar w:fldCharType="end"/>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2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新宋体-18030">
    <w:altName w:val="宋体"/>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Wingdings 2">
    <w:panose1 w:val="05020102010507070707"/>
    <w:charset w:val="02"/>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mn-c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KSOFE44F9426">
    <w:panose1 w:val="02010609060101010101"/>
    <w:charset w:val="86"/>
    <w:family w:val="auto"/>
    <w:pitch w:val="default"/>
    <w:sig w:usb0="00000001" w:usb1="00000000" w:usb2="00000000"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0F58">
    <w:pPr>
      <w:pStyle w:val="14"/>
      <w:tabs>
        <w:tab w:val="center" w:pos="4422"/>
        <w:tab w:val="clear" w:pos="4153"/>
      </w:tabs>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EAF31A">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FEAF31A">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20946">
    <w:pPr>
      <w:pStyle w:val="14"/>
      <w:tabs>
        <w:tab w:val="left" w:pos="8306"/>
        <w:tab w:val="clear" w:pos="4153"/>
      </w:tabs>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E3480B">
                          <w:pPr>
                            <w:pStyle w:val="14"/>
                          </w:pPr>
                          <w:r>
                            <w:fldChar w:fldCharType="begin"/>
                          </w:r>
                          <w:r>
                            <w:instrText xml:space="preserve"> PAGE  \* MERGEFORMAT </w:instrText>
                          </w:r>
                          <w:r>
                            <w:fldChar w:fldCharType="separate"/>
                          </w:r>
                          <w:r>
                            <w:t>97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0CE3480B">
                    <w:pPr>
                      <w:pStyle w:val="1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B09D55"/>
    <w:multiLevelType w:val="multilevel"/>
    <w:tmpl w:val="0BB09D55"/>
    <w:lvl w:ilvl="0" w:tentative="0">
      <w:start w:val="1"/>
      <w:numFmt w:val="chineseCountingThousand"/>
      <w:lvlText w:val="%1"/>
      <w:lvlJc w:val="left"/>
      <w:pPr>
        <w:tabs>
          <w:tab w:val="left" w:pos="425"/>
        </w:tabs>
        <w:ind w:left="0" w:firstLine="0"/>
      </w:pPr>
      <w:rPr>
        <w:rFonts w:hint="default" w:ascii="Times New Roman" w:hAnsi="Times New Roman" w:eastAsia="新宋体"/>
        <w:b/>
        <w:i w:val="0"/>
        <w:sz w:val="28"/>
      </w:rPr>
    </w:lvl>
    <w:lvl w:ilvl="1" w:tentative="0">
      <w:start w:val="1"/>
      <w:numFmt w:val="decimal"/>
      <w:pStyle w:val="50"/>
      <w:isLgl/>
      <w:lvlText w:val="%1.%2"/>
      <w:lvlJc w:val="left"/>
      <w:pPr>
        <w:tabs>
          <w:tab w:val="left" w:pos="425"/>
        </w:tabs>
        <w:ind w:left="0" w:firstLine="0"/>
      </w:pPr>
      <w:rPr>
        <w:rFonts w:hint="default" w:ascii="Times New Roman" w:hAnsi="Times New Roman" w:eastAsia="新宋体"/>
        <w:b/>
        <w:i w:val="0"/>
        <w:sz w:val="26"/>
      </w:rPr>
    </w:lvl>
    <w:lvl w:ilvl="2" w:tentative="0">
      <w:start w:val="1"/>
      <w:numFmt w:val="decimal"/>
      <w:pStyle w:val="49"/>
      <w:isLgl/>
      <w:lvlText w:val="%1.%2.%3"/>
      <w:lvlJc w:val="left"/>
      <w:pPr>
        <w:tabs>
          <w:tab w:val="left" w:pos="425"/>
        </w:tabs>
        <w:ind w:left="0" w:firstLine="0"/>
      </w:pPr>
      <w:rPr>
        <w:rFonts w:hint="default" w:ascii="Times New Roman" w:hAnsi="Times New Roman" w:eastAsia="新宋体"/>
        <w:b/>
        <w:i w:val="0"/>
        <w:sz w:val="26"/>
      </w:rPr>
    </w:lvl>
    <w:lvl w:ilvl="3" w:tentative="0">
      <w:start w:val="1"/>
      <w:numFmt w:val="decimal"/>
      <w:pStyle w:val="55"/>
      <w:isLgl/>
      <w:lvlText w:val="%1.%2.%3.%4"/>
      <w:lvlJc w:val="left"/>
      <w:pPr>
        <w:tabs>
          <w:tab w:val="left" w:pos="255"/>
        </w:tabs>
        <w:ind w:left="0" w:firstLine="0"/>
      </w:pPr>
      <w:rPr>
        <w:rFonts w:hint="default" w:ascii="Times New Roman" w:hAnsi="Times New Roman" w:eastAsia="新宋体"/>
        <w:b w:val="0"/>
        <w:i w:val="0"/>
        <w:sz w:val="26"/>
      </w:rPr>
    </w:lvl>
    <w:lvl w:ilvl="4" w:tentative="0">
      <w:start w:val="1"/>
      <w:numFmt w:val="decimal"/>
      <w:lvlText w:val="%1.%2.%3.%4.%5"/>
      <w:lvlJc w:val="left"/>
      <w:pPr>
        <w:tabs>
          <w:tab w:val="left" w:pos="425"/>
        </w:tabs>
        <w:ind w:left="0" w:firstLine="0"/>
      </w:pPr>
      <w:rPr>
        <w:rFonts w:hint="eastAsia"/>
      </w:rPr>
    </w:lvl>
    <w:lvl w:ilvl="5" w:tentative="0">
      <w:start w:val="1"/>
      <w:numFmt w:val="decimal"/>
      <w:lvlText w:val="%1.%2.%3.%4.%5.%6"/>
      <w:lvlJc w:val="left"/>
      <w:pPr>
        <w:tabs>
          <w:tab w:val="left" w:pos="425"/>
        </w:tabs>
        <w:ind w:left="0" w:firstLine="0"/>
      </w:pPr>
      <w:rPr>
        <w:rFonts w:hint="eastAsia"/>
      </w:rPr>
    </w:lvl>
    <w:lvl w:ilvl="6" w:tentative="0">
      <w:start w:val="1"/>
      <w:numFmt w:val="decimal"/>
      <w:lvlText w:val="%1.%2.%3.%4.%5.%6.%7"/>
      <w:lvlJc w:val="left"/>
      <w:pPr>
        <w:tabs>
          <w:tab w:val="left" w:pos="425"/>
        </w:tabs>
        <w:ind w:left="0" w:firstLine="0"/>
      </w:pPr>
      <w:rPr>
        <w:rFonts w:hint="eastAsia"/>
      </w:rPr>
    </w:lvl>
    <w:lvl w:ilvl="7" w:tentative="0">
      <w:start w:val="1"/>
      <w:numFmt w:val="decimal"/>
      <w:lvlText w:val="%1.%2.%3.%4.%5.%6.%7.%8"/>
      <w:lvlJc w:val="left"/>
      <w:pPr>
        <w:tabs>
          <w:tab w:val="left" w:pos="425"/>
        </w:tabs>
        <w:ind w:left="0" w:firstLine="0"/>
      </w:pPr>
      <w:rPr>
        <w:rFonts w:hint="eastAsia"/>
      </w:rPr>
    </w:lvl>
    <w:lvl w:ilvl="8" w:tentative="0">
      <w:start w:val="1"/>
      <w:numFmt w:val="decimal"/>
      <w:lvlText w:val="%1.%2.%3.%4.%5.%6.%7.%8.%9"/>
      <w:lvlJc w:val="left"/>
      <w:pPr>
        <w:tabs>
          <w:tab w:val="left" w:pos="425"/>
        </w:tabs>
        <w:ind w:left="0" w:firstLine="0"/>
      </w:pPr>
      <w:rPr>
        <w:rFonts w:hint="eastAsia"/>
      </w:rPr>
    </w:lvl>
  </w:abstractNum>
  <w:abstractNum w:abstractNumId="1">
    <w:nsid w:val="32003248"/>
    <w:multiLevelType w:val="singleLevel"/>
    <w:tmpl w:val="32003248"/>
    <w:lvl w:ilvl="0" w:tentative="0">
      <w:start w:val="5"/>
      <w:numFmt w:val="decimal"/>
      <w:suff w:val="nothing"/>
      <w:lvlText w:val="（%1）"/>
      <w:lvlJc w:val="left"/>
    </w:lvl>
  </w:abstractNum>
  <w:abstractNum w:abstractNumId="2">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4"/>
      <w:suff w:val="space"/>
      <w:lvlText w:val="%1.%2"/>
      <w:lvlJc w:val="left"/>
      <w:pPr>
        <w:ind w:left="1417"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6"/>
  <w:bordersDoNotSurroundHeader w:val="0"/>
  <w:bordersDoNotSurroundFooter w:val="0"/>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5787C"/>
    <w:rsid w:val="021F6013"/>
    <w:rsid w:val="02527671"/>
    <w:rsid w:val="02793B28"/>
    <w:rsid w:val="02A10414"/>
    <w:rsid w:val="0476235E"/>
    <w:rsid w:val="05781F84"/>
    <w:rsid w:val="05BD5E9D"/>
    <w:rsid w:val="06513C51"/>
    <w:rsid w:val="06757C53"/>
    <w:rsid w:val="0817778D"/>
    <w:rsid w:val="09077801"/>
    <w:rsid w:val="09423355"/>
    <w:rsid w:val="09445A04"/>
    <w:rsid w:val="0A005A37"/>
    <w:rsid w:val="0A2A5E5E"/>
    <w:rsid w:val="0A5E4CE7"/>
    <w:rsid w:val="0A894DA0"/>
    <w:rsid w:val="0AB6328D"/>
    <w:rsid w:val="0BBA1B60"/>
    <w:rsid w:val="0BE5112D"/>
    <w:rsid w:val="0DC45C7F"/>
    <w:rsid w:val="0EF600FC"/>
    <w:rsid w:val="0F1862C4"/>
    <w:rsid w:val="0F6B23A9"/>
    <w:rsid w:val="100E14B8"/>
    <w:rsid w:val="102D5D9F"/>
    <w:rsid w:val="10C5422A"/>
    <w:rsid w:val="110F0ADF"/>
    <w:rsid w:val="115634AF"/>
    <w:rsid w:val="11767CB5"/>
    <w:rsid w:val="127A1044"/>
    <w:rsid w:val="12CF7B44"/>
    <w:rsid w:val="13AE369B"/>
    <w:rsid w:val="13D75BC0"/>
    <w:rsid w:val="14630D08"/>
    <w:rsid w:val="15A20FDE"/>
    <w:rsid w:val="168310D8"/>
    <w:rsid w:val="16894891"/>
    <w:rsid w:val="1697102F"/>
    <w:rsid w:val="16CF7810"/>
    <w:rsid w:val="16D36F75"/>
    <w:rsid w:val="17C23271"/>
    <w:rsid w:val="193D7E7D"/>
    <w:rsid w:val="1A73028D"/>
    <w:rsid w:val="1B2038AF"/>
    <w:rsid w:val="1C83086D"/>
    <w:rsid w:val="1C9E35F5"/>
    <w:rsid w:val="1E6F1565"/>
    <w:rsid w:val="1EF22A69"/>
    <w:rsid w:val="1F185191"/>
    <w:rsid w:val="1F8E183B"/>
    <w:rsid w:val="201566F4"/>
    <w:rsid w:val="206C3758"/>
    <w:rsid w:val="2087293C"/>
    <w:rsid w:val="2230248D"/>
    <w:rsid w:val="224376A4"/>
    <w:rsid w:val="22676D7D"/>
    <w:rsid w:val="22A453C1"/>
    <w:rsid w:val="22BD1E34"/>
    <w:rsid w:val="22BF6C03"/>
    <w:rsid w:val="230976FB"/>
    <w:rsid w:val="233161CA"/>
    <w:rsid w:val="234F79FF"/>
    <w:rsid w:val="23A9432F"/>
    <w:rsid w:val="24211B62"/>
    <w:rsid w:val="24711539"/>
    <w:rsid w:val="25357778"/>
    <w:rsid w:val="25C02524"/>
    <w:rsid w:val="27200E0C"/>
    <w:rsid w:val="27D20F08"/>
    <w:rsid w:val="27E40FE2"/>
    <w:rsid w:val="28155B19"/>
    <w:rsid w:val="28C00F65"/>
    <w:rsid w:val="28C332ED"/>
    <w:rsid w:val="299172E6"/>
    <w:rsid w:val="29E1696D"/>
    <w:rsid w:val="2AD94591"/>
    <w:rsid w:val="2B0D29A1"/>
    <w:rsid w:val="2B2422E0"/>
    <w:rsid w:val="2B2552B9"/>
    <w:rsid w:val="2B794137"/>
    <w:rsid w:val="2B9A395D"/>
    <w:rsid w:val="2B9C0478"/>
    <w:rsid w:val="2C14560C"/>
    <w:rsid w:val="2CB87123"/>
    <w:rsid w:val="2D1442DD"/>
    <w:rsid w:val="2D512220"/>
    <w:rsid w:val="2D9E4D24"/>
    <w:rsid w:val="2E3A1AF6"/>
    <w:rsid w:val="2EBE312D"/>
    <w:rsid w:val="2F063F34"/>
    <w:rsid w:val="2F325535"/>
    <w:rsid w:val="2F9A6BD2"/>
    <w:rsid w:val="2FB27C17"/>
    <w:rsid w:val="2FB46067"/>
    <w:rsid w:val="3064604E"/>
    <w:rsid w:val="30C55A8B"/>
    <w:rsid w:val="31103992"/>
    <w:rsid w:val="31D61920"/>
    <w:rsid w:val="32D6560A"/>
    <w:rsid w:val="33373932"/>
    <w:rsid w:val="33770434"/>
    <w:rsid w:val="34453359"/>
    <w:rsid w:val="34955097"/>
    <w:rsid w:val="35420D38"/>
    <w:rsid w:val="356D379A"/>
    <w:rsid w:val="35DA633B"/>
    <w:rsid w:val="368045CB"/>
    <w:rsid w:val="38156F95"/>
    <w:rsid w:val="38324379"/>
    <w:rsid w:val="384172BC"/>
    <w:rsid w:val="38812C8C"/>
    <w:rsid w:val="396A46F6"/>
    <w:rsid w:val="39893797"/>
    <w:rsid w:val="3A6B28B9"/>
    <w:rsid w:val="3A917AA1"/>
    <w:rsid w:val="3AAA6137"/>
    <w:rsid w:val="3AB62C23"/>
    <w:rsid w:val="3AD76E1C"/>
    <w:rsid w:val="3B1B0A8A"/>
    <w:rsid w:val="3B306BC4"/>
    <w:rsid w:val="3BC431AC"/>
    <w:rsid w:val="3C262CDC"/>
    <w:rsid w:val="3CF831CE"/>
    <w:rsid w:val="3DE777F3"/>
    <w:rsid w:val="3FD4073A"/>
    <w:rsid w:val="41BA2DF7"/>
    <w:rsid w:val="429107C7"/>
    <w:rsid w:val="429C08AA"/>
    <w:rsid w:val="42BA3975"/>
    <w:rsid w:val="44A6065D"/>
    <w:rsid w:val="44EC1B25"/>
    <w:rsid w:val="44FB20E0"/>
    <w:rsid w:val="45FB3C6E"/>
    <w:rsid w:val="470F17EE"/>
    <w:rsid w:val="477A6E15"/>
    <w:rsid w:val="477B7F5A"/>
    <w:rsid w:val="47907935"/>
    <w:rsid w:val="47B476E2"/>
    <w:rsid w:val="48205F92"/>
    <w:rsid w:val="48C37B9F"/>
    <w:rsid w:val="490B0010"/>
    <w:rsid w:val="4A74094A"/>
    <w:rsid w:val="4AAB5FCF"/>
    <w:rsid w:val="4B462609"/>
    <w:rsid w:val="4B535268"/>
    <w:rsid w:val="4C950DB5"/>
    <w:rsid w:val="4CD3647F"/>
    <w:rsid w:val="4D545299"/>
    <w:rsid w:val="4DD740B5"/>
    <w:rsid w:val="4E870D75"/>
    <w:rsid w:val="4E927F77"/>
    <w:rsid w:val="4EBC2B55"/>
    <w:rsid w:val="4EDC4A2D"/>
    <w:rsid w:val="4F6C075B"/>
    <w:rsid w:val="509101A9"/>
    <w:rsid w:val="50A93385"/>
    <w:rsid w:val="50E412FD"/>
    <w:rsid w:val="518B1746"/>
    <w:rsid w:val="51C03289"/>
    <w:rsid w:val="522410D4"/>
    <w:rsid w:val="531468A5"/>
    <w:rsid w:val="53345341"/>
    <w:rsid w:val="538452A3"/>
    <w:rsid w:val="549E05E7"/>
    <w:rsid w:val="54D733D0"/>
    <w:rsid w:val="553B7BE4"/>
    <w:rsid w:val="55B94704"/>
    <w:rsid w:val="55C85B33"/>
    <w:rsid w:val="56865DC0"/>
    <w:rsid w:val="57390CCB"/>
    <w:rsid w:val="57DA5BAC"/>
    <w:rsid w:val="59333F46"/>
    <w:rsid w:val="59433FAE"/>
    <w:rsid w:val="597D7D7F"/>
    <w:rsid w:val="5AB56578"/>
    <w:rsid w:val="5B270145"/>
    <w:rsid w:val="5BC00E43"/>
    <w:rsid w:val="5C35587F"/>
    <w:rsid w:val="5D3D0809"/>
    <w:rsid w:val="5D4E4DDB"/>
    <w:rsid w:val="5DD76917"/>
    <w:rsid w:val="5E6C4A2D"/>
    <w:rsid w:val="61024164"/>
    <w:rsid w:val="61903065"/>
    <w:rsid w:val="62261C1B"/>
    <w:rsid w:val="62440670"/>
    <w:rsid w:val="626B72DA"/>
    <w:rsid w:val="634265CE"/>
    <w:rsid w:val="64223B95"/>
    <w:rsid w:val="64520AA6"/>
    <w:rsid w:val="64CA4B19"/>
    <w:rsid w:val="65496F31"/>
    <w:rsid w:val="661029C7"/>
    <w:rsid w:val="66FE6952"/>
    <w:rsid w:val="670E5056"/>
    <w:rsid w:val="67823C94"/>
    <w:rsid w:val="68674743"/>
    <w:rsid w:val="69083E29"/>
    <w:rsid w:val="69407A67"/>
    <w:rsid w:val="694A0EF8"/>
    <w:rsid w:val="695A7879"/>
    <w:rsid w:val="69683A9E"/>
    <w:rsid w:val="69860388"/>
    <w:rsid w:val="69983389"/>
    <w:rsid w:val="69DB7894"/>
    <w:rsid w:val="6A1A1CF3"/>
    <w:rsid w:val="6B1650A3"/>
    <w:rsid w:val="6BA14DDE"/>
    <w:rsid w:val="6C6413A4"/>
    <w:rsid w:val="6CC87B57"/>
    <w:rsid w:val="6CF26475"/>
    <w:rsid w:val="6CFC0968"/>
    <w:rsid w:val="6D334933"/>
    <w:rsid w:val="6D8A7447"/>
    <w:rsid w:val="6D8E6FF3"/>
    <w:rsid w:val="6E0C039B"/>
    <w:rsid w:val="6E6F734D"/>
    <w:rsid w:val="6E911AE3"/>
    <w:rsid w:val="6E955E01"/>
    <w:rsid w:val="6E957F0D"/>
    <w:rsid w:val="6EB1286D"/>
    <w:rsid w:val="6EBD6CA9"/>
    <w:rsid w:val="6F26505E"/>
    <w:rsid w:val="6F346A0E"/>
    <w:rsid w:val="709A446A"/>
    <w:rsid w:val="71290EBF"/>
    <w:rsid w:val="733F48EB"/>
    <w:rsid w:val="73DC6178"/>
    <w:rsid w:val="74934EEE"/>
    <w:rsid w:val="74AA2238"/>
    <w:rsid w:val="76960CC6"/>
    <w:rsid w:val="772B2E92"/>
    <w:rsid w:val="783C764B"/>
    <w:rsid w:val="789004EF"/>
    <w:rsid w:val="7A2054EA"/>
    <w:rsid w:val="7A4C1E6A"/>
    <w:rsid w:val="7B040B8F"/>
    <w:rsid w:val="7BE81698"/>
    <w:rsid w:val="7BEF5CBC"/>
    <w:rsid w:val="7BFE2F6B"/>
    <w:rsid w:val="7C7750F6"/>
    <w:rsid w:val="7CB94439"/>
    <w:rsid w:val="7CE30667"/>
    <w:rsid w:val="7D605318"/>
    <w:rsid w:val="7DD32C3F"/>
    <w:rsid w:val="7E725B75"/>
    <w:rsid w:val="7E9B1DD8"/>
    <w:rsid w:val="7F286B7B"/>
    <w:rsid w:val="7F2C2216"/>
    <w:rsid w:val="7FAC5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unhideWhenUsed/>
    <w:qFormat/>
    <w:uiPriority w:val="0"/>
    <w:pPr>
      <w:keepNext/>
      <w:keepLines/>
      <w:spacing w:line="520" w:lineRule="exact"/>
      <w:ind w:firstLine="0" w:firstLineChars="0"/>
      <w:jc w:val="left"/>
      <w:outlineLvl w:val="1"/>
    </w:pPr>
    <w:rPr>
      <w:rFonts w:ascii="Cambria" w:hAnsi="Cambria" w:eastAsia="宋体"/>
      <w:b/>
      <w:bCs/>
      <w:sz w:val="26"/>
      <w:szCs w:val="32"/>
    </w:rPr>
  </w:style>
  <w:style w:type="paragraph" w:styleId="7">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8">
    <w:name w:val="heading 4"/>
    <w:basedOn w:val="1"/>
    <w:next w:val="1"/>
    <w:qFormat/>
    <w:uiPriority w:val="0"/>
    <w:pPr>
      <w:keepNext/>
      <w:keepLines/>
      <w:adjustRightInd w:val="0"/>
      <w:snapToGrid w:val="0"/>
      <w:spacing w:line="460" w:lineRule="exact"/>
      <w:jc w:val="left"/>
      <w:outlineLvl w:val="3"/>
    </w:pPr>
    <w:rPr>
      <w:rFonts w:ascii="Times New Roman" w:hAnsi="Times New Roman" w:eastAsia="宋体"/>
      <w:b/>
      <w:bCs/>
      <w:kern w:val="0"/>
      <w:sz w:val="24"/>
      <w:szCs w:val="24"/>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snapToGrid w:val="0"/>
      <w:spacing w:before="60" w:after="160" w:line="259" w:lineRule="auto"/>
      <w:ind w:right="113"/>
    </w:pPr>
    <w:rPr>
      <w:kern w:val="0"/>
      <w:sz w:val="18"/>
      <w:szCs w:val="20"/>
    </w:rPr>
  </w:style>
  <w:style w:type="paragraph" w:styleId="3">
    <w:name w:val="Body Text First Indent"/>
    <w:basedOn w:val="2"/>
    <w:next w:val="1"/>
    <w:qFormat/>
    <w:uiPriority w:val="0"/>
    <w:pPr>
      <w:spacing w:line="400" w:lineRule="exact"/>
      <w:ind w:firstLine="493"/>
    </w:pPr>
    <w:rPr>
      <w:rFonts w:ascii="楷体_GB2312"/>
      <w:spacing w:val="8"/>
      <w:kern w:val="24"/>
      <w:sz w:val="24"/>
    </w:rPr>
  </w:style>
  <w:style w:type="paragraph" w:styleId="4">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0" w:firstLineChars="0"/>
      <w:jc w:val="center"/>
    </w:pPr>
    <w:rPr>
      <w:rFonts w:ascii="Courier New" w:hAnsi="Courier New" w:eastAsia="宋体" w:cs="Courier New"/>
      <w:kern w:val="2"/>
      <w:sz w:val="21"/>
      <w:szCs w:val="24"/>
      <w:lang w:val="en-US" w:eastAsia="zh-CN" w:bidi="ar-SA"/>
    </w:rPr>
  </w:style>
  <w:style w:type="paragraph" w:styleId="9">
    <w:name w:val="List 3"/>
    <w:basedOn w:val="1"/>
    <w:next w:val="1"/>
    <w:qFormat/>
    <w:uiPriority w:val="0"/>
    <w:pPr>
      <w:widowControl w:val="0"/>
      <w:autoSpaceDE w:val="0"/>
      <w:autoSpaceDN w:val="0"/>
      <w:spacing w:line="288" w:lineRule="auto"/>
      <w:ind w:left="1260" w:hanging="420"/>
      <w:textAlignment w:val="baseline"/>
    </w:pPr>
    <w:rPr>
      <w:rFonts w:ascii="Times New Roman" w:hAnsi="Times New Roman" w:eastAsia="宋体" w:cs="Times New Roman"/>
      <w:sz w:val="24"/>
    </w:rPr>
  </w:style>
  <w:style w:type="paragraph" w:styleId="10">
    <w:name w:val="Normal Indent"/>
    <w:basedOn w:val="1"/>
    <w:next w:val="1"/>
    <w:qFormat/>
    <w:uiPriority w:val="99"/>
    <w:pPr>
      <w:widowControl/>
      <w:spacing w:line="400" w:lineRule="exact"/>
      <w:ind w:firstLine="420"/>
    </w:pPr>
    <w:rPr>
      <w:rFonts w:ascii="楷体_GB2312" w:eastAsia="楷体_GB2312"/>
      <w:spacing w:val="8"/>
      <w:kern w:val="0"/>
      <w:sz w:val="24"/>
      <w:szCs w:val="20"/>
    </w:rPr>
  </w:style>
  <w:style w:type="paragraph" w:styleId="11">
    <w:name w:val="annotation text"/>
    <w:basedOn w:val="1"/>
    <w:semiHidden/>
    <w:qFormat/>
    <w:uiPriority w:val="0"/>
    <w:pPr>
      <w:jc w:val="left"/>
    </w:pPr>
    <w:rPr>
      <w:kern w:val="0"/>
      <w:sz w:val="24"/>
      <w:szCs w:val="20"/>
    </w:rPr>
  </w:style>
  <w:style w:type="paragraph" w:styleId="12">
    <w:name w:val="Body Text Indent"/>
    <w:basedOn w:val="1"/>
    <w:qFormat/>
    <w:uiPriority w:val="0"/>
    <w:pPr>
      <w:spacing w:after="120"/>
      <w:ind w:left="420" w:leftChars="200"/>
    </w:pPr>
    <w:rPr>
      <w:kern w:val="0"/>
      <w:sz w:val="24"/>
      <w:szCs w:val="20"/>
    </w:rPr>
  </w:style>
  <w:style w:type="paragraph" w:styleId="13">
    <w:name w:val="Body Text Indent 2"/>
    <w:basedOn w:val="1"/>
    <w:qFormat/>
    <w:uiPriority w:val="0"/>
    <w:pPr>
      <w:spacing w:after="120" w:line="480" w:lineRule="auto"/>
      <w:ind w:left="420" w:leftChars="200"/>
      <w:jc w:val="left"/>
    </w:p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List"/>
    <w:basedOn w:val="1"/>
    <w:qFormat/>
    <w:uiPriority w:val="0"/>
    <w:pPr>
      <w:adjustRightInd w:val="0"/>
      <w:spacing w:line="560" w:lineRule="atLeast"/>
      <w:ind w:left="420" w:hanging="420"/>
    </w:pPr>
    <w:rPr>
      <w:rFonts w:hint="eastAsia" w:ascii="仿宋_GB2312" w:eastAsia="仿宋_GB2312"/>
      <w:color w:val="000000"/>
      <w:kern w:val="0"/>
      <w:sz w:val="32"/>
      <w:szCs w:val="20"/>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7">
    <w:name w:val="Body Text First Indent 2"/>
    <w:basedOn w:val="12"/>
    <w:next w:val="1"/>
    <w:qFormat/>
    <w:uiPriority w:val="0"/>
    <w:pPr>
      <w:adjustRightInd w:val="0"/>
      <w:snapToGrid w:val="0"/>
      <w:spacing w:line="300" w:lineRule="auto"/>
      <w:ind w:firstLine="420" w:firstLineChars="200"/>
    </w:pPr>
    <w:rPr>
      <w:rFonts w:ascii="仿宋_GB2312" w:hAnsi="Calibri" w:eastAsia="宋体"/>
      <w:bCs/>
    </w:r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basedOn w:val="20"/>
    <w:qFormat/>
    <w:uiPriority w:val="0"/>
    <w:rPr>
      <w:color w:val="0000FF"/>
      <w:u w:val="single"/>
    </w:rPr>
  </w:style>
  <w:style w:type="paragraph" w:customStyle="1" w:styleId="23">
    <w:name w:val="样式 方正小标宋_GBK 二号 居中 行距: 固定值 30 磅"/>
    <w:basedOn w:val="5"/>
    <w:qFormat/>
    <w:uiPriority w:val="0"/>
    <w:pPr>
      <w:widowControl w:val="0"/>
      <w:spacing w:before="0" w:after="0" w:line="600" w:lineRule="exact"/>
      <w:jc w:val="center"/>
    </w:pPr>
    <w:rPr>
      <w:rFonts w:ascii="方正小标宋_GBK" w:eastAsia="方正小标宋_GBK"/>
      <w:b w:val="0"/>
      <w:kern w:val="2"/>
      <w:szCs w:val="20"/>
    </w:rPr>
  </w:style>
  <w:style w:type="paragraph" w:customStyle="1" w:styleId="24">
    <w:name w:val="Table Text"/>
    <w:basedOn w:val="1"/>
    <w:semiHidden/>
    <w:qFormat/>
    <w:uiPriority w:val="0"/>
    <w:rPr>
      <w:rFonts w:ascii="宋体" w:hAnsi="宋体" w:eastAsia="宋体" w:cs="宋体"/>
      <w:sz w:val="20"/>
      <w:szCs w:val="20"/>
      <w:lang w:val="en-US" w:eastAsia="en-US" w:bidi="ar-SA"/>
    </w:rPr>
  </w:style>
  <w:style w:type="character" w:customStyle="1" w:styleId="25">
    <w:name w:val="font41"/>
    <w:basedOn w:val="20"/>
    <w:qFormat/>
    <w:uiPriority w:val="0"/>
    <w:rPr>
      <w:rFonts w:hint="default" w:ascii="Times New Roman" w:hAnsi="Times New Roman" w:cs="Times New Roman"/>
      <w:color w:val="000000"/>
      <w:sz w:val="22"/>
      <w:szCs w:val="22"/>
      <w:u w:val="none"/>
      <w:vertAlign w:val="superscript"/>
    </w:rPr>
  </w:style>
  <w:style w:type="character" w:customStyle="1" w:styleId="26">
    <w:name w:val="font01"/>
    <w:basedOn w:val="20"/>
    <w:qFormat/>
    <w:uiPriority w:val="0"/>
    <w:rPr>
      <w:rFonts w:hint="eastAsia" w:ascii="宋体" w:hAnsi="宋体" w:eastAsia="宋体" w:cs="宋体"/>
      <w:b/>
      <w:color w:val="000000"/>
      <w:kern w:val="0"/>
      <w:sz w:val="20"/>
      <w:szCs w:val="20"/>
      <w:u w:val="none"/>
      <w:lang w:eastAsia="en-US"/>
    </w:rPr>
  </w:style>
  <w:style w:type="character" w:customStyle="1" w:styleId="27">
    <w:name w:val="font21"/>
    <w:basedOn w:val="20"/>
    <w:qFormat/>
    <w:uiPriority w:val="0"/>
    <w:rPr>
      <w:rFonts w:hint="default" w:ascii="Times New Roman" w:hAnsi="Times New Roman" w:eastAsia="Times New Roman" w:cs="Times New Roman"/>
      <w:b/>
      <w:color w:val="000000"/>
      <w:kern w:val="0"/>
      <w:sz w:val="20"/>
      <w:szCs w:val="20"/>
      <w:u w:val="none"/>
      <w:lang w:eastAsia="en-US"/>
    </w:rPr>
  </w:style>
  <w:style w:type="paragraph" w:customStyle="1" w:styleId="28">
    <w:name w:val="xl27"/>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1"/>
      <w:szCs w:val="24"/>
      <w:lang w:val="en-US" w:eastAsia="zh-CN" w:bidi="ar-SA"/>
    </w:rPr>
  </w:style>
  <w:style w:type="paragraph" w:customStyle="1" w:styleId="29">
    <w:name w:val="报告正文"/>
    <w:basedOn w:val="30"/>
    <w:qFormat/>
    <w:uiPriority w:val="0"/>
    <w:pPr>
      <w:snapToGrid w:val="0"/>
      <w:spacing w:line="440" w:lineRule="exact"/>
      <w:ind w:firstLine="200" w:firstLineChars="200"/>
    </w:pPr>
    <w:rPr>
      <w:sz w:val="24"/>
    </w:rPr>
  </w:style>
  <w:style w:type="paragraph" w:customStyle="1" w:styleId="30">
    <w:name w:val="正文4"/>
    <w:basedOn w:val="1"/>
    <w:qFormat/>
    <w:uiPriority w:val="0"/>
    <w:pPr>
      <w:spacing w:line="480" w:lineRule="exact"/>
      <w:ind w:firstLine="480" w:firstLineChars="200"/>
    </w:pPr>
    <w:rPr>
      <w:rFonts w:ascii="宋体" w:hAnsi="宋体" w:eastAsia="仿宋_GB2312"/>
      <w:color w:val="000000"/>
      <w:kern w:val="0"/>
      <w:sz w:val="24"/>
      <w:szCs w:val="20"/>
    </w:rPr>
  </w:style>
  <w:style w:type="paragraph" w:customStyle="1" w:styleId="31">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Default"/>
    <w:basedOn w:val="33"/>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3">
    <w:name w:val="纯文本1"/>
    <w:basedOn w:val="1"/>
    <w:qFormat/>
    <w:uiPriority w:val="0"/>
    <w:pPr>
      <w:adjustRightInd w:val="0"/>
    </w:pPr>
    <w:rPr>
      <w:rFonts w:ascii="宋体" w:hAnsi="Courier New"/>
      <w:szCs w:val="20"/>
    </w:rPr>
  </w:style>
  <w:style w:type="paragraph" w:customStyle="1" w:styleId="34">
    <w:name w:val="标题2"/>
    <w:qFormat/>
    <w:uiPriority w:val="0"/>
    <w:pPr>
      <w:keepNext/>
      <w:keepLines/>
      <w:widowControl w:val="0"/>
      <w:numPr>
        <w:ilvl w:val="1"/>
        <w:numId w:val="1"/>
      </w:numPr>
      <w:spacing w:line="440" w:lineRule="exact"/>
      <w:jc w:val="both"/>
      <w:outlineLvl w:val="1"/>
    </w:pPr>
    <w:rPr>
      <w:rFonts w:ascii="Calibri Light" w:hAnsi="Calibri Light" w:eastAsia="宋体" w:cs="Times New Roman"/>
      <w:b/>
      <w:bCs/>
      <w:sz w:val="28"/>
      <w:szCs w:val="32"/>
      <w:lang w:val="en-US" w:eastAsia="zh-CN" w:bidi="ar-SA"/>
    </w:rPr>
  </w:style>
  <w:style w:type="paragraph" w:customStyle="1" w:styleId="35">
    <w:name w:val="样式 表格文字普通文字 Char Char Char Char + 黑色 两端对齐"/>
    <w:basedOn w:val="1"/>
    <w:qFormat/>
    <w:uiPriority w:val="0"/>
    <w:pPr>
      <w:ind w:firstLine="0" w:firstLineChars="0"/>
    </w:pPr>
    <w:rPr>
      <w:rFonts w:cs="宋体"/>
      <w:color w:val="000000"/>
      <w:kern w:val="2"/>
      <w:sz w:val="21"/>
      <w:szCs w:val="20"/>
    </w:rPr>
  </w:style>
  <w:style w:type="paragraph" w:customStyle="1" w:styleId="36">
    <w:name w:val="表格"/>
    <w:basedOn w:val="15"/>
    <w:next w:val="1"/>
    <w:qFormat/>
    <w:uiPriority w:val="0"/>
    <w:pPr>
      <w:adjustRightInd w:val="0"/>
      <w:snapToGrid w:val="0"/>
      <w:spacing w:beforeLines="10" w:afterLines="10" w:line="259" w:lineRule="auto"/>
      <w:jc w:val="center"/>
    </w:pPr>
    <w:rPr>
      <w:rFonts w:ascii="宋体"/>
      <w:kern w:val="0"/>
      <w:szCs w:val="20"/>
    </w:rPr>
  </w:style>
  <w:style w:type="paragraph" w:customStyle="1" w:styleId="37">
    <w:name w:val="表格格式"/>
    <w:basedOn w:val="1"/>
    <w:qFormat/>
    <w:uiPriority w:val="0"/>
    <w:pPr>
      <w:keepNext w:val="0"/>
      <w:keepLines w:val="0"/>
      <w:widowControl w:val="0"/>
      <w:suppressLineNumbers w:val="0"/>
      <w:spacing w:before="0" w:beforeAutospacing="0" w:after="0" w:afterAutospacing="0"/>
      <w:ind w:left="0" w:right="0" w:firstLine="0" w:firstLineChars="0"/>
      <w:jc w:val="center"/>
    </w:pPr>
    <w:rPr>
      <w:rFonts w:hint="default" w:ascii="Times New Roman" w:hAnsi="Times New Roman" w:eastAsia="宋体" w:cs="Times New Roman"/>
      <w:kern w:val="2"/>
      <w:sz w:val="21"/>
      <w:szCs w:val="21"/>
      <w:lang w:val="en-US" w:eastAsia="zh-CN" w:bidi="ar"/>
    </w:rPr>
  </w:style>
  <w:style w:type="table" w:customStyle="1" w:styleId="38">
    <w:name w:val="Table Normal"/>
    <w:basedOn w:val="18"/>
    <w:unhideWhenUsed/>
    <w:qFormat/>
    <w:uiPriority w:val="2"/>
    <w:rPr>
      <w:lang w:val="en-US" w:eastAsia="zh-CN" w:bidi="ar-SA"/>
    </w:rPr>
    <w:tblPr>
      <w:tblCellMar>
        <w:top w:w="0" w:type="dxa"/>
        <w:left w:w="0" w:type="dxa"/>
        <w:bottom w:w="0" w:type="dxa"/>
        <w:right w:w="0" w:type="dxa"/>
      </w:tblCellMar>
    </w:tblPr>
  </w:style>
  <w:style w:type="paragraph" w:customStyle="1" w:styleId="39">
    <w:name w:val="表格内容"/>
    <w:qFormat/>
    <w:uiPriority w:val="0"/>
    <w:pPr>
      <w:jc w:val="center"/>
    </w:pPr>
    <w:rPr>
      <w:rFonts w:ascii="Times New Roman" w:hAnsi="Times New Roman" w:eastAsia="宋体" w:cs="Times New Roman"/>
      <w:kern w:val="2"/>
      <w:sz w:val="21"/>
      <w:szCs w:val="21"/>
      <w:lang w:val="en-US" w:eastAsia="zh-CN" w:bidi="ar-SA"/>
    </w:rPr>
  </w:style>
  <w:style w:type="paragraph" w:customStyle="1" w:styleId="40">
    <w:name w:val="h正文"/>
    <w:basedOn w:val="1"/>
    <w:qFormat/>
    <w:uiPriority w:val="0"/>
    <w:pPr>
      <w:widowControl/>
      <w:adjustRightInd w:val="0"/>
      <w:snapToGrid w:val="0"/>
      <w:spacing w:line="360" w:lineRule="auto"/>
      <w:jc w:val="left"/>
    </w:pPr>
    <w:rPr>
      <w:rFonts w:ascii="宋体" w:hAnsi="宋体" w:cs="宋体"/>
      <w:sz w:val="24"/>
      <w:szCs w:val="24"/>
    </w:rPr>
  </w:style>
  <w:style w:type="paragraph" w:customStyle="1" w:styleId="41">
    <w:name w:val="h表格文字"/>
    <w:basedOn w:val="1"/>
    <w:qFormat/>
    <w:uiPriority w:val="0"/>
    <w:pPr>
      <w:widowControl/>
      <w:adjustRightInd w:val="0"/>
      <w:snapToGrid w:val="0"/>
      <w:jc w:val="center"/>
    </w:pPr>
    <w:rPr>
      <w:rFonts w:ascii="宋体" w:hAnsi="宋体" w:cs="宋体"/>
    </w:rPr>
  </w:style>
  <w:style w:type="paragraph" w:customStyle="1" w:styleId="42">
    <w:name w:val="正文   1"/>
    <w:qFormat/>
    <w:uiPriority w:val="0"/>
    <w:pPr>
      <w:widowControl w:val="0"/>
      <w:snapToGrid w:val="0"/>
      <w:spacing w:line="460" w:lineRule="atLeast"/>
      <w:ind w:firstLine="520" w:firstLineChars="200"/>
      <w:jc w:val="both"/>
    </w:pPr>
    <w:rPr>
      <w:rFonts w:ascii="Times New Roman" w:hAnsi="Times New Roman" w:eastAsia="宋体" w:cs="Times New Roman"/>
      <w:bCs/>
      <w:kern w:val="2"/>
      <w:sz w:val="26"/>
      <w:lang w:val="en-US" w:eastAsia="zh-CN" w:bidi="ar-SA"/>
    </w:rPr>
  </w:style>
  <w:style w:type="paragraph" w:customStyle="1" w:styleId="43">
    <w:name w:val="Gqd正文"/>
    <w:basedOn w:val="1"/>
    <w:qFormat/>
    <w:uiPriority w:val="0"/>
    <w:pPr>
      <w:snapToGrid w:val="0"/>
      <w:spacing w:line="460" w:lineRule="exact"/>
      <w:ind w:firstLine="520" w:firstLineChars="200"/>
    </w:pPr>
    <w:rPr>
      <w:rFonts w:eastAsia="新宋体"/>
      <w:bCs/>
      <w:sz w:val="26"/>
    </w:rPr>
  </w:style>
  <w:style w:type="paragraph" w:customStyle="1" w:styleId="44">
    <w:name w:val="表内字"/>
    <w:basedOn w:val="15"/>
    <w:qFormat/>
    <w:uiPriority w:val="0"/>
    <w:pPr>
      <w:autoSpaceDE w:val="0"/>
      <w:autoSpaceDN w:val="0"/>
      <w:spacing w:line="240" w:lineRule="auto"/>
      <w:ind w:left="0" w:firstLine="0" w:firstLineChars="0"/>
      <w:jc w:val="center"/>
    </w:pPr>
    <w:rPr>
      <w:rFonts w:ascii="Tahoma" w:hAnsi="Tahoma" w:eastAsia="宋体" w:cs="Calibri"/>
      <w:sz w:val="21"/>
      <w:szCs w:val="21"/>
    </w:rPr>
  </w:style>
  <w:style w:type="paragraph" w:customStyle="1" w:styleId="45">
    <w:name w:val="GQD表格字体"/>
    <w:basedOn w:val="46"/>
    <w:qFormat/>
    <w:uiPriority w:val="0"/>
    <w:pPr>
      <w:widowControl w:val="0"/>
      <w:adjustRightInd w:val="0"/>
      <w:snapToGrid w:val="0"/>
      <w:spacing w:line="240" w:lineRule="auto"/>
      <w:ind w:firstLine="0" w:firstLineChars="0"/>
      <w:jc w:val="both"/>
    </w:pPr>
    <w:rPr>
      <w:kern w:val="2"/>
      <w:sz w:val="21"/>
      <w:szCs w:val="24"/>
    </w:rPr>
  </w:style>
  <w:style w:type="paragraph" w:styleId="46">
    <w:name w:val="List Paragraph"/>
    <w:basedOn w:val="1"/>
    <w:qFormat/>
    <w:uiPriority w:val="26"/>
    <w:pPr>
      <w:widowControl/>
      <w:spacing w:line="360" w:lineRule="auto"/>
      <w:ind w:firstLine="420" w:firstLineChars="200"/>
      <w:jc w:val="left"/>
    </w:pPr>
    <w:rPr>
      <w:kern w:val="0"/>
      <w:sz w:val="24"/>
      <w:szCs w:val="21"/>
    </w:rPr>
  </w:style>
  <w:style w:type="paragraph" w:customStyle="1" w:styleId="47">
    <w:name w:val="GQD表头"/>
    <w:basedOn w:val="1"/>
    <w:qFormat/>
    <w:uiPriority w:val="0"/>
    <w:pPr>
      <w:snapToGrid w:val="0"/>
      <w:spacing w:before="50" w:beforeLines="50"/>
      <w:jc w:val="center"/>
    </w:pPr>
    <w:rPr>
      <w:rFonts w:eastAsia="新宋体"/>
      <w:b/>
      <w:sz w:val="22"/>
    </w:rPr>
  </w:style>
  <w:style w:type="paragraph" w:customStyle="1" w:styleId="48">
    <w:name w:val="正文格式"/>
    <w:basedOn w:val="1"/>
    <w:qFormat/>
    <w:uiPriority w:val="0"/>
    <w:pPr>
      <w:spacing w:line="360" w:lineRule="auto"/>
      <w:ind w:firstLine="480" w:firstLineChars="200"/>
    </w:pPr>
    <w:rPr>
      <w:kern w:val="0"/>
      <w:sz w:val="24"/>
      <w:szCs w:val="22"/>
    </w:rPr>
  </w:style>
  <w:style w:type="paragraph" w:customStyle="1" w:styleId="49">
    <w:name w:val="Gqd三级标题"/>
    <w:basedOn w:val="1"/>
    <w:qFormat/>
    <w:uiPriority w:val="0"/>
    <w:pPr>
      <w:numPr>
        <w:ilvl w:val="2"/>
        <w:numId w:val="2"/>
      </w:numPr>
      <w:tabs>
        <w:tab w:val="left" w:pos="680"/>
      </w:tabs>
      <w:adjustRightInd w:val="0"/>
      <w:snapToGrid w:val="0"/>
      <w:spacing w:line="460" w:lineRule="exact"/>
      <w:outlineLvl w:val="2"/>
    </w:pPr>
    <w:rPr>
      <w:b/>
      <w:sz w:val="26"/>
    </w:rPr>
  </w:style>
  <w:style w:type="paragraph" w:customStyle="1" w:styleId="50">
    <w:name w:val="Gqd二级标题"/>
    <w:basedOn w:val="1"/>
    <w:qFormat/>
    <w:uiPriority w:val="0"/>
    <w:pPr>
      <w:numPr>
        <w:ilvl w:val="1"/>
        <w:numId w:val="2"/>
      </w:numPr>
      <w:tabs>
        <w:tab w:val="left" w:pos="567"/>
      </w:tabs>
      <w:spacing w:line="460" w:lineRule="exact"/>
      <w:outlineLvl w:val="1"/>
    </w:pPr>
    <w:rPr>
      <w:b/>
      <w:sz w:val="26"/>
    </w:rPr>
  </w:style>
  <w:style w:type="paragraph" w:customStyle="1" w:styleId="51">
    <w:name w:val="表格格式1-2"/>
    <w:basedOn w:val="1"/>
    <w:qFormat/>
    <w:uiPriority w:val="0"/>
    <w:pPr>
      <w:jc w:val="center"/>
    </w:pPr>
    <w:rPr>
      <w:sz w:val="21"/>
      <w:szCs w:val="21"/>
    </w:rPr>
  </w:style>
  <w:style w:type="paragraph" w:customStyle="1" w:styleId="52">
    <w:name w:val="样式 正文 首行缩进:  2 字符 SL CON + 首行缩进:  2 字符"/>
    <w:basedOn w:val="53"/>
    <w:qFormat/>
    <w:uiPriority w:val="0"/>
    <w:pPr>
      <w:widowControl/>
      <w:tabs>
        <w:tab w:val="left" w:pos="377"/>
      </w:tabs>
      <w:spacing w:line="360" w:lineRule="auto"/>
      <w:ind w:firstLine="480" w:firstLineChars="200"/>
    </w:pPr>
    <w:rPr>
      <w:kern w:val="0"/>
      <w:sz w:val="24"/>
      <w:szCs w:val="21"/>
    </w:rPr>
  </w:style>
  <w:style w:type="paragraph" w:customStyle="1" w:styleId="53">
    <w:name w:val="正文 首行缩进:  2 字符 SL CON"/>
    <w:basedOn w:val="1"/>
    <w:qFormat/>
    <w:uiPriority w:val="0"/>
    <w:pPr>
      <w:widowControl/>
      <w:tabs>
        <w:tab w:val="left" w:pos="377"/>
      </w:tabs>
      <w:spacing w:line="360" w:lineRule="auto"/>
      <w:ind w:firstLine="200" w:firstLineChars="200"/>
    </w:pPr>
    <w:rPr>
      <w:rFonts w:ascii="宋体" w:cs="宋体"/>
      <w:kern w:val="0"/>
      <w:sz w:val="24"/>
    </w:rPr>
  </w:style>
  <w:style w:type="paragraph" w:customStyle="1" w:styleId="54">
    <w:name w:val="表格文字"/>
    <w:basedOn w:val="1"/>
    <w:qFormat/>
    <w:uiPriority w:val="0"/>
    <w:pPr>
      <w:jc w:val="center"/>
    </w:pPr>
    <w:rPr>
      <w:rFonts w:ascii="仿宋_GB2312" w:hAnsi="Arial Black" w:eastAsia="仿宋_GB2312"/>
      <w:kern w:val="44"/>
      <w:sz w:val="24"/>
      <w:szCs w:val="20"/>
    </w:rPr>
  </w:style>
  <w:style w:type="paragraph" w:customStyle="1" w:styleId="55">
    <w:name w:val="Gqd四级标题"/>
    <w:basedOn w:val="1"/>
    <w:qFormat/>
    <w:uiPriority w:val="0"/>
    <w:pPr>
      <w:numPr>
        <w:ilvl w:val="3"/>
        <w:numId w:val="2"/>
      </w:numPr>
      <w:tabs>
        <w:tab w:val="left" w:pos="425"/>
      </w:tabs>
      <w:spacing w:line="460" w:lineRule="exact"/>
      <w:ind w:firstLineChars="0"/>
    </w:pPr>
    <w:rPr>
      <w:sz w:val="26"/>
      <w:szCs w:val="26"/>
    </w:rPr>
  </w:style>
  <w:style w:type="paragraph" w:customStyle="1" w:styleId="56">
    <w:name w:val="表格两端"/>
    <w:basedOn w:val="1"/>
    <w:qFormat/>
    <w:uiPriority w:val="0"/>
    <w:pPr>
      <w:autoSpaceDE w:val="0"/>
      <w:autoSpaceDN w:val="0"/>
      <w:adjustRightInd w:val="0"/>
      <w:snapToGrid w:val="0"/>
      <w:spacing w:line="240" w:lineRule="auto"/>
      <w:ind w:firstLine="0" w:firstLineChars="0"/>
      <w:jc w:val="center"/>
    </w:pPr>
    <w:rPr>
      <w:sz w:val="18"/>
      <w:szCs w:val="18"/>
    </w:rPr>
  </w:style>
  <w:style w:type="paragraph" w:customStyle="1" w:styleId="57">
    <w:name w:val="小四  缩进2 行距24"/>
    <w:basedOn w:val="1"/>
    <w:qFormat/>
    <w:uiPriority w:val="0"/>
    <w:pPr>
      <w:spacing w:before="20" w:beforeLines="20" w:after="20" w:afterLines="20" w:line="480" w:lineRule="exact"/>
      <w:ind w:left="105" w:leftChars="50" w:right="105" w:rightChars="50" w:firstLine="480" w:firstLineChars="200"/>
    </w:pPr>
    <w:rPr>
      <w:sz w:val="24"/>
      <w:szCs w:val="20"/>
    </w:rPr>
  </w:style>
  <w:style w:type="character" w:customStyle="1" w:styleId="58">
    <w:name w:val="font11"/>
    <w:basedOn w:val="20"/>
    <w:qFormat/>
    <w:uiPriority w:val="0"/>
    <w:rPr>
      <w:rFonts w:hint="eastAsia" w:ascii="宋体" w:hAnsi="宋体" w:eastAsia="宋体" w:cs="宋体"/>
      <w:color w:val="000000"/>
      <w:sz w:val="21"/>
      <w:szCs w:val="21"/>
      <w:u w:val="none"/>
    </w:rPr>
  </w:style>
  <w:style w:type="paragraph" w:customStyle="1" w:styleId="59">
    <w:name w:val="表格标题"/>
    <w:qFormat/>
    <w:uiPriority w:val="0"/>
    <w:pPr>
      <w:keepNext w:val="0"/>
      <w:keepLines w:val="0"/>
      <w:widowControl w:val="0"/>
      <w:suppressLineNumbers w:val="0"/>
      <w:spacing w:before="0" w:beforeAutospacing="0" w:after="0" w:afterAutospacing="0" w:line="540" w:lineRule="exact"/>
      <w:ind w:left="0" w:right="0" w:firstLine="0" w:firstLineChars="0"/>
      <w:jc w:val="center"/>
    </w:pPr>
    <w:rPr>
      <w:rFonts w:hint="eastAsia" w:ascii="宋体" w:hAnsi="宋体" w:eastAsia="宋体" w:cs="Times New Roman"/>
      <w:bCs/>
      <w:kern w:val="2"/>
      <w:sz w:val="24"/>
      <w:szCs w:val="24"/>
      <w:lang w:val="en-US" w:eastAsia="zh-CN" w:bidi="ar"/>
    </w:rPr>
  </w:style>
  <w:style w:type="character" w:customStyle="1" w:styleId="60">
    <w:name w:val="font31"/>
    <w:basedOn w:val="20"/>
    <w:qFormat/>
    <w:uiPriority w:val="0"/>
    <w:rPr>
      <w:rFonts w:hint="default" w:ascii="Times New Roman" w:hAnsi="Times New Roman" w:cs="Times New Roman"/>
      <w:color w:val="000000"/>
      <w:sz w:val="21"/>
      <w:szCs w:val="21"/>
      <w:u w:val="none"/>
      <w:vertAlign w:val="superscript"/>
    </w:rPr>
  </w:style>
  <w:style w:type="paragraph" w:customStyle="1" w:styleId="61">
    <w:name w:val="正文整体样式"/>
    <w:basedOn w:val="1"/>
    <w:qFormat/>
    <w:uiPriority w:val="0"/>
    <w:pPr>
      <w:spacing w:line="360" w:lineRule="auto"/>
      <w:ind w:firstLine="200" w:firstLineChars="200"/>
    </w:pPr>
    <w:rPr>
      <w:rFonts w:ascii="宋体" w:hAnsi="宋体" w:eastAsia="宋体" w:cs="宋体"/>
      <w:sz w:val="28"/>
      <w:szCs w:val="20"/>
    </w:rPr>
  </w:style>
  <w:style w:type="character" w:customStyle="1" w:styleId="62">
    <w:name w:val="font51"/>
    <w:basedOn w:val="20"/>
    <w:qFormat/>
    <w:uiPriority w:val="0"/>
    <w:rPr>
      <w:rFonts w:hint="default" w:ascii="Times New Roman" w:hAnsi="Times New Roman" w:cs="Times New Roman"/>
      <w:b/>
      <w:bCs/>
      <w:color w:val="000000"/>
      <w:sz w:val="21"/>
      <w:szCs w:val="21"/>
      <w:u w:val="none"/>
      <w:vertAlign w:val="subscript"/>
    </w:rPr>
  </w:style>
  <w:style w:type="character" w:customStyle="1" w:styleId="63">
    <w:name w:val="font71"/>
    <w:basedOn w:val="20"/>
    <w:qFormat/>
    <w:uiPriority w:val="0"/>
    <w:rPr>
      <w:rFonts w:hint="eastAsia" w:ascii="宋体" w:hAnsi="宋体" w:eastAsia="宋体" w:cs="宋体"/>
      <w:color w:val="000000"/>
      <w:sz w:val="21"/>
      <w:szCs w:val="21"/>
      <w:u w:val="none"/>
    </w:rPr>
  </w:style>
  <w:style w:type="paragraph" w:customStyle="1" w:styleId="64">
    <w:name w:val="p0"/>
    <w:basedOn w:val="1"/>
    <w:qFormat/>
    <w:uiPriority w:val="0"/>
    <w:pPr>
      <w:widowControl/>
    </w:pPr>
    <w:rPr>
      <w:kern w:val="0"/>
      <w:szCs w:val="21"/>
    </w:rPr>
  </w:style>
  <w:style w:type="paragraph" w:customStyle="1" w:styleId="65">
    <w:name w:val="表内字1"/>
    <w:basedOn w:val="1"/>
    <w:qFormat/>
    <w:uiPriority w:val="0"/>
    <w:pPr>
      <w:adjustRightInd w:val="0"/>
      <w:snapToGrid w:val="0"/>
      <w:spacing w:line="300" w:lineRule="exact"/>
      <w:jc w:val="center"/>
    </w:pPr>
    <w:rPr>
      <w:rFonts w:ascii="Calibri" w:hAnsi="Calibri"/>
      <w:color w:val="000000"/>
      <w:sz w:val="22"/>
      <w:szCs w:val="21"/>
    </w:rPr>
  </w:style>
  <w:style w:type="paragraph" w:customStyle="1" w:styleId="66">
    <w:name w:val="表格-S"/>
    <w:basedOn w:val="1"/>
    <w:qFormat/>
    <w:uiPriority w:val="0"/>
    <w:pPr>
      <w:spacing w:line="320" w:lineRule="exact"/>
      <w:ind w:firstLine="0" w:firstLineChars="0"/>
      <w:jc w:val="center"/>
    </w:pPr>
    <w:rPr>
      <w:sz w:val="21"/>
    </w:rPr>
  </w:style>
  <w:style w:type="paragraph" w:customStyle="1" w:styleId="67">
    <w:name w:val="正文 首行缩进:  2 字符"/>
    <w:qFormat/>
    <w:uiPriority w:val="0"/>
    <w:pPr>
      <w:widowControl w:val="0"/>
      <w:spacing w:line="500" w:lineRule="exact"/>
      <w:ind w:firstLine="560" w:firstLineChars="200"/>
    </w:pPr>
    <w:rPr>
      <w:rFonts w:ascii="Times New Roman" w:hAnsi="Times New Roman" w:eastAsia="宋体" w:cs="Times New Roman"/>
      <w:kern w:val="2"/>
      <w:sz w:val="28"/>
      <w:szCs w:val="28"/>
      <w:lang w:val="en-US" w:eastAsia="zh-CN" w:bidi="ar-SA"/>
    </w:rPr>
  </w:style>
  <w:style w:type="paragraph" w:customStyle="1" w:styleId="68">
    <w:name w:val="！正文"/>
    <w:basedOn w:val="1"/>
    <w:qFormat/>
    <w:uiPriority w:val="0"/>
    <w:pPr>
      <w:keepNext w:val="0"/>
      <w:keepLines w:val="0"/>
      <w:widowControl w:val="0"/>
      <w:suppressLineNumbers w:val="0"/>
      <w:spacing w:before="0" w:beforeAutospacing="0" w:after="0" w:afterAutospacing="0" w:line="240" w:lineRule="auto"/>
      <w:ind w:left="0" w:right="0" w:firstLine="480" w:firstLineChars="200"/>
      <w:jc w:val="both"/>
    </w:pPr>
    <w:rPr>
      <w:rFonts w:hint="default" w:ascii="Arial" w:hAnsi="Arial" w:eastAsia="宋体" w:cs="宋体"/>
      <w:color w:val="auto"/>
      <w:kern w:val="2"/>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4.wmf"/><Relationship Id="rId5" Type="http://schemas.openxmlformats.org/officeDocument/2006/relationships/theme" Target="theme/theme1.xml"/><Relationship Id="rId49" Type="http://schemas.openxmlformats.org/officeDocument/2006/relationships/oleObject" Target="embeddings/oleObject21.bin"/><Relationship Id="rId48" Type="http://schemas.openxmlformats.org/officeDocument/2006/relationships/image" Target="media/image23.png"/><Relationship Id="rId47" Type="http://schemas.openxmlformats.org/officeDocument/2006/relationships/image" Target="media/image22.wmf"/><Relationship Id="rId46" Type="http://schemas.openxmlformats.org/officeDocument/2006/relationships/oleObject" Target="embeddings/oleObject20.bin"/><Relationship Id="rId45" Type="http://schemas.openxmlformats.org/officeDocument/2006/relationships/image" Target="media/image21.wmf"/><Relationship Id="rId44" Type="http://schemas.openxmlformats.org/officeDocument/2006/relationships/oleObject" Target="embeddings/oleObject19.bin"/><Relationship Id="rId43" Type="http://schemas.openxmlformats.org/officeDocument/2006/relationships/image" Target="media/image20.wmf"/><Relationship Id="rId42" Type="http://schemas.openxmlformats.org/officeDocument/2006/relationships/oleObject" Target="embeddings/oleObject18.bin"/><Relationship Id="rId41" Type="http://schemas.openxmlformats.org/officeDocument/2006/relationships/image" Target="media/image19.w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6.bin"/><Relationship Id="rId37" Type="http://schemas.openxmlformats.org/officeDocument/2006/relationships/image" Target="media/image17.wmf"/><Relationship Id="rId36" Type="http://schemas.openxmlformats.org/officeDocument/2006/relationships/oleObject" Target="embeddings/oleObject15.bin"/><Relationship Id="rId35" Type="http://schemas.openxmlformats.org/officeDocument/2006/relationships/image" Target="media/image16.wmf"/><Relationship Id="rId34" Type="http://schemas.openxmlformats.org/officeDocument/2006/relationships/oleObject" Target="embeddings/oleObject14.bin"/><Relationship Id="rId33" Type="http://schemas.openxmlformats.org/officeDocument/2006/relationships/image" Target="media/image15.wmf"/><Relationship Id="rId32" Type="http://schemas.openxmlformats.org/officeDocument/2006/relationships/oleObject" Target="embeddings/oleObject13.bin"/><Relationship Id="rId31" Type="http://schemas.openxmlformats.org/officeDocument/2006/relationships/image" Target="media/image14.w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11.bin"/><Relationship Id="rId27" Type="http://schemas.openxmlformats.org/officeDocument/2006/relationships/image" Target="media/image12.wmf"/><Relationship Id="rId26" Type="http://schemas.openxmlformats.org/officeDocument/2006/relationships/oleObject" Target="embeddings/oleObject10.bin"/><Relationship Id="rId25" Type="http://schemas.openxmlformats.org/officeDocument/2006/relationships/image" Target="media/image11.emf"/><Relationship Id="rId24" Type="http://schemas.openxmlformats.org/officeDocument/2006/relationships/oleObject" Target="embeddings/oleObject9.bin"/><Relationship Id="rId23" Type="http://schemas.openxmlformats.org/officeDocument/2006/relationships/image" Target="media/image10.png"/><Relationship Id="rId22" Type="http://schemas.openxmlformats.org/officeDocument/2006/relationships/image" Target="media/image9.emf"/><Relationship Id="rId21" Type="http://schemas.openxmlformats.org/officeDocument/2006/relationships/oleObject" Target="embeddings/oleObject8.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emf"/><Relationship Id="rId17" Type="http://schemas.openxmlformats.org/officeDocument/2006/relationships/oleObject" Target="embeddings/oleObject6.bin"/><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71233017-8f5d-4cc7-8a38-c0c959bd7776</errorID>
      <errorWord>-</errorWord>
      <group>L1_Format</group>
      <groupName>格式问题</groupName>
      <ability>L2_HalfPunc</ability>
      <abilityName>全半角检查</abilityName>
      <candidateList>
        <item>－</item>
      </candidateList>
      <explain>文本全半角错误。</explain>
      <paraID>16DE5020</paraID>
      <start>146</start>
      <end>147</end>
      <status>unmodified</status>
      <modifiedWord/>
      <trackRevisions>false</trackRevisions>
    </reviewItem>
    <reviewItem>
      <errorID>627dd419-d72c-49db-ac64-00bed1b42039</errorID>
      <errorWord>-</errorWord>
      <group>L1_Format</group>
      <groupName>格式问题</groupName>
      <ability>L2_HalfPunc</ability>
      <abilityName>全半角检查</abilityName>
      <candidateList>
        <item>－</item>
      </candidateList>
      <explain>文本全半角错误。</explain>
      <paraID>16DE5020</paraID>
      <start>207</start>
      <end>208</end>
      <status>unmodified</status>
      <modifiedWord/>
      <trackRevisions>false</trackRevisions>
    </reviewItem>
    <reviewItem>
      <errorID>eae741be-29f1-486f-8eb6-c3e9d44621a0</errorID>
      <errorWord>其与</errorWord>
      <group>L1_Word</group>
      <groupName>字词问题</groupName>
      <ability>L2_Typo</ability>
      <abilityName>字词错误</abilityName>
      <candidateList>
        <item>其余</item>
      </candidateList>
      <explain/>
      <paraID>16DE5020</paraID>
      <start>322</start>
      <end>324</end>
      <status>unmodified</status>
      <modifiedWord/>
      <trackRevisions>false</trackRevisions>
    </reviewItem>
    <reviewItem>
      <errorID>172bcc80-878c-480d-83a5-f2e5736b294a</errorID>
      <errorWord>-</errorWord>
      <group>L1_Format</group>
      <groupName>格式问题</groupName>
      <ability>L2_HalfPunc</ability>
      <abilityName>全半角检查</abilityName>
      <candidateList>
        <item>－</item>
      </candidateList>
      <explain>文本全半角错误。</explain>
      <paraID>215D671E</paraID>
      <start>44</start>
      <end>45</end>
      <status>unmodified</status>
      <modifiedWord/>
      <trackRevisions>false</trackRevisions>
    </reviewItem>
    <reviewItem>
      <errorID>c88899bd-bb84-4e0a-bec0-fdb48555cadd</errorID>
      <errorWord>-</errorWord>
      <group>L1_Format</group>
      <groupName>格式问题</groupName>
      <ability>L2_HalfPunc</ability>
      <abilityName>全半角检查</abilityName>
      <candidateList>
        <item>－</item>
      </candidateList>
      <explain>文本全半角错误。</explain>
      <paraID>215D671E</paraID>
      <start>90</start>
      <end>91</end>
      <status>unmodified</status>
      <modifiedWord/>
      <trackRevisions>false</trackRevisions>
    </reviewItem>
    <reviewItem>
      <errorID>0d0ac524-dfb8-496f-80e4-43a5b56ec77a</errorID>
      <errorWord>等本</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28C9A9E7</paraID>
      <start>31</start>
      <end>33</end>
      <status>unmodified</status>
      <modifiedWord/>
      <trackRevisions>false</trackRevisions>
    </reviewItem>
    <reviewItem>
      <errorID>a45a80a2-fafc-45bc-b211-a60c214b8fac</errorID>
      <errorWord>-</errorWord>
      <group>L1_Format</group>
      <groupName>格式问题</groupName>
      <ability>L2_HalfPunc</ability>
      <abilityName>全半角检查</abilityName>
      <candidateList>
        <item>－</item>
      </candidateList>
      <explain>文本全半角错误。</explain>
      <paraID>534BE477</paraID>
      <start>78</start>
      <end>79</end>
      <status>unmodified</status>
      <modifiedWord/>
      <trackRevisions>false</trackRevisions>
    </reviewItem>
    <reviewItem>
      <errorID>47615845-545c-48db-aa52-f19c2c583fc8</errorID>
      <errorWord>水污染排放</errorWord>
      <group>L1_Knowledge</group>
      <groupName>知识性问题</groupName>
      <ability>L2_Knowledge</ability>
      <abilityName>其他知识</abilityName>
      <candidateList>
        <item>水污染物排放</item>
      </candidateList>
      <explain/>
      <paraID>411AE4F9</paraID>
      <start>0</start>
      <end>5</end>
      <status>unmodified</status>
      <modifiedWord/>
      <trackRevisions>false</trackRevisions>
    </reviewItem>
    <reviewItem>
      <errorID>8bd8ae69-653c-4b60-8ec0-8c07f3f7bbaa</errorID>
      <errorWord>工艺</errorWord>
      <group>L1_Word</group>
      <groupName>字词问题</groupName>
      <ability>L2_Typo</ability>
      <abilityName>字词错误</abilityName>
      <candidateList>
        <item>工业</item>
      </candidateList>
      <explain/>
      <paraID>7A8FD97C</paraID>
      <start>82</start>
      <end>84</end>
      <status>unmodified</status>
      <modifiedWord/>
      <trackRevisions>false</trackRevisions>
    </reviewItem>
    <reviewItem>
      <errorID>e00a1fad-4d09-4df0-8016-16f2b1778018</errorID>
      <errorWord>(</errorWord>
      <group>L1_Format</group>
      <groupName>格式问题</groupName>
      <ability>L2_HalfPunc</ability>
      <abilityName>全半角检查</abilityName>
      <candidateList>
        <item>（</item>
      </candidateList>
      <explain>文本全半角错误。</explain>
      <paraID> 561A3FD</paraID>
      <start>151</start>
      <end>152</end>
      <status>unmodified</status>
      <modifiedWord/>
      <trackRevisions>false</trackRevisions>
    </reviewItem>
    <reviewItem>
      <errorID>d8591ef1-9062-4083-a4b1-e15efb09effd</errorID>
      <errorWord>部部</errorWord>
      <group>L1_Word</group>
      <groupName>字词问题</groupName>
      <ability>L2_Typo</ability>
      <abilityName>字词错误</abilityName>
      <candidateList>
        <item>部</item>
      </candidateList>
      <explain>❶部分；部位：内～｜上～｜胸～｜局～。❷〈名〉中央政府按业务划分的单位（级别比局、厅高）：外交～｜商务～。❸一般机关企业按业务划分的单位：编辑～｜门市～。❹军队（连以上）等的领导机构或其所在地：连～｜司令～。❺〈名〉指部队：率～突围。❻〈书〉统辖；统率；所～｜～领。❼〈量〉a）用于书籍、影片等：两～字典｜一～纪录片｜三～电视剧。</explain>
      <paraID> 561A3FD</paraID>
      <start>218</start>
      <end>220</end>
      <status>unmodified</status>
      <modifiedWord/>
      <trackRevisions>false</trackRevisions>
    </reviewItem>
    <reviewItem>
      <errorID>6a914d3c-b882-4382-846a-91e390805d4a</errorID>
      <errorWord>,</errorWord>
      <group>L1_Format</group>
      <groupName>格式问题</groupName>
      <ability>L2_HalfPunc</ability>
      <abilityName>全半角检查</abilityName>
      <candidateList>
        <item>，</item>
      </candidateList>
      <explain>文本全半角错误。</explain>
      <paraID>5D467D0D</paraID>
      <start>10</start>
      <end>11</end>
      <status>unmodified</status>
      <modifiedWord/>
      <trackRevisions>false</trackRevisions>
    </reviewItem>
    <reviewItem>
      <errorID>ac51510d-49e6-495b-a91d-753cc60229e9</errorID>
      <errorWord>-</errorWord>
      <group>L1_Format</group>
      <groupName>格式问题</groupName>
      <ability>L2_HalfPunc</ability>
      <abilityName>全半角检查</abilityName>
      <candidateList>
        <item>－</item>
      </candidateList>
      <explain>文本全半角错误。</explain>
      <paraID>765B1F0B</paraID>
      <start>96</start>
      <end>97</end>
      <status>unmodified</status>
      <modifiedWord/>
      <trackRevisions>false</trackRevisions>
    </reviewItem>
    <reviewItem>
      <errorID>a0692202-dc90-4ac9-9d9a-8b29eca8baa6</errorID>
      <errorWord>-</errorWord>
      <group>L1_Format</group>
      <groupName>格式问题</groupName>
      <ability>L2_HalfPunc</ability>
      <abilityName>全半角检查</abilityName>
      <candidateList>
        <item>－</item>
      </candidateList>
      <explain>文本全半角错误。</explain>
      <paraID>765B1F0B</paraID>
      <start>142</start>
      <end>143</end>
      <status>unmodified</status>
      <modifiedWord/>
      <trackRevisions>false</trackRevisions>
    </reviewItem>
    <reviewItem>
      <errorID>6c5728e9-88ec-4861-b177-ede7411013b1</errorID>
      <errorWord>其与</errorWord>
      <group>L1_Word</group>
      <groupName>字词问题</groupName>
      <ability>L2_Typo</ability>
      <abilityName>字词错误</abilityName>
      <candidateList>
        <item>其余</item>
      </candidateList>
      <explain/>
      <paraID>765B1F0B</paraID>
      <start>257</start>
      <end>259</end>
      <status>unmodified</status>
      <modifiedWord/>
      <trackRevisions>false</trackRevisions>
    </reviewItem>
    <reviewItem>
      <errorID>466fabd9-478c-4e4d-9efd-f19c72f24e59</errorID>
      <errorWord>自然保护区的</errorWord>
      <group>L1_Word</group>
      <groupName>字词问题</groupName>
      <ability>L2_Typo</ability>
      <abilityName>字词错误</abilityName>
      <candidateList>
        <item>自然保护区</item>
      </candidateList>
      <explain/>
      <paraID>3E404128</paraID>
      <start>41</start>
      <end>47</end>
      <status>unmodified</status>
      <modifiedWord/>
      <trackRevisions>false</trackRevisions>
    </reviewItem>
    <reviewItem>
      <errorID>d66b02c6-fc0d-49f4-972a-39b5efd0620d</errorID>
      <errorWord>水源准</errorWord>
      <group>L1_Word</group>
      <groupName>字词问题</groupName>
      <ability>L2_Typo</ability>
      <abilityName>字词错误</abilityName>
      <candidateList>
        <item>水源</item>
      </candidateList>
      <explain/>
      <paraID>2A28BD27</paraID>
      <start>9</start>
      <end>12</end>
      <status>unmodified</status>
      <modifiedWord/>
      <trackRevisions>false</trackRevisions>
    </reviewItem>
    <reviewItem>
      <errorID>532d0c50-c9e1-44f8-80ac-0546d9ab69be</errorID>
      <errorWord>；</errorWord>
      <group>L1_Word</group>
      <groupName>字词问题</groupName>
      <ability>L2_Typo</ability>
      <abilityName>字词错误</abilityName>
      <candidateList>
        <item>；对</item>
      </candidateList>
      <explain/>
      <paraID>48C89B68</paraID>
      <start>57</start>
      <end>58</end>
      <status>unmodified</status>
      <modifiedWord/>
      <trackRevisions>false</trackRevisions>
    </reviewItem>
    <reviewItem>
      <errorID>4b4e4b2a-2a4d-41f9-91bf-56128a64b0e0</errorID>
      <errorWord>胜</errorWord>
      <group>L1_Word</group>
      <groupName>字词问题</groupName>
      <ability>L2_Typo</ability>
      <abilityName>字词错误</abilityName>
      <candidateList>
        <item>胜区</item>
      </candidateList>
      <explain/>
      <paraID>3D7FB2D2</paraID>
      <start>67</start>
      <end>68</end>
      <status>unmodified</status>
      <modifiedWord/>
      <trackRevisions>false</trackRevisions>
    </reviewItem>
    <reviewItem>
      <errorID>30b1ec40-a29f-4def-b66f-a08825fbf61d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647AB1FC</paraID>
      <start>27</start>
      <end>28</end>
      <status>unmodified</status>
      <modifiedWord/>
      <trackRevisions>false</trackRevisions>
    </reviewItem>
    <reviewItem>
      <errorID>d5e95eae-4d3d-453a-a892-85512f137f23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A4501A5</paraID>
      <start>25</start>
      <end>26</end>
      <status>unmodified</status>
      <modifiedWord/>
      <trackRevisions>false</trackRevisions>
    </reviewItem>
    <reviewItem>
      <errorID>c3435524-dbb5-498f-b245-97ca2eaa5682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2E4C693F</paraID>
      <start>22</start>
      <end>23</end>
      <status>unmodified</status>
      <modifiedWord/>
      <trackRevisions>false</trackRevisions>
    </reviewItem>
    <reviewItem>
      <errorID>0536a27f-44f0-4683-9d5f-b2270ee67d98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1E46AF40</paraID>
      <start>33</start>
      <end>34</end>
      <status>unmodified</status>
      <modifiedWord/>
      <trackRevisions>false</trackRevisions>
    </reviewItem>
    <reviewItem>
      <errorID>15c4e85d-73c9-49ca-baeb-9778835fa213</errorID>
      <errorWord>&lt;</errorWord>
      <group>L1_Format</group>
      <groupName>格式问题</groupName>
      <ability>L2_HalfPunc</ability>
      <abilityName>全半角检查</abilityName>
      <candidateList>
        <item>〈</item>
      </candidateList>
      <explain>文本全半角错误。</explain>
      <paraID> 6D8351E</paraID>
      <start>41</start>
      <end>42</end>
      <status>unmodified</status>
      <modifiedWord/>
      <trackRevisions>false</trackRevisions>
    </reviewItem>
    <reviewItem>
      <errorID>0ea0c50a-823c-4b55-bc7e-8eb2c129388a</errorID>
      <errorWord>&gt;的通知》</errorWord>
      <group>L1_Punc</group>
      <groupName>标点问题</groupName>
      <ability>L2_Punc</ability>
      <abilityName>标点符号检查</abilityName>
      <candidateList>
        <item>〉的通知》</item>
      </candidateList>
      <explain/>
      <paraID> 6D8351E</paraID>
      <start>70</start>
      <end>75</end>
      <status>unmodified</status>
      <modifiedWord/>
      <trackRevisions>false</trackRevisions>
    </reviewItem>
    <reviewItem>
      <errorID>e36f8fbc-ff26-454c-bd4b-ca9bd66a4c30</errorID>
      <errorWord>&lt;</errorWord>
      <group>L1_Format</group>
      <groupName>格式问题</groupName>
      <ability>L2_HalfPunc</ability>
      <abilityName>全半角检查</abilityName>
      <candidateList>
        <item>〈</item>
      </candidateList>
      <explain>文本全半角错误。</explain>
      <paraID> 6D8351E</paraID>
      <start>105</start>
      <end>106</end>
      <status>unmodified</status>
      <modifiedWord/>
      <trackRevisions>false</trackRevisions>
    </reviewItem>
    <reviewItem>
      <errorID>6083c0e8-4dec-480e-98aa-7441c0dc6f67</errorID>
      <errorWord>&gt;的通知》</errorWord>
      <group>L1_Punc</group>
      <groupName>标点问题</groupName>
      <ability>L2_Punc</ability>
      <abilityName>标点符号检查</abilityName>
      <candidateList>
        <item>〉的通知》</item>
      </candidateList>
      <explain/>
      <paraID> 6D8351E</paraID>
      <start>138</start>
      <end>143</end>
      <status>unmodified</status>
      <modifiedWord/>
      <trackRevisions>false</trackRevisions>
    </reviewItem>
    <reviewItem>
      <errorID>87c37823-5308-4cb2-a3df-3e67ed620eea</errorID>
      <errorWord>(</errorWord>
      <group>L1_Format</group>
      <groupName>格式问题</groupName>
      <ability>L2_HalfPunc</ability>
      <abilityName>全半角检查</abilityName>
      <candidateList>
        <item>（</item>
      </candidateList>
      <explain>文本全半角错误。</explain>
      <paraID> 6D8351E</paraID>
      <start>143</start>
      <end>144</end>
      <status>unmodified</status>
      <modifiedWord/>
      <trackRevisions>false</trackRevisions>
    </reviewItem>
    <reviewItem>
      <errorID>38826a39-a6ca-4d88-aba9-bf833c92f84b</errorID>
      <errorWord>-</errorWord>
      <group>L1_Format</group>
      <groupName>格式问题</groupName>
      <ability>L2_HalfPunc</ability>
      <abilityName>全半角检查</abilityName>
      <candidateList>
        <item>－</item>
      </candidateList>
      <explain>文本全半角错误。</explain>
      <paraID> 6D8351E</paraID>
      <start>230</start>
      <end>231</end>
      <status>unmodified</status>
      <modifiedWord/>
      <trackRevisions>false</trackRevisions>
    </reviewItem>
    <reviewItem>
      <errorID>3f0defd5-c235-4e44-8d63-7480268aaf8d</errorID>
      <errorWord>-</errorWord>
      <group>L1_Format</group>
      <groupName>格式问题</groupName>
      <ability>L2_HalfPunc</ability>
      <abilityName>全半角检查</abilityName>
      <candidateList>
        <item>－</item>
      </candidateList>
      <explain>文本全半角错误。</explain>
      <paraID> 6D8351E</paraID>
      <start>311</start>
      <end>312</end>
      <status>unmodified</status>
      <modifiedWord/>
      <trackRevisions>false</trackRevisions>
    </reviewItem>
    <reviewItem>
      <errorID>d6458d30-36d4-42bf-ab19-c7a78dfd9f93</errorID>
      <errorWord>-</errorWord>
      <group>L1_Format</group>
      <groupName>格式问题</groupName>
      <ability>L2_HalfPunc</ability>
      <abilityName>全半角检查</abilityName>
      <candidateList>
        <item>－</item>
      </candidateList>
      <explain>文本全半角错误。</explain>
      <paraID> 6D8351E</paraID>
      <start>329</start>
      <end>330</end>
      <status>unmodified</status>
      <modifiedWord/>
      <trackRevisions>false</trackRevisions>
    </reviewItem>
    <reviewItem>
      <errorID>5a728b38-2c50-4606-8e1d-26d3e3d4c454</errorID>
      <errorWord>-</errorWord>
      <group>L1_Format</group>
      <groupName>格式问题</groupName>
      <ability>L2_HalfPunc</ability>
      <abilityName>全半角检查</abilityName>
      <candidateList>
        <item>－</item>
      </candidateList>
      <explain>文本全半角错误。</explain>
      <paraID>70E174FE</paraID>
      <start>14</start>
      <end>15</end>
      <status>unmodified</status>
      <modifiedWord/>
      <trackRevisions>false</trackRevisions>
    </reviewItem>
    <reviewItem>
      <errorID>653f42a2-7554-4797-8424-39bcc9d19801</errorID>
      <errorWord>-</errorWord>
      <group>L1_Format</group>
      <groupName>格式问题</groupName>
      <ability>L2_HalfPunc</ability>
      <abilityName>全半角检查</abilityName>
      <candidateList>
        <item>－</item>
      </candidateList>
      <explain>文本全半角错误。</explain>
      <paraID>165DCDE3</paraID>
      <start>131</start>
      <end>132</end>
      <status>unmodified</status>
      <modifiedWord/>
      <trackRevisions>false</trackRevisions>
    </reviewItem>
    <reviewItem>
      <errorID>093cf88b-345f-42d7-9a26-d8fa8fcc3525</errorID>
      <errorWord>-</errorWord>
      <group>L1_Format</group>
      <groupName>格式问题</groupName>
      <ability>L2_HalfPunc</ability>
      <abilityName>全半角检查</abilityName>
      <candidateList>
        <item>－</item>
      </candidateList>
      <explain>文本全半角错误。</explain>
      <paraID>3E385F74</paraID>
      <start>14</start>
      <end>15</end>
      <status>unmodified</status>
      <modifiedWord/>
      <trackRevisions>false</trackRevisions>
    </reviewItem>
    <reviewItem>
      <errorID>bf296b59-920e-4dca-9dc6-5c2c6a3bc8ec</errorID>
      <errorWord>-</errorWord>
      <group>L1_Format</group>
      <groupName>格式问题</groupName>
      <ability>L2_HalfPunc</ability>
      <abilityName>全半角检查</abilityName>
      <candidateList>
        <item>－</item>
      </candidateList>
      <explain>文本全半角错误。</explain>
      <paraID> B4FB464</paraID>
      <start>14</start>
      <end>15</end>
      <status>unmodified</status>
      <modifiedWord/>
      <trackRevisions>false</trackRevisions>
    </reviewItem>
    <reviewItem>
      <errorID>23cc6b99-e97f-4fe8-bfb4-9498733bfa4d</errorID>
      <errorWord>-</errorWord>
      <group>L1_Format</group>
      <groupName>格式问题</groupName>
      <ability>L2_HalfPunc</ability>
      <abilityName>全半角检查</abilityName>
      <candidateList>
        <item>－</item>
      </candidateList>
      <explain>文本全半角错误。</explain>
      <paraID>471DBA42</paraID>
      <start>71</start>
      <end>72</end>
      <status>unmodified</status>
      <modifiedWord/>
      <trackRevisions>false</trackRevisions>
    </reviewItem>
    <reviewItem>
      <errorID>84bdf0ab-f519-42c8-a698-e01fed7a0036</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42DFDF10</paraID>
      <start>104</start>
      <end>106</end>
      <status>unmodified</status>
      <modifiedWord/>
      <trackRevisions>false</trackRevisions>
    </reviewItem>
    <reviewItem>
      <errorID>b4154bbe-ca9a-4db7-b08e-ba6bbd745528</errorID>
      <errorWord>达</errorWord>
      <group>L1_Word</group>
      <groupName>字词问题</groupName>
      <ability>L2_Typo</ability>
      <abilityName>字词错误</abilityName>
      <candidateList>
        <item>达到</item>
      </candidateList>
      <explain>〈动〉到（多指抽象事物或程度）：达得到｜达不到｜目的没有～｜～国际水平。</explain>
      <paraID>4A652AB7</paraID>
      <start>19</start>
      <end>20</end>
      <status>ignored</status>
      <modifiedWord/>
      <trackRevisions>false</trackRevisions>
    </reviewItem>
    <reviewItem>
      <errorID>cd59937f-74dc-42fe-bf3e-5c87ac8dc652</errorID>
      <errorWord>（</errorWord>
      <group>L1_Punc</group>
      <groupName>标点问题</groupName>
      <ability>L2_Punc</ability>
      <abilityName>标点符号检查</abilityName>
      <candidateList/>
      <explain>同一形式括号套用。</explain>
      <paraID>4A652AB7</paraID>
      <start>74</start>
      <end>75</end>
      <status>unmodified</status>
      <modifiedWord/>
      <trackRevisions>false</trackRevisions>
    </reviewItem>
    <reviewItem>
      <errorID>cc9b57ef-594c-497c-9ecf-40deaa27068e</errorID>
      <errorWord>）</errorWord>
      <group>L1_Punc</group>
      <groupName>标点问题</groupName>
      <ability>L2_Punc</ability>
      <abilityName>标点符号检查</abilityName>
      <candidateList/>
      <explain>同一形式括号套用。</explain>
      <paraID>4A652AB7</paraID>
      <start>87</start>
      <end>88</end>
      <status>unmodified</status>
      <modifiedWord/>
      <trackRevisions>false</trackRevisions>
    </reviewItem>
    <reviewItem>
      <errorID>fd76d804-6ed7-404a-9bb7-72b6c7d26317</errorID>
      <errorWord>-</errorWord>
      <group>L1_Format</group>
      <groupName>格式问题</groupName>
      <ability>L2_HalfPunc</ability>
      <abilityName>全半角检查</abilityName>
      <candidateList>
        <item>－</item>
      </candidateList>
      <explain>文本全半角错误。</explain>
      <paraID>78734342</paraID>
      <start>6</start>
      <end>7</end>
      <status>unmodified</status>
      <modifiedWord/>
      <trackRevisions>false</trackRevisions>
    </reviewItem>
    <reviewItem>
      <errorID>93a51c53-f3b8-4dce-b0f1-7ee6fbcc064a</errorID>
      <errorWord>-</errorWord>
      <group>L1_Format</group>
      <groupName>格式问题</groupName>
      <ability>L2_HalfPunc</ability>
      <abilityName>全半角检查</abilityName>
      <candidateList>
        <item>－</item>
      </candidateList>
      <explain>文本全半角错误。</explain>
      <paraID>78734342</paraID>
      <start>21</start>
      <end>22</end>
      <status>unmodified</status>
      <modifiedWord/>
      <trackRevisions>false</trackRevisions>
    </reviewItem>
    <reviewItem>
      <errorID>47cc82ee-a24f-41e5-b79b-cddb06f15dff</errorID>
      <errorWord>）</errorWord>
      <group>L1_Format</group>
      <groupName>格式问题</groupName>
      <ability>L2_HalfPunc</ability>
      <abilityName>全半角检查</abilityName>
      <candidateList>
        <item>)</item>
      </candidateList>
      <explain>文本全半角错误。</explain>
      <paraID>72D18E9B</paraID>
      <start>6</start>
      <end>7</end>
      <status>unmodified</status>
      <modifiedWord/>
      <trackRevisions>false</trackRevisions>
    </reviewItem>
    <reviewItem>
      <errorID>ec3374de-e958-4a1c-823e-c1c0929b791c</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487E8B24</paraID>
      <start>19</start>
      <end>21</end>
      <status>ignored</status>
      <modifiedWord/>
      <trackRevisions>false</trackRevisions>
    </reviewItem>
    <reviewItem>
      <errorID>7f865cef-1e77-4342-83a0-33979ce26c81</errorID>
      <errorWord>-</errorWord>
      <group>L1_Format</group>
      <groupName>格式问题</groupName>
      <ability>L2_HalfPunc</ability>
      <abilityName>全半角检查</abilityName>
      <candidateList>
        <item>－</item>
      </candidateList>
      <explain>文本全半角错误。</explain>
      <paraID>39279767</paraID>
      <start>6</start>
      <end>7</end>
      <status>unmodified</status>
      <modifiedWord/>
      <trackRevisions>false</trackRevisions>
    </reviewItem>
    <reviewItem>
      <errorID>52ca3672-bdb1-4638-af13-ab2363af2c0c</errorID>
      <errorWord>（</errorWord>
      <group>L1_Format</group>
      <groupName>格式问题</groupName>
      <ability>L2_HalfPunc</ability>
      <abilityName>全半角检查</abilityName>
      <candidateList>
        <item>(</item>
      </candidateList>
      <explain>文本全半角错误。</explain>
      <paraID>4678C178</paraID>
      <start>0</start>
      <end>1</end>
      <status>unmodified</status>
      <modifiedWord/>
      <trackRevisions>false</trackRevisions>
    </reviewItem>
    <reviewItem>
      <errorID>6b269df6-3f22-4396-a04e-ec861eab99f2</errorID>
      <errorWord>）</errorWord>
      <group>L1_Format</group>
      <groupName>格式问题</groupName>
      <ability>L2_HalfPunc</ability>
      <abilityName>全半角检查</abilityName>
      <candidateList>
        <item>)</item>
      </candidateList>
      <explain>文本全半角错误。</explain>
      <paraID>692CC7E5</paraID>
      <start>6</start>
      <end>7</end>
      <status>unmodified</status>
      <modifiedWord/>
      <trackRevisions>false</trackRevisions>
    </reviewItem>
    <reviewItem>
      <errorID>64829316-9fa9-40a3-a211-2f38deb74895</errorID>
      <errorWord>规模减少</errorWord>
      <group>L1_Word</group>
      <groupName>字词问题</groupName>
      <ability>L2_Typo</ability>
      <abilityName>字词错误</abilityName>
      <candidateList>
        <item>规模减小</item>
      </candidateList>
      <explain/>
      <paraID> 26D4E32</paraID>
      <start>88</start>
      <end>92</end>
      <status>modified</status>
      <modifiedWord>规模减小</modifiedWord>
      <trackRevisions>false</trackRevisions>
    </reviewItem>
    <reviewItem>
      <errorID>321d9a87-1385-4a6b-961c-d7021759338f</errorID>
      <errorWord>在现有</errorWord>
      <group>L1_Word</group>
      <groupName>字词问题</groupName>
      <ability>L2_Typo</ability>
      <abilityName>字词错误</abilityName>
      <candidateList>
        <item>现有</item>
      </candidateList>
      <explain/>
      <paraID>409C1B49</paraID>
      <start>0</start>
      <end>3</end>
      <status>ignored</status>
      <modifiedWord/>
      <trackRevisions>false</trackRevisions>
    </reviewItem>
    <reviewItem>
      <errorID>6a544e02-f543-46fa-9b22-6408e8ad60b9</errorID>
      <errorWord>达</errorWord>
      <group>L1_Word</group>
      <groupName>字词问题</groupName>
      <ability>L2_Typo</ability>
      <abilityName>字词错误</abilityName>
      <candidateList>
        <item>达到</item>
      </candidateList>
      <explain>〈动〉到（多指抽象事物或程度）：达得到｜达不到｜目的没有～｜～国际水平。</explain>
      <paraID>47805565</paraID>
      <start>42</start>
      <end>43</end>
      <status>ignored</status>
      <modifiedWord/>
      <trackRevisions>false</trackRevisions>
    </reviewItem>
    <reviewItem>
      <errorID>4b1b4505-fa4e-4f32-b9ae-a3d0d89c7f95</errorID>
      <errorWord>达</errorWord>
      <group>L1_Word</group>
      <groupName>字词问题</groupName>
      <ability>L2_Typo</ability>
      <abilityName>字词错误</abilityName>
      <candidateList>
        <item>达到</item>
      </candidateList>
      <explain>〈动〉到（多指抽象事物或程度）：达得到｜达不到｜目的没有～｜～国际水平。</explain>
      <paraID>47805565</paraID>
      <start>108</start>
      <end>109</end>
      <status>ignored</status>
      <modifiedWord/>
      <trackRevisions>false</trackRevisions>
    </reviewItem>
    <reviewItem>
      <errorID>5e0c59fc-3623-4f3b-b39e-40b84f1bbee5</errorID>
      <errorWord>IV类</errorWord>
      <group>L1_Knowledge</group>
      <groupName>知识性问题</groupName>
      <ability>L2_Knowledge</ability>
      <abilityName>其他知识</abilityName>
      <candidateList>
        <item>Ⅳ类</item>
      </candidateList>
      <explain/>
      <paraID>47805565</paraID>
      <start>133</start>
      <end>136</end>
      <status>unmodified</status>
      <modifiedWord/>
      <trackRevisions>false</trackRevisions>
    </reviewItem>
    <reviewItem>
      <errorID>773b9ae1-ef75-48dd-8f44-c51690fdd49b</errorID>
      <errorWord>（</errorWord>
      <group>L1_Punc</group>
      <groupName>标点问题</groupName>
      <ability>L2_Punc</ability>
      <abilityName>标点符号检查</abilityName>
      <candidateList/>
      <explain>同一形式括号套用。</explain>
      <paraID>47805565</paraID>
      <start>164</start>
      <end>165</end>
      <status>unmodified</status>
      <modifiedWord/>
      <trackRevisions>false</trackRevisions>
    </reviewItem>
    <reviewItem>
      <errorID>0ccd21e9-023a-47b9-b3ab-f4cfba27444a</errorID>
      <errorWord>）</errorWord>
      <group>L1_Punc</group>
      <groupName>标点问题</groupName>
      <ability>L2_Punc</ability>
      <abilityName>标点符号检查</abilityName>
      <candidateList/>
      <explain>同一形式括号套用。</explain>
      <paraID>47805565</paraID>
      <start>177</start>
      <end>178</end>
      <status>unmodified</status>
      <modifiedWord/>
      <trackRevisions>false</trackRevisions>
    </reviewItem>
    <reviewItem>
      <errorID>0dd61e42-8d32-4a65-a7a7-922a72b4baf8</errorID>
      <errorWord>（</errorWord>
      <group>L1_Punc</group>
      <groupName>标点问题</groupName>
      <ability>L2_Punc</ability>
      <abilityName>标点符号检查</abilityName>
      <candidateList/>
      <explain>同一形式括号套用。</explain>
      <paraID>7D4099C1</paraID>
      <start>36</start>
      <end>37</end>
      <status>unmodified</status>
      <modifiedWord/>
      <trackRevisions>false</trackRevisions>
    </reviewItem>
    <reviewItem>
      <errorID>6f7b7932-5aad-4f79-827e-097a645116f2</errorID>
      <errorWord>）</errorWord>
      <group>L1_Punc</group>
      <groupName>标点问题</groupName>
      <ability>L2_Punc</ability>
      <abilityName>标点符号检查</abilityName>
      <candidateList/>
      <explain>同一形式括号套用。</explain>
      <paraID>7D4099C1</paraID>
      <start>42</start>
      <end>43</end>
      <status>unmodified</status>
      <modifiedWord/>
      <trackRevisions>false</trackRevisions>
    </reviewItem>
    <reviewItem>
      <errorID>34f63429-302d-4b66-a59d-f2f1f30e5b84</errorID>
      <errorWord>（</errorWord>
      <group>L1_Punc</group>
      <groupName>标点问题</groupName>
      <ability>L2_Punc</ability>
      <abilityName>标点符号检查</abilityName>
      <candidateList/>
      <explain>同一形式括号套用。</explain>
      <paraID>7D4099C1</paraID>
      <start>65</start>
      <end>66</end>
      <status>unmodified</status>
      <modifiedWord/>
      <trackRevisions>false</trackRevisions>
    </reviewItem>
    <reviewItem>
      <errorID>d67302d9-56c1-4ef9-b90c-3397d3762c4d</errorID>
      <errorWord>）</errorWord>
      <group>L1_Punc</group>
      <groupName>标点问题</groupName>
      <ability>L2_Punc</ability>
      <abilityName>标点符号检查</abilityName>
      <candidateList/>
      <explain>同一形式括号套用。</explain>
      <paraID>7D4099C1</paraID>
      <start>71</start>
      <end>72</end>
      <status>unmodified</status>
      <modifiedWord/>
      <trackRevisions>false</trackRevisions>
    </reviewItem>
    <reviewItem>
      <errorID>b8b99fe0-dd45-4d44-830e-37c33aff9dd0</errorID>
      <errorWord>交有</errorWord>
      <group>L1_Word</group>
      <groupName>字词问题</groupName>
      <ability>L2_Typo</ability>
      <abilityName>字词错误</abilityName>
      <candidateList>
        <item>交由</item>
      </candidateList>
      <explain/>
      <paraID> 71A8558</paraID>
      <start>22</start>
      <end>24</end>
      <status>ignored</status>
      <modifiedWord/>
      <trackRevisions>false</trackRevisions>
    </reviewItem>
    <reviewItem>
      <errorID>98e497b6-74e3-4e5a-8408-48791a0ee9d2</errorID>
      <errorWord>交有</errorWord>
      <group>L1_Word</group>
      <groupName>字词问题</groupName>
      <ability>L2_Typo</ability>
      <abilityName>字词错误</abilityName>
      <candidateList>
        <item>交由</item>
      </candidateList>
      <explain>存在发音相同字词的误用。</explain>
      <paraID>70722E13</paraID>
      <start>28</start>
      <end>30</end>
      <status>ignored</status>
      <modifiedWord/>
      <trackRevisions>false</trackRevisions>
    </reviewItem>
    <reviewItem>
      <errorID>a89c7410-804e-44ed-b085-92d39ef7743c</errorID>
      <errorWord>葵花籽</errorWord>
      <group>L1_Knowledge</group>
      <groupName>知识性问题</groupName>
      <ability>L2_Knowledge</ability>
      <abilityName>其他知识</abilityName>
      <candidateList>
        <item>葵花子</item>
      </candidateList>
      <explain/>
      <paraID>6961E97C</paraID>
      <start>21</start>
      <end>24</end>
      <status>unmodified</status>
      <modifiedWord/>
      <trackRevisions>false</trackRevisions>
    </reviewItem>
    <reviewItem>
      <errorID>539ae27b-4492-4d0b-89c2-023e173ccfbc</errorID>
      <errorWord>葵花籽</errorWord>
      <group>L1_Knowledge</group>
      <groupName>知识性问题</groupName>
      <ability>L2_Knowledge</ability>
      <abilityName>其他知识</abilityName>
      <candidateList>
        <item>葵花子</item>
      </candidateList>
      <explain/>
      <paraID>48168D35</paraID>
      <start>11</start>
      <end>14</end>
      <status>unmodified</status>
      <modifiedWord/>
      <trackRevisions>false</trackRevisions>
    </reviewItem>
    <reviewItem>
      <errorID>5c8445c8-cc57-4820-a265-806d52dc5f23</errorID>
      <errorWord>葵花籽</errorWord>
      <group>L1_Knowledge</group>
      <groupName>知识性问题</groupName>
      <ability>L2_Knowledge</ability>
      <abilityName>其他知识</abilityName>
      <candidateList>
        <item>葵花子</item>
      </candidateList>
      <explain/>
      <paraID>65E36BEE</paraID>
      <start>38</start>
      <end>41</end>
      <status>unmodified</status>
      <modifiedWord/>
      <trackRevisions>false</trackRevisions>
    </reviewItem>
    <reviewItem>
      <errorID>6e508eaf-2bfa-4e0e-965f-594c6812cf62</errorID>
      <errorWord>葵花籽</errorWord>
      <group>L1_Knowledge</group>
      <groupName>知识性问题</groupName>
      <ability>L2_Knowledge</ability>
      <abilityName>其他知识</abilityName>
      <candidateList>
        <item>葵花子</item>
      </candidateList>
      <explain/>
      <paraID>65E36BEE</paraID>
      <start>111</start>
      <end>114</end>
      <status>unmodified</status>
      <modifiedWord/>
      <trackRevisions>false</trackRevisions>
    </reviewItem>
    <reviewItem>
      <errorID>6b9d3721-10d4-4b65-98b2-d67741ca152f</errorID>
      <errorWord>葵花籽</errorWord>
      <group>L1_Knowledge</group>
      <groupName>知识性问题</groupName>
      <ability>L2_Knowledge</ability>
      <abilityName>其他知识</abilityName>
      <candidateList>
        <item>葵花子</item>
      </candidateList>
      <explain/>
      <paraID>65E36BEE</paraID>
      <start>124</start>
      <end>127</end>
      <status>unmodified</status>
      <modifiedWord/>
      <trackRevisions>false</trackRevisions>
    </reviewItem>
    <reviewItem>
      <errorID>f3b3d954-84bd-478c-a953-4ac919269010</errorID>
      <errorWord>葵花籽</errorWord>
      <group>L1_Knowledge</group>
      <groupName>知识性问题</groupName>
      <ability>L2_Knowledge</ability>
      <abilityName>其他知识</abilityName>
      <candidateList>
        <item>葵花子</item>
      </candidateList>
      <explain/>
      <paraID>31FFE2E9</paraID>
      <start>6</start>
      <end>9</end>
      <status>unmodified</status>
      <modifiedWord/>
      <trackRevisions>false</trackRevisions>
    </reviewItem>
    <reviewItem>
      <errorID>d2fbc40c-886c-417f-a8e6-e222af6d6a2a</errorID>
      <errorWord>葵花籽</errorWord>
      <group>L1_Knowledge</group>
      <groupName>知识性问题</groupName>
      <ability>L2_Knowledge</ability>
      <abilityName>其他知识</abilityName>
      <candidateList>
        <item>葵花子</item>
      </candidateList>
      <explain/>
      <paraID>72E2DD94</paraID>
      <start>2</start>
      <end>5</end>
      <status>unmodified</status>
      <modifiedWord/>
      <trackRevisions>false</trackRevisions>
    </reviewItem>
    <reviewItem>
      <errorID>bdd44457-634a-4142-9741-395f3b5baa43</errorID>
      <errorWord>葵花籽</errorWord>
      <group>L1_Knowledge</group>
      <groupName>知识性问题</groupName>
      <ability>L2_Knowledge</ability>
      <abilityName>其他知识</abilityName>
      <candidateList>
        <item>葵花子</item>
      </candidateList>
      <explain/>
      <paraID>5FB78808</paraID>
      <start>2</start>
      <end>5</end>
      <status>unmodified</status>
      <modifiedWord/>
      <trackRevisions>false</trackRevisions>
    </reviewItem>
    <reviewItem>
      <errorID>7f0151f6-16a7-4484-934a-1c60c82f1a5d</errorID>
      <errorWord>葵花籽</errorWord>
      <group>L1_Knowledge</group>
      <groupName>知识性问题</groupName>
      <ability>L2_Knowledge</ability>
      <abilityName>其他知识</abilityName>
      <candidateList>
        <item>葵花子</item>
      </candidateList>
      <explain/>
      <paraID>6F470C0F</paraID>
      <start>11</start>
      <end>14</end>
      <status>unmodified</status>
      <modifiedWord/>
      <trackRevisions>false</trackRevisions>
    </reviewItem>
    <reviewItem>
      <errorID>1eadbbb0-da04-4ed9-ae6a-7c3ca8864d46</errorID>
      <errorWord>kw</errorWord>
      <group>L1_Word</group>
      <groupName>字词问题</groupName>
      <ability>L2_Typo</ability>
      <abilityName>字词错误</abilityName>
      <candidateList>
        <item>kW</item>
      </candidateList>
      <explain/>
      <paraID>6A85E302</paraID>
      <start>4</start>
      <end>6</end>
      <status>modified</status>
      <modifiedWord>kW</modifiedWord>
      <trackRevisions>false</trackRevisions>
    </reviewItem>
    <reviewItem>
      <errorID>41dec35f-4386-4bf3-b9fc-b7a42af7c471</errorID>
      <errorWord>一</errorWord>
      <group>L1_Word</group>
      <groupName>字词问题</groupName>
      <ability>L2_Typo</ability>
      <abilityName>字词错误</abilityName>
      <candidateList>
        <item>一系</item>
      </candidateList>
      <explain/>
      <paraID>4C9DD5FA</paraID>
      <start>52</start>
      <end>54</end>
      <status>modified</status>
      <modifiedWord>一系</modifiedWord>
      <trackRevisions>false</trackRevisions>
    </reviewItem>
    <reviewItem>
      <errorID>072fe829-a7bd-4391-8c34-4af95145a3bb</errorID>
      <errorWord>，</errorWord>
      <group>L1_Word</group>
      <groupName>字词问题</groupName>
      <ability>L2_Typo</ability>
      <abilityName>字词错误</abilityName>
      <candidateList>
        <item>，是</item>
      </candidateList>
      <explain/>
      <paraID>47D75F8B</paraID>
      <start>182</start>
      <end>184</end>
      <status>modified</status>
      <modifiedWord>，是</modifiedWord>
      <trackRevisions>false</trackRevisions>
    </reviewItem>
    <reviewItem>
      <errorID>709b7d91-e608-4d27-b4ee-6154eccfab1c</errorID>
      <errorWord>。</errorWord>
      <group>L1_Punc</group>
      <groupName>标点问题</groupName>
      <ability>L2_Punc</ability>
      <abilityName>标点符号检查</abilityName>
      <candidateList>
        <item/>
      </candidateList>
      <explain>标题文本后不使用标点符号。</explain>
      <paraID>15ACAF40</paraID>
      <start>1087</start>
      <end>1088</end>
      <status>unmodified</status>
      <modifiedWord/>
      <trackRevisions>false</trackRevisions>
    </reviewItem>
    <reviewItem>
      <errorID>2df50403-6c27-4a9d-9076-f4d0cb0a2054</errorID>
      <errorWord>饱和蒸气</errorWord>
      <group>L1_Word</group>
      <groupName>字词问题</groupName>
      <ability>L2_Typo</ability>
      <abilityName>字词错误</abilityName>
      <candidateList>
        <item>饱和蒸汽</item>
      </candidateList>
      <explain/>
      <paraID>7E436930</paraID>
      <start>736</start>
      <end>740</end>
      <status>modified</status>
      <modifiedWord>饱和蒸汽</modifiedWord>
      <trackRevisions>false</trackRevisions>
    </reviewItem>
    <reviewItem>
      <errorID>80a53a1a-462f-4ea1-b817-298d263581fa</errorID>
      <errorWord>进厂</errorWord>
      <group>L1_Word</group>
      <groupName>字词问题</groupName>
      <ability>L2_Typo</ability>
      <abilityName>字词错误</abilityName>
      <candidateList>
        <item>进场</item>
      </candidateList>
      <explain/>
      <paraID>1FCC2359</paraID>
      <start>6</start>
      <end>8</end>
      <status>modified</status>
      <modifiedWord>进场</modifiedWord>
      <trackRevisions>false</trackRevisions>
    </reviewItem>
    <reviewItem>
      <errorID>c4c687a9-9d0b-469c-8b89-1ea467c47617</errorID>
      <errorWord>～</errorWord>
      <group>L1_Format</group>
      <groupName>格式问题</groupName>
      <ability>L2_HalfPunc</ability>
      <abilityName>全半角检查</abilityName>
      <candidateList>
        <item>~</item>
      </candidateList>
      <explain>文本全半角错误。</explain>
      <paraID>25E94F37</paraID>
      <start>3</start>
      <end>4</end>
      <status>unmodified</status>
      <modifiedWord/>
      <trackRevisions>false</trackRevisions>
    </reviewItem>
    <reviewItem>
      <errorID>4bf57a73-637d-440b-aa8f-ea098393ffc6</errorID>
      <errorWord>(</errorWord>
      <group>L1_Format</group>
      <groupName>格式问题</groupName>
      <ability>L2_HalfPunc</ability>
      <abilityName>全半角检查</abilityName>
      <candidateList>
        <item>（</item>
      </candidateList>
      <explain>文本全半角错误。</explain>
      <paraID>37B9697C</paraID>
      <start>3</start>
      <end>4</end>
      <status>unmodified</status>
      <modifiedWord/>
      <trackRevisions>false</trackRevisions>
    </reviewItem>
    <reviewItem>
      <errorID>dc67bd69-769a-4a50-8d73-39b436bbcc0c</errorID>
      <errorWord>,</errorWord>
      <group>L1_Format</group>
      <groupName>格式问题</groupName>
      <ability>L2_HalfPunc</ability>
      <abilityName>全半角检查</abilityName>
      <candidateList>
        <item>，</item>
      </candidateList>
      <explain>文本全半角错误。</explain>
      <paraID>6EF3FD6A</paraID>
      <start>5</start>
      <end>6</end>
      <status>unmodified</status>
      <modifiedWord/>
      <trackRevisions>false</trackRevisions>
    </reviewItem>
    <reviewItem>
      <errorID>2a654394-a294-4847-b238-95591c1879b2</errorID>
      <errorWord>：</errorWord>
      <group>L1_Format</group>
      <groupName>格式问题</groupName>
      <ability>L2_HalfPunc</ability>
      <abilityName>全半角检查</abilityName>
      <candidateList>
        <item>:</item>
      </candidateList>
      <explain>文本全半角错误。</explain>
      <paraID>132C15C2</paraID>
      <start>37</start>
      <end>38</end>
      <status>unmodified</status>
      <modifiedWord/>
      <trackRevisions>false</trackRevisions>
    </reviewItem>
    <reviewItem>
      <errorID>5a1b3f54-71a9-46c0-989c-77c55f326e04</errorID>
      <errorWord>水</errorWord>
      <group>L1_Word</group>
      <groupName>字词问题</groupName>
      <ability>L2_Typo</ability>
      <abilityName>字词错误</abilityName>
      <candidateList>
        <item>水平</item>
      </candidateList>
      <explain>❶〈形〉属性词。跟水平面平行的：～方向。❷〈名〉在生产、生活、政治、思想、文化、艺术、技术、业务等方面所达到的高度：提高思想～和业务～。</explain>
      <paraID>3FA2591F</paraID>
      <start>2</start>
      <end>3</end>
      <status>ignored</status>
      <modifiedWord/>
      <trackRevisions>false</trackRevisions>
    </reviewItem>
    <reviewItem>
      <errorID>40a5059b-ce09-4862-adc7-3386f7943e43</errorID>
      <errorWord>纯水系统</errorWord>
      <group>L1_Knowledge</group>
      <groupName>知识性问题</groupName>
      <ability>L2_Term</ability>
      <abilityName>专业术语</abilityName>
      <candidateList>
        <item>泄水系统</item>
      </candidateList>
      <explain/>
      <paraID>145F7F9D</paraID>
      <start>3</start>
      <end>7</end>
      <status>unmodified</status>
      <modifiedWord/>
      <trackRevisions>false</trackRevisions>
    </reviewItem>
    <reviewItem>
      <errorID>26756607-8e64-409a-b041-0b21cbd81ef7</errorID>
      <errorWord>《</errorWord>
      <group>L1_Punc</group>
      <groupName>标点问题</groupName>
      <ability>L2_Punc</ability>
      <abilityName>标点符号检查</abilityName>
      <candidateList/>
      <explain>同一形式括号套用。</explain>
      <paraID>56D7D120</paraID>
      <start>249</start>
      <end>250</end>
      <status>unmodified</status>
      <modifiedWord/>
      <trackRevisions>false</trackRevisions>
    </reviewItem>
    <reviewItem>
      <errorID>d254b8e8-fbc8-4a9e-ac3c-f15ff5b69069</errorID>
      <errorWord>》</errorWord>
      <group>L1_Punc</group>
      <groupName>标点问题</groupName>
      <ability>L2_Punc</ability>
      <abilityName>标点符号检查</abilityName>
      <candidateList/>
      <explain>同一形式括号套用。</explain>
      <paraID>56D7D120</paraID>
      <start>289</start>
      <end>290</end>
      <status>unmodified</status>
      <modifiedWord/>
      <trackRevisions>false</trackRevisions>
    </reviewItem>
    <reviewItem>
      <errorID>d1bfe0e3-ed88-4eb7-aeb3-9d69b5cf74c9</errorID>
      <errorWord>程</errorWord>
      <group>L1_Word</group>
      <groupName>字词问题</groupName>
      <ability>L2_Typo</ability>
      <abilityName>字词错误</abilityName>
      <candidateList>
        <item>程中</item>
      </candidateList>
      <explain/>
      <paraID>7EFC4B2B</paraID>
      <start>36</start>
      <end>38</end>
      <status>modified</status>
      <modifiedWord>程中</modifiedWord>
      <trackRevisions>false</trackRevisions>
    </reviewItem>
    <reviewItem>
      <errorID>18875730-6192-4c09-97b9-2daf797ea794</errorID>
      <errorWord>混</errorWord>
      <group>L1_Word</group>
      <groupName>字词问题</groupName>
      <ability>L2_Typo</ability>
      <abilityName>字词错误</abilityName>
      <candidateList>
        <item>混合</item>
      </candidateList>
      <explain>〈动〉❶掺杂在一起：男女～双打｜客货～列车。❷把两种或两种以上相互间不发生化学反应的物质掺和在一起。</explain>
      <paraID>7F8D04B7</paraID>
      <start>30</start>
      <end>31</end>
      <status>unmodified</status>
      <modifiedWord/>
      <trackRevisions>false</trackRevisions>
    </reviewItem>
    <reviewItem>
      <errorID>85468701-7a8e-41bd-b6fa-c7864f2eae1c</errorID>
      <errorWord>皂脚</errorWord>
      <group>L1_Word</group>
      <groupName>字词问题</groupName>
      <ability>L2_Typo</ability>
      <abilityName>字词错误</abilityName>
      <candidateList>
        <item>皂角</item>
      </candidateList>
      <explain/>
      <paraID>4BC04391</paraID>
      <start>74</start>
      <end>76</end>
      <status>ignored</status>
      <modifiedWord/>
      <trackRevisions>false</trackRevisions>
    </reviewItem>
    <reviewItem>
      <errorID>efa52363-d874-4d9a-a0a3-95a0cdd05a00</errorID>
      <errorWord>脱出</errorWord>
      <group>L1_Word</group>
      <groupName>字词问题</groupName>
      <ability>L2_Typo</ability>
      <abilityName>字词错误</abilityName>
      <candidateList>
        <item>脱除</item>
      </candidateList>
      <explain/>
      <paraID>4BC04391</paraID>
      <start>78</start>
      <end>80</end>
      <status>modified</status>
      <modifiedWord>脱除</modifiedWord>
      <trackRevisions>false</trackRevisions>
    </reviewItem>
    <reviewItem>
      <errorID>1d4ccd86-c338-4cb1-9b63-7176c8282ff1</errorID>
      <errorWord>有</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622AF2E4</paraID>
      <start>91</start>
      <end>92</end>
      <status>ignored</status>
      <modifiedWord/>
      <trackRevisions>false</trackRevisions>
    </reviewItem>
    <reviewItem>
      <errorID>9d3a90ef-1453-4e7b-bfdf-91f56880809a</errorID>
      <errorWord>〔2007〕024号</errorWord>
      <group>L1_Knowledge</group>
      <groupName>知识性问题</groupName>
      <ability>L2_Knowledge</ability>
      <abilityName>其他知识</abilityName>
      <candidateList>
        <item>〔2007〕24号</item>
      </candidateList>
      <explain>发文字号格式错误。</explain>
      <paraID>70556437</paraID>
      <start>100</start>
      <end>110</end>
      <status>unmodified</status>
      <modifiedWord/>
      <trackRevisions>false</trackRevisions>
    </reviewItem>
    <reviewItem>
      <errorID>4c19cfe5-aa77-4afc-866d-af4f9cefe46a</errorID>
      <errorWord>[2010]158号</errorWord>
      <group>L1_Knowledge</group>
      <groupName>知识性问题</groupName>
      <ability>L2_Knowledge</ability>
      <abilityName>其他知识</abilityName>
      <candidateList>
        <item>〔2010〕158号</item>
      </candidateList>
      <explain>发文字号格式错误。</explain>
      <paraID>31954F9B</paraID>
      <start>131</start>
      <end>141</end>
      <status>unmodified</status>
      <modifiedWord/>
      <trackRevisions>false</trackRevisions>
    </reviewItem>
    <reviewItem>
      <errorID>7c06a6e2-e115-4e8f-9ddc-2bc7defb4259</errorID>
      <errorWord>〔2012〕081号</errorWord>
      <group>L1_Knowledge</group>
      <groupName>知识性问题</groupName>
      <ability>L2_Knowledge</ability>
      <abilityName>其他知识</abilityName>
      <candidateList>
        <item>〔2012〕81号</item>
      </candidateList>
      <explain>发文字号格式错误。</explain>
      <paraID>59C458A2</paraID>
      <start>34</start>
      <end>44</end>
      <status>unmodified</status>
      <modifiedWord/>
      <trackRevisions>false</trackRevisions>
    </reviewItem>
    <reviewItem>
      <errorID>744a12f4-5237-4938-9488-89518fec2c6f</errorID>
      <errorWord>〔2007〕024号</errorWord>
      <group>L1_Knowledge</group>
      <groupName>知识性问题</groupName>
      <ability>L2_Knowledge</ability>
      <abilityName>其他知识</abilityName>
      <candidateList>
        <item>〔2007〕24号</item>
      </candidateList>
      <explain>发文字号格式错误。</explain>
      <paraID> 5D7CC5F</paraID>
      <start>6</start>
      <end>16</end>
      <status>unmodified</status>
      <modifiedWord/>
      <trackRevisions>false</trackRevisions>
    </reviewItem>
    <reviewItem>
      <errorID>b8921f07-01bc-4e2e-bfab-f78a7a2b3dcc</errorID>
      <errorWord>〔2012〕081号</errorWord>
      <group>L1_Knowledge</group>
      <groupName>知识性问题</groupName>
      <ability>L2_Knowledge</ability>
      <abilityName>其他知识</abilityName>
      <candidateList>
        <item>〔2012〕81号</item>
      </candidateList>
      <explain>发文字号格式错误。</explain>
      <paraID> DE05251</paraID>
      <start>17</start>
      <end>27</end>
      <status>unmodified</status>
      <modifiedWord/>
      <trackRevisions>false</trackRevisions>
    </reviewItem>
    <reviewItem>
      <errorID>0f899c23-f583-42a0-810e-d6155508e3a4</errorID>
      <errorWord>[2010]158号</errorWord>
      <group>L1_Knowledge</group>
      <groupName>知识性问题</groupName>
      <ability>L2_Knowledge</ability>
      <abilityName>其他知识</abilityName>
      <candidateList>
        <item>〔2010〕158号</item>
      </candidateList>
      <explain>发文字号格式错误。</explain>
      <paraID>102EFFB7</paraID>
      <start>6</start>
      <end>16</end>
      <status>unmodified</status>
      <modifiedWord/>
      <trackRevisions>false</trackRevisions>
    </reviewItem>
    <reviewItem>
      <errorID>aecce6ef-21f2-4b3a-a426-8d3f9cbddf0a</errorID>
      <errorWord>皂脚</errorWord>
      <group>L1_Word</group>
      <groupName>字词问题</groupName>
      <ability>L2_Typo</ability>
      <abilityName>字词错误</abilityName>
      <candidateList>
        <item>皂角</item>
      </candidateList>
      <explain/>
      <paraID>157F3CF0</paraID>
      <start>26</start>
      <end>28</end>
      <status>ignored</status>
      <modifiedWord/>
      <trackRevisions>false</trackRevisions>
    </reviewItem>
    <reviewItem>
      <errorID>4f79590d-7605-4fbe-97a0-0e9843095467</errorID>
      <errorWord>达</errorWord>
      <group>L1_Word</group>
      <groupName>字词问题</groupName>
      <ability>L2_Typo</ability>
      <abilityName>字词错误</abilityName>
      <candidateList>
        <item>达到</item>
      </candidateList>
      <explain>〈动〉到（多指抽象事物或程度）：达得到｜达不到｜目的没有～｜～国际水平。</explain>
      <paraID>1DA3F027</paraID>
      <start>42</start>
      <end>43</end>
      <status>ignored</status>
      <modifiedWord/>
      <trackRevisions>false</trackRevisions>
    </reviewItem>
    <reviewItem>
      <errorID>de6ceae4-dc83-4a12-8316-fe0f79cdbe8b</errorID>
      <errorWord>达</errorWord>
      <group>L1_Word</group>
      <groupName>字词问题</groupName>
      <ability>L2_Typo</ability>
      <abilityName>字词错误</abilityName>
      <candidateList>
        <item>达到</item>
      </candidateList>
      <explain>〈动〉到（多指抽象事物或程度）：达得到｜达不到｜目的没有～｜～国际水平。</explain>
      <paraID>65C0AD2E</paraID>
      <start>30</start>
      <end>31</end>
      <status>ignored</status>
      <modifiedWord/>
      <trackRevisions>false</trackRevisions>
    </reviewItem>
    <reviewItem>
      <errorID>634f1638-425c-4399-8fe3-a97e7c0b3c4e</errorID>
      <errorWord>IV类</errorWord>
      <group>L1_Knowledge</group>
      <groupName>知识性问题</groupName>
      <ability>L2_Knowledge</ability>
      <abilityName>其他知识</abilityName>
      <candidateList>
        <item>Ⅳ类</item>
      </candidateList>
      <explain/>
      <paraID>65C0AD2E</paraID>
      <start>55</start>
      <end>58</end>
      <status>unmodified</status>
      <modifiedWord/>
      <trackRevisions>false</trackRevisions>
    </reviewItem>
    <reviewItem>
      <errorID>59cf26d3-8666-401a-b770-29c617fa8e1f</errorID>
      <errorWord>（</errorWord>
      <group>L1_Punc</group>
      <groupName>标点问题</groupName>
      <ability>L2_Punc</ability>
      <abilityName>标点符号检查</abilityName>
      <candidateList/>
      <explain>同一形式括号套用。</explain>
      <paraID>65C0AD2E</paraID>
      <start>86</start>
      <end>87</end>
      <status>unmodified</status>
      <modifiedWord/>
      <trackRevisions>false</trackRevisions>
    </reviewItem>
    <reviewItem>
      <errorID>ac7a93c9-304c-4ebb-b83d-a8bd65e0b204</errorID>
      <errorWord>）</errorWord>
      <group>L1_Punc</group>
      <groupName>标点问题</groupName>
      <ability>L2_Punc</ability>
      <abilityName>标点符号检查</abilityName>
      <candidateList/>
      <explain>同一形式括号套用。</explain>
      <paraID>65C0AD2E</paraID>
      <start>99</start>
      <end>100</end>
      <status>unmodified</status>
      <modifiedWord/>
      <trackRevisions>false</trackRevisions>
    </reviewItem>
    <reviewItem>
      <errorID>99a481ee-0cdb-48ca-a9a8-bbc7e8e21b54</errorID>
      <errorWord>个</errorWord>
      <group>L1_Knowledge</group>
      <groupName>知识性问题</groupName>
      <ability>L2_Knowledge</ability>
      <abilityName>其他知识</abilityName>
      <candidateList>
        <item>台</item>
      </candidateList>
      <explain>请检查“个”是否为量词使用错误，建议修改为“台”。</explain>
      <paraID>7C1226FE</paraID>
      <start>32</start>
      <end>33</end>
      <status>unmodified</status>
      <modifiedWord/>
      <trackRevisions>false</trackRevisions>
    </reviewItem>
    <reviewItem>
      <errorID>2ce7c7bf-458f-4d0f-af80-782154510dcd</errorID>
      <errorWord>减震</errorWord>
      <group>L1_Word</group>
      <groupName>字词问题</groupName>
      <ability>L2_Typo</ability>
      <abilityName>字词错误</abilityName>
      <candidateList>
        <item>减振</item>
      </candidateList>
      <explain>存在发音相同字词的误用。</explain>
      <paraID> 8E3F063</paraID>
      <start>12</start>
      <end>14</end>
      <status>ignored</status>
      <modifiedWord/>
      <trackRevisions>false</trackRevisions>
    </reviewItem>
    <reviewItem>
      <errorID>c1b30b54-9946-4cd4-ae8c-6f8b9e7bcb5c</errorID>
      <errorWord>皂脚</errorWord>
      <group>L1_Word</group>
      <groupName>字词问题</groupName>
      <ability>L2_Typo</ability>
      <abilityName>字词错误</abilityName>
      <candidateList>
        <item>皂角</item>
      </candidateList>
      <explain/>
      <paraID>68ED655E</paraID>
      <start>0</start>
      <end>2</end>
      <status>ignored</status>
      <modifiedWord/>
      <trackRevisions>false</trackRevisions>
    </reviewItem>
    <reviewItem>
      <errorID>e3631848-ff84-41d7-a66b-7d55f2dd6348</errorID>
      <errorWord>皂脚</errorWord>
      <group>L1_Word</group>
      <groupName>字词问题</groupName>
      <ability>L2_Typo</ability>
      <abilityName>字词错误</abilityName>
      <candidateList>
        <item>皂角</item>
      </candidateList>
      <explain/>
      <paraID>2FA621B5</paraID>
      <start>133</start>
      <end>135</end>
      <status>ignored</status>
      <modifiedWord/>
      <trackRevisions>false</trackRevisions>
    </reviewItem>
    <reviewItem>
      <errorID>a4d33b13-7565-4db8-9dd4-3a39a2f9d5a5</errorID>
      <errorWord>水蒸汽</errorWord>
      <group>L1_Word</group>
      <groupName>字词问题</groupName>
      <ability>L2_Typo</ability>
      <abilityName>字词错误</abilityName>
      <candidateList>
        <item>水蒸气</item>
      </candidateList>
      <explain>〈名〉气态的水。常压下液态的水加热到100℃时就开始沸腾，迅速变成水蒸气。也叫蒸汽。</explain>
      <paraID>2FA621B5</paraID>
      <start>281</start>
      <end>284</end>
      <status>modified</status>
      <modifiedWord>水蒸气</modifiedWord>
      <trackRevisions>false</trackRevisions>
    </reviewItem>
    <reviewItem>
      <errorID>d188c0e9-6e9a-4392-a2f9-2508d9145c25</errorID>
      <errorWord>＜</errorWord>
      <group>L1_Format</group>
      <groupName>格式问题</groupName>
      <ability>L2_HalfPunc</ability>
      <abilityName>全半角检查</abilityName>
      <candidateList>
        <item>&lt;</item>
      </candidateList>
      <explain>文本全半角错误。</explain>
      <paraID>43BA7006</paraID>
      <start>0</start>
      <end>1</end>
      <status>unmodified</status>
      <modifiedWord/>
      <trackRevisions>false</trackRevisions>
    </reviewItem>
    <reviewItem>
      <errorID>bacc7475-cd51-459e-b5d8-b1fa0759b5cc</errorID>
      <errorWord>（</errorWord>
      <group>L1_Format</group>
      <groupName>格式问题</groupName>
      <ability>L2_HalfPunc</ability>
      <abilityName>全半角检查</abilityName>
      <candidateList>
        <item>(</item>
      </candidateList>
      <explain>文本全半角错误。</explain>
      <paraID>25A0B3A9</paraID>
      <start>0</start>
      <end>1</end>
      <status>unmodified</status>
      <modifiedWord/>
      <trackRevisions>false</trackRevisions>
    </reviewItem>
    <reviewItem>
      <errorID>5fb189fb-5a2b-47c2-8051-c85454eb82e3</errorID>
      <errorWord>）</errorWord>
      <group>L1_Format</group>
      <groupName>格式问题</groupName>
      <ability>L2_HalfPunc</ability>
      <abilityName>全半角检查</abilityName>
      <candidateList>
        <item>)</item>
      </candidateList>
      <explain>文本全半角错误。</explain>
      <paraID>25A0B3A9</paraID>
      <start>5</start>
      <end>6</end>
      <status>unmodified</status>
      <modifiedWord/>
      <trackRevisions>false</trackRevisions>
    </reviewItem>
    <reviewItem>
      <errorID>2b23b7b5-c898-4d0e-892c-b3429d225f13</errorID>
      <errorWord>（</errorWord>
      <group>L1_Format</group>
      <groupName>格式问题</groupName>
      <ability>L2_HalfPunc</ability>
      <abilityName>全半角检查</abilityName>
      <candidateList>
        <item>(</item>
      </candidateList>
      <explain>文本全半角错误。</explain>
      <paraID>1E5D7CE1</paraID>
      <start>0</start>
      <end>1</end>
      <status>unmodified</status>
      <modifiedWord/>
      <trackRevisions>false</trackRevisions>
    </reviewItem>
    <reviewItem>
      <errorID>7f8f5750-ffeb-46cd-9d3f-5c333fd1f99c</errorID>
      <errorWord>）</errorWord>
      <group>L1_Format</group>
      <groupName>格式问题</groupName>
      <ability>L2_HalfPunc</ability>
      <abilityName>全半角检查</abilityName>
      <candidateList>
        <item>)</item>
      </candidateList>
      <explain>文本全半角错误。</explain>
      <paraID>1E5D7CE1</paraID>
      <start>5</start>
      <end>6</end>
      <status>unmodified</status>
      <modifiedWord/>
      <trackRevisions>false</trackRevisions>
    </reviewItem>
    <reviewItem>
      <errorID>7a3e8f05-02f8-4e2a-9680-4df098b8dbcd</errorID>
      <errorWord>[2025]</errorWord>
      <group>L1_Punc</group>
      <groupName>标点问题</groupName>
      <ability>L2_Punc</ability>
      <abilityName>标点符号检查</abilityName>
      <candidateList>
        <item>〔2025〕</item>
      </candidateList>
      <explain/>
      <paraID>7D9A81C3</paraID>
      <start>23</start>
      <end>29</end>
      <status>unmodified</status>
      <modifiedWord/>
      <trackRevisions>false</trackRevisions>
    </reviewItem>
    <reviewItem>
      <errorID>36365a24-1b93-444e-b41b-3ffc9e648582</errorID>
      <errorWord>[2025]</errorWord>
      <group>L1_Punc</group>
      <groupName>标点问题</groupName>
      <ability>L2_Punc</ability>
      <abilityName>标点符号检查</abilityName>
      <candidateList>
        <item>〔2025〕</item>
      </candidateList>
      <explain/>
      <paraID> D0B32F5</paraID>
      <start>23</start>
      <end>29</end>
      <status>unmodified</status>
      <modifiedWord/>
      <trackRevisions>false</trackRevisions>
    </reviewItem>
    <reviewItem>
      <errorID>8a37046f-ea9d-4f2b-b2db-f4228c1f9642</errorID>
      <errorWord>清下</errorWord>
      <group>L1_Word</group>
      <groupName>字词问题</groupName>
      <ability>L2_Typo</ability>
      <abilityName>字词错误</abilityName>
      <candidateList>
        <item>井下</item>
      </candidateList>
      <explain/>
      <paraID>6C0F57CB</paraID>
      <start>55</start>
      <end>57</end>
      <status>ignored</status>
      <modifiedWord/>
      <trackRevisions>false</trackRevisions>
    </reviewItem>
    <reviewItem>
      <errorID>d3054d02-b45a-4fe2-b2c3-4cf698fe1987</errorID>
      <errorWord>达</errorWord>
      <group>L1_Word</group>
      <groupName>字词问题</groupName>
      <ability>L2_Typo</ability>
      <abilityName>字词错误</abilityName>
      <candidateList>
        <item>达到</item>
      </candidateList>
      <explain>〈动〉到（多指抽象事物或程度）：达得到｜达不到｜目的没有～｜～国际水平。</explain>
      <paraID>6C0F57CB</paraID>
      <start>148</start>
      <end>149</end>
      <status>ignored</status>
      <modifiedWord/>
      <trackRevisions>false</trackRevisions>
    </reviewItem>
    <reviewItem>
      <errorID>8b7d0efd-6f68-4d7d-895b-ee83b9a10a5f</errorID>
      <errorWord>达</errorWord>
      <group>L1_Word</group>
      <groupName>字词问题</groupName>
      <ability>L2_Typo</ability>
      <abilityName>字词错误</abilityName>
      <candidateList>
        <item>达到</item>
      </candidateList>
      <explain>〈动〉到（多指抽象事物或程度）：达得到｜达不到｜目的没有～｜～国际水平。</explain>
      <paraID>6C0F57CB</paraID>
      <start>202</start>
      <end>203</end>
      <status>ignored</status>
      <modifiedWord/>
      <trackRevisions>false</trackRevisions>
    </reviewItem>
    <reviewItem>
      <errorID>60e57e9e-8e87-486e-a542-8a0c102829fc</errorID>
      <errorWord>IV类</errorWord>
      <group>L1_Knowledge</group>
      <groupName>知识性问题</groupName>
      <ability>L2_Knowledge</ability>
      <abilityName>其他知识</abilityName>
      <candidateList>
        <item>Ⅳ类</item>
      </candidateList>
      <explain/>
      <paraID>6C0F57CB</paraID>
      <start>227</start>
      <end>230</end>
      <status>unmodified</status>
      <modifiedWord/>
      <trackRevisions>false</trackRevisions>
    </reviewItem>
    <reviewItem>
      <errorID>6179bebd-8412-48b2-8a8e-d5de1a5c0253</errorID>
      <errorWord>（</errorWord>
      <group>L1_Punc</group>
      <groupName>标点问题</groupName>
      <ability>L2_Punc</ability>
      <abilityName>标点符号检查</abilityName>
      <candidateList/>
      <explain>同一形式括号套用。</explain>
      <paraID>6C0F57CB</paraID>
      <start>258</start>
      <end>259</end>
      <status>unmodified</status>
      <modifiedWord/>
      <trackRevisions>false</trackRevisions>
    </reviewItem>
    <reviewItem>
      <errorID>03380489-6d27-4667-8421-6e56c6c60c47</errorID>
      <errorWord>）</errorWord>
      <group>L1_Punc</group>
      <groupName>标点问题</groupName>
      <ability>L2_Punc</ability>
      <abilityName>标点符号检查</abilityName>
      <candidateList/>
      <explain>同一形式括号套用。</explain>
      <paraID>6C0F57CB</paraID>
      <start>271</start>
      <end>272</end>
      <status>unmodified</status>
      <modifiedWord/>
      <trackRevisions>false</trackRevisions>
    </reviewItem>
    <reviewItem>
      <errorID>7323e280-7b86-4056-93d2-47ca5531226c</errorID>
      <errorWord>，</errorWord>
      <group>L1_Format</group>
      <groupName>格式问题</groupName>
      <ability>L2_HalfPunc</ability>
      <abilityName>全半角检查</abilityName>
      <candidateList>
        <item>,</item>
      </candidateList>
      <explain>文本全半角错误。</explain>
      <paraID>619DD040</paraID>
      <start>7</start>
      <end>8</end>
      <status>unmodified</status>
      <modifiedWord/>
      <trackRevisions>false</trackRevisions>
    </reviewItem>
    <reviewItem>
      <errorID>f415ae07-7891-4f6e-a173-63f75c5d5ae4</errorID>
      <errorWord>脚</errorWord>
      <group>L1_Word</group>
      <groupName>字词问题</groupName>
      <ability>L2_Typo</ability>
      <abilityName>字词错误</abilityName>
      <candidateList>
        <item>角</item>
      </candidateList>
      <explain/>
      <paraID>58DD91DC</paraID>
      <start>45</start>
      <end>46</end>
      <status>ignored</status>
      <modifiedWord/>
      <trackRevisions>false</trackRevisions>
    </reviewItem>
    <reviewItem>
      <errorID>f37fd8fd-f55b-49ea-901e-b514259ae989</errorID>
      <errorWord>脚</errorWord>
      <group>L1_Word</group>
      <groupName>字词问题</groupName>
      <ability>L2_Typo</ability>
      <abilityName>字词错误</abilityName>
      <candidateList>
        <item>角</item>
      </candidateList>
      <explain/>
      <paraID> 9FD48D9</paraID>
      <start>1</start>
      <end>2</end>
      <status>ignored</status>
      <modifiedWord/>
      <trackRevisions>false</trackRevisions>
    </reviewItem>
    <reviewItem>
      <errorID>7e600fa1-c585-41ca-8205-2a47625ae2ff</errorID>
      <errorWord>皂脚</errorWord>
      <group>L1_Word</group>
      <groupName>字词问题</groupName>
      <ability>L2_Typo</ability>
      <abilityName>字词错误</abilityName>
      <candidateList>
        <item>皂角</item>
      </candidateList>
      <explain/>
      <paraID>30B7E32D</paraID>
      <start>0</start>
      <end>2</end>
      <status>ignored</status>
      <modifiedWord/>
      <trackRevisions>false</trackRevisions>
    </reviewItem>
    <reviewItem>
      <errorID>b1c3a555-7c17-4fdf-a4f3-b1196b969473</errorID>
      <errorWord>~</errorWord>
      <group>L1_Format</group>
      <groupName>格式问题</groupName>
      <ability>L2_HalfPunc</ability>
      <abilityName>全半角检查</abilityName>
      <candidateList>
        <item>～</item>
      </candidateList>
      <explain>文本全半角错误。</explain>
      <paraID>672774B5</paraID>
      <start>72</start>
      <end>73</end>
      <status>unmodified</status>
      <modifiedWord/>
      <trackRevisions>false</trackRevisions>
    </reviewItem>
    <reviewItem>
      <errorID>17341d59-05bf-44d7-a38c-f916dad08509</errorID>
      <errorWord>达</errorWord>
      <group>L1_Word</group>
      <groupName>字词问题</groupName>
      <ability>L2_Typo</ability>
      <abilityName>字词错误</abilityName>
      <candidateList>
        <item>达到</item>
      </candidateList>
      <explain>〈动〉到（多指抽象事物或程度）：达得到｜达不到｜目的没有～｜～国际水平。</explain>
      <paraID> D8496D7</paraID>
      <start>87</start>
      <end>88</end>
      <status>ignored</status>
      <modifiedWord/>
      <trackRevisions>false</trackRevisions>
    </reviewItem>
    <reviewItem>
      <errorID>e5fefd6c-e5c5-4908-817f-d2929d12a7b2</errorID>
      <errorWord>皂脚</errorWord>
      <group>L1_Word</group>
      <groupName>字词问题</groupName>
      <ability>L2_Typo</ability>
      <abilityName>字词错误</abilityName>
      <candidateList>
        <item>皂角</item>
      </candidateList>
      <explain/>
      <paraID>70C54E0B</paraID>
      <start>0</start>
      <end>2</end>
      <status>ignored</status>
      <modifiedWord/>
      <trackRevisions>false</trackRevisions>
    </reviewItem>
    <reviewItem>
      <errorID>9f71ef98-a088-46de-b289-88e0f1126c39</errorID>
      <errorWord>(</errorWord>
      <group>L1_Format</group>
      <groupName>格式问题</groupName>
      <ability>L2_HalfPunc</ability>
      <abilityName>全半角检查</abilityName>
      <candidateList>
        <item>（</item>
      </candidateList>
      <explain>文本全半角错误。</explain>
      <paraID> 5D8C0D9</paraID>
      <start>20</start>
      <end>21</end>
      <status>unmodified</status>
      <modifiedWord/>
      <trackRevisions>false</trackRevisions>
    </reviewItem>
    <reviewItem>
      <errorID>862ece8f-ed11-4b84-aff7-fae9942d36b5</errorID>
      <errorWord>(</errorWord>
      <group>L1_Format</group>
      <groupName>格式问题</groupName>
      <ability>L2_HalfPunc</ability>
      <abilityName>全半角检查</abilityName>
      <candidateList>
        <item>（</item>
      </candidateList>
      <explain>文本全半角错误。</explain>
      <paraID> 5D8C0D9</paraID>
      <start>27</start>
      <end>28</end>
      <status>unmodified</status>
      <modifiedWord/>
      <trackRevisions>false</trackRevisions>
    </reviewItem>
    <reviewItem>
      <errorID>118b8abb-01ac-4329-b795-305a7e885be1</errorID>
      <errorWord>年</errorWord>
      <group>L1_Word</group>
      <groupName>字词问题</groupName>
      <ability>L2_Typo</ability>
      <abilityName>字词错误</abilityName>
      <candidateList>
        <item>年度</item>
      </candidateList>
      <explain/>
      <paraID>2F167A2C</paraID>
      <start>0</start>
      <end>1</end>
      <status>ignored</status>
      <modifiedWord/>
      <trackRevisions>false</trackRevisions>
    </reviewItem>
    <reviewItem>
      <errorID>185c9d26-d51a-4eed-be6d-a81de1e64266</errorID>
      <errorWord>（</errorWord>
      <group>L1_Format</group>
      <groupName>格式问题</groupName>
      <ability>L2_HalfPunc</ability>
      <abilityName>全半角检查</abilityName>
      <candidateList>
        <item>(</item>
      </candidateList>
      <explain>文本全半角错误。</explain>
      <paraID>17FE365D</paraID>
      <start>2</start>
      <end>3</end>
      <status>unmodified</status>
      <modifiedWord/>
      <trackRevisions>false</trackRevisions>
    </reviewItem>
    <reviewItem>
      <errorID>358f02bc-09f7-406c-9d84-f4663a884b06</errorID>
      <errorWord>）</errorWord>
      <group>L1_Format</group>
      <groupName>格式问题</groupName>
      <ability>L2_HalfPunc</ability>
      <abilityName>全半角检查</abilityName>
      <candidateList>
        <item>)</item>
      </candidateList>
      <explain>文本全半角错误。</explain>
      <paraID>17FE365D</paraID>
      <start>8</start>
      <end>9</end>
      <status>unmodified</status>
      <modifiedWord/>
      <trackRevisions>false</trackRevisions>
    </reviewItem>
    <reviewItem>
      <errorID>5cc23bdc-b034-4638-9b2f-d0e85405c796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30D7642A</paraID>
      <start>16</start>
      <end>17</end>
      <status>unmodified</status>
      <modifiedWord/>
      <trackRevisions>false</trackRevisions>
    </reviewItem>
    <reviewItem>
      <errorID>8f6fc9a1-b819-4a52-bc9b-ccc9956e7f41</errorID>
      <errorWord>本</errorWord>
      <group>L1_Word</group>
      <groupName>字词问题</groupName>
      <ability>L2_Typo</ability>
      <abilityName>字词错误</abilityName>
      <candidateList>
        <item>本次</item>
      </candidateList>
      <explain/>
      <paraID> B856D2E</paraID>
      <start>0</start>
      <end>1</end>
      <status>ignored</status>
      <modifiedWord/>
      <trackRevisions>false</trackRevisions>
    </reviewItem>
    <reviewItem>
      <errorID>e97f8208-94ee-49ab-b54f-b9792d397ec5</errorID>
      <errorWord>（</errorWord>
      <group>L1_Format</group>
      <groupName>格式问题</groupName>
      <ability>L2_HalfPunc</ability>
      <abilityName>全半角检查</abilityName>
      <candidateList>
        <item>(</item>
      </candidateList>
      <explain>文本全半角错误。</explain>
      <paraID>1D718B1F</paraID>
      <start>0</start>
      <end>1</end>
      <status>unmodified</status>
      <modifiedWord/>
      <trackRevisions>false</trackRevisions>
    </reviewItem>
    <reviewItem>
      <errorID>cee404ee-925b-4ae9-b7da-3c5fa66f7496</errorID>
      <errorWord>）</errorWord>
      <group>L1_Format</group>
      <groupName>格式问题</groupName>
      <ability>L2_HalfPunc</ability>
      <abilityName>全半角检查</abilityName>
      <candidateList>
        <item>)</item>
      </candidateList>
      <explain>文本全半角错误。</explain>
      <paraID>1D718B1F</paraID>
      <start>3</start>
      <end>4</end>
      <status>unmodified</status>
      <modifiedWord/>
      <trackRevisions>false</trackRevisions>
    </reviewItem>
    <reviewItem>
      <errorID>d8743ebf-064c-4a41-98f5-28e248e79bd0</errorID>
      <errorWord>(</errorWord>
      <group>L1_Format</group>
      <groupName>格式问题</groupName>
      <ability>L2_HalfPunc</ability>
      <abilityName>全半角检查</abilityName>
      <candidateList>
        <item>（</item>
      </candidateList>
      <explain>文本全半角错误。</explain>
      <paraID>164FD5D1</paraID>
      <start>5</start>
      <end>6</end>
      <status>unmodified</status>
      <modifiedWord/>
      <trackRevisions>false</trackRevisions>
    </reviewItem>
    <reviewItem>
      <errorID>e17cc64a-514a-4370-907d-1a07be3d7a1d</errorID>
      <errorWord>达</errorWord>
      <group>L1_Word</group>
      <groupName>字词问题</groupName>
      <ability>L2_Typo</ability>
      <abilityName>字词错误</abilityName>
      <candidateList>
        <item>达到</item>
      </candidateList>
      <explain>〈动〉到（多指抽象事物或程度）：达得到｜达不到｜目的没有～｜～国际水平。</explain>
      <paraID>7507527B</paraID>
      <start>45</start>
      <end>46</end>
      <status>ignored</status>
      <modifiedWord/>
      <trackRevisions>false</trackRevisions>
    </reviewItem>
    <reviewItem>
      <errorID>a2fce9c3-fe76-43de-99ab-63d14e5d7a5f</errorID>
      <errorWord>达</errorWord>
      <group>L1_Word</group>
      <groupName>字词问题</groupName>
      <ability>L2_Typo</ability>
      <abilityName>字词错误</abilityName>
      <candidateList>
        <item>达到</item>
      </candidateList>
      <explain>〈动〉到（多指抽象事物或程度）：达得到｜达不到｜目的没有～｜～国际水平。</explain>
      <paraID>7507527B</paraID>
      <start>100</start>
      <end>101</end>
      <status>ignored</status>
      <modifiedWord/>
      <trackRevisions>false</trackRevisions>
    </reviewItem>
    <reviewItem>
      <errorID>cf2e1990-563a-47bf-8b35-8b4db2c7660b</errorID>
      <errorWord>IV类</errorWord>
      <group>L1_Knowledge</group>
      <groupName>知识性问题</groupName>
      <ability>L2_Knowledge</ability>
      <abilityName>其他知识</abilityName>
      <candidateList>
        <item>Ⅳ类</item>
      </candidateList>
      <explain/>
      <paraID>7507527B</paraID>
      <start>125</start>
      <end>128</end>
      <status>unmodified</status>
      <modifiedWord/>
      <trackRevisions>false</trackRevisions>
    </reviewItem>
    <reviewItem>
      <errorID>edb405fe-9925-45e8-b7c6-84343a43f548</errorID>
      <errorWord>（</errorWord>
      <group>L1_Punc</group>
      <groupName>标点问题</groupName>
      <ability>L2_Punc</ability>
      <abilityName>标点符号检查</abilityName>
      <candidateList/>
      <explain>同一形式括号套用。</explain>
      <paraID>7507527B</paraID>
      <start>156</start>
      <end>157</end>
      <status>unmodified</status>
      <modifiedWord/>
      <trackRevisions>false</trackRevisions>
    </reviewItem>
    <reviewItem>
      <errorID>e046c291-cf06-412e-ab12-ce81780d5b4e</errorID>
      <errorWord>）</errorWord>
      <group>L1_Punc</group>
      <groupName>标点问题</groupName>
      <ability>L2_Punc</ability>
      <abilityName>标点符号检查</abilityName>
      <candidateList/>
      <explain>同一形式括号套用。</explain>
      <paraID>7507527B</paraID>
      <start>169</start>
      <end>170</end>
      <status>unmodified</status>
      <modifiedWord/>
      <trackRevisions>false</trackRevisions>
    </reviewItem>
    <reviewItem>
      <errorID>cde386f1-53b2-4f92-ae11-65f2469eb8a2</errorID>
      <errorWord>II类</errorWord>
      <group>L1_Knowledge</group>
      <groupName>知识性问题</groupName>
      <ability>L2_Knowledge</ability>
      <abilityName>其他知识</abilityName>
      <candidateList>
        <item>Ⅱ类</item>
      </candidateList>
      <explain/>
      <paraID>5210B310</paraID>
      <start>51</start>
      <end>54</end>
      <status>unmodified</status>
      <modifiedWord/>
      <trackRevisions>false</trackRevisions>
    </reviewItem>
    <reviewItem>
      <errorID>095bfb22-6138-4cbd-b23a-a003be35cd29</errorID>
      <errorWord>III类</errorWord>
      <group>L1_Knowledge</group>
      <groupName>知识性问题</groupName>
      <ability>L2_Knowledge</ability>
      <abilityName>其他知识</abilityName>
      <candidateList>
        <item>Ⅲ类</item>
      </candidateList>
      <explain/>
      <paraID>5210B310</paraID>
      <start>87</start>
      <end>91</end>
      <status>unmodified</status>
      <modifiedWord/>
      <trackRevisions>false</trackRevisions>
    </reviewItem>
    <reviewItem>
      <errorID>8b6bd578-ca78-452c-bf51-08caad7a3adf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5FA8F526</paraID>
      <start>4</start>
      <end>5</end>
      <status>unmodified</status>
      <modifiedWord/>
      <trackRevisions>false</trackRevisions>
    </reviewItem>
    <reviewItem>
      <errorID>972e8b0b-3a33-4c10-92a5-e9434fdb0f64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7C56E71B</paraID>
      <start>4</start>
      <end>5</end>
      <status>unmodified</status>
      <modifiedWord/>
      <trackRevisions>false</trackRevisions>
    </reviewItem>
    <reviewItem>
      <errorID>3c7f5f80-5891-4894-96d0-8d699c4db526</errorID>
      <errorWord>0.58%~5.82%</errorWord>
      <group>L1_Knowledge</group>
      <groupName>知识性问题</groupName>
      <ability>L2_Knowledge</ability>
      <abilityName>其他知识</abilityName>
      <candidateList>
        <item>0.58%～5.82%</item>
      </candidateList>
      <explain>1. “0.58%~5.82%”中的单位“%”仅出现在后一个数字上，容易引起歧义；根据《现代汉语标点符号数字用法规范手册》，数字表示范围两边需要使用统一的格式。2. 根据标点国标 4.13 中的规则，数字、时间或地域连接符应使用（视觉上更长的）“—”或“～”。</explain>
      <paraID> 66EA541</paraID>
      <start>103</start>
      <end>114</end>
      <status>unmodified</status>
      <modifiedWord/>
      <trackRevisions>false</trackRevisions>
    </reviewItem>
    <reviewItem>
      <errorID>ab6db7db-6b3a-4925-ac91-eed0efb1830d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7E8557B7</paraID>
      <start>72</start>
      <end>73</end>
      <status>unmodified</status>
      <modifiedWord/>
      <trackRevisions>false</trackRevisions>
    </reviewItem>
    <reviewItem>
      <errorID>f592b38c-fa7f-499f-83dd-703ab5c80b7a</errorID>
      <errorWord>低</errorWord>
      <group>L1_Word</group>
      <groupName>字词问题</groupName>
      <ability>L2_Typo</ability>
      <abilityName>字词错误</abilityName>
      <candidateList>
        <item>低于</item>
      </candidateList>
      <explain/>
      <paraID> 406DE0A</paraID>
      <start>50</start>
      <end>52</end>
      <status>modified</status>
      <modifiedWord>低于</modifiedWord>
      <trackRevisions>false</trackRevisions>
    </reviewItem>
    <reviewItem>
      <errorID>2d18a0f7-13bd-499a-9814-be98fd73a317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406DE0A</paraID>
      <start>69</start>
      <end>70</end>
      <status>unmodified</status>
      <modifiedWord/>
      <trackRevisions>false</trackRevisions>
    </reviewItem>
    <reviewItem>
      <errorID>4f0757aa-33e0-4389-8ec7-6bb302bf54a3</errorID>
      <errorWord>(</errorWord>
      <group>L1_Format</group>
      <groupName>格式问题</groupName>
      <ability>L2_HalfPunc</ability>
      <abilityName>全半角检查</abilityName>
      <candidateList>
        <item>（</item>
      </candidateList>
      <explain>文本全半角错误。</explain>
      <paraID>718BA7F8</paraID>
      <start>6</start>
      <end>7</end>
      <status>unmodified</status>
      <modifiedWord/>
      <trackRevisions>false</trackRevisions>
    </reviewItem>
    <reviewItem>
      <errorID>9569cd11-4802-44f1-b79c-5884412fb3bd</errorID>
      <errorWord>(</errorWord>
      <group>L1_Format</group>
      <groupName>格式问题</groupName>
      <ability>L2_HalfPunc</ability>
      <abilityName>全半角检查</abilityName>
      <candidateList>
        <item>（</item>
      </candidateList>
      <explain>文本全半角错误。</explain>
      <paraID>4C189F26</paraID>
      <start>8</start>
      <end>9</end>
      <status>unmodified</status>
      <modifiedWord/>
      <trackRevisions>false</trackRevisions>
    </reviewItem>
    <reviewItem>
      <errorID>ae1f6f97-a078-4383-ad81-fc3f768ecf73</errorID>
      <errorWord>(</errorWord>
      <group>L1_Format</group>
      <groupName>格式问题</groupName>
      <ability>L2_HalfPunc</ability>
      <abilityName>全半角检查</abilityName>
      <candidateList>
        <item>（</item>
      </candidateList>
      <explain>文本全半角错误。</explain>
      <paraID>4126E025</paraID>
      <start>11</start>
      <end>12</end>
      <status>unmodified</status>
      <modifiedWord/>
      <trackRevisions>false</trackRevisions>
    </reviewItem>
    <reviewItem>
      <errorID>2f0781d4-58f2-4b62-a2f3-bd51d0d55444</errorID>
      <errorWord>(</errorWord>
      <group>L1_Format</group>
      <groupName>格式问题</groupName>
      <ability>L2_HalfPunc</ability>
      <abilityName>全半角检查</abilityName>
      <candidateList>
        <item>（</item>
      </candidateList>
      <explain>文本全半角错误。</explain>
      <paraID>2F6263CC</paraID>
      <start>2</start>
      <end>3</end>
      <status>unmodified</status>
      <modifiedWord/>
      <trackRevisions>false</trackRevisions>
    </reviewItem>
    <reviewItem>
      <errorID>cb9b2b46-74a3-437c-a360-d068007e6151</errorID>
      <errorWord>(</errorWord>
      <group>L1_Format</group>
      <groupName>格式问题</groupName>
      <ability>L2_HalfPunc</ability>
      <abilityName>全半角检查</abilityName>
      <candidateList>
        <item>（</item>
      </candidateList>
      <explain>文本全半角错误。</explain>
      <paraID>2B4CDA2E</paraID>
      <start>31</start>
      <end>32</end>
      <status>unmodified</status>
      <modifiedWord/>
      <trackRevisions>false</trackRevisions>
    </reviewItem>
    <reviewItem>
      <errorID>4020fa69-1846-4b84-a09a-015dda8f5d6f</errorID>
      <errorWord>(</errorWord>
      <group>L1_Format</group>
      <groupName>格式问题</groupName>
      <ability>L2_HalfPunc</ability>
      <abilityName>全半角检查</abilityName>
      <candidateList>
        <item>（</item>
      </candidateList>
      <explain>文本全半角错误。</explain>
      <paraID>   83AD9</paraID>
      <start>24</start>
      <end>25</end>
      <status>unmodified</status>
      <modifiedWord/>
      <trackRevisions>false</trackRevisions>
    </reviewItem>
    <reviewItem>
      <errorID>5ed0074f-fb74-4ce7-a0ca-201db84ece46</errorID>
      <errorWord>(</errorWord>
      <group>L1_Format</group>
      <groupName>格式问题</groupName>
      <ability>L2_HalfPunc</ability>
      <abilityName>全半角检查</abilityName>
      <candidateList>
        <item>（</item>
      </candidateList>
      <explain>文本全半角错误。</explain>
      <paraID>6F3C5DEC</paraID>
      <start>4</start>
      <end>5</end>
      <status>unmodified</status>
      <modifiedWord/>
      <trackRevisions>false</trackRevisions>
    </reviewItem>
    <reviewItem>
      <errorID>0b0313c2-7051-43ae-8f41-0a4db56bc3d8</errorID>
      <errorWord>(</errorWord>
      <group>L1_Format</group>
      <groupName>格式问题</groupName>
      <ability>L2_HalfPunc</ability>
      <abilityName>全半角检查</abilityName>
      <candidateList>
        <item>（</item>
      </candidateList>
      <explain>文本全半角错误。</explain>
      <paraID>2D798FA3</paraID>
      <start>2</start>
      <end>3</end>
      <status>unmodified</status>
      <modifiedWord/>
      <trackRevisions>false</trackRevisions>
    </reviewItem>
    <reviewItem>
      <errorID>4a21fa5e-e32d-482d-bee8-b1b793c20654</errorID>
      <errorWord>达</errorWord>
      <group>L1_Word</group>
      <groupName>字词问题</groupName>
      <ability>L2_Typo</ability>
      <abilityName>字词错误</abilityName>
      <candidateList>
        <item>达到</item>
      </candidateList>
      <explain>〈动〉到（多指抽象事物或程度）：达得到｜达不到｜目的没有～｜～国际水平。</explain>
      <paraID>6A2BB77D</paraID>
      <start>55</start>
      <end>56</end>
      <status>ignored</status>
      <modifiedWord/>
      <trackRevisions>false</trackRevisions>
    </reviewItem>
    <reviewItem>
      <errorID>178ca477-43e8-40bb-99e0-830d9ce3f2e8</errorID>
      <errorWord>达</errorWord>
      <group>L1_Word</group>
      <groupName>字词问题</groupName>
      <ability>L2_Typo</ability>
      <abilityName>字词错误</abilityName>
      <candidateList>
        <item>达到</item>
      </candidateList>
      <explain>〈动〉到（多指抽象事物或程度）：达得到｜达不到｜目的没有～｜～国际水平。</explain>
      <paraID>6A2BB77D</paraID>
      <start>121</start>
      <end>122</end>
      <status>ignored</status>
      <modifiedWord/>
      <trackRevisions>false</trackRevisions>
    </reviewItem>
    <reviewItem>
      <errorID>d9d0b99f-22a8-4401-95e7-4dfe0ed1ba33</errorID>
      <errorWord>IV类</errorWord>
      <group>L1_Knowledge</group>
      <groupName>知识性问题</groupName>
      <ability>L2_Knowledge</ability>
      <abilityName>其他知识</abilityName>
      <candidateList>
        <item>Ⅳ类</item>
      </candidateList>
      <explain/>
      <paraID>6A2BB77D</paraID>
      <start>146</start>
      <end>149</end>
      <status>unmodified</status>
      <modifiedWord/>
      <trackRevisions>false</trackRevisions>
    </reviewItem>
    <reviewItem>
      <errorID>ac5a57bc-1922-4b25-88a7-d4ddf0d0ea73</errorID>
      <errorWord>（</errorWord>
      <group>L1_Punc</group>
      <groupName>标点问题</groupName>
      <ability>L2_Punc</ability>
      <abilityName>标点符号检查</abilityName>
      <candidateList/>
      <explain/>
      <paraID>29BBD347</paraID>
      <start>19</start>
      <end>20</end>
      <status>unmodified</status>
      <modifiedWord/>
      <trackRevisions>false</trackRevisions>
    </reviewItem>
    <reviewItem>
      <errorID>69d971d4-f488-4ccf-b915-745f494108f3</errorID>
      <errorWord>IV类</errorWord>
      <group>L1_Knowledge</group>
      <groupName>知识性问题</groupName>
      <ability>L2_Knowledge</ability>
      <abilityName>其他知识</abilityName>
      <candidateList>
        <item>Ⅳ类</item>
      </candidateList>
      <explain/>
      <paraID>27CDD338</paraID>
      <start>0</start>
      <end>3</end>
      <status>unmodified</status>
      <modifiedWord/>
      <trackRevisions>false</trackRevisions>
    </reviewItem>
    <reviewItem>
      <errorID>f7cd97d9-5e94-4342-92f7-47df43d870a0</errorID>
      <errorWord>(</errorWord>
      <group>L1_Punc</group>
      <groupName>标点问题</groupName>
      <ability>L2_Punc</ability>
      <abilityName>标点符号检查</abilityName>
      <candidateList/>
      <explain/>
      <paraID>2873AEBE</paraID>
      <start>138</start>
      <end>139</end>
      <status>unmodified</status>
      <modifiedWord/>
      <trackRevisions>false</trackRevisions>
    </reviewItem>
    <reviewItem>
      <errorID>c2e8707c-8b0e-46e5-b292-7a81360ad4cf</errorID>
      <errorWord>(</errorWord>
      <group>L1_Format</group>
      <groupName>格式问题</groupName>
      <ability>L2_HalfPunc</ability>
      <abilityName>全半角检查</abilityName>
      <candidateList>
        <item>（</item>
      </candidateList>
      <explain>文本全半角错误。</explain>
      <paraID>2873AEBE</paraID>
      <start>147</start>
      <end>148</end>
      <status>unmodified</status>
      <modifiedWord/>
      <trackRevisions>false</trackRevisions>
    </reviewItem>
    <reviewItem>
      <errorID>7f2280c9-b1f7-4fc8-ad67-d169febc8775</errorID>
      <errorWord>大气污染物防治</errorWord>
      <group>L1_Knowledge</group>
      <groupName>知识性问题</groupName>
      <ability>L2_Knowledge</ability>
      <abilityName>其他知识</abilityName>
      <candidateList>
        <item>大气污染防治</item>
      </candidateList>
      <explain/>
      <paraID> 6D487B5</paraID>
      <start>5</start>
      <end>12</end>
      <status>unmodified</status>
      <modifiedWord/>
      <trackRevisions>false</trackRevisions>
    </reviewItem>
    <reviewItem>
      <errorID>bb792815-af9c-465e-b108-c9c5b17d8439</errorID>
      <errorWord>（</errorWord>
      <group>L1_Format</group>
      <groupName>格式问题</groupName>
      <ability>L2_HalfPunc</ability>
      <abilityName>全半角检查</abilityName>
      <candidateList>
        <item>(</item>
      </candidateList>
      <explain>文本全半角错误。</explain>
      <paraID>3BC29E96</paraID>
      <start>11</start>
      <end>12</end>
      <status>unmodified</status>
      <modifiedWord/>
      <trackRevisions>false</trackRevisions>
    </reviewItem>
    <reviewItem>
      <errorID>7cda8d95-c772-42f2-9e7a-e0c2fa079da7</errorID>
      <errorWord>）</errorWord>
      <group>L1_Format</group>
      <groupName>格式问题</groupName>
      <ability>L2_HalfPunc</ability>
      <abilityName>全半角检查</abilityName>
      <candidateList>
        <item>)</item>
      </candidateList>
      <explain>文本全半角错误。</explain>
      <paraID>3BC29E96</paraID>
      <start>16</start>
      <end>17</end>
      <status>unmodified</status>
      <modifiedWord/>
      <trackRevisions>false</trackRevisions>
    </reviewItem>
    <reviewItem>
      <errorID>9cf79651-c703-4f54-bc72-21b35a9034b6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3E97DC72</paraID>
      <start>85</start>
      <end>86</end>
      <status>modified</status>
      <modifiedWord>地</modifiedWord>
      <trackRevisions>false</trackRevisions>
    </reviewItem>
    <reviewItem>
      <errorID>86728305-6789-495a-80d2-0cbb6f38b702</errorID>
      <errorWord>至</errorWord>
      <group>L1_Word</group>
      <groupName>字词问题</groupName>
      <ability>L2_Typo</ability>
      <abilityName>字词错误</abilityName>
      <candidateList>
        <item>至最</item>
      </candidateList>
      <explain/>
      <paraID>3E97DC72</paraID>
      <start>100</start>
      <end>102</end>
      <status>modified</status>
      <modifiedWord>至最</modifiedWord>
      <trackRevisions>false</trackRevisions>
    </reviewItem>
    <reviewItem>
      <errorID>59fe3ee7-d2ae-47cb-b655-8fce05640479</errorID>
      <errorWord>(</errorWord>
      <group>L1_Format</group>
      <groupName>格式问题</groupName>
      <ability>L2_HalfPunc</ability>
      <abilityName>全半角检查</abilityName>
      <candidateList>
        <item>（</item>
      </candidateList>
      <explain>文本全半角错误。</explain>
      <paraID> A0B32E1</paraID>
      <start>99</start>
      <end>100</end>
      <status>unmodified</status>
      <modifiedWord/>
      <trackRevisions>false</trackRevisions>
    </reviewItem>
    <reviewItem>
      <errorID>f4cd0546-5ffe-4e52-930f-ecbb6b23df94</errorID>
      <errorWord>[2025]</errorWord>
      <group>L1_Punc</group>
      <groupName>标点问题</groupName>
      <ability>L2_Punc</ability>
      <abilityName>标点符号检查</abilityName>
      <candidateList>
        <item>〔2025〕</item>
      </candidateList>
      <explain/>
      <paraID> A0B32E1</paraID>
      <start>103</start>
      <end>109</end>
      <status>unmodified</status>
      <modifiedWord/>
      <trackRevisions>false</trackRevisions>
    </reviewItem>
    <reviewItem>
      <errorID>3e8cb672-b7ab-4bf6-922a-1bdb016c06c0</errorID>
      <errorWord>“</errorWord>
      <group>L1_Punc</group>
      <groupName>标点问题</groupName>
      <ability>L2_Punc</ability>
      <abilityName>标点符号检查</abilityName>
      <candidateList/>
      <explain/>
      <paraID>2E9A3313</paraID>
      <start>30</start>
      <end>31</end>
      <status>unmodified</status>
      <modifiedWord/>
      <trackRevisions>false</trackRevisions>
    </reviewItem>
    <reviewItem>
      <errorID>d270d91d-6b68-4d4e-8a54-2f9216a78057</errorID>
      <errorWord>“，</errorWord>
      <group>L1_Punc</group>
      <groupName>标点问题</groupName>
      <ability>L2_Punc</ability>
      <abilityName>标点符号检查</abilityName>
      <candidateList>
        <item>“</item>
      </candidateList>
      <explain/>
      <paraID>2E9A3313</paraID>
      <start>56</start>
      <end>58</end>
      <status>unmodified</status>
      <modifiedWord/>
      <trackRevisions>false</trackRevisions>
    </reviewItem>
    <reviewItem>
      <errorID>2594e060-500c-4367-b7c6-d55751ab6259</errorID>
      <errorWord>-</errorWord>
      <group>L1_Format</group>
      <groupName>格式问题</groupName>
      <ability>L2_HalfPunc</ability>
      <abilityName>全半角检查</abilityName>
      <candidateList>
        <item>－</item>
      </candidateList>
      <explain>文本全半角错误。</explain>
      <paraID>2059005D</paraID>
      <start>26</start>
      <end>27</end>
      <status>unmodified</status>
      <modifiedWord/>
      <trackRevisions>false</trackRevisions>
    </reviewItem>
    <reviewItem>
      <errorID>bdc3776c-0e46-447b-9fa8-0bb5662de13a</errorID>
      <errorWord>-</errorWord>
      <group>L1_Format</group>
      <groupName>格式问题</groupName>
      <ability>L2_HalfPunc</ability>
      <abilityName>全半角检查</abilityName>
      <candidateList>
        <item>－</item>
      </candidateList>
      <explain>文本全半角错误。</explain>
      <paraID>5BCB5E46</paraID>
      <start>6</start>
      <end>7</end>
      <status>unmodified</status>
      <modifiedWord/>
      <trackRevisions>false</trackRevisions>
    </reviewItem>
    <reviewItem>
      <errorID>15794a4f-87fb-48ba-9f92-798b18172310</errorID>
      <errorWord>-</errorWord>
      <group>L1_Format</group>
      <groupName>格式问题</groupName>
      <ability>L2_HalfPunc</ability>
      <abilityName>全半角检查</abilityName>
      <candidateList>
        <item>－</item>
      </candidateList>
      <explain>文本全半角错误。</explain>
      <paraID>49FB0136</paraID>
      <start>80</start>
      <end>81</end>
      <status>unmodified</status>
      <modifiedWord/>
      <trackRevisions>false</trackRevisions>
    </reviewItem>
    <reviewItem>
      <errorID>8922677b-2686-41d3-b0ec-0faaed0304b3</errorID>
      <errorWord>(</errorWord>
      <group>L1_Format</group>
      <groupName>格式问题</groupName>
      <ability>L2_HalfPunc</ability>
      <abilityName>全半角检查</abilityName>
      <candidateList>
        <item>（</item>
      </candidateList>
      <explain>文本全半角错误。</explain>
      <paraID>6783A350</paraID>
      <start>38</start>
      <end>39</end>
      <status>unmodified</status>
      <modifiedWord/>
      <trackRevisions>false</trackRevisions>
    </reviewItem>
    <reviewItem>
      <errorID>227f15a3-5e2b-454f-a15e-5c82d8266826</errorID>
      <errorWord>[2025]</errorWord>
      <group>L1_Punc</group>
      <groupName>标点问题</groupName>
      <ability>L2_Punc</ability>
      <abilityName>标点符号检查</abilityName>
      <candidateList>
        <item>〔2025〕</item>
      </candidateList>
      <explain/>
      <paraID>6783A350</paraID>
      <start>42</start>
      <end>48</end>
      <status>unmodified</status>
      <modifiedWord/>
      <trackRevisions>false</trackRevisions>
    </reviewItem>
    <reviewItem>
      <errorID>74b59346-ec51-4eec-802c-281e9661b561</errorID>
      <errorWord>-</errorWord>
      <group>L1_Format</group>
      <groupName>格式问题</groupName>
      <ability>L2_HalfPunc</ability>
      <abilityName>全半角检查</abilityName>
      <candidateList>
        <item>－</item>
      </candidateList>
      <explain>文本全半角错误。</explain>
      <paraID>6783A350</paraID>
      <start>158</start>
      <end>159</end>
      <status>unmodified</status>
      <modifiedWord/>
      <trackRevisions>false</trackRevisions>
    </reviewItem>
    <reviewItem>
      <errorID>bba8edaf-a578-4def-8b90-57525ba1d77f</errorID>
      <errorWord>-</errorWord>
      <group>L1_Format</group>
      <groupName>格式问题</groupName>
      <ability>L2_HalfPunc</ability>
      <abilityName>全半角检查</abilityName>
      <candidateList>
        <item>－</item>
      </candidateList>
      <explain>文本全半角错误。</explain>
      <paraID>6783A350</paraID>
      <start>179</start>
      <end>180</end>
      <status>unmodified</status>
      <modifiedWord/>
      <trackRevisions>false</trackRevisions>
    </reviewItem>
    <reviewItem>
      <errorID>759a413d-67da-4ffc-a893-c49d0654d323</errorID>
      <errorWord>（</errorWord>
      <group>L1_Format</group>
      <groupName>格式问题</groupName>
      <ability>L2_HalfPunc</ability>
      <abilityName>全半角检查</abilityName>
      <candidateList>
        <item>(</item>
      </candidateList>
      <explain>文本全半角错误。</explain>
      <paraID> C0BBE11</paraID>
      <start>0</start>
      <end>1</end>
      <status>unmodified</status>
      <modifiedWord/>
      <trackRevisions>false</trackRevisions>
    </reviewItem>
    <reviewItem>
      <errorID>d53225c5-1838-4aa4-b094-1ca0b51eb149</errorID>
      <errorWord>）</errorWord>
      <group>L1_Format</group>
      <groupName>格式问题</groupName>
      <ability>L2_HalfPunc</ability>
      <abilityName>全半角检查</abilityName>
      <candidateList>
        <item>)</item>
      </candidateList>
      <explain>文本全半角错误。</explain>
      <paraID> C0BBE11</paraID>
      <start>4</start>
      <end>5</end>
      <status>unmodified</status>
      <modifiedWord/>
      <trackRevisions>false</trackRevisions>
    </reviewItem>
    <reviewItem>
      <errorID>d52640c6-1511-4622-a05e-342d58d45cf1</errorID>
      <errorWord>（</errorWord>
      <group>L1_Format</group>
      <groupName>格式问题</groupName>
      <ability>L2_HalfPunc</ability>
      <abilityName>全半角检查</abilityName>
      <candidateList>
        <item>(</item>
      </candidateList>
      <explain>文本全半角错误。</explain>
      <paraID>57A5ABC9</paraID>
      <start>0</start>
      <end>1</end>
      <status>unmodified</status>
      <modifiedWord/>
      <trackRevisions>false</trackRevisions>
    </reviewItem>
    <reviewItem>
      <errorID>51d6f321-71d6-4cd0-b3fa-806fde1d898e</errorID>
      <errorWord>）</errorWord>
      <group>L1_Format</group>
      <groupName>格式问题</groupName>
      <ability>L2_HalfPunc</ability>
      <abilityName>全半角检查</abilityName>
      <candidateList>
        <item>)</item>
      </candidateList>
      <explain>文本全半角错误。</explain>
      <paraID>57A5ABC9</paraID>
      <start>6</start>
      <end>7</end>
      <status>unmodified</status>
      <modifiedWord/>
      <trackRevisions>false</trackRevisions>
    </reviewItem>
    <reviewItem>
      <errorID>1ff9fa1f-e1bd-4a16-b21a-42397ad49ac1</errorID>
      <errorWord>（</errorWord>
      <group>L1_Format</group>
      <groupName>格式问题</groupName>
      <ability>L2_HalfPunc</ability>
      <abilityName>全半角检查</abilityName>
      <candidateList>
        <item>(</item>
      </candidateList>
      <explain>文本全半角错误。</explain>
      <paraID>4707672C</paraID>
      <start>0</start>
      <end>1</end>
      <status>unmodified</status>
      <modifiedWord/>
      <trackRevisions>false</trackRevisions>
    </reviewItem>
    <reviewItem>
      <errorID>35832cfb-b9da-4ebd-9f2b-c2f2dacbf7c5</errorID>
      <errorWord>）</errorWord>
      <group>L1_Format</group>
      <groupName>格式问题</groupName>
      <ability>L2_HalfPunc</ability>
      <abilityName>全半角检查</abilityName>
      <candidateList>
        <item>)</item>
      </candidateList>
      <explain>文本全半角错误。</explain>
      <paraID>4707672C</paraID>
      <start>4</start>
      <end>5</end>
      <status>unmodified</status>
      <modifiedWord/>
      <trackRevisions>false</trackRevisions>
    </reviewItem>
    <reviewItem>
      <errorID>e62fa39c-f295-4da4-8950-bb569fa1aa56</errorID>
      <errorWord>（</errorWord>
      <group>L1_Format</group>
      <groupName>格式问题</groupName>
      <ability>L2_HalfPunc</ability>
      <abilityName>全半角检查</abilityName>
      <candidateList>
        <item>(</item>
      </candidateList>
      <explain>文本全半角错误。</explain>
      <paraID>62F478F2</paraID>
      <start>0</start>
      <end>1</end>
      <status>unmodified</status>
      <modifiedWord/>
      <trackRevisions>false</trackRevisions>
    </reviewItem>
    <reviewItem>
      <errorID>89b432ea-2b4c-4457-a6b9-754e35a0d873</errorID>
      <errorWord>）</errorWord>
      <group>L1_Format</group>
      <groupName>格式问题</groupName>
      <ability>L2_HalfPunc</ability>
      <abilityName>全半角检查</abilityName>
      <candidateList>
        <item>)</item>
      </candidateList>
      <explain>文本全半角错误。</explain>
      <paraID>62F478F2</paraID>
      <start>6</start>
      <end>7</end>
      <status>unmodified</status>
      <modifiedWord/>
      <trackRevisions>false</trackRevisions>
    </reviewItem>
    <reviewItem>
      <errorID>c757f4d6-1637-4dd3-b9dc-5b1c8a3b246c</errorID>
      <errorWord>（</errorWord>
      <group>L1_Format</group>
      <groupName>格式问题</groupName>
      <ability>L2_HalfPunc</ability>
      <abilityName>全半角检查</abilityName>
      <candidateList>
        <item>(</item>
      </candidateList>
      <explain>文本全半角错误。</explain>
      <paraID>72977BF4</paraID>
      <start>0</start>
      <end>1</end>
      <status>unmodified</status>
      <modifiedWord/>
      <trackRevisions>false</trackRevisions>
    </reviewItem>
    <reviewItem>
      <errorID>8e48d953-214e-48ee-a0eb-28b383f5f691</errorID>
      <errorWord>）</errorWord>
      <group>L1_Format</group>
      <groupName>格式问题</groupName>
      <ability>L2_HalfPunc</ability>
      <abilityName>全半角检查</abilityName>
      <candidateList>
        <item>)</item>
      </candidateList>
      <explain>文本全半角错误。</explain>
      <paraID>72977BF4</paraID>
      <start>5</start>
      <end>6</end>
      <status>unmodified</status>
      <modifiedWord/>
      <trackRevisions>false</trackRevisions>
    </reviewItem>
    <reviewItem>
      <errorID>c558e72e-fbb3-436a-a8ad-ba6dd326a672</errorID>
      <errorWord>(</errorWord>
      <group>L1_Format</group>
      <groupName>格式问题</groupName>
      <ability>L2_HalfPunc</ability>
      <abilityName>全半角检查</abilityName>
      <candidateList>
        <item>（</item>
      </candidateList>
      <explain>文本全半角错误。</explain>
      <paraID>7BDE809C</paraID>
      <start>12</start>
      <end>13</end>
      <status>unmodified</status>
      <modifiedWord/>
      <trackRevisions>false</trackRevisions>
    </reviewItem>
    <reviewItem>
      <errorID>9d491c90-8195-4981-9015-e988bfbab1a8</errorID>
      <errorWord>脉式除尘器</errorWord>
      <group>L1_Knowledge</group>
      <groupName>知识性问题</groupName>
      <ability>L2_Term</ability>
      <abilityName>专业术语</abilityName>
      <candidateList>
        <item>湿式除尘器</item>
      </candidateList>
      <explain/>
      <paraID>7BDE809C</paraID>
      <start>52</start>
      <end>57</end>
      <status>unmodified</status>
      <modifiedWord/>
      <trackRevisions>false</trackRevisions>
    </reviewItem>
    <reviewItem>
      <errorID>2619eb26-f07f-49f1-9998-cab8877bcccc</errorID>
      <errorWord>粘附</errorWord>
      <group>L1_Word</group>
      <groupName>字词问题</groupName>
      <ability>L2_Alias</ability>
      <abilityName>也作/曾用词</abilityName>
      <candidateList>
        <item>黏附</item>
      </candidateList>
      <explain>词汇[粘附]为不规范表述或旧称，其规范书面表述为[黏附]。</explain>
      <paraID>7BDE809C</paraID>
      <start>59</start>
      <end>61</end>
      <status>ignored</status>
      <modifiedWord/>
      <trackRevisions>false</trackRevisions>
    </reviewItem>
    <reviewItem>
      <errorID>2d8c8b79-d4a0-4fc9-814e-4dc0acbd18d1</errorID>
      <errorWord>脉式除尘器</errorWord>
      <group>L1_Knowledge</group>
      <groupName>知识性问题</groupName>
      <ability>L2_Term</ability>
      <abilityName>专业术语</abilityName>
      <candidateList>
        <item>湿式除尘器</item>
      </candidateList>
      <explain/>
      <paraID>7BDE809C</paraID>
      <start>62</start>
      <end>67</end>
      <status>unmodified</status>
      <modifiedWord/>
      <trackRevisions>false</trackRevisions>
    </reviewItem>
    <reviewItem>
      <errorID>1298aec5-03bd-40a8-a174-5906265fb82c</errorID>
      <errorWord>震荡</errorWord>
      <group>L1_Word</group>
      <groupName>字词问题</groupName>
      <ability>L2_Typo</ability>
      <abilityName>字词错误</abilityName>
      <candidateList>
        <item>振荡</item>
      </candidateList>
      <explain>存在发音相同字词的误用。</explain>
      <paraID>7BDE809C</paraID>
      <start>132</start>
      <end>134</end>
      <status>ignored</status>
      <modifiedWord/>
      <trackRevisions>false</trackRevisions>
    </reviewItem>
    <reviewItem>
      <errorID>bb10ba37-534e-4ea4-9fd8-6dd8717bfbd1</errorID>
      <errorWord>加入到</errorWord>
      <group>L1_Word</group>
      <groupName>字词问题</groupName>
      <ability>L2_Typo</ability>
      <abilityName>字词错误</abilityName>
      <candidateList>
        <item>加入</item>
      </candidateList>
      <explain>〈动〉❶加上；掺进去：～食糖少许。❷参加进去：～工会｜～足球队。</explain>
      <paraID>7BDE809C</paraID>
      <start>134</start>
      <end>136</end>
      <status>modified</status>
      <modifiedWord>加入</modifiedWord>
      <trackRevisions>false</trackRevisions>
    </reviewItem>
    <reviewItem>
      <errorID>c09647cd-8244-4f63-adc7-4a5691ea8581</errorID>
      <errorWord>（</errorWord>
      <group>L1_Format</group>
      <groupName>格式问题</groupName>
      <ability>L2_HalfPunc</ability>
      <abilityName>全半角检查</abilityName>
      <candidateList>
        <item>(</item>
      </candidateList>
      <explain>文本全半角错误。</explain>
      <paraID> D501F0B</paraID>
      <start>0</start>
      <end>1</end>
      <status>unmodified</status>
      <modifiedWord/>
      <trackRevisions>false</trackRevisions>
    </reviewItem>
    <reviewItem>
      <errorID>b6f825de-fe13-4efe-b924-c409a9bbff30</errorID>
      <errorWord>）</errorWord>
      <group>L1_Format</group>
      <groupName>格式问题</groupName>
      <ability>L2_HalfPunc</ability>
      <abilityName>全半角检查</abilityName>
      <candidateList>
        <item>)</item>
      </candidateList>
      <explain>文本全半角错误。</explain>
      <paraID> D501F0B</paraID>
      <start>5</start>
      <end>6</end>
      <status>unmodified</status>
      <modifiedWord/>
      <trackRevisions>false</trackRevisions>
    </reviewItem>
    <reviewItem>
      <errorID>8d5a3f68-9973-40e8-b18e-2ce42e09be08</errorID>
      <errorWord>（</errorWord>
      <group>L1_Format</group>
      <groupName>格式问题</groupName>
      <ability>L2_HalfPunc</ability>
      <abilityName>全半角检查</abilityName>
      <candidateList>
        <item>(</item>
      </candidateList>
      <explain>文本全半角错误。</explain>
      <paraID>405E605A</paraID>
      <start>0</start>
      <end>1</end>
      <status>unmodified</status>
      <modifiedWord/>
      <trackRevisions>false</trackRevisions>
    </reviewItem>
    <reviewItem>
      <errorID>8c2f6db8-7b2e-469f-8c8d-8851c73eedb6</errorID>
      <errorWord>）</errorWord>
      <group>L1_Format</group>
      <groupName>格式问题</groupName>
      <ability>L2_HalfPunc</ability>
      <abilityName>全半角检查</abilityName>
      <candidateList>
        <item>)</item>
      </candidateList>
      <explain>文本全半角错误。</explain>
      <paraID>405E605A</paraID>
      <start>6</start>
      <end>7</end>
      <status>unmodified</status>
      <modifiedWord/>
      <trackRevisions>false</trackRevisions>
    </reviewItem>
    <reviewItem>
      <errorID>b1483a7b-7802-4614-95ae-0e769c1b18bc</errorID>
      <errorWord>（</errorWord>
      <group>L1_Format</group>
      <groupName>格式问题</groupName>
      <ability>L2_HalfPunc</ability>
      <abilityName>全半角检查</abilityName>
      <candidateList>
        <item>(</item>
      </candidateList>
      <explain>文本全半角错误。</explain>
      <paraID>18150496</paraID>
      <start>0</start>
      <end>1</end>
      <status>unmodified</status>
      <modifiedWord/>
      <trackRevisions>false</trackRevisions>
    </reviewItem>
    <reviewItem>
      <errorID>4f288c10-927f-419e-a071-47038d21b160</errorID>
      <errorWord>）</errorWord>
      <group>L1_Format</group>
      <groupName>格式问题</groupName>
      <ability>L2_HalfPunc</ability>
      <abilityName>全半角检查</abilityName>
      <candidateList>
        <item>)</item>
      </candidateList>
      <explain>文本全半角错误。</explain>
      <paraID>18150496</paraID>
      <start>5</start>
      <end>6</end>
      <status>unmodified</status>
      <modifiedWord/>
      <trackRevisions>false</trackRevisions>
    </reviewItem>
    <reviewItem>
      <errorID>aed1b44e-a915-48d1-b2e2-6f4621933aa2</errorID>
      <errorWord>（</errorWord>
      <group>L1_Format</group>
      <groupName>格式问题</groupName>
      <ability>L2_HalfPunc</ability>
      <abilityName>全半角检查</abilityName>
      <candidateList>
        <item>(</item>
      </candidateList>
      <explain>文本全半角错误。</explain>
      <paraID>1CC2D3F9</paraID>
      <start>0</start>
      <end>1</end>
      <status>unmodified</status>
      <modifiedWord/>
      <trackRevisions>false</trackRevisions>
    </reviewItem>
    <reviewItem>
      <errorID>b0a8a50c-1860-429e-8880-ae903a54941f</errorID>
      <errorWord>）</errorWord>
      <group>L1_Format</group>
      <groupName>格式问题</groupName>
      <ability>L2_HalfPunc</ability>
      <abilityName>全半角检查</abilityName>
      <candidateList>
        <item>)</item>
      </candidateList>
      <explain>文本全半角错误。</explain>
      <paraID>1CC2D3F9</paraID>
      <start>6</start>
      <end>7</end>
      <status>unmodified</status>
      <modifiedWord/>
      <trackRevisions>false</trackRevisions>
    </reviewItem>
    <reviewItem>
      <errorID>b0757e3f-bffa-4405-bab4-47af66bbbead</errorID>
      <errorWord>（</errorWord>
      <group>L1_Format</group>
      <groupName>格式问题</groupName>
      <ability>L2_HalfPunc</ability>
      <abilityName>全半角检查</abilityName>
      <candidateList>
        <item>(</item>
      </candidateList>
      <explain>文本全半角错误。</explain>
      <paraID> C230BCB</paraID>
      <start>0</start>
      <end>1</end>
      <status>unmodified</status>
      <modifiedWord/>
      <trackRevisions>false</trackRevisions>
    </reviewItem>
    <reviewItem>
      <errorID>94325061-0aed-4d4b-8af8-cd7504cb88e3</errorID>
      <errorWord>）</errorWord>
      <group>L1_Format</group>
      <groupName>格式问题</groupName>
      <ability>L2_HalfPunc</ability>
      <abilityName>全半角检查</abilityName>
      <candidateList>
        <item>)</item>
      </candidateList>
      <explain>文本全半角错误。</explain>
      <paraID> C230BCB</paraID>
      <start>5</start>
      <end>6</end>
      <status>unmodified</status>
      <modifiedWord/>
      <trackRevisions>false</trackRevisions>
    </reviewItem>
    <reviewItem>
      <errorID>aaa92180-d5f1-4df2-ae29-ad7ee47e1193</errorID>
      <errorWord>（</errorWord>
      <group>L1_Format</group>
      <groupName>格式问题</groupName>
      <ability>L2_HalfPunc</ability>
      <abilityName>全半角检查</abilityName>
      <candidateList>
        <item>(</item>
      </candidateList>
      <explain>文本全半角错误。</explain>
      <paraID>2109335E</paraID>
      <start>0</start>
      <end>1</end>
      <status>unmodified</status>
      <modifiedWord/>
      <trackRevisions>false</trackRevisions>
    </reviewItem>
    <reviewItem>
      <errorID>5739088f-8b88-49ff-905c-8da0c7c83293</errorID>
      <errorWord>）</errorWord>
      <group>L1_Format</group>
      <groupName>格式问题</groupName>
      <ability>L2_HalfPunc</ability>
      <abilityName>全半角检查</abilityName>
      <candidateList>
        <item>)</item>
      </candidateList>
      <explain>文本全半角错误。</explain>
      <paraID>2109335E</paraID>
      <start>6</start>
      <end>7</end>
      <status>unmodified</status>
      <modifiedWord/>
      <trackRevisions>false</trackRevisions>
    </reviewItem>
    <reviewItem>
      <errorID>073c92f1-8b18-4d80-aa21-aba730fdce55</errorID>
      <errorWord>（</errorWord>
      <group>L1_Format</group>
      <groupName>格式问题</groupName>
      <ability>L2_HalfPunc</ability>
      <abilityName>全半角检查</abilityName>
      <candidateList>
        <item>(</item>
      </candidateList>
      <explain>文本全半角错误。</explain>
      <paraID>229429F8</paraID>
      <start>0</start>
      <end>1</end>
      <status>unmodified</status>
      <modifiedWord/>
      <trackRevisions>false</trackRevisions>
    </reviewItem>
    <reviewItem>
      <errorID>ab03294b-cc40-445d-b05a-6ebbb4e1c416</errorID>
      <errorWord>）</errorWord>
      <group>L1_Format</group>
      <groupName>格式问题</groupName>
      <ability>L2_HalfPunc</ability>
      <abilityName>全半角检查</abilityName>
      <candidateList>
        <item>)</item>
      </candidateList>
      <explain>文本全半角错误。</explain>
      <paraID>229429F8</paraID>
      <start>5</start>
      <end>6</end>
      <status>unmodified</status>
      <modifiedWord/>
      <trackRevisions>false</trackRevisions>
    </reviewItem>
    <reviewItem>
      <errorID>853b07ad-076c-4aa7-b0d4-f9a4f8be98ea</errorID>
      <errorWord>-</errorWord>
      <group>L1_Format</group>
      <groupName>格式问题</groupName>
      <ability>L2_HalfPunc</ability>
      <abilityName>全半角检查</abilityName>
      <candidateList>
        <item>－</item>
      </candidateList>
      <explain>文本全半角错误。</explain>
      <paraID> 33605C6</paraID>
      <start>17</start>
      <end>18</end>
      <status>unmodified</status>
      <modifiedWord/>
      <trackRevisions>false</trackRevisions>
    </reviewItem>
    <reviewItem>
      <errorID>0b21177f-fbad-466f-b8a5-9bb56f98818a</errorID>
      <errorWord>脱臭系统</errorWord>
      <group>L1_Knowledge</group>
      <groupName>知识性问题</groupName>
      <ability>L2_Term</ability>
      <abilityName>专业术语</abilityName>
      <candidateList>
        <item>脱硝系统</item>
      </candidateList>
      <explain/>
      <paraID> 33605C6</paraID>
      <start>27</start>
      <end>31</end>
      <status>unmodified</status>
      <modifiedWord/>
      <trackRevisions>false</trackRevisions>
    </reviewItem>
    <reviewItem>
      <errorID>0f732926-2656-4941-938e-989c95c3ca77</errorID>
      <errorWord>-</errorWord>
      <group>L1_Format</group>
      <groupName>格式问题</groupName>
      <ability>L2_HalfPunc</ability>
      <abilityName>全半角检查</abilityName>
      <candidateList>
        <item>－</item>
      </candidateList>
      <explain>文本全半角错误。</explain>
      <paraID> 33605C6</paraID>
      <start>47</start>
      <end>48</end>
      <status>unmodified</status>
      <modifiedWord/>
      <trackRevisions>false</trackRevisions>
    </reviewItem>
    <reviewItem>
      <errorID>e7c9db58-2994-448f-adda-d6350a83a81a</errorID>
      <errorWord>水蒸汽</errorWord>
      <group>L1_Word</group>
      <groupName>字词问题</groupName>
      <ability>L2_Typo</ability>
      <abilityName>字词错误</abilityName>
      <candidateList>
        <item>水蒸气</item>
      </candidateList>
      <explain>〈名〉气态的水。常压下液态的水加热到100℃时就开始沸腾，迅速变成水蒸气。也叫蒸汽。</explain>
      <paraID> 33605C6</paraID>
      <start>112</start>
      <end>115</end>
      <status>modified</status>
      <modifiedWord>水蒸气</modifiedWord>
      <trackRevisions>false</trackRevisions>
    </reviewItem>
    <reviewItem>
      <errorID>cca31af7-634e-4ffa-a08b-4d7acd891446</errorID>
      <errorWord>水蒸汽</errorWord>
      <group>L1_Word</group>
      <groupName>字词问题</groupName>
      <ability>L2_Typo</ability>
      <abilityName>字词错误</abilityName>
      <candidateList>
        <item>水蒸气</item>
      </candidateList>
      <explain>〈名〉气态的水。常压下液态的水加热到100℃时就开始沸腾，迅速变成水蒸气。也叫蒸汽。</explain>
      <paraID> 33605C6</paraID>
      <start>178</start>
      <end>181</end>
      <status>modified</status>
      <modifiedWord>水蒸气</modifiedWord>
      <trackRevisions>false</trackRevisions>
    </reviewItem>
    <reviewItem>
      <errorID>663d2476-fbb1-47b1-86d0-a7dd42323a92</errorID>
      <errorWord>(</errorWord>
      <group>L1_Format</group>
      <groupName>格式问题</groupName>
      <ability>L2_HalfPunc</ability>
      <abilityName>全半角检查</abilityName>
      <candidateList>
        <item>（</item>
      </candidateList>
      <explain>文本全半角错误。</explain>
      <paraID>3CFB3CD3</paraID>
      <start>279</start>
      <end>280</end>
      <status>unmodified</status>
      <modifiedWord/>
      <trackRevisions>false</trackRevisions>
    </reviewItem>
    <reviewItem>
      <errorID>a7e188e3-a065-4386-adb6-033bc4ed8ef4</errorID>
      <errorWord>2-6%</errorWord>
      <group>L1_Knowledge</group>
      <groupName>知识性问题</groupName>
      <ability>L2_Knowledge</ability>
      <abilityName>其他知识</abilityName>
      <candidateList>
        <item>2%—6%</item>
      </candidateList>
      <explain>1. “2-6%”中的单位“%”仅出现在后一个数字上，容易引起歧义；根据《现代汉语标点符号数字用法规范手册》，数字表示范围两边需要使用统一的格式。2. 根据标点国标 4.13 中的规则，数字、时间或地域连接符应使用（视觉上更长的）“—”或“～”。</explain>
      <paraID>3CFB3CD3</paraID>
      <start>285</start>
      <end>289</end>
      <status>unmodified</status>
      <modifiedWord/>
      <trackRevisions>false</trackRevisions>
    </reviewItem>
    <reviewItem>
      <errorID>ecd41705-4968-4145-8e12-44a586513908</errorID>
      <errorWord>2-4%</errorWord>
      <group>L1_Knowledge</group>
      <groupName>知识性问题</groupName>
      <ability>L2_Knowledge</ability>
      <abilityName>其他知识</abilityName>
      <candidateList>
        <item>2%—4%</item>
      </candidateList>
      <explain>1. “2-4%”中的单位“%”仅出现在后一个数字上，容易引起歧义；根据《现代汉语标点符号数字用法规范手册》，数字表示范围两边需要使用统一的格式。2. 根据标点国标 4.13 中的规则，数字、时间或地域连接符应使用（视觉上更长的）“—”或“～”。</explain>
      <paraID>3CFB3CD3</paraID>
      <start>404</start>
      <end>408</end>
      <status>unmodified</status>
      <modifiedWord/>
      <trackRevisions>false</trackRevisions>
    </reviewItem>
    <reviewItem>
      <errorID>f495e2dc-46f4-4520-92f4-b8698d4a6e93</errorID>
      <errorWord>50~85%</errorWord>
      <group>L1_Knowledge</group>
      <groupName>知识性问题</groupName>
      <ability>L2_Knowledge</ability>
      <abilityName>其他知识</abilityName>
      <candidateList>
        <item>50%～85%</item>
      </candidateList>
      <explain>1. “50~85%”中的单位“%”仅出现在后一个数字上，容易引起歧义；根据《现代汉语标点符号数字用法规范手册》，数字表示范围两边需要使用统一的格式。2. 根据标点国标 4.13 中的规则，数字、时间或地域连接符应使用（视觉上更长的）“—”或“～”。</explain>
      <paraID> 57214D5</paraID>
      <start>210</start>
      <end>216</end>
      <status>unmodified</status>
      <modifiedWord/>
      <trackRevisions>false</trackRevisions>
    </reviewItem>
    <reviewItem>
      <errorID>6681cee7-3939-4fb4-ba73-38f50193e9f9</errorID>
      <errorWord>&lt;</errorWord>
      <group>L1_Format</group>
      <groupName>格式问题</groupName>
      <ability>L2_HalfPunc</ability>
      <abilityName>全半角检查</abilityName>
      <candidateList>
        <item>〈</item>
      </candidateList>
      <explain>文本全半角错误。</explain>
      <paraID> 57214D5</paraID>
      <start>239</start>
      <end>240</end>
      <status>unmodified</status>
      <modifiedWord/>
      <trackRevisions>false</trackRevisions>
    </reviewItem>
    <reviewItem>
      <errorID>5415f960-0aa7-4b50-b3f0-0e7fea9c70e6</errorID>
      <errorWord>&gt;</errorWord>
      <group>L1_Format</group>
      <groupName>格式问题</groupName>
      <ability>L2_HalfPunc</ability>
      <abilityName>全半角检查</abilityName>
      <candidateList>
        <item>〉</item>
      </candidateList>
      <explain>文本全半角错误。</explain>
      <paraID> 57214D5</paraID>
      <start>263</start>
      <end>264</end>
      <status>unmodified</status>
      <modifiedWord/>
      <trackRevisions>false</trackRevisions>
    </reviewItem>
    <reviewItem>
      <errorID>0c554472-476c-41f7-bea2-d094f07b32af</errorID>
      <errorWord>使用量宜</errorWord>
      <group>L1_Word</group>
      <groupName>字词问题</groupName>
      <ability>L2_Typo</ability>
      <abilityName>字词错误</abilityName>
      <candidateList>
        <item>使用量</item>
      </candidateList>
      <explain/>
      <paraID> 57214D5</paraID>
      <start>309</start>
      <end>313</end>
      <status>ignored</status>
      <modifiedWord/>
      <trackRevisions>false</trackRevisions>
    </reviewItem>
    <reviewItem>
      <errorID>c88ea758-ddb6-4727-bf64-4e871ba89cad</errorID>
      <errorWord>交有</errorWord>
      <group>L1_Word</group>
      <groupName>字词问题</groupName>
      <ability>L2_Typo</ability>
      <abilityName>字词错误</abilityName>
      <candidateList>
        <item>交由</item>
      </candidateList>
      <explain/>
      <paraID> 57214D5</paraID>
      <start>423</start>
      <end>425</end>
      <status>ignored</status>
      <modifiedWord/>
      <trackRevisions>false</trackRevisions>
    </reviewItem>
    <reviewItem>
      <errorID>7c409a9f-df4d-4a41-a13a-06f9a4f8026c</errorID>
      <errorWord>(</errorWord>
      <group>L1_Format</group>
      <groupName>格式问题</groupName>
      <ability>L2_HalfPunc</ability>
      <abilityName>全半角检查</abilityName>
      <candidateList>
        <item>（</item>
      </candidateList>
      <explain>文本全半角错误。</explain>
      <paraID> 64C9BEC</paraID>
      <start>116</start>
      <end>117</end>
      <status>unmodified</status>
      <modifiedWord/>
      <trackRevisions>false</trackRevisions>
    </reviewItem>
    <reviewItem>
      <errorID>dcf41c3f-006c-4430-8393-ed2439e6da46</errorID>
      <errorWord>(</errorWord>
      <group>L1_Format</group>
      <groupName>格式问题</groupName>
      <ability>L2_HalfPunc</ability>
      <abilityName>全半角检查</abilityName>
      <candidateList>
        <item>（</item>
      </candidateList>
      <explain>文本全半角错误。</explain>
      <paraID> 64C9BEC</paraID>
      <start>173</start>
      <end>174</end>
      <status>unmodified</status>
      <modifiedWord/>
      <trackRevisions>false</trackRevisions>
    </reviewItem>
    <reviewItem>
      <errorID>c545412f-6c8e-4df4-b62b-93714f94d5c1</errorID>
      <errorWord>（</errorWord>
      <group>L1_Format</group>
      <groupName>格式问题</groupName>
      <ability>L2_HalfPunc</ability>
      <abilityName>全半角检查</abilityName>
      <candidateList>
        <item>(</item>
      </candidateList>
      <explain>文本全半角错误。</explain>
      <paraID>44A1DF4E</paraID>
      <start>0</start>
      <end>1</end>
      <status>unmodified</status>
      <modifiedWord/>
      <trackRevisions>false</trackRevisions>
    </reviewItem>
    <reviewItem>
      <errorID>7d9e63a8-8044-4955-94c9-dfab87ad7f5d</errorID>
      <errorWord>）</errorWord>
      <group>L1_Format</group>
      <groupName>格式问题</groupName>
      <ability>L2_HalfPunc</ability>
      <abilityName>全半角检查</abilityName>
      <candidateList>
        <item>)</item>
      </candidateList>
      <explain>文本全半角错误。</explain>
      <paraID>44A1DF4E</paraID>
      <start>2</start>
      <end>3</end>
      <status>unmodified</status>
      <modifiedWord/>
      <trackRevisions>false</trackRevisions>
    </reviewItem>
    <reviewItem>
      <errorID>fff48791-9cac-4b83-b925-4cf6dd46b24e</errorID>
      <errorWord>（</errorWord>
      <group>L1_Format</group>
      <groupName>格式问题</groupName>
      <ability>L2_HalfPunc</ability>
      <abilityName>全半角检查</abilityName>
      <candidateList>
        <item>(</item>
      </candidateList>
      <explain>文本全半角错误。</explain>
      <paraID>55778E56</paraID>
      <start>0</start>
      <end>1</end>
      <status>unmodified</status>
      <modifiedWord/>
      <trackRevisions>false</trackRevisions>
    </reviewItem>
    <reviewItem>
      <errorID>4a44f4a7-8b49-42e3-a245-9dbf5b7d8703</errorID>
      <errorWord>）</errorWord>
      <group>L1_Format</group>
      <groupName>格式问题</groupName>
      <ability>L2_HalfPunc</ability>
      <abilityName>全半角检查</abilityName>
      <candidateList>
        <item>)</item>
      </candidateList>
      <explain>文本全半角错误。</explain>
      <paraID>55778E56</paraID>
      <start>2</start>
      <end>3</end>
      <status>unmodified</status>
      <modifiedWord/>
      <trackRevisions>false</trackRevisions>
    </reviewItem>
    <reviewItem>
      <errorID>2c51fded-340c-464c-83d3-825cabf395db</errorID>
      <errorWord>(</errorWord>
      <group>L1_Format</group>
      <groupName>格式问题</groupName>
      <ability>L2_HalfPunc</ability>
      <abilityName>全半角检查</abilityName>
      <candidateList>
        <item>（</item>
      </candidateList>
      <explain>文本全半角错误。</explain>
      <paraID>7F9ADDB3</paraID>
      <start>11</start>
      <end>12</end>
      <status>unmodified</status>
      <modifiedWord/>
      <trackRevisions>false</trackRevisions>
    </reviewItem>
    <reviewItem>
      <errorID>491dcdc3-4b18-4168-8ab4-7383f85098c7</errorID>
      <errorWord>(</errorWord>
      <group>L1_Format</group>
      <groupName>格式问题</groupName>
      <ability>L2_HalfPunc</ability>
      <abilityName>全半角检查</abilityName>
      <candidateList>
        <item>（</item>
      </candidateList>
      <explain>文本全半角错误。</explain>
      <paraID>275584DA</paraID>
      <start>13</start>
      <end>14</end>
      <status>unmodified</status>
      <modifiedWord/>
      <trackRevisions>false</trackRevisions>
    </reviewItem>
    <reviewItem>
      <errorID>7906afe0-4d37-4a30-883b-bd832c1a4818</errorID>
      <errorWord>(</errorWord>
      <group>L1_Format</group>
      <groupName>格式问题</groupName>
      <ability>L2_HalfPunc</ability>
      <abilityName>全半角检查</abilityName>
      <candidateList>
        <item>（</item>
      </candidateList>
      <explain>文本全半角错误。</explain>
      <paraID>7CF04944</paraID>
      <start>38</start>
      <end>39</end>
      <status>unmodified</status>
      <modifiedWord/>
      <trackRevisions>false</trackRevisions>
    </reviewItem>
    <reviewItem>
      <errorID>e06cb21d-3066-4ff7-803d-e4244b1d8970</errorID>
      <errorWord>达</errorWord>
      <group>L1_Word</group>
      <groupName>字词问题</groupName>
      <ability>L2_Typo</ability>
      <abilityName>字词错误</abilityName>
      <candidateList>
        <item>达到</item>
      </candidateList>
      <explain>〈动〉到（多指抽象事物或程度）：达得到｜达不到｜目的没有～｜～国际水平。</explain>
      <paraID> D28E793</paraID>
      <start>190</start>
      <end>191</end>
      <status>ignored</status>
      <modifiedWord/>
      <trackRevisions>false</trackRevisions>
    </reviewItem>
    <reviewItem>
      <errorID>dcb5231f-304a-4ffb-893e-680aff3ccbda</errorID>
      <errorWord>达</errorWord>
      <group>L1_Word</group>
      <groupName>字词问题</groupName>
      <ability>L2_Typo</ability>
      <abilityName>字词错误</abilityName>
      <candidateList>
        <item>达到</item>
      </candidateList>
      <explain>〈动〉到（多指抽象事物或程度）：达得到｜达不到｜目的没有～｜～国际水平。</explain>
      <paraID> D28E793</paraID>
      <start>255</start>
      <end>256</end>
      <status>ignored</status>
      <modifiedWord/>
      <trackRevisions>false</trackRevisions>
    </reviewItem>
    <reviewItem>
      <errorID>32754bf0-2d44-409a-914f-bde72082b717</errorID>
      <errorWord>IV类</errorWord>
      <group>L1_Knowledge</group>
      <groupName>知识性问题</groupName>
      <ability>L2_Knowledge</ability>
      <abilityName>其他知识</abilityName>
      <candidateList>
        <item>Ⅳ类</item>
      </candidateList>
      <explain/>
      <paraID> D28E793</paraID>
      <start>280</start>
      <end>283</end>
      <status>unmodified</status>
      <modifiedWord/>
      <trackRevisions>false</trackRevisions>
    </reviewItem>
    <reviewItem>
      <errorID>d6e3c99f-205d-4b66-b591-348d3cec8351</errorID>
      <errorWord>（</errorWord>
      <group>L1_Format</group>
      <groupName>格式问题</groupName>
      <ability>L2_HalfPunc</ability>
      <abilityName>全半角检查</abilityName>
      <candidateList>
        <item>(</item>
      </candidateList>
      <explain>文本全半角错误。</explain>
      <paraID>2F90E8D4</paraID>
      <start>0</start>
      <end>1</end>
      <status>unmodified</status>
      <modifiedWord/>
      <trackRevisions>false</trackRevisions>
    </reviewItem>
    <reviewItem>
      <errorID>cbf6fa9f-1339-41aa-83bd-3517a386bc4f</errorID>
      <errorWord>）</errorWord>
      <group>L1_Format</group>
      <groupName>格式问题</groupName>
      <ability>L2_HalfPunc</ability>
      <abilityName>全半角检查</abilityName>
      <candidateList>
        <item>)</item>
      </candidateList>
      <explain>文本全半角错误。</explain>
      <paraID>2F90E8D4</paraID>
      <start>4</start>
      <end>5</end>
      <status>unmodified</status>
      <modifiedWord/>
      <trackRevisions>false</trackRevisions>
    </reviewItem>
    <reviewItem>
      <errorID>0dbf8027-7dc6-4840-bfd9-85ce88ce4e89</errorID>
      <errorWord>，</errorWord>
      <group>L1_Format</group>
      <groupName>格式问题</groupName>
      <ability>L2_HalfPunc</ability>
      <abilityName>全半角检查</abilityName>
      <candidateList>
        <item>,</item>
      </candidateList>
      <explain>文本全半角错误。</explain>
      <paraID>12FE53F3</paraID>
      <start>6</start>
      <end>7</end>
      <status>unmodified</status>
      <modifiedWord/>
      <trackRevisions>false</trackRevisions>
    </reviewItem>
    <reviewItem>
      <errorID>9ab438a5-33a8-483b-8f79-51c846910e2b</errorID>
      <errorWord>，</errorWord>
      <group>L1_Format</group>
      <groupName>格式问题</groupName>
      <ability>L2_HalfPunc</ability>
      <abilityName>全半角检查</abilityName>
      <candidateList>
        <item>,</item>
      </candidateList>
      <explain>文本全半角错误。</explain>
      <paraID>7D63D386</paraID>
      <start>8</start>
      <end>9</end>
      <status>unmodified</status>
      <modifiedWord/>
      <trackRevisions>false</trackRevisions>
    </reviewItem>
    <reviewItem>
      <errorID>57b15b4e-f7de-43f4-8305-2fbe2fc52d85</errorID>
      <errorWord>，</errorWord>
      <group>L1_Format</group>
      <groupName>格式问题</groupName>
      <ability>L2_HalfPunc</ability>
      <abilityName>全半角检查</abilityName>
      <candidateList>
        <item>,</item>
      </candidateList>
      <explain>文本全半角错误。</explain>
      <paraID>61AE281A</paraID>
      <start>7</start>
      <end>8</end>
      <status>unmodified</status>
      <modifiedWord/>
      <trackRevisions>false</trackRevisions>
    </reviewItem>
    <reviewItem>
      <errorID>c000f3b2-38ca-40b6-a66c-30895b33911b</errorID>
      <errorWord>，</errorWord>
      <group>L1_Format</group>
      <groupName>格式问题</groupName>
      <ability>L2_HalfPunc</ability>
      <abilityName>全半角检查</abilityName>
      <candidateList>
        <item>,</item>
      </candidateList>
      <explain>文本全半角错误。</explain>
      <paraID> FCD8196</paraID>
      <start>9</start>
      <end>10</end>
      <status>unmodified</status>
      <modifiedWord/>
      <trackRevisions>false</trackRevisions>
    </reviewItem>
    <reviewItem>
      <errorID>61b43d0f-90a1-4049-8588-651762a39eac</errorID>
      <errorWord>(</errorWord>
      <group>L1_Format</group>
      <groupName>格式问题</groupName>
      <ability>L2_HalfPunc</ability>
      <abilityName>全半角检查</abilityName>
      <candidateList>
        <item>（</item>
      </candidateList>
      <explain>文本全半角错误。</explain>
      <paraID> 7EFB3CE</paraID>
      <start>6</start>
      <end>7</end>
      <status>unmodified</status>
      <modifiedWord/>
      <trackRevisions>false</trackRevisions>
    </reviewItem>
    <reviewItem>
      <errorID>6a5f333f-265d-4b90-980f-5d5f0e97c5ab</errorID>
      <errorWord>达</errorWord>
      <group>L1_Word</group>
      <groupName>字词问题</groupName>
      <ability>L2_Typo</ability>
      <abilityName>字词错误</abilityName>
      <candidateList>
        <item>达到</item>
      </candidateList>
      <explain>〈动〉到（多指抽象事物或程度）：达得到｜达不到｜目的没有～｜～国际水平。</explain>
      <paraID>6AC9D3D1</paraID>
      <start>201</start>
      <end>202</end>
      <status>ignored</status>
      <modifiedWord/>
      <trackRevisions>false</trackRevisions>
    </reviewItem>
    <reviewItem>
      <errorID>7ffdd91f-3095-46ef-804a-a9887782d463</errorID>
      <errorWord>溢流</errorWord>
      <group>L1_Word</group>
      <groupName>字词问题</groupName>
      <ability>L2_Typo</ability>
      <abilityName>字词错误</abilityName>
      <candidateList>
        <item>溢</item>
      </candidateList>
      <explain/>
      <paraID>3B0739CE</paraID>
      <start>238</start>
      <end>240</end>
      <status>ignored</status>
      <modifiedWord/>
      <trackRevisions>false</trackRevisions>
    </reviewItem>
    <reviewItem>
      <errorID>a3afefac-ab52-4556-8d31-3092c0db1af9</errorID>
      <errorWord>浮</errorWord>
      <group>L1_Word</group>
      <groupName>字词问题</groupName>
      <ability>L2_Typo</ability>
      <abilityName>字词错误</abilityName>
      <candidateList>
        <item>浮在</item>
      </candidateList>
      <explain/>
      <paraID>4A209DA4</paraID>
      <start>4</start>
      <end>5</end>
      <status>ignored</status>
      <modifiedWord/>
      <trackRevisions>false</trackRevisions>
    </reviewItem>
    <reviewItem>
      <errorID>0579f24f-8477-4e29-9f90-30ea83696f8d</errorID>
      <errorWord>，</errorWord>
      <group>L1_Word</group>
      <groupName>字词问题</groupName>
      <ability>L2_Typo</ability>
      <abilityName>字词错误</abilityName>
      <candidateList>
        <item>，尤</item>
      </candidateList>
      <explain/>
      <paraID>53B5FC5B</paraID>
      <start>13</start>
      <end>15</end>
      <status>modified</status>
      <modifiedWord>，尤</modifiedWord>
      <trackRevisions>false</trackRevisions>
    </reviewItem>
    <reviewItem>
      <errorID>e4315009-1908-4c46-93fe-dc5ec702cf36</errorID>
      <errorWord>80%-90%</errorWord>
      <group>L1_Knowledge</group>
      <groupName>知识性问题</groupName>
      <ability>L2_Knowledge</ability>
      <abilityName>其他知识</abilityName>
      <candidateList>
        <item>80%—90%</item>
      </candidateList>
      <explain>1. “80%-90%”中的单位“%”仅出现在后一个数字上，容易引起歧义；根据《现代汉语标点符号数字用法规范手册》，数字表示范围两边需要使用统一的格式。2. 根据标点国标 4.13 中的规则，数字、时间或地域连接符应使用（视觉上更长的）“—”或“～”。</explain>
      <paraID>53B5FC5B</paraID>
      <start>134</start>
      <end>141</end>
      <status>unmodified</status>
      <modifiedWord/>
      <trackRevisions>false</trackRevisions>
    </reviewItem>
    <reviewItem>
      <errorID>f4fc0aa8-1148-468d-aebc-ca678615eec8</errorID>
      <errorWord>IV类</errorWord>
      <group>L1_Knowledge</group>
      <groupName>知识性问题</groupName>
      <ability>L2_Knowledge</ability>
      <abilityName>其他知识</abilityName>
      <candidateList>
        <item>Ⅳ类</item>
      </candidateList>
      <explain/>
      <paraID> FF9BB6F</paraID>
      <start>183</start>
      <end>186</end>
      <status>unmodified</status>
      <modifiedWord/>
      <trackRevisions>false</trackRevisions>
    </reviewItem>
    <reviewItem>
      <errorID>8b3c386c-0ad7-40af-9d8e-53d93f6211e0</errorID>
      <errorWord>源源</errorWord>
      <group>L1_Word</group>
      <groupName>字词问题</groupName>
      <ability>L2_Typo</ability>
      <abilityName>字词错误</abilityName>
      <candidateList>
        <item>源</item>
      </candidateList>
      <explain/>
      <paraID>4BD0DF7E</paraID>
      <start>1</start>
      <end>2</end>
      <status>modified</status>
      <modifiedWord>源</modifiedWord>
      <trackRevisions>false</trackRevisions>
    </reviewItem>
    <reviewItem>
      <errorID>63138ff2-3e59-4598-9c2e-c33577f12328</errorID>
      <errorWord>(</errorWord>
      <group>L1_Punc</group>
      <groupName>标点问题</groupName>
      <ability>L2_Punc</ability>
      <abilityName>标点符号检查</abilityName>
      <candidateList/>
      <explain/>
      <paraID>7E40E3F3</paraID>
      <start>8</start>
      <end>9</end>
      <status>unmodified</status>
      <modifiedWord/>
      <trackRevisions>false</trackRevisions>
    </reviewItem>
    <reviewItem>
      <errorID>aaaeb75a-4ec7-45f3-9d77-6665871812f3</errorID>
      <errorWord>源源</errorWord>
      <group>L1_Word</group>
      <groupName>字词问题</groupName>
      <ability>L2_Typo</ability>
      <abilityName>字词错误</abilityName>
      <candidateList>
        <item>源</item>
      </candidateList>
      <explain/>
      <paraID>4E472F86</paraID>
      <start>1</start>
      <end>2</end>
      <status>modified</status>
      <modifiedWord>源</modifiedWord>
      <trackRevisions>false</trackRevisions>
    </reviewItem>
    <reviewItem>
      <errorID>aee65dab-f6f3-4e35-9532-7e17f2264a32</errorID>
      <errorWord>(</errorWord>
      <group>L1_Punc</group>
      <groupName>标点问题</groupName>
      <ability>L2_Punc</ability>
      <abilityName>标点符号检查</abilityName>
      <candidateList/>
      <explain/>
      <paraID>6C31C0BB</paraID>
      <start>7</start>
      <end>8</end>
      <status>unmodified</status>
      <modifiedWord/>
      <trackRevisions>false</trackRevisions>
    </reviewItem>
    <reviewItem>
      <errorID>2b4abbb0-dc02-4d9b-9d9f-132ac3476129</errorID>
      <errorWord>、</errorWord>
      <group>L1_Punc</group>
      <groupName>标点问题</groupName>
      <ability>L2_Punc</ability>
      <abilityName>标点符号检查</abilityName>
      <candidateList>
        <item>.</item>
      </candidateList>
      <explain/>
      <paraID>70C361D1</paraID>
      <start>1</start>
      <end>2</end>
      <status>unmodified</status>
      <modifiedWord/>
      <trackRevisions>false</trackRevisions>
    </reviewItem>
    <reviewItem>
      <errorID>9e8029a2-7b8c-47ba-afbf-229e4be945ab</errorID>
      <errorWord>、</errorWord>
      <group>L1_Punc</group>
      <groupName>标点问题</groupName>
      <ability>L2_Punc</ability>
      <abilityName>标点符号检查</abilityName>
      <candidateList>
        <item>.</item>
      </candidateList>
      <explain/>
      <paraID>10827BED</paraID>
      <start>1</start>
      <end>2</end>
      <status>unmodified</status>
      <modifiedWord/>
      <trackRevisions>false</trackRevisions>
    </reviewItem>
    <reviewItem>
      <errorID>b2c1c03a-c2eb-48a0-b8d9-aca81db4f274</errorID>
      <errorWord>、</errorWord>
      <group>L1_Punc</group>
      <groupName>标点问题</groupName>
      <ability>L2_Punc</ability>
      <abilityName>标点符号检查</abilityName>
      <candidateList>
        <item>.</item>
      </candidateList>
      <explain/>
      <paraID>25737C03</paraID>
      <start>1</start>
      <end>2</end>
      <status>unmodified</status>
      <modifiedWord/>
      <trackRevisions>false</trackRevisions>
    </reviewItem>
    <reviewItem>
      <errorID>be438c30-e16f-42eb-bd62-a41b94df20c6</errorID>
      <errorWord>、</errorWord>
      <group>L1_Punc</group>
      <groupName>标点问题</groupName>
      <ability>L2_Punc</ability>
      <abilityName>标点符号检查</abilityName>
      <candidateList>
        <item>.</item>
      </candidateList>
      <explain/>
      <paraID>2B092FA8</paraID>
      <start>1</start>
      <end>2</end>
      <status>unmodified</status>
      <modifiedWord/>
      <trackRevisions>false</trackRevisions>
    </reviewItem>
    <reviewItem>
      <errorID>22311f34-6331-42ed-bef0-68df12cac5c8</errorID>
      <errorWord>透声</errorWord>
      <group>L1_Word</group>
      <groupName>字词问题</groupName>
      <ability>L2_Typo</ability>
      <abilityName>字词错误</abilityName>
      <candidateList>
        <item>透过</item>
      </candidateList>
      <explain/>
      <paraID>2B092FA8</paraID>
      <start>39</start>
      <end>41</end>
      <status>ignored</status>
      <modifiedWord/>
      <trackRevisions>false</trackRevisions>
    </reviewItem>
    <reviewItem>
      <errorID>d667bd02-7859-4ac1-9938-5d211b2ac29c</errorID>
      <errorWord>测测</errorWord>
      <group>L1_Word</group>
      <groupName>字词问题</groupName>
      <ability>L2_Typo</ability>
      <abilityName>字词错误</abilityName>
      <candidateList>
        <item>测</item>
      </candidateList>
      <explain/>
      <paraID>530F32CB</paraID>
      <start>66</start>
      <end>67</end>
      <status>modified</status>
      <modifiedWord>测</modifiedWord>
      <trackRevisions>false</trackRevisions>
    </reviewItem>
    <reviewItem>
      <errorID>9c4f75b1-96db-42b5-b1d8-25cff08a42d3</errorID>
      <errorWord>脚</errorWord>
      <group>L1_Word</group>
      <groupName>字词问题</groupName>
      <ability>L2_Typo</ability>
      <abilityName>字词错误</abilityName>
      <candidateList>
        <item>角</item>
      </candidateList>
      <explain/>
      <paraID>58A72134</paraID>
      <start>40</start>
      <end>41</end>
      <status>ignored</status>
      <modifiedWord/>
      <trackRevisions>false</trackRevisions>
    </reviewItem>
    <reviewItem>
      <errorID>f318b621-0f05-4c1a-bef4-c99e258240ad</errorID>
      <errorWord>-</errorWord>
      <group>L1_Format</group>
      <groupName>格式问题</groupName>
      <ability>L2_HalfPunc</ability>
      <abilityName>全半角检查</abilityName>
      <candidateList>
        <item>－</item>
      </candidateList>
      <explain>文本全半角错误。</explain>
      <paraID>1033C894</paraID>
      <start>9</start>
      <end>10</end>
      <status>unmodified</status>
      <modifiedWord/>
      <trackRevisions>false</trackRevisions>
    </reviewItem>
    <reviewItem>
      <errorID>531e2b74-994f-4b29-b910-99bf714e6306</errorID>
      <errorWord>，。</errorWord>
      <group>L1_Punc</group>
      <groupName>标点问题</groupName>
      <ability>L2_Punc</ability>
      <abilityName>标点符号检查</abilityName>
      <candidateList>
        <item>，</item>
      </candidateList>
      <explain/>
      <paraID>1033C894</paraID>
      <start>135</start>
      <end>137</end>
      <status>unmodified</status>
      <modifiedWord/>
      <trackRevisions>false</trackRevisions>
    </reviewItem>
    <reviewItem>
      <errorID>4806f75b-611f-4967-871b-e322e34d7f61</errorID>
      <errorWord>&lt;</errorWord>
      <group>L1_Format</group>
      <groupName>格式问题</groupName>
      <ability>L2_HalfPunc</ability>
      <abilityName>全半角检查</abilityName>
      <candidateList>
        <item>〈</item>
      </candidateList>
      <explain>文本全半角错误。</explain>
      <paraID>297E62CF</paraID>
      <start>82</start>
      <end>83</end>
      <status>unmodified</status>
      <modifiedWord/>
      <trackRevisions>false</trackRevisions>
    </reviewItem>
    <reviewItem>
      <errorID>e229cfd1-bc94-46db-ab01-451be6929766</errorID>
      <errorWord>&gt;</errorWord>
      <group>L1_Format</group>
      <groupName>格式问题</groupName>
      <ability>L2_HalfPunc</ability>
      <abilityName>全半角检查</abilityName>
      <candidateList>
        <item>〉</item>
      </candidateList>
      <explain>文本全半角错误。</explain>
      <paraID>297E62CF</paraID>
      <start>106</start>
      <end>107</end>
      <status>unmodified</status>
      <modifiedWord/>
      <trackRevisions>false</trackRevisions>
    </reviewItem>
    <reviewItem>
      <errorID>239d38ee-7c65-410b-bb74-a0efcc959efa</errorID>
      <errorWord>使用量宜</errorWord>
      <group>L1_Word</group>
      <groupName>字词问题</groupName>
      <ability>L2_Typo</ability>
      <abilityName>字词错误</abilityName>
      <candidateList>
        <item>使用量</item>
      </candidateList>
      <explain/>
      <paraID>297E62CF</paraID>
      <start>136</start>
      <end>140</end>
      <status>ignored</status>
      <modifiedWord/>
      <trackRevisions>false</trackRevisions>
    </reviewItem>
    <reviewItem>
      <errorID>a08ca558-634d-4fef-a9cf-e7ed86aa7424</errorID>
      <errorWord>~</errorWord>
      <group>L1_Format</group>
      <groupName>格式问题</groupName>
      <ability>L2_HalfPunc</ability>
      <abilityName>全半角检查</abilityName>
      <candidateList>
        <item>～</item>
      </candidateList>
      <explain>文本全半角错误。</explain>
      <paraID>287134CE</paraID>
      <start>36</start>
      <end>37</end>
      <status>unmodified</status>
      <modifiedWord/>
      <trackRevisions>false</trackRevisions>
    </reviewItem>
    <reviewItem>
      <errorID>3b34e16b-4af6-4e61-be53-055e619a6ee8</errorID>
      <errorWord>交有</errorWord>
      <group>L1_Word</group>
      <groupName>字词问题</groupName>
      <ability>L2_Typo</ability>
      <abilityName>字词错误</abilityName>
      <candidateList>
        <item>交由</item>
      </candidateList>
      <explain>存在发音相同字词的误用。</explain>
      <paraID>6FF1E949</paraID>
      <start>17</start>
      <end>19</end>
      <status>ignored</status>
      <modifiedWord/>
      <trackRevisions>false</trackRevisions>
    </reviewItem>
    <reviewItem>
      <errorID>2a24150f-c786-44e5-b01a-d32a0a7d9dbb</errorID>
      <errorWord>脚</errorWord>
      <group>L1_Word</group>
      <groupName>字词问题</groupName>
      <ability>L2_Typo</ability>
      <abilityName>字词错误</abilityName>
      <candidateList>
        <item>角</item>
      </candidateList>
      <explain/>
      <paraID>67825A22</paraID>
      <start>9</start>
      <end>10</end>
      <status>ignored</status>
      <modifiedWord/>
      <trackRevisions>false</trackRevisions>
    </reviewItem>
    <reviewItem>
      <errorID>8052700f-2b8a-40d3-963a-3a2a61b96d16</errorID>
      <errorWord>皂脚</errorWord>
      <group>L1_Word</group>
      <groupName>字词问题</groupName>
      <ability>L2_Typo</ability>
      <abilityName>字词错误</abilityName>
      <candidateList>
        <item>皂角</item>
      </candidateList>
      <explain/>
      <paraID>67825A22</paraID>
      <start>175</start>
      <end>177</end>
      <status>ignored</status>
      <modifiedWord/>
      <trackRevisions>false</trackRevisions>
    </reviewItem>
    <reviewItem>
      <errorID>29fa95cf-3666-4c62-a8af-df98d019ede7</errorID>
      <errorWord>来自于</errorWord>
      <group>L1_Grammar</group>
      <groupName>语法问题</groupName>
      <ability>L2_Grammar</ability>
      <abilityName>语法错误</abilityName>
      <candidateList>
        <item>来自</item>
      </candidateList>
      <explain/>
      <paraID>67825A22</paraID>
      <start>198</start>
      <end>200</end>
      <status>modified</status>
      <modifiedWord>来自</modifiedWord>
      <trackRevisions>false</trackRevisions>
    </reviewItem>
    <reviewItem>
      <errorID>a813d5ca-4505-470a-a24c-3a573c86b18c</errorID>
      <errorWord>皂脚</errorWord>
      <group>L1_Word</group>
      <groupName>字词问题</groupName>
      <ability>L2_Typo</ability>
      <abilityName>字词错误</abilityName>
      <candidateList>
        <item>皂角</item>
      </candidateList>
      <explain/>
      <paraID>67825A22</paraID>
      <start>207</start>
      <end>209</end>
      <status>ignored</status>
      <modifiedWord/>
      <trackRevisions>false</trackRevisions>
    </reviewItem>
    <reviewItem>
      <errorID>ceab65a3-1aae-442f-b40c-e5b53de509d8</errorID>
      <errorWord>(</errorWord>
      <group>L1_Format</group>
      <groupName>格式问题</groupName>
      <ability>L2_HalfPunc</ability>
      <abilityName>全半角检查</abilityName>
      <candidateList>
        <item>（</item>
      </candidateList>
      <explain>文本全半角错误。</explain>
      <paraID>41EFFE77</paraID>
      <start>50</start>
      <end>51</end>
      <status>unmodified</status>
      <modifiedWord/>
      <trackRevisions>false</trackRevisions>
    </reviewItem>
    <reviewItem>
      <errorID>8e148c4b-12db-481e-b807-9da23a0b4671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AB0C9C9</paraID>
      <start>173</start>
      <end>174</end>
      <status>unmodified</status>
      <modifiedWord/>
      <trackRevisions>false</trackRevisions>
    </reviewItem>
    <reviewItem>
      <errorID>478f849f-28a8-4769-bffb-e35048794d7a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AB0C9C9</paraID>
      <start>208</start>
      <end>209</end>
      <status>unmodified</status>
      <modifiedWord/>
      <trackRevisions>false</trackRevisions>
    </reviewItem>
    <reviewItem>
      <errorID>ac61e220-7d0e-406b-b398-a382b0e4ceaf</errorID>
      <errorWord>部</errorWord>
      <group>L1_Word</group>
      <groupName>字词问题</groupName>
      <ability>L2_Typo</ability>
      <abilityName>字词错误</abilityName>
      <candidateList>
        <item/>
      </candidateList>
      <explain/>
      <paraID>2424C1D1</paraID>
      <start>34</start>
      <end>35</end>
      <status>ignored</status>
      <modifiedWord/>
      <trackRevisions>false</trackRevisions>
    </reviewItem>
    <reviewItem>
      <errorID>92ae3075-ea01-4b19-93a9-84357efd501d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2ACA126B</paraID>
      <start>86</start>
      <end>87</end>
      <status>unmodified</status>
      <modifiedWord/>
      <trackRevisions>false</trackRevisions>
    </reviewItem>
    <reviewItem>
      <errorID>f119a504-a0b0-4315-993a-13c6aa3a3e01</errorID>
      <errorWord>其它生产</errorWord>
      <group>L1_Word</group>
      <groupName>字词问题</groupName>
      <ability>L2_Alias</ability>
      <abilityName>也作/曾用词</abilityName>
      <candidateList>
        <item>其他生产</item>
      </candidateList>
      <explain>词汇[其它生产]为不规范表述或旧称，其规范书面表述为[其他生产]。</explain>
      <paraID> DF4571D</paraID>
      <start>12</start>
      <end>16</end>
      <status>ignored</status>
      <modifiedWord/>
      <trackRevisions>false</trackRevisions>
    </reviewItem>
    <reviewItem>
      <errorID>35973381-8e9b-43ef-b9a4-c64c592b4094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DF4571D</paraID>
      <start>132</start>
      <end>133</end>
      <status>unmodified</status>
      <modifiedWord/>
      <trackRevisions>false</trackRevisions>
    </reviewItem>
    <reviewItem>
      <errorID>1db4daf3-f283-41b9-9b1f-48a333c74105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4115558C</paraID>
      <start>23</start>
      <end>24</end>
      <status>unmodified</status>
      <modifiedWord/>
      <trackRevisions>false</trackRevisions>
    </reviewItem>
    <reviewItem>
      <errorID>9123e493-7801-4491-8890-9cf10bc67fd8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163EEE39</paraID>
      <start>23</start>
      <end>24</end>
      <status>unmodified</status>
      <modifiedWord/>
      <trackRevisions>false</trackRevisions>
    </reviewItem>
    <reviewItem>
      <errorID>b3600a2e-95cb-4e36-a26b-4beec22b6cfb</errorID>
      <errorWord>）当</errorWord>
      <group>L1_Word</group>
      <groupName>字词问题</groupName>
      <ability>L2_Typo</ability>
      <abilityName>字词错误</abilityName>
      <candidateList>
        <item>）</item>
      </candidateList>
      <explain/>
      <paraID>46B162E6</paraID>
      <start>33</start>
      <end>35</end>
      <status>ignored</status>
      <modifiedWord/>
      <trackRevisions>false</trackRevisions>
    </reviewItem>
    <reviewItem>
      <errorID>1b9e83c8-5094-4858-ab15-3d047c8b7955</errorID>
      <errorWord>~</errorWord>
      <group>L1_Format</group>
      <groupName>格式问题</groupName>
      <ability>L2_HalfPunc</ability>
      <abilityName>全半角检查</abilityName>
      <candidateList>
        <item>～</item>
      </candidateList>
      <explain>文本全半角错误。</explain>
      <paraID>7E95A0D4</paraID>
      <start>141</start>
      <end>142</end>
      <status>unmodified</status>
      <modifiedWord/>
      <trackRevisions>false</trackRevisions>
    </reviewItem>
    <reviewItem>
      <errorID>1f0bf80c-aa06-4490-bba6-47e59311131f</errorID>
      <errorWord>临近</errorWord>
      <group>L1_Word</group>
      <groupName>字词问题</groupName>
      <ability>L2_Typo</ability>
      <abilityName>字词错误</abilityName>
      <candidateList>
        <item>邻近</item>
      </candidateList>
      <explain>存在发音相同字词的误用。</explain>
      <paraID>43082B36</paraID>
      <start>111</start>
      <end>113</end>
      <status>ignored</status>
      <modifiedWord/>
      <trackRevisions>false</trackRevisions>
    </reviewItem>
    <reviewItem>
      <errorID>2760500d-c89e-421b-ac7b-a3e62c3f5e39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4E67F1FB</paraID>
      <start>53</start>
      <end>54</end>
      <status>modified</status>
      <modifiedWord>地</modifiedWord>
      <trackRevisions>false</trackRevisions>
    </reviewItem>
    <reviewItem>
      <errorID>f09ac197-4da1-4325-9624-5b05d49be601</errorID>
      <errorWord>查找</errorWord>
      <group>L1_Word</group>
      <groupName>字词问题</groupName>
      <ability>L2_Typo</ability>
      <abilityName>字词错误</abilityName>
      <candidateList>
        <item>查照</item>
      </candidateList>
      <explain/>
      <paraID>1FD65D7F</paraID>
      <start>23</start>
      <end>25</end>
      <status>ignored</status>
      <modifiedWord/>
      <trackRevisions>false</trackRevisions>
    </reviewItem>
    <reviewItem>
      <errorID>fd1cdac5-32f6-4905-8b42-4dddd0cf96d5</errorID>
      <errorWord>转输</errorWord>
      <group>L1_Word</group>
      <groupName>字词问题</groupName>
      <ability>L2_Typo</ability>
      <abilityName>字词错误</abilityName>
      <candidateList>
        <item>传输</item>
      </candidateList>
      <explain/>
      <paraID>35768AB8</paraID>
      <start>10</start>
      <end>12</end>
      <status>ignored</status>
      <modifiedWord/>
      <trackRevisions>false</trackRevisions>
    </reviewItem>
    <reviewItem>
      <errorID>e6ea4672-102f-4372-8d3c-bb7302f79a02</errorID>
      <errorWord>(</errorWord>
      <group>L1_Format</group>
      <groupName>格式问题</groupName>
      <ability>L2_HalfPunc</ability>
      <abilityName>全半角检查</abilityName>
      <candidateList>
        <item>（</item>
      </candidateList>
      <explain>文本全半角错误。</explain>
      <paraID>5BBF8AE8</paraID>
      <start>2</start>
      <end>3</end>
      <status>unmodified</status>
      <modifiedWord/>
      <trackRevisions>false</trackRevisions>
    </reviewItem>
    <reviewItem>
      <errorID>7e791cf6-40ff-443d-8811-9c7c7f44bada</errorID>
      <errorWord>(</errorWord>
      <group>L1_Format</group>
      <groupName>格式问题</groupName>
      <ability>L2_HalfPunc</ability>
      <abilityName>全半角检查</abilityName>
      <candidateList>
        <item>（</item>
      </candidateList>
      <explain>文本全半角错误。</explain>
      <paraID>75F8211F</paraID>
      <start>8</start>
      <end>9</end>
      <status>unmodified</status>
      <modifiedWord/>
      <trackRevisions>false</trackRevisions>
    </reviewItem>
    <reviewItem>
      <errorID>32505183-eb73-40fd-8fd2-f62033953aec</errorID>
      <errorWord>(</errorWord>
      <group>L1_Format</group>
      <groupName>格式问题</groupName>
      <ability>L2_HalfPunc</ability>
      <abilityName>全半角检查</abilityName>
      <candidateList>
        <item>（</item>
      </candidateList>
      <explain>文本全半角错误。</explain>
      <paraID>4FFFE2FF</paraID>
      <start>13</start>
      <end>14</end>
      <status>unmodified</status>
      <modifiedWord/>
      <trackRevisions>false</trackRevisions>
    </reviewItem>
    <reviewItem>
      <errorID>b7a226be-0732-46ea-9ed7-470ce7ce67dd</errorID>
      <errorWord>(</errorWord>
      <group>L1_Format</group>
      <groupName>格式问题</groupName>
      <ability>L2_HalfPunc</ability>
      <abilityName>全半角检查</abilityName>
      <candidateList>
        <item>（</item>
      </candidateList>
      <explain>文本全半角错误。</explain>
      <paraID>633DC7FE</paraID>
      <start>7</start>
      <end>8</end>
      <status>unmodified</status>
      <modifiedWord/>
      <trackRevisions>false</trackRevisions>
    </reviewItem>
    <reviewItem>
      <errorID>9a66d056-980a-4646-8a75-b87973c36b8f</errorID>
      <errorWord>程</errorWord>
      <group>L1_Word</group>
      <groupName>字词问题</groupName>
      <ability>L2_Typo</ability>
      <abilityName>字词错误</abilityName>
      <candidateList>
        <item>程中</item>
      </candidateList>
      <explain/>
      <paraID>73C2BB50</paraID>
      <start>37</start>
      <end>39</end>
      <status>modified</status>
      <modifiedWord>程中</modifiedWord>
      <trackRevisions>false</trackRevisions>
    </reviewItem>
    <reviewItem>
      <errorID>0d6eae66-6f7b-4207-90c0-fa94e02f59ad</errorID>
      <errorWord>作出相应的</errorWord>
      <group>L1_Word</group>
      <groupName>字词问题</groupName>
      <ability>L2_Typo</ability>
      <abilityName>字词错误</abilityName>
      <candidateList>
        <item>做出相应的</item>
      </candidateList>
      <explain/>
      <paraID>3D350B1A</paraID>
      <start>87</start>
      <end>92</end>
      <status>modified</status>
      <modifiedWord>做出相应的</modifiedWord>
      <trackRevisions>false</trackRevisions>
    </reviewItem>
    <reviewItem>
      <errorID>7792a2d6-09c1-4857-852a-56c9face7f20</errorID>
      <errorWord>强</errorWord>
      <group>L1_Word</group>
      <groupName>字词问题</groupName>
      <ability>L2_Typo</ability>
      <abilityName>字词错误</abilityName>
      <candidateList>
        <item>强对</item>
      </candidateList>
      <explain/>
      <paraID>44745893</paraID>
      <start>42</start>
      <end>44</end>
      <status>modified</status>
      <modifiedWord>强对</modifiedWord>
      <trackRevisions>false</trackRevisions>
    </reviewItem>
    <reviewItem>
      <errorID>2b038cb0-9466-443e-9775-09480ea08879</errorID>
      <errorWord>。.</errorWord>
      <group>L1_Punc</group>
      <groupName>标点问题</groupName>
      <ability>L2_Punc</ability>
      <abilityName>标点符号检查</abilityName>
      <candidateList>
        <item>。</item>
      </candidateList>
      <explain/>
      <paraID>28828DDE</paraID>
      <start>34</start>
      <end>36</end>
      <status>unmodified</status>
      <modifiedWord/>
      <trackRevisions>false</trackRevisions>
    </reviewItem>
    <reviewItem>
      <errorID>3279aef7-00a7-4a4f-ab0c-9eeb22b3e795</errorID>
      <errorWord>，</errorWord>
      <group>L1_Word</group>
      <groupName>字词问题</groupName>
      <ability>L2_Typo</ability>
      <abilityName>字词错误</abilityName>
      <candidateList>
        <item>，必</item>
      </candidateList>
      <explain/>
      <paraID>6A78D349</paraID>
      <start>53</start>
      <end>55</end>
      <status>modified</status>
      <modifiedWord>，必</modifiedWord>
      <trackRevisions>false</trackRevisions>
    </reviewItem>
    <reviewItem>
      <errorID>9ecdb48e-6fa9-4d86-939c-fc1088012180</errorID>
      <errorWord>撒离</errorWord>
      <group>L1_Word</group>
      <groupName>字词问题</groupName>
      <ability>L2_Typo</ability>
      <abilityName>字词错误</abilityName>
      <candidateList>
        <item>撤离</item>
      </candidateList>
      <explain>〈动〉撤退；离开：～现场｜～防地。</explain>
      <paraID>2DA7CE36</paraID>
      <start>54</start>
      <end>56</end>
      <status>modified</status>
      <modifiedWord>撤离</modifiedWord>
      <trackRevisions>false</trackRevisions>
    </reviewItem>
    <reviewItem>
      <errorID>1da8b584-0c1b-4fc1-a8b3-21668d597514</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6288F0F4</paraID>
      <start>145</start>
      <end>146</end>
      <status>ignored</status>
      <modifiedWord/>
      <trackRevisions>false</trackRevisions>
    </reviewItem>
    <reviewItem>
      <errorID>df7e0c20-407a-4052-8c63-ee3ab45bc5b6</errorID>
      <errorWord>,</errorWord>
      <group>L1_Format</group>
      <groupName>格式问题</groupName>
      <ability>L2_HalfPunc</ability>
      <abilityName>全半角检查</abilityName>
      <candidateList>
        <item>，</item>
      </candidateList>
      <explain>文本全半角错误。</explain>
      <paraID>1532801E</paraID>
      <start>59</start>
      <end>60</end>
      <status>unmodified</status>
      <modifiedWord/>
      <trackRevisions>false</trackRevisions>
    </reviewItem>
    <reviewItem>
      <errorID>78d79c41-6983-4a7a-9067-a15ac5122331</errorID>
      <errorWord>法律、法规</errorWord>
      <group>L1_Word</group>
      <groupName>字词问题</groupName>
      <ability>L2_Typo</ability>
      <abilityName>字词错误</abilityName>
      <candidateList>
        <item>法律法规</item>
      </candidateList>
      <explain/>
      <paraID> 4710132</paraID>
      <start>11</start>
      <end>16</end>
      <status>ignored</status>
      <modifiedWord/>
      <trackRevisions>false</trackRevisions>
    </reviewItem>
    <reviewItem>
      <errorID>9f92f90e-8727-4df0-9df8-4e338721d670</errorID>
      <errorWord>大气排放标准</errorWord>
      <group>L1_Knowledge</group>
      <groupName>知识性问题</groupName>
      <ability>L2_Term</ability>
      <abilityName>专业术语</abilityName>
      <candidateList>
        <item>废气排放标准</item>
      </candidateList>
      <explain/>
      <paraID> 4710132</paraID>
      <start>86</start>
      <end>92</end>
      <status>unmodified</status>
      <modifiedWord/>
      <trackRevisions>false</trackRevisions>
    </reviewItem>
    <reviewItem>
      <errorID>24fd3775-6adc-4321-9bad-71cdfd715fed</errorID>
      <errorWord>级</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1D7EAB3D</paraID>
      <start>17</start>
      <end>18</end>
      <status>ignored</status>
      <modifiedWord/>
      <trackRevisions>false</trackRevisions>
    </reviewItem>
    <reviewItem>
      <errorID>940da769-9def-478c-baa5-c381d72d3d94</errorID>
      <errorWord>达</errorWord>
      <group>L1_Word</group>
      <groupName>字词问题</groupName>
      <ability>L2_Typo</ability>
      <abilityName>字词错误</abilityName>
      <candidateList>
        <item>达到</item>
      </candidateList>
      <explain>〈动〉到（多指抽象事物或程度）：达得到｜达不到｜目的没有～｜～国际水平。</explain>
      <paraID> A20AB3E</paraID>
      <start>18</start>
      <end>19</end>
      <status>ignored</status>
      <modifiedWord/>
      <trackRevisions>false</trackRevisions>
    </reviewItem>
    <reviewItem>
      <errorID>8cdab09e-083b-4699-9b0a-6697e0e5f0ad</errorID>
      <errorWord>均</errorWord>
      <group>L1_Word</group>
      <groupName>字词问题</groupName>
      <ability>L2_Typo</ability>
      <abilityName>字词错误</abilityName>
      <candidateList>
        <item>均为</item>
      </candidateList>
      <explain/>
      <paraID>3C19EAF8</paraID>
      <start>47</start>
      <end>49</end>
      <status>modified</status>
      <modifiedWord>均为</modifiedWord>
      <trackRevisions>false</trackRevisions>
    </reviewItem>
    <reviewItem>
      <errorID>3cf275fe-5fee-4c40-94ee-731c2c8a67f5</errorID>
      <errorWord>；</errorWord>
      <group>L1_Word</group>
      <groupName>字词问题</groupName>
      <ability>L2_Typo</ability>
      <abilityName>字词错误</abilityName>
      <candidateList>
        <item>；对</item>
      </candidateList>
      <explain/>
      <paraID>284DD8B2</paraID>
      <start>141</start>
      <end>143</end>
      <status>modified</status>
      <modifiedWord>；对</modifiedWord>
      <trackRevisions>false</trackRevisions>
    </reviewItem>
    <reviewItem>
      <errorID>3bc55b4a-fa94-4120-986b-2530dd9c6729</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70FA822E</paraID>
      <start>20</start>
      <end>23</end>
      <status>modified</status>
      <modifiedWord>三本账</modifiedWord>
      <trackRevisions>false</trackRevisions>
    </reviewItem>
    <reviewItem>
      <errorID>d76b4ceb-298a-4fd7-9ad9-650eeaf5ffba</errorID>
      <errorWord>老量</errorWord>
      <group>L1_Word</group>
      <groupName>字词问题</groupName>
      <ability>L2_Typo</ability>
      <abilityName>字词错误</abilityName>
      <candidateList>
        <item>老</item>
      </candidateList>
      <explain/>
      <paraID>4AB58EFD</paraID>
      <start>3</start>
      <end>5</end>
      <status>ignored</status>
      <modifiedWord/>
      <trackRevisions>false</trackRevisions>
    </reviewItem>
    <reviewItem>
      <errorID>006a5673-b9c5-43c0-b94b-feb173a22c8b</errorID>
      <errorWord>(</errorWord>
      <group>L1_Format</group>
      <groupName>格式问题</groupName>
      <ability>L2_HalfPunc</ability>
      <abilityName>全半角检查</abilityName>
      <candidateList>
        <item>（</item>
      </candidateList>
      <explain>文本全半角错误。</explain>
      <paraID>6CE1377F</paraID>
      <start>40</start>
      <end>41</end>
      <status>unmodified</status>
      <modifiedWord/>
      <trackRevisions>false</trackRevisions>
    </reviewItem>
    <reviewItem>
      <errorID>492475ef-0eb1-4bdd-8397-e3d69d985ef1</errorID>
      <errorWord>(</errorWord>
      <group>L1_Format</group>
      <groupName>格式问题</groupName>
      <ability>L2_HalfPunc</ability>
      <abilityName>全半角检查</abilityName>
      <candidateList>
        <item>（</item>
      </candidateList>
      <explain>文本全半角错误。</explain>
      <paraID>4BE30009</paraID>
      <start>13</start>
      <end>14</end>
      <status>unmodified</status>
      <modifiedWord/>
      <trackRevisions>false</trackRevisions>
    </reviewItem>
    <reviewItem>
      <errorID>820f5906-658b-4e11-a4e5-c80c88995c2f</errorID>
      <errorWord>(</errorWord>
      <group>L1_Format</group>
      <groupName>格式问题</groupName>
      <ability>L2_HalfPunc</ability>
      <abilityName>全半角检查</abilityName>
      <candidateList>
        <item>（</item>
      </candidateList>
      <explain>文本全半角错误。</explain>
      <paraID> 67B4C95</paraID>
      <start>13</start>
      <end>14</end>
      <status>unmodified</status>
      <modifiedWord/>
      <trackRevisions>false</trackRevisions>
    </reviewItem>
    <reviewItem>
      <errorID>d047108c-f648-44b0-a682-b9ac78c02b70</errorID>
      <errorWord>(</errorWord>
      <group>L1_Format</group>
      <groupName>格式问题</groupName>
      <ability>L2_HalfPunc</ability>
      <abilityName>全半角检查</abilityName>
      <candidateList>
        <item>（</item>
      </candidateList>
      <explain>文本全半角错误。</explain>
      <paraID>41D5401E</paraID>
      <start>40</start>
      <end>41</end>
      <status>unmodified</status>
      <modifiedWord/>
      <trackRevisions>false</trackRevisions>
    </reviewItem>
    <reviewItem>
      <errorID>a3fc7910-91cc-4ef3-a441-85b8072389cf</errorID>
      <errorWord>达</errorWord>
      <group>L1_Word</group>
      <groupName>字词问题</groupName>
      <ability>L2_Typo</ability>
      <abilityName>字词错误</abilityName>
      <candidateList>
        <item>达到</item>
      </candidateList>
      <explain>〈动〉到（多指抽象事物或程度）：达得到｜达不到｜目的没有～｜～国际水平。</explain>
      <paraID>72CCEDC5</paraID>
      <start>48</start>
      <end>49</end>
      <status>ignored</status>
      <modifiedWord/>
      <trackRevisions>false</trackRevisions>
    </reviewItem>
    <reviewItem>
      <errorID>ecc98a66-252d-4f1c-a286-baa48746029d</errorID>
      <errorWord>达</errorWord>
      <group>L1_Word</group>
      <groupName>字词问题</groupName>
      <ability>L2_Typo</ability>
      <abilityName>字词错误</abilityName>
      <candidateList>
        <item>达到</item>
      </candidateList>
      <explain>〈动〉到（多指抽象事物或程度）：达得到｜达不到｜目的没有～｜～国际水平。</explain>
      <paraID>72CCEDC5</paraID>
      <start>114</start>
      <end>115</end>
      <status>ignored</status>
      <modifiedWord/>
      <trackRevisions>false</trackRevisions>
    </reviewItem>
    <reviewItem>
      <errorID>bba4086a-32d1-452c-94de-5a0a4d7bf751</errorID>
      <errorWord>IV类</errorWord>
      <group>L1_Knowledge</group>
      <groupName>知识性问题</groupName>
      <ability>L2_Knowledge</ability>
      <abilityName>其他知识</abilityName>
      <candidateList>
        <item>Ⅳ类</item>
      </candidateList>
      <explain/>
      <paraID>72CCEDC5</paraID>
      <start>139</start>
      <end>142</end>
      <status>unmodified</status>
      <modifiedWord/>
      <trackRevisions>false</trackRevisions>
    </reviewItem>
    <reviewItem>
      <errorID>1646ab4a-0d8b-4db4-90b5-b59cc008749b</errorID>
      <errorWord>（</errorWord>
      <group>L1_Punc</group>
      <groupName>标点问题</groupName>
      <ability>L2_Punc</ability>
      <abilityName>标点符号检查</abilityName>
      <candidateList/>
      <explain>同一形式括号套用。</explain>
      <paraID>72CCEDC5</paraID>
      <start>170</start>
      <end>171</end>
      <status>unmodified</status>
      <modifiedWord/>
      <trackRevisions>false</trackRevisions>
    </reviewItem>
    <reviewItem>
      <errorID>9a9f99e8-0a0a-441a-b9fd-caa346a24008</errorID>
      <errorWord>）</errorWord>
      <group>L1_Punc</group>
      <groupName>标点问题</groupName>
      <ability>L2_Punc</ability>
      <abilityName>标点符号检查</abilityName>
      <candidateList/>
      <explain>同一形式括号套用。</explain>
      <paraID>72CCEDC5</paraID>
      <start>183</start>
      <end>184</end>
      <status>unmodified</status>
      <modifiedWord/>
      <trackRevisions>false</trackRevisions>
    </reviewItem>
    <reviewItem>
      <errorID>f1b1ed75-dfc2-4f1e-b437-283357842a60</errorID>
      <errorWord>整改</errorWord>
      <group>L1_Word</group>
      <groupName>字词问题</groupName>
      <ability>L2_Typo</ability>
      <abilityName>字词错误</abilityName>
      <candidateList>
        <item>整体</item>
      </candidateList>
      <explain/>
      <paraID> 9ACB881</paraID>
      <start>17</start>
      <end>19</end>
      <status>ignored</status>
      <modifiedWord/>
      <trackRevisions>false</trackRevisions>
    </reviewItem>
    <reviewItem>
      <errorID>c6daf7e5-62f4-46f0-a2b8-6f54ff6a2a4e</errorID>
      <errorWord>IV类</errorWord>
      <group>L1_Knowledge</group>
      <groupName>知识性问题</groupName>
      <ability>L2_Knowledge</ability>
      <abilityName>其他知识</abilityName>
      <candidateList>
        <item>Ⅳ类</item>
      </candidateList>
      <explain/>
      <paraID>2CF6976B</paraID>
      <start>64</start>
      <end>67</end>
      <status>unmodified</status>
      <modifiedWord/>
      <trackRevisions>false</trackRevisions>
    </reviewItem>
    <reviewItem>
      <errorID>2e92ba13-4ff1-4d0b-87b6-2bdb7178eee5</errorID>
      <errorWord>（</errorWord>
      <group>L1_Punc</group>
      <groupName>标点问题</groupName>
      <ability>L2_Punc</ability>
      <abilityName>标点符号检查</abilityName>
      <candidateList/>
      <explain>同一形式括号套用。</explain>
      <paraID>2CF6976B</paraID>
      <start>95</start>
      <end>96</end>
      <status>unmodified</status>
      <modifiedWord/>
      <trackRevisions>false</trackRevisions>
    </reviewItem>
    <reviewItem>
      <errorID>368accef-34d3-4cee-8374-433525983b47</errorID>
      <errorWord>）</errorWord>
      <group>L1_Punc</group>
      <groupName>标点问题</groupName>
      <ability>L2_Punc</ability>
      <abilityName>标点符号检查</abilityName>
      <candidateList/>
      <explain>同一形式括号套用。</explain>
      <paraID>2CF6976B</paraID>
      <start>108</start>
      <end>109</end>
      <status>unmodified</status>
      <modifiedWord/>
      <trackRevisions>false</trackRevisions>
    </reviewItem>
    <reviewItem>
      <errorID>e7d58ff6-04e6-4e98-a7ce-4739ca6dec02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13E5AA33</paraID>
      <start>0</start>
      <end>2</end>
      <status>unmodified</status>
      <modifiedWord/>
      <trackRevisions>false</trackRevisions>
    </reviewItem>
    <reviewItem>
      <errorID>ffc7b20b-a39b-4536-87c6-f718a2c85e08</errorID>
      <errorWord>交有</errorWord>
      <group>L1_Word</group>
      <groupName>字词问题</groupName>
      <ability>L2_Typo</ability>
      <abilityName>字词错误</abilityName>
      <candidateList>
        <item>交由</item>
      </candidateList>
      <explain/>
      <paraID>13E5AA33</paraID>
      <start>26</start>
      <end>28</end>
      <status>ignored</status>
      <modifiedWord/>
      <trackRevisions>false</trackRevisions>
    </reviewItem>
    <reviewItem>
      <errorID>d5aebb20-305f-450b-b631-6a0de3c95cfa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16A49D20</paraID>
      <start>46</start>
      <end>47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89a597-b89e-45a1-a6f4-022f30b1a023}">
  <ds:schemaRefs/>
</ds:datastoreItem>
</file>

<file path=docProps/app.xml><?xml version="1.0" encoding="utf-8"?>
<Properties xmlns="http://schemas.openxmlformats.org/officeDocument/2006/extended-properties" xmlns:vt="http://schemas.openxmlformats.org/officeDocument/2006/docPropsVTypes">
  <Template>Normal.dotm</Template>
  <Pages>148</Pages>
  <Words>82560</Words>
  <Characters>101477</Characters>
  <Lines>1</Lines>
  <Paragraphs>1</Paragraphs>
  <TotalTime>84</TotalTime>
  <ScaleCrop>false</ScaleCrop>
  <LinksUpToDate>false</LinksUpToDate>
  <CharactersWithSpaces>101521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2026-01-05T06:23:00Z</dcterms:created>
  <dc:creator>Hush</dc:creator>
  <cp:lastModifiedBy>Hush</cp:lastModifiedBy>
  <cp:lastPrinted>2026-01-06T03:09:00Z</cp:lastPrinted>
  <dcterms:modified xsi:type="dcterms:W3CDTF">2026-01-26T06:42:49Z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42F4D2DB56554BA6AF8046F9C814D2F0_13</vt:lpwstr>
  </property>
  <property fmtid="{D5CDD505-2E9C-101B-9397-08002B2CF9AE}" pid="4" name="KSOTemplateDocerSaveRecord">
    <vt:lpwstr>eyJoZGlkIjoiYzIwMjNiNjkxNjkxNzc0YWM2ZDEzODFhM2I0NzEyMjQiLCJ1c2VySWQiOiIyMTE4MDk1NDYifQ==</vt:lpwstr>
  </property>
</Properties>
</file>