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A6436">
      <w:pPr>
        <w:spacing w:line="288" w:lineRule="auto"/>
        <w:jc w:val="center"/>
      </w:pPr>
      <w:bookmarkStart w:id="0" w:name="_Hlk57884087"/>
      <w:r>
        <w:drawing>
          <wp:inline distT="0" distB="0" distL="114300" distR="114300">
            <wp:extent cx="5372100" cy="6505575"/>
            <wp:effectExtent l="0" t="0" r="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tretch>
                      <a:fillRect/>
                    </a:stretch>
                  </pic:blipFill>
                  <pic:spPr>
                    <a:xfrm>
                      <a:off x="0" y="0"/>
                      <a:ext cx="5372100" cy="6505575"/>
                    </a:xfrm>
                    <a:prstGeom prst="rect">
                      <a:avLst/>
                    </a:prstGeom>
                    <a:noFill/>
                    <a:ln>
                      <a:noFill/>
                    </a:ln>
                  </pic:spPr>
                </pic:pic>
              </a:graphicData>
            </a:graphic>
          </wp:inline>
        </w:drawing>
      </w:r>
    </w:p>
    <w:p w14:paraId="15BBBF8E">
      <w:pPr>
        <w:spacing w:line="288" w:lineRule="auto"/>
        <w:jc w:val="center"/>
      </w:pPr>
      <w:r>
        <w:drawing>
          <wp:inline distT="0" distB="0" distL="114300" distR="114300">
            <wp:extent cx="5208905" cy="6867525"/>
            <wp:effectExtent l="0" t="0" r="10795"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stretch>
                      <a:fillRect/>
                    </a:stretch>
                  </pic:blipFill>
                  <pic:spPr>
                    <a:xfrm>
                      <a:off x="0" y="0"/>
                      <a:ext cx="5208905" cy="6867525"/>
                    </a:xfrm>
                    <a:prstGeom prst="rect">
                      <a:avLst/>
                    </a:prstGeom>
                    <a:noFill/>
                    <a:ln>
                      <a:noFill/>
                    </a:ln>
                  </pic:spPr>
                </pic:pic>
              </a:graphicData>
            </a:graphic>
          </wp:inline>
        </w:drawing>
      </w:r>
    </w:p>
    <w:p w14:paraId="1C2B1EDC">
      <w:pPr>
        <w:spacing w:line="288" w:lineRule="auto"/>
        <w:jc w:val="center"/>
      </w:pPr>
      <w:r>
        <w:drawing>
          <wp:inline distT="0" distB="0" distL="114300" distR="114300">
            <wp:extent cx="5476875" cy="63817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76875" cy="6381750"/>
                    </a:xfrm>
                    <a:prstGeom prst="rect">
                      <a:avLst/>
                    </a:prstGeom>
                    <a:noFill/>
                    <a:ln>
                      <a:noFill/>
                    </a:ln>
                  </pic:spPr>
                </pic:pic>
              </a:graphicData>
            </a:graphic>
          </wp:inline>
        </w:drawing>
      </w:r>
    </w:p>
    <w:bookmarkEnd w:id="0"/>
    <w:p w14:paraId="27AD08AA">
      <w:pPr>
        <w:spacing w:line="288" w:lineRule="auto"/>
        <w:jc w:val="center"/>
        <w:rPr>
          <w:rFonts w:ascii="楷体_GB2312" w:eastAsia="楷体_GB2312"/>
          <w:kern w:val="21"/>
          <w:sz w:val="36"/>
          <w:szCs w:val="36"/>
        </w:rPr>
      </w:pPr>
    </w:p>
    <w:p w14:paraId="343227AB">
      <w:pPr>
        <w:spacing w:line="288" w:lineRule="auto"/>
        <w:jc w:val="center"/>
        <w:rPr>
          <w:rFonts w:ascii="楷体_GB2312" w:eastAsia="楷体_GB2312"/>
          <w:kern w:val="21"/>
          <w:sz w:val="36"/>
          <w:szCs w:val="36"/>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32890A9">
      <w:pPr>
        <w:jc w:val="center"/>
      </w:pPr>
      <w:sdt>
        <w:sdtPr>
          <w:rPr>
            <w:rFonts w:ascii="宋体" w:hAnsi="宋体" w:eastAsia="宋体"/>
          </w:rPr>
          <w:id w:val="147476629"/>
          <w:showingPlcHdr/>
          <w15:color w:val="DBDBDB"/>
          <w:docPartObj>
            <w:docPartGallery w:val="Table of Contents"/>
            <w:docPartUnique/>
          </w:docPartObj>
        </w:sdtPr>
        <w:sdtEndPr>
          <w:rPr>
            <w:rFonts w:ascii="Times New Roman" w:hAnsi="Times New Roman" w:eastAsia="黑体"/>
            <w:sz w:val="24"/>
          </w:rPr>
        </w:sdtEndPr>
        <w:sdtContent>
          <w:bookmarkStart w:id="1" w:name="_Toc13770"/>
          <w:r>
            <w:rPr>
              <w:rFonts w:hint="eastAsia" w:ascii="宋体" w:hAnsi="宋体" w:eastAsia="宋体"/>
              <w:lang w:eastAsia="zh-CN"/>
            </w:rPr>
            <w:t xml:space="preserve">     </w:t>
          </w:r>
        </w:sdtContent>
      </w:sdt>
    </w:p>
    <w:p w14:paraId="46424616">
      <w:pPr>
        <w:spacing w:line="360" w:lineRule="auto"/>
        <w:jc w:val="center"/>
        <w:outlineLvl w:val="0"/>
        <w:rPr>
          <w:rFonts w:ascii="Times New Roman" w:hAnsi="Times New Roman" w:eastAsia="黑体"/>
          <w:sz w:val="30"/>
          <w:szCs w:val="30"/>
        </w:rPr>
      </w:pPr>
      <w:r>
        <w:rPr>
          <w:rFonts w:hint="eastAsia" w:ascii="Times New Roman" w:hAnsi="Times New Roman" w:eastAsia="黑体"/>
          <w:sz w:val="30"/>
          <w:szCs w:val="30"/>
        </w:rPr>
        <w:t>一、建设项目基本情况</w:t>
      </w:r>
      <w:bookmarkEnd w:id="1"/>
    </w:p>
    <w:tbl>
      <w:tblPr>
        <w:tblStyle w:val="28"/>
        <w:tblW w:w="52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23"/>
        <w:gridCol w:w="2112"/>
        <w:gridCol w:w="2315"/>
        <w:gridCol w:w="3622"/>
      </w:tblGrid>
      <w:tr w14:paraId="37D0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778797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建设项目名称</w:t>
            </w:r>
          </w:p>
        </w:tc>
        <w:tc>
          <w:tcPr>
            <w:tcW w:w="4160" w:type="pct"/>
            <w:gridSpan w:val="3"/>
            <w:vAlign w:val="center"/>
          </w:tcPr>
          <w:p w14:paraId="27D1D476">
            <w:pPr>
              <w:spacing w:before="62" w:beforeLines="20" w:after="62" w:afterLines="20" w:line="360" w:lineRule="auto"/>
              <w:jc w:val="center"/>
              <w:rPr>
                <w:rFonts w:hint="eastAsia" w:ascii="Times New Roman" w:hAnsi="Times New Roman" w:eastAsia="宋体"/>
                <w:sz w:val="24"/>
                <w:lang w:eastAsia="zh-CN"/>
              </w:rPr>
            </w:pPr>
            <w:r>
              <w:rPr>
                <w:rFonts w:hint="eastAsia" w:ascii="Times New Roman" w:hAnsi="Times New Roman" w:eastAsia="宋体"/>
                <w:sz w:val="24"/>
                <w:lang w:eastAsia="zh-CN"/>
              </w:rPr>
              <w:t>人造板材（免漆门面饰板）生产项目</w:t>
            </w:r>
          </w:p>
        </w:tc>
      </w:tr>
      <w:tr w14:paraId="0577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52857D89">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项目代码</w:t>
            </w:r>
          </w:p>
        </w:tc>
        <w:tc>
          <w:tcPr>
            <w:tcW w:w="4160" w:type="pct"/>
            <w:gridSpan w:val="3"/>
            <w:vAlign w:val="center"/>
          </w:tcPr>
          <w:p w14:paraId="662DC8A9">
            <w:pPr>
              <w:spacing w:before="62" w:beforeLines="20" w:after="62" w:afterLines="20" w:line="360" w:lineRule="auto"/>
              <w:jc w:val="center"/>
              <w:rPr>
                <w:rFonts w:hint="default" w:ascii="Times New Roman" w:hAnsi="Times New Roman" w:eastAsia="宋体"/>
                <w:sz w:val="24"/>
                <w:lang w:val="en-US" w:eastAsia="zh-CN"/>
              </w:rPr>
            </w:pPr>
            <w:r>
              <w:rPr>
                <w:rFonts w:hint="eastAsia" w:ascii="Times New Roman" w:hAnsi="Times New Roman" w:eastAsia="宋体" w:cs="Times New Roman"/>
                <w:color w:val="000000" w:themeColor="text1"/>
                <w:sz w:val="24"/>
                <w:szCs w:val="36"/>
                <w:lang w:val="en-US" w:eastAsia="zh-CN"/>
                <w14:textFill>
                  <w14:solidFill>
                    <w14:schemeClr w14:val="tx1"/>
                  </w14:solidFill>
                </w14:textFill>
              </w:rPr>
              <w:t>2511-500107-04-05-517432</w:t>
            </w:r>
          </w:p>
        </w:tc>
      </w:tr>
      <w:tr w14:paraId="6DDB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2" w:hRule="atLeast"/>
        </w:trPr>
        <w:tc>
          <w:tcPr>
            <w:tcW w:w="839" w:type="pct"/>
            <w:vAlign w:val="center"/>
          </w:tcPr>
          <w:p w14:paraId="619B0C33">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建设单位联系人</w:t>
            </w:r>
          </w:p>
        </w:tc>
        <w:tc>
          <w:tcPr>
            <w:tcW w:w="1091" w:type="pct"/>
            <w:vAlign w:val="center"/>
          </w:tcPr>
          <w:p w14:paraId="142FEB61">
            <w:pPr>
              <w:spacing w:before="62" w:beforeLines="20" w:after="62" w:afterLines="20" w:line="360" w:lineRule="auto"/>
              <w:jc w:val="center"/>
              <w:rPr>
                <w:rFonts w:hint="eastAsia" w:ascii="Times New Roman" w:hAnsi="Times New Roman" w:eastAsiaTheme="minorEastAsia"/>
                <w:sz w:val="24"/>
                <w:lang w:val="en-US" w:eastAsia="zh-CN"/>
              </w:rPr>
            </w:pPr>
            <w:r>
              <w:rPr>
                <w:rFonts w:hint="eastAsia" w:ascii="Times New Roman" w:hAnsi="Times New Roman"/>
                <w:sz w:val="24"/>
                <w:lang w:val="en-US" w:eastAsia="zh-CN"/>
              </w:rPr>
              <w:t>李彬</w:t>
            </w:r>
          </w:p>
        </w:tc>
        <w:tc>
          <w:tcPr>
            <w:tcW w:w="1196" w:type="pct"/>
            <w:vAlign w:val="center"/>
          </w:tcPr>
          <w:p w14:paraId="0D659C77">
            <w:pPr>
              <w:spacing w:before="62" w:beforeLines="20" w:after="62" w:afterLines="20" w:line="360" w:lineRule="auto"/>
              <w:jc w:val="center"/>
              <w:rPr>
                <w:rFonts w:ascii="Times New Roman" w:hAnsi="Times New Roman" w:eastAsia="宋体"/>
                <w:sz w:val="24"/>
              </w:rPr>
            </w:pPr>
            <w:r>
              <w:rPr>
                <w:rFonts w:hint="eastAsia" w:ascii="Times New Roman" w:hAnsi="Times New Roman" w:eastAsia="宋体"/>
                <w:b/>
                <w:bCs/>
                <w:sz w:val="24"/>
              </w:rPr>
              <w:t>联系方式</w:t>
            </w:r>
          </w:p>
        </w:tc>
        <w:tc>
          <w:tcPr>
            <w:tcW w:w="1872" w:type="pct"/>
            <w:vAlign w:val="center"/>
          </w:tcPr>
          <w:p w14:paraId="0E304BDD">
            <w:pPr>
              <w:spacing w:before="62" w:beforeLines="20" w:after="62" w:afterLines="20" w:line="360" w:lineRule="auto"/>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15974294591</w:t>
            </w:r>
          </w:p>
        </w:tc>
      </w:tr>
      <w:tr w14:paraId="042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07A06035">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建设地点</w:t>
            </w:r>
          </w:p>
        </w:tc>
        <w:tc>
          <w:tcPr>
            <w:tcW w:w="4160" w:type="pct"/>
            <w:gridSpan w:val="3"/>
            <w:vAlign w:val="center"/>
          </w:tcPr>
          <w:p w14:paraId="2E9779F1">
            <w:pPr>
              <w:spacing w:before="62" w:beforeLines="20" w:after="62" w:afterLines="20" w:line="360" w:lineRule="auto"/>
              <w:jc w:val="center"/>
              <w:rPr>
                <w:rFonts w:hint="eastAsia" w:ascii="Times New Roman" w:hAnsi="Times New Roman" w:eastAsiaTheme="minorEastAsia"/>
                <w:sz w:val="24"/>
                <w:lang w:val="en-US" w:eastAsia="zh-CN"/>
              </w:rPr>
            </w:pPr>
            <w:r>
              <w:rPr>
                <w:rFonts w:hint="eastAsia" w:ascii="Times New Roman" w:hAnsi="Times New Roman"/>
                <w:sz w:val="24"/>
                <w:lang w:val="en-US" w:eastAsia="zh-CN"/>
              </w:rPr>
              <w:t>重庆市九龙坡区西彭镇森迪大道139号1层第16号</w:t>
            </w:r>
          </w:p>
        </w:tc>
      </w:tr>
      <w:tr w14:paraId="62D5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6EB34271">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地理坐标</w:t>
            </w:r>
          </w:p>
        </w:tc>
        <w:tc>
          <w:tcPr>
            <w:tcW w:w="4160" w:type="pct"/>
            <w:gridSpan w:val="3"/>
            <w:vAlign w:val="center"/>
          </w:tcPr>
          <w:p w14:paraId="6E08CE0D">
            <w:pPr>
              <w:spacing w:before="62" w:beforeLines="20" w:after="62" w:afterLines="20" w:line="360" w:lineRule="auto"/>
              <w:jc w:val="center"/>
              <w:rPr>
                <w:rFonts w:ascii="Times New Roman" w:hAnsi="Times New Roman" w:eastAsia="宋体"/>
                <w:sz w:val="24"/>
              </w:rPr>
            </w:pPr>
            <w:r>
              <w:rPr>
                <w:rFonts w:hint="eastAsia" w:ascii="Times New Roman" w:hAnsi="Times New Roman" w:eastAsia="宋体"/>
                <w:sz w:val="24"/>
              </w:rPr>
              <w:t>（N 29度19分</w:t>
            </w:r>
            <w:r>
              <w:rPr>
                <w:rFonts w:hint="eastAsia" w:ascii="Times New Roman" w:hAnsi="Times New Roman" w:eastAsia="宋体"/>
                <w:sz w:val="24"/>
                <w:lang w:val="en-US" w:eastAsia="zh-CN"/>
              </w:rPr>
              <w:t>19.0028</w:t>
            </w:r>
            <w:r>
              <w:rPr>
                <w:rFonts w:hint="eastAsia" w:ascii="Times New Roman" w:hAnsi="Times New Roman" w:eastAsia="宋体"/>
                <w:sz w:val="24"/>
              </w:rPr>
              <w:t>秒，E 106度</w:t>
            </w:r>
            <w:r>
              <w:rPr>
                <w:rFonts w:hint="eastAsia" w:ascii="Times New Roman" w:hAnsi="Times New Roman" w:eastAsia="宋体"/>
                <w:sz w:val="24"/>
                <w:lang w:val="en-US" w:eastAsia="zh-CN"/>
              </w:rPr>
              <w:t>17</w:t>
            </w:r>
            <w:r>
              <w:rPr>
                <w:rFonts w:hint="eastAsia" w:ascii="Times New Roman" w:hAnsi="Times New Roman" w:eastAsia="宋体"/>
                <w:sz w:val="24"/>
              </w:rPr>
              <w:t>分</w:t>
            </w:r>
            <w:r>
              <w:rPr>
                <w:rFonts w:hint="eastAsia" w:ascii="Times New Roman" w:hAnsi="Times New Roman" w:eastAsia="宋体"/>
                <w:sz w:val="24"/>
                <w:lang w:val="en-US" w:eastAsia="zh-CN"/>
              </w:rPr>
              <w:t>44.7808</w:t>
            </w:r>
            <w:r>
              <w:rPr>
                <w:rFonts w:hint="eastAsia" w:ascii="Times New Roman" w:hAnsi="Times New Roman" w:eastAsia="宋体"/>
                <w:sz w:val="24"/>
              </w:rPr>
              <w:t>秒）</w:t>
            </w:r>
          </w:p>
        </w:tc>
      </w:tr>
      <w:tr w14:paraId="14E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3DAF87AC">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国民经济</w:t>
            </w:r>
          </w:p>
          <w:p w14:paraId="11F4B824">
            <w:pPr>
              <w:keepNext w:val="0"/>
              <w:keepLines w:val="0"/>
              <w:pageBreakBefore w:val="0"/>
              <w:widowControl w:val="0"/>
              <w:kinsoku/>
              <w:wordWrap/>
              <w:overflowPunct/>
              <w:topLinePunct w:val="0"/>
              <w:autoSpaceDE/>
              <w:autoSpaceDN/>
              <w:bidi w:val="0"/>
              <w:adjustRightInd/>
              <w:snapToGrid/>
              <w:spacing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行业类别</w:t>
            </w:r>
          </w:p>
        </w:tc>
        <w:tc>
          <w:tcPr>
            <w:tcW w:w="1091" w:type="pct"/>
            <w:vAlign w:val="center"/>
          </w:tcPr>
          <w:p w14:paraId="2C611359">
            <w:pPr>
              <w:jc w:val="center"/>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C</w:t>
            </w:r>
            <w:r>
              <w:rPr>
                <w:rFonts w:hint="eastAsia" w:ascii="Times New Roman" w:hAnsi="Times New Roman" w:eastAsia="宋体"/>
                <w:color w:val="000000" w:themeColor="text1"/>
                <w:sz w:val="24"/>
                <w:lang w:val="en-US" w:eastAsia="zh-CN"/>
                <w14:textFill>
                  <w14:solidFill>
                    <w14:schemeClr w14:val="tx1"/>
                  </w14:solidFill>
                </w14:textFill>
              </w:rPr>
              <w:t>2029</w:t>
            </w:r>
            <w:r>
              <w:rPr>
                <w:rFonts w:hint="eastAsia" w:ascii="Times New Roman" w:hAnsi="Times New Roman" w:eastAsia="宋体"/>
                <w:color w:val="000000" w:themeColor="text1"/>
                <w:sz w:val="24"/>
                <w:lang w:eastAsia="zh-CN"/>
                <w14:textFill>
                  <w14:solidFill>
                    <w14:schemeClr w14:val="tx1"/>
                  </w14:solidFill>
                </w14:textFill>
              </w:rPr>
              <w:t>其他人造板制造</w:t>
            </w:r>
          </w:p>
        </w:tc>
        <w:tc>
          <w:tcPr>
            <w:tcW w:w="1196" w:type="pct"/>
            <w:vAlign w:val="center"/>
          </w:tcPr>
          <w:p w14:paraId="232FFEE5">
            <w:pPr>
              <w:spacing w:line="360" w:lineRule="auto"/>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建设项目</w:t>
            </w:r>
          </w:p>
          <w:p w14:paraId="03526E90">
            <w:pPr>
              <w:spacing w:line="360" w:lineRule="auto"/>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行业类别</w:t>
            </w:r>
          </w:p>
        </w:tc>
        <w:tc>
          <w:tcPr>
            <w:tcW w:w="1872" w:type="pct"/>
            <w:vAlign w:val="center"/>
          </w:tcPr>
          <w:p w14:paraId="0C6835D9">
            <w:pPr>
              <w:spacing w:line="360" w:lineRule="auto"/>
              <w:jc w:val="center"/>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十七</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木材加工和木、竹、藤、棕、草制品业</w:t>
            </w:r>
            <w:r>
              <w:rPr>
                <w:rFonts w:hint="eastAsia"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val="en-US" w:eastAsia="zh-CN"/>
                <w14:textFill>
                  <w14:solidFill>
                    <w14:schemeClr w14:val="tx1"/>
                  </w14:solidFill>
                </w14:textFill>
              </w:rPr>
              <w:t>34</w:t>
            </w:r>
            <w:r>
              <w:rPr>
                <w:rFonts w:hint="eastAsia"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eastAsia="zh-CN"/>
                <w14:textFill>
                  <w14:solidFill>
                    <w14:schemeClr w14:val="tx1"/>
                  </w14:solidFill>
                </w14:textFill>
              </w:rPr>
              <w:t>人造板制造</w:t>
            </w:r>
            <w:r>
              <w:rPr>
                <w:rFonts w:hint="eastAsia" w:ascii="Times New Roman" w:hAnsi="Times New Roman" w:eastAsia="宋体"/>
                <w:color w:val="000000" w:themeColor="text1"/>
                <w:sz w:val="24"/>
                <w:lang w:val="en-US" w:eastAsia="zh-CN"/>
                <w14:textFill>
                  <w14:solidFill>
                    <w14:schemeClr w14:val="tx1"/>
                  </w14:solidFill>
                </w14:textFill>
              </w:rPr>
              <w:t>-其他</w:t>
            </w:r>
            <w:r>
              <w:rPr>
                <w:rFonts w:hint="eastAsia" w:ascii="Times New Roman" w:hAnsi="Times New Roman" w:eastAsia="宋体"/>
                <w:color w:val="000000" w:themeColor="text1"/>
                <w:sz w:val="24"/>
                <w14:textFill>
                  <w14:solidFill>
                    <w14:schemeClr w14:val="tx1"/>
                  </w14:solidFill>
                </w14:textFill>
              </w:rPr>
              <w:t>；</w:t>
            </w:r>
          </w:p>
        </w:tc>
      </w:tr>
      <w:tr w14:paraId="4CCE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6BD971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建设性质</w:t>
            </w:r>
          </w:p>
        </w:tc>
        <w:tc>
          <w:tcPr>
            <w:tcW w:w="1091" w:type="pct"/>
            <w:vAlign w:val="center"/>
          </w:tcPr>
          <w:p w14:paraId="0FD32761">
            <w:pPr>
              <w:spacing w:before="46" w:beforeLines="15" w:line="360" w:lineRule="auto"/>
              <w:rPr>
                <w:rFonts w:ascii="Times New Roman" w:hAnsi="Times New Roman" w:eastAsia="宋体"/>
                <w:sz w:val="24"/>
              </w:rPr>
            </w:pPr>
            <w:r>
              <w:rPr>
                <w:rFonts w:hint="eastAsia" w:ascii="Times New Roman" w:hAnsi="Times New Roman" w:eastAsia="宋体"/>
                <w:sz w:val="24"/>
              </w:rPr>
              <w:sym w:font="Wingdings 2" w:char="0052"/>
            </w:r>
            <w:r>
              <w:rPr>
                <w:rFonts w:hint="eastAsia" w:ascii="Times New Roman" w:hAnsi="Times New Roman" w:eastAsia="宋体"/>
                <w:sz w:val="24"/>
              </w:rPr>
              <w:t>新建（迁建）</w:t>
            </w:r>
          </w:p>
          <w:p w14:paraId="329A64B8">
            <w:pPr>
              <w:spacing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改建</w:t>
            </w:r>
          </w:p>
          <w:p w14:paraId="6816AE53">
            <w:pPr>
              <w:spacing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扩建</w:t>
            </w:r>
          </w:p>
          <w:p w14:paraId="492A8AEE">
            <w:pPr>
              <w:spacing w:after="46" w:afterLines="15"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技术改造</w:t>
            </w:r>
          </w:p>
        </w:tc>
        <w:tc>
          <w:tcPr>
            <w:tcW w:w="1196" w:type="pct"/>
            <w:vAlign w:val="center"/>
          </w:tcPr>
          <w:p w14:paraId="0020B211">
            <w:pPr>
              <w:spacing w:line="360" w:lineRule="auto"/>
              <w:jc w:val="center"/>
              <w:rPr>
                <w:rFonts w:ascii="Times New Roman" w:hAnsi="Times New Roman" w:eastAsia="宋体"/>
                <w:b/>
                <w:bCs/>
                <w:sz w:val="24"/>
              </w:rPr>
            </w:pPr>
            <w:r>
              <w:rPr>
                <w:rFonts w:hint="eastAsia" w:ascii="Times New Roman" w:hAnsi="Times New Roman" w:eastAsia="宋体"/>
                <w:b/>
                <w:bCs/>
                <w:sz w:val="24"/>
              </w:rPr>
              <w:t>建设项目</w:t>
            </w:r>
          </w:p>
          <w:p w14:paraId="015BF558">
            <w:pPr>
              <w:spacing w:line="360" w:lineRule="auto"/>
              <w:jc w:val="center"/>
              <w:rPr>
                <w:rFonts w:ascii="Times New Roman" w:hAnsi="Times New Roman" w:eastAsia="宋体"/>
                <w:b/>
                <w:bCs/>
                <w:sz w:val="24"/>
              </w:rPr>
            </w:pPr>
            <w:r>
              <w:rPr>
                <w:rFonts w:hint="eastAsia" w:ascii="Times New Roman" w:hAnsi="Times New Roman" w:eastAsia="宋体"/>
                <w:b/>
                <w:bCs/>
                <w:sz w:val="24"/>
              </w:rPr>
              <w:t>申报情形</w:t>
            </w:r>
          </w:p>
        </w:tc>
        <w:tc>
          <w:tcPr>
            <w:tcW w:w="1872" w:type="pct"/>
            <w:vAlign w:val="center"/>
          </w:tcPr>
          <w:p w14:paraId="3FDFE92B">
            <w:pPr>
              <w:spacing w:before="31" w:beforeLines="10" w:line="360" w:lineRule="auto"/>
              <w:rPr>
                <w:rFonts w:ascii="Times New Roman" w:hAnsi="Times New Roman" w:eastAsia="宋体"/>
                <w:sz w:val="24"/>
              </w:rPr>
            </w:pPr>
            <w:r>
              <w:rPr>
                <w:rFonts w:hint="eastAsia" w:ascii="Times New Roman" w:hAnsi="Times New Roman" w:eastAsia="宋体"/>
                <w:sz w:val="24"/>
              </w:rPr>
              <w:sym w:font="Wingdings 2" w:char="0052"/>
            </w:r>
            <w:r>
              <w:rPr>
                <w:rFonts w:hint="eastAsia" w:ascii="Times New Roman" w:hAnsi="Times New Roman" w:eastAsia="宋体"/>
                <w:sz w:val="24"/>
              </w:rPr>
              <w:t>首次申报项目</w:t>
            </w:r>
          </w:p>
          <w:p w14:paraId="0C00E151">
            <w:pPr>
              <w:spacing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不予批准后再次申报项目</w:t>
            </w:r>
          </w:p>
          <w:p w14:paraId="18D08C30">
            <w:pPr>
              <w:spacing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超五年重新审核项目</w:t>
            </w:r>
          </w:p>
          <w:p w14:paraId="139EC3EA">
            <w:pPr>
              <w:spacing w:after="31" w:afterLines="10" w:line="360" w:lineRule="auto"/>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重大变动重新报批项目</w:t>
            </w:r>
          </w:p>
        </w:tc>
      </w:tr>
      <w:tr w14:paraId="6D88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2D7D523A">
            <w:pPr>
              <w:keepNext w:val="0"/>
              <w:keepLines w:val="0"/>
              <w:pageBreakBefore w:val="0"/>
              <w:widowControl w:val="0"/>
              <w:kinsoku/>
              <w:wordWrap/>
              <w:overflowPunct/>
              <w:topLinePunct w:val="0"/>
              <w:autoSpaceDE/>
              <w:autoSpaceDN/>
              <w:bidi w:val="0"/>
              <w:adjustRightInd/>
              <w:snapToGrid/>
              <w:spacing w:before="46" w:beforeLines="15"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项目审批（核准/</w:t>
            </w:r>
          </w:p>
          <w:p w14:paraId="3BC85848">
            <w:pPr>
              <w:keepNext w:val="0"/>
              <w:keepLines w:val="0"/>
              <w:pageBreakBefore w:val="0"/>
              <w:widowControl w:val="0"/>
              <w:kinsoku/>
              <w:wordWrap/>
              <w:overflowPunct/>
              <w:topLinePunct w:val="0"/>
              <w:autoSpaceDE/>
              <w:autoSpaceDN/>
              <w:bidi w:val="0"/>
              <w:adjustRightInd/>
              <w:snapToGrid/>
              <w:spacing w:after="46" w:afterLines="15"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备案）部门（选填）</w:t>
            </w:r>
          </w:p>
        </w:tc>
        <w:tc>
          <w:tcPr>
            <w:tcW w:w="1091" w:type="pct"/>
            <w:vAlign w:val="center"/>
          </w:tcPr>
          <w:p w14:paraId="0FEF9A80">
            <w:pPr>
              <w:spacing w:before="46" w:beforeLines="15" w:after="46" w:afterLines="15" w:line="360" w:lineRule="auto"/>
              <w:jc w:val="center"/>
              <w:rPr>
                <w:rFonts w:ascii="Times New Roman" w:hAnsi="Times New Roman" w:eastAsia="宋体"/>
                <w:sz w:val="24"/>
              </w:rPr>
            </w:pPr>
            <w:r>
              <w:rPr>
                <w:rFonts w:hint="eastAsia" w:ascii="Times New Roman" w:hAnsi="Times New Roman" w:eastAsia="宋体"/>
                <w:sz w:val="24"/>
              </w:rPr>
              <w:t>重庆市九龙坡区发展和改革委员会</w:t>
            </w:r>
          </w:p>
        </w:tc>
        <w:tc>
          <w:tcPr>
            <w:tcW w:w="1196" w:type="pct"/>
            <w:vAlign w:val="center"/>
          </w:tcPr>
          <w:p w14:paraId="7606D9E4">
            <w:pPr>
              <w:spacing w:before="31" w:beforeLines="10" w:line="360" w:lineRule="auto"/>
              <w:jc w:val="center"/>
              <w:rPr>
                <w:rFonts w:ascii="Times New Roman" w:hAnsi="Times New Roman" w:eastAsia="宋体"/>
                <w:b/>
                <w:bCs/>
                <w:sz w:val="24"/>
              </w:rPr>
            </w:pPr>
            <w:r>
              <w:rPr>
                <w:rFonts w:hint="eastAsia" w:ascii="Times New Roman" w:hAnsi="Times New Roman" w:eastAsia="宋体"/>
                <w:b/>
                <w:bCs/>
                <w:sz w:val="24"/>
              </w:rPr>
              <w:t>项目审批（核准/</w:t>
            </w:r>
          </w:p>
          <w:p w14:paraId="7FE20546">
            <w:pPr>
              <w:spacing w:after="31" w:afterLines="10" w:line="360" w:lineRule="auto"/>
              <w:jc w:val="center"/>
              <w:rPr>
                <w:rFonts w:ascii="Times New Roman" w:hAnsi="Times New Roman" w:eastAsia="宋体"/>
                <w:b/>
                <w:bCs/>
                <w:sz w:val="24"/>
              </w:rPr>
            </w:pPr>
            <w:r>
              <w:rPr>
                <w:rFonts w:hint="eastAsia" w:ascii="Times New Roman" w:hAnsi="Times New Roman" w:eastAsia="宋体"/>
                <w:b/>
                <w:bCs/>
                <w:sz w:val="24"/>
              </w:rPr>
              <w:t>备案）文号（选填）</w:t>
            </w:r>
          </w:p>
        </w:tc>
        <w:tc>
          <w:tcPr>
            <w:tcW w:w="1872" w:type="pct"/>
            <w:vAlign w:val="center"/>
          </w:tcPr>
          <w:p w14:paraId="1CF13B9A">
            <w:pPr>
              <w:spacing w:line="360" w:lineRule="auto"/>
              <w:jc w:val="center"/>
              <w:rPr>
                <w:rFonts w:ascii="Times New Roman" w:hAnsi="Times New Roman" w:eastAsia="宋体"/>
                <w:sz w:val="24"/>
              </w:rPr>
            </w:pPr>
            <w:r>
              <w:rPr>
                <w:rFonts w:hint="eastAsia" w:ascii="Times New Roman" w:hAnsi="Times New Roman" w:eastAsia="宋体" w:cs="Times New Roman"/>
                <w:color w:val="000000" w:themeColor="text1"/>
                <w:sz w:val="24"/>
                <w:szCs w:val="36"/>
                <w:lang w:val="en-US" w:eastAsia="zh-CN"/>
                <w14:textFill>
                  <w14:solidFill>
                    <w14:schemeClr w14:val="tx1"/>
                  </w14:solidFill>
                </w14:textFill>
              </w:rPr>
              <w:t>/</w:t>
            </w:r>
          </w:p>
        </w:tc>
      </w:tr>
      <w:tr w14:paraId="2B46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215CB3B7">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总投资（万元）</w:t>
            </w:r>
          </w:p>
        </w:tc>
        <w:tc>
          <w:tcPr>
            <w:tcW w:w="1091" w:type="pct"/>
            <w:vAlign w:val="center"/>
          </w:tcPr>
          <w:p w14:paraId="7C672B26">
            <w:pPr>
              <w:spacing w:before="62" w:beforeLines="20" w:after="62" w:afterLines="20" w:line="360" w:lineRule="auto"/>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500</w:t>
            </w:r>
          </w:p>
        </w:tc>
        <w:tc>
          <w:tcPr>
            <w:tcW w:w="1196" w:type="pct"/>
            <w:vAlign w:val="center"/>
          </w:tcPr>
          <w:p w14:paraId="1CEF4F70">
            <w:pPr>
              <w:spacing w:before="62" w:beforeLines="20" w:after="62" w:afterLines="20" w:line="360" w:lineRule="auto"/>
              <w:jc w:val="center"/>
              <w:rPr>
                <w:rFonts w:ascii="Times New Roman" w:hAnsi="Times New Roman" w:eastAsia="宋体"/>
                <w:b/>
                <w:bCs/>
                <w:sz w:val="24"/>
              </w:rPr>
            </w:pPr>
            <w:r>
              <w:rPr>
                <w:rFonts w:hint="eastAsia" w:ascii="Times New Roman" w:hAnsi="Times New Roman" w:eastAsia="宋体"/>
                <w:b/>
                <w:bCs/>
                <w:sz w:val="24"/>
              </w:rPr>
              <w:t>环保投资（万元）</w:t>
            </w:r>
          </w:p>
        </w:tc>
        <w:tc>
          <w:tcPr>
            <w:tcW w:w="1872" w:type="pct"/>
            <w:vAlign w:val="center"/>
          </w:tcPr>
          <w:p w14:paraId="23C72E44">
            <w:pPr>
              <w:spacing w:before="62" w:beforeLines="20" w:after="62" w:afterLines="20" w:line="360" w:lineRule="auto"/>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30</w:t>
            </w:r>
          </w:p>
        </w:tc>
      </w:tr>
      <w:tr w14:paraId="3471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5213A029">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环保投资占比（%）</w:t>
            </w:r>
          </w:p>
        </w:tc>
        <w:tc>
          <w:tcPr>
            <w:tcW w:w="1091" w:type="pct"/>
            <w:vAlign w:val="center"/>
          </w:tcPr>
          <w:p w14:paraId="55F434FC">
            <w:pPr>
              <w:spacing w:before="62" w:beforeLines="20" w:after="62" w:afterLines="20" w:line="360" w:lineRule="auto"/>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6</w:t>
            </w:r>
          </w:p>
        </w:tc>
        <w:tc>
          <w:tcPr>
            <w:tcW w:w="1196" w:type="pct"/>
            <w:vAlign w:val="center"/>
          </w:tcPr>
          <w:p w14:paraId="14A19D90">
            <w:pPr>
              <w:spacing w:before="62" w:beforeLines="20" w:after="62" w:afterLines="20" w:line="360" w:lineRule="auto"/>
              <w:jc w:val="center"/>
              <w:rPr>
                <w:rFonts w:ascii="Times New Roman" w:hAnsi="Times New Roman" w:eastAsia="宋体"/>
                <w:b/>
                <w:bCs/>
                <w:sz w:val="24"/>
              </w:rPr>
            </w:pPr>
            <w:r>
              <w:rPr>
                <w:rFonts w:hint="eastAsia" w:ascii="Times New Roman" w:hAnsi="Times New Roman" w:eastAsia="宋体"/>
                <w:b/>
                <w:bCs/>
                <w:sz w:val="24"/>
              </w:rPr>
              <w:t>施工工期</w:t>
            </w:r>
          </w:p>
        </w:tc>
        <w:tc>
          <w:tcPr>
            <w:tcW w:w="1872" w:type="pct"/>
            <w:vAlign w:val="center"/>
          </w:tcPr>
          <w:p w14:paraId="17265403">
            <w:pPr>
              <w:spacing w:before="62" w:beforeLines="20" w:after="62" w:afterLines="20" w:line="360" w:lineRule="auto"/>
              <w:jc w:val="center"/>
              <w:rPr>
                <w:rFonts w:ascii="Times New Roman" w:hAnsi="Times New Roman" w:eastAsia="宋体"/>
                <w:sz w:val="24"/>
              </w:rPr>
            </w:pPr>
            <w:r>
              <w:rPr>
                <w:rFonts w:hint="eastAsia" w:ascii="Times New Roman" w:hAnsi="Times New Roman" w:eastAsia="宋体"/>
                <w:sz w:val="24"/>
                <w:lang w:val="en-US" w:eastAsia="zh-CN"/>
              </w:rPr>
              <w:t>6</w:t>
            </w:r>
            <w:r>
              <w:rPr>
                <w:rFonts w:hint="eastAsia" w:ascii="Times New Roman" w:hAnsi="Times New Roman" w:eastAsia="宋体"/>
                <w:sz w:val="24"/>
              </w:rPr>
              <w:t>个月</w:t>
            </w:r>
          </w:p>
        </w:tc>
      </w:tr>
      <w:tr w14:paraId="6369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6" w:hRule="atLeast"/>
        </w:trPr>
        <w:tc>
          <w:tcPr>
            <w:tcW w:w="839" w:type="pct"/>
            <w:vAlign w:val="center"/>
          </w:tcPr>
          <w:p w14:paraId="0B18E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是否开工建设</w:t>
            </w:r>
          </w:p>
        </w:tc>
        <w:tc>
          <w:tcPr>
            <w:tcW w:w="1091" w:type="pct"/>
            <w:vAlign w:val="center"/>
          </w:tcPr>
          <w:p w14:paraId="555A1843">
            <w:pPr>
              <w:spacing w:before="46" w:beforeLines="15" w:line="360" w:lineRule="auto"/>
              <w:jc w:val="center"/>
              <w:rPr>
                <w:rFonts w:ascii="Times New Roman" w:hAnsi="Times New Roman" w:eastAsia="宋体"/>
                <w:sz w:val="24"/>
              </w:rPr>
            </w:pPr>
            <w:r>
              <w:rPr>
                <w:rFonts w:hint="eastAsia" w:ascii="Times New Roman" w:hAnsi="Times New Roman" w:eastAsia="宋体"/>
                <w:sz w:val="24"/>
              </w:rPr>
              <w:sym w:font="Wingdings 2" w:char="0052"/>
            </w:r>
            <w:r>
              <w:rPr>
                <w:rFonts w:hint="eastAsia" w:ascii="Times New Roman" w:hAnsi="Times New Roman" w:eastAsia="宋体"/>
                <w:sz w:val="24"/>
              </w:rPr>
              <w:t>否</w:t>
            </w:r>
          </w:p>
          <w:p w14:paraId="7C61B67A">
            <w:pPr>
              <w:spacing w:after="46" w:afterLines="15" w:line="360" w:lineRule="auto"/>
              <w:jc w:val="center"/>
              <w:rPr>
                <w:rFonts w:ascii="Times New Roman" w:hAnsi="Times New Roman" w:eastAsia="宋体"/>
                <w:sz w:val="24"/>
              </w:rPr>
            </w:pPr>
            <w:r>
              <w:rPr>
                <w:rFonts w:hint="eastAsia" w:ascii="Times New Roman" w:hAnsi="Times New Roman" w:eastAsia="宋体"/>
                <w:sz w:val="24"/>
              </w:rPr>
              <w:sym w:font="Wingdings 2" w:char="00A3"/>
            </w:r>
            <w:r>
              <w:rPr>
                <w:rFonts w:hint="eastAsia" w:ascii="Times New Roman" w:hAnsi="Times New Roman" w:eastAsia="宋体"/>
                <w:sz w:val="24"/>
              </w:rPr>
              <w:t>是</w:t>
            </w:r>
          </w:p>
        </w:tc>
        <w:tc>
          <w:tcPr>
            <w:tcW w:w="1196" w:type="pct"/>
            <w:vAlign w:val="center"/>
          </w:tcPr>
          <w:p w14:paraId="4BA254FD">
            <w:pPr>
              <w:spacing w:before="46" w:beforeLines="15" w:line="360" w:lineRule="auto"/>
              <w:jc w:val="center"/>
              <w:rPr>
                <w:rFonts w:ascii="Times New Roman" w:hAnsi="Times New Roman" w:eastAsia="宋体"/>
                <w:b/>
                <w:bCs/>
                <w:sz w:val="24"/>
              </w:rPr>
            </w:pPr>
            <w:r>
              <w:rPr>
                <w:rFonts w:hint="eastAsia" w:ascii="Times New Roman" w:hAnsi="Times New Roman" w:eastAsia="宋体"/>
                <w:b/>
                <w:bCs/>
                <w:sz w:val="24"/>
              </w:rPr>
              <w:t>用地（用海）</w:t>
            </w:r>
          </w:p>
          <w:p w14:paraId="2DA352B1">
            <w:pPr>
              <w:spacing w:after="46" w:afterLines="15" w:line="360" w:lineRule="auto"/>
              <w:jc w:val="center"/>
              <w:rPr>
                <w:rFonts w:ascii="Times New Roman" w:hAnsi="Times New Roman" w:eastAsia="宋体"/>
                <w:b/>
                <w:bCs/>
                <w:sz w:val="24"/>
              </w:rPr>
            </w:pPr>
            <w:r>
              <w:rPr>
                <w:rFonts w:hint="eastAsia" w:ascii="Times New Roman" w:hAnsi="Times New Roman" w:eastAsia="宋体"/>
                <w:b/>
                <w:bCs/>
                <w:sz w:val="24"/>
              </w:rPr>
              <w:t>面积（m</w:t>
            </w:r>
            <w:r>
              <w:rPr>
                <w:rFonts w:hint="eastAsia" w:ascii="Times New Roman" w:hAnsi="Times New Roman" w:eastAsia="宋体"/>
                <w:b/>
                <w:bCs/>
                <w:sz w:val="24"/>
                <w:vertAlign w:val="superscript"/>
              </w:rPr>
              <w:t>2</w:t>
            </w:r>
            <w:r>
              <w:rPr>
                <w:rFonts w:hint="eastAsia" w:ascii="Times New Roman" w:hAnsi="Times New Roman" w:eastAsia="宋体"/>
                <w:b/>
                <w:bCs/>
                <w:sz w:val="24"/>
              </w:rPr>
              <w:t>）</w:t>
            </w:r>
          </w:p>
        </w:tc>
        <w:tc>
          <w:tcPr>
            <w:tcW w:w="1872" w:type="pct"/>
            <w:vAlign w:val="center"/>
          </w:tcPr>
          <w:p w14:paraId="6DA80F8A">
            <w:pPr>
              <w:spacing w:line="360" w:lineRule="auto"/>
              <w:jc w:val="center"/>
              <w:rPr>
                <w:rFonts w:ascii="Times New Roman" w:hAnsi="Times New Roman" w:eastAsia="宋体"/>
                <w:sz w:val="24"/>
              </w:rPr>
            </w:pPr>
            <w:r>
              <w:rPr>
                <w:rFonts w:hint="eastAsia" w:ascii="Times New Roman" w:hAnsi="Times New Roman" w:eastAsia="宋体"/>
                <w:sz w:val="24"/>
                <w:lang w:val="en-US" w:eastAsia="zh-CN"/>
              </w:rPr>
              <w:t>3000</w:t>
            </w:r>
            <w:r>
              <w:rPr>
                <w:rFonts w:hint="eastAsia" w:ascii="Times New Roman" w:hAnsi="Times New Roman" w:eastAsia="宋体"/>
                <w:sz w:val="24"/>
              </w:rPr>
              <w:t>m</w:t>
            </w:r>
            <w:r>
              <w:rPr>
                <w:rFonts w:hint="eastAsia" w:ascii="Times New Roman" w:hAnsi="Times New Roman" w:eastAsia="宋体"/>
                <w:sz w:val="24"/>
                <w:vertAlign w:val="superscript"/>
              </w:rPr>
              <w:t>2</w:t>
            </w:r>
          </w:p>
        </w:tc>
      </w:tr>
      <w:tr w14:paraId="4152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4F316007">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sz w:val="24"/>
              </w:rPr>
            </w:pPr>
            <w:r>
              <w:rPr>
                <w:rFonts w:hint="eastAsia" w:ascii="Times New Roman" w:hAnsi="Times New Roman" w:eastAsia="宋体"/>
                <w:b/>
                <w:bCs/>
                <w:sz w:val="24"/>
              </w:rPr>
              <w:t>专项评价设置情况</w:t>
            </w:r>
          </w:p>
        </w:tc>
        <w:tc>
          <w:tcPr>
            <w:tcW w:w="4160" w:type="pct"/>
            <w:gridSpan w:val="3"/>
            <w:vAlign w:val="center"/>
          </w:tcPr>
          <w:p w14:paraId="343DD631">
            <w:pPr>
              <w:autoSpaceDE w:val="0"/>
              <w:autoSpaceDN w:val="0"/>
              <w:adjustRightInd w:val="0"/>
              <w:spacing w:line="360" w:lineRule="auto"/>
              <w:ind w:firstLine="480" w:firstLineChars="200"/>
              <w:rPr>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对照《建设项目环境影响报告表编制技术指南（污染影响类）（试行）》（详见表1-1）判断本项目环评专项评价设置情况。经分析，本项目环评需</w:t>
            </w:r>
            <w:r>
              <w:rPr>
                <w:rFonts w:hint="eastAsia"/>
                <w:color w:val="000000" w:themeColor="text1"/>
                <w:sz w:val="24"/>
                <w14:textFill>
                  <w14:solidFill>
                    <w14:schemeClr w14:val="tx1"/>
                  </w14:solidFill>
                </w14:textFill>
              </w:rPr>
              <w:t>设置</w:t>
            </w:r>
            <w:r>
              <w:rPr>
                <w:rFonts w:hint="eastAsia"/>
                <w:b/>
                <w:bCs/>
                <w:color w:val="000000" w:themeColor="text1"/>
                <w:sz w:val="24"/>
                <w:lang w:eastAsia="zh-CN"/>
                <w14:textFill>
                  <w14:solidFill>
                    <w14:schemeClr w14:val="tx1"/>
                  </w14:solidFill>
                </w14:textFill>
              </w:rPr>
              <w:t>大气</w:t>
            </w:r>
            <w:r>
              <w:rPr>
                <w:rFonts w:hint="eastAsia"/>
                <w:b/>
                <w:bCs/>
                <w:color w:val="000000" w:themeColor="text1"/>
                <w:sz w:val="24"/>
                <w14:textFill>
                  <w14:solidFill>
                    <w14:schemeClr w14:val="tx1"/>
                  </w14:solidFill>
                </w14:textFill>
              </w:rPr>
              <w:t>专项评价。</w:t>
            </w:r>
          </w:p>
          <w:p w14:paraId="434EF3FC">
            <w:pPr>
              <w:widowControl/>
              <w:jc w:val="center"/>
              <w:rPr>
                <w:b/>
                <w:bCs/>
                <w:color w:val="000000" w:themeColor="text1"/>
                <w:sz w:val="24"/>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表</w:t>
            </w:r>
            <w:r>
              <w:rPr>
                <w:rFonts w:ascii="Times New Roman" w:hAnsi="Times New Roman" w:eastAsia="宋体" w:cs="Times New Roman"/>
                <w:b/>
                <w:bCs/>
                <w:color w:val="000000" w:themeColor="text1"/>
                <w:kern w:val="0"/>
                <w:sz w:val="24"/>
                <w:lang w:bidi="ar"/>
                <w14:textFill>
                  <w14:solidFill>
                    <w14:schemeClr w14:val="tx1"/>
                  </w14:solidFill>
                </w14:textFill>
              </w:rPr>
              <w:t>1-1</w:t>
            </w:r>
            <w:r>
              <w:rPr>
                <w:rFonts w:hint="eastAsia" w:ascii="宋体" w:hAnsi="宋体" w:eastAsia="宋体" w:cs="宋体"/>
                <w:b/>
                <w:bCs/>
                <w:color w:val="000000" w:themeColor="text1"/>
                <w:kern w:val="0"/>
                <w:sz w:val="24"/>
                <w:lang w:bidi="ar"/>
                <w14:textFill>
                  <w14:solidFill>
                    <w14:schemeClr w14:val="tx1"/>
                  </w14:solidFill>
                </w14:textFill>
              </w:rPr>
              <w:t>专项评价设置原则对照表</w:t>
            </w:r>
          </w:p>
          <w:tbl>
            <w:tblPr>
              <w:tblStyle w:val="28"/>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757"/>
              <w:gridCol w:w="2916"/>
              <w:gridCol w:w="1137"/>
            </w:tblGrid>
            <w:tr w14:paraId="121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6F2F0C0">
                  <w:pPr>
                    <w:pStyle w:val="2"/>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类别</w:t>
                  </w:r>
                </w:p>
              </w:tc>
              <w:tc>
                <w:tcPr>
                  <w:tcW w:w="2757" w:type="dxa"/>
                  <w:vAlign w:val="center"/>
                </w:tcPr>
                <w:p w14:paraId="710AC64C">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设置原则</w:t>
                  </w:r>
                </w:p>
              </w:tc>
              <w:tc>
                <w:tcPr>
                  <w:tcW w:w="2916" w:type="dxa"/>
                  <w:vAlign w:val="center"/>
                </w:tcPr>
                <w:p w14:paraId="45663590">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lang w:eastAsia="zh-CN" w:bidi="ar"/>
                      <w14:textFill>
                        <w14:solidFill>
                          <w14:schemeClr w14:val="tx1"/>
                        </w14:solidFill>
                      </w14:textFill>
                    </w:rPr>
                    <w:t>本</w:t>
                  </w:r>
                  <w:r>
                    <w:rPr>
                      <w:rFonts w:ascii="Times New Roman" w:hAnsi="Times New Roman" w:eastAsia="宋体" w:cs="Times New Roman"/>
                      <w:color w:val="000000" w:themeColor="text1"/>
                      <w:kern w:val="0"/>
                      <w:szCs w:val="21"/>
                      <w:lang w:bidi="ar"/>
                      <w14:textFill>
                        <w14:solidFill>
                          <w14:schemeClr w14:val="tx1"/>
                        </w14:solidFill>
                      </w14:textFill>
                    </w:rPr>
                    <w:t>项目情况</w:t>
                  </w:r>
                </w:p>
              </w:tc>
              <w:tc>
                <w:tcPr>
                  <w:tcW w:w="1137" w:type="dxa"/>
                  <w:vAlign w:val="center"/>
                </w:tcPr>
                <w:p w14:paraId="7D21BB23">
                  <w:pPr>
                    <w:pStyle w:val="2"/>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是否设置</w:t>
                  </w:r>
                </w:p>
              </w:tc>
            </w:tr>
            <w:tr w14:paraId="4FE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50B20C26">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大气</w:t>
                  </w:r>
                </w:p>
              </w:tc>
              <w:tc>
                <w:tcPr>
                  <w:tcW w:w="2757" w:type="dxa"/>
                  <w:vAlign w:val="center"/>
                </w:tcPr>
                <w:p w14:paraId="5988FF8B">
                  <w:pPr>
                    <w:widowControl/>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排放</w:t>
                  </w:r>
                  <w:r>
                    <w:rPr>
                      <w:rFonts w:hint="eastAsia" w:cs="Times New Roman"/>
                      <w:color w:val="000000" w:themeColor="text1"/>
                      <w:kern w:val="0"/>
                      <w:szCs w:val="21"/>
                      <w:lang w:bidi="ar"/>
                      <w14:textFill>
                        <w14:solidFill>
                          <w14:schemeClr w14:val="tx1"/>
                        </w14:solidFill>
                      </w14:textFill>
                    </w:rPr>
                    <w:t>废气</w:t>
                  </w:r>
                  <w:r>
                    <w:rPr>
                      <w:rFonts w:ascii="Times New Roman" w:hAnsi="Times New Roman" w:eastAsia="宋体" w:cs="Times New Roman"/>
                      <w:color w:val="000000" w:themeColor="text1"/>
                      <w:kern w:val="0"/>
                      <w:szCs w:val="21"/>
                      <w:lang w:bidi="ar"/>
                      <w14:textFill>
                        <w14:solidFill>
                          <w14:schemeClr w14:val="tx1"/>
                        </w14:solidFill>
                      </w14:textFill>
                    </w:rPr>
                    <w:t>含有毒有害污染物、</w:t>
                  </w:r>
                  <w:r>
                    <w:rPr>
                      <w:rFonts w:hint="eastAsia" w:cs="Times New Roman"/>
                      <w:color w:val="000000" w:themeColor="text1"/>
                      <w:kern w:val="0"/>
                      <w:szCs w:val="21"/>
                      <w:lang w:bidi="ar"/>
                      <w14:textFill>
                        <w14:solidFill>
                          <w14:schemeClr w14:val="tx1"/>
                        </w14:solidFill>
                      </w14:textFill>
                    </w:rPr>
                    <w:t>二噁英</w:t>
                  </w:r>
                  <w:r>
                    <w:rPr>
                      <w:rFonts w:ascii="Times New Roman" w:hAnsi="Times New Roman" w:eastAsia="宋体" w:cs="Times New Roman"/>
                      <w:color w:val="000000" w:themeColor="text1"/>
                      <w:kern w:val="0"/>
                      <w:szCs w:val="21"/>
                      <w:lang w:bidi="ar"/>
                      <w14:textFill>
                        <w14:solidFill>
                          <w14:schemeClr w14:val="tx1"/>
                        </w14:solidFill>
                      </w14:textFill>
                    </w:rPr>
                    <w:t>、苯并[a]芘、氰化物、氯气且厂界外500米范围内有环境空气保护目标的建设项目</w:t>
                  </w:r>
                </w:p>
              </w:tc>
              <w:tc>
                <w:tcPr>
                  <w:tcW w:w="2916" w:type="dxa"/>
                  <w:vAlign w:val="center"/>
                </w:tcPr>
                <w:p w14:paraId="77C06D5B">
                  <w:pPr>
                    <w:widowControl/>
                    <w:jc w:val="left"/>
                    <w:rPr>
                      <w:rFonts w:hint="eastAsia" w:ascii="Times New Roman" w:hAnsi="Times New Roman" w:cs="Times New Roman" w:eastAsiaTheme="minorEastAsia"/>
                      <w:color w:val="000000" w:themeColor="text1"/>
                      <w:kern w:val="0"/>
                      <w:szCs w:val="21"/>
                      <w:lang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本项目</w:t>
                  </w:r>
                  <w:r>
                    <w:rPr>
                      <w:rFonts w:hint="eastAsia" w:ascii="Times New Roman" w:hAnsi="Times New Roman" w:eastAsia="宋体" w:cs="Times New Roman"/>
                      <w:color w:val="000000" w:themeColor="text1"/>
                      <w:kern w:val="0"/>
                      <w:szCs w:val="21"/>
                      <w:lang w:eastAsia="zh-CN" w:bidi="ar"/>
                      <w14:textFill>
                        <w14:solidFill>
                          <w14:schemeClr w14:val="tx1"/>
                        </w14:solidFill>
                      </w14:textFill>
                    </w:rPr>
                    <w:t>排放废气</w:t>
                  </w:r>
                  <w:r>
                    <w:rPr>
                      <w:rFonts w:hint="eastAsia" w:ascii="Times New Roman" w:hAnsi="Times New Roman" w:eastAsia="宋体" w:cs="Times New Roman"/>
                      <w:b/>
                      <w:bCs/>
                      <w:color w:val="auto"/>
                      <w:kern w:val="0"/>
                      <w:szCs w:val="21"/>
                      <w:lang w:eastAsia="zh-CN" w:bidi="ar"/>
                    </w:rPr>
                    <w:t>甲醛，甲醛</w:t>
                  </w:r>
                  <w:r>
                    <w:rPr>
                      <w:rFonts w:hint="eastAsia" w:ascii="Times New Roman" w:hAnsi="Times New Roman" w:eastAsia="宋体" w:cs="Times New Roman"/>
                      <w:color w:val="000000" w:themeColor="text1"/>
                      <w:kern w:val="0"/>
                      <w:szCs w:val="21"/>
                      <w:lang w:eastAsia="zh-CN" w:bidi="ar"/>
                      <w14:textFill>
                        <w14:solidFill>
                          <w14:schemeClr w14:val="tx1"/>
                        </w14:solidFill>
                      </w14:textFill>
                    </w:rPr>
                    <w:t>属于</w:t>
                  </w:r>
                  <w:r>
                    <w:rPr>
                      <w:rFonts w:hint="default" w:ascii="Times New Roman" w:hAnsi="Times New Roman" w:eastAsia="宋体" w:cs="Times New Roman"/>
                      <w:color w:val="000000" w:themeColor="text1"/>
                      <w:kern w:val="0"/>
                      <w:szCs w:val="21"/>
                      <w:lang w:bidi="ar"/>
                      <w14:textFill>
                        <w14:solidFill>
                          <w14:schemeClr w14:val="tx1"/>
                        </w14:solidFill>
                      </w14:textFill>
                    </w:rPr>
                    <w:t>《有毒有害大气污染物名录》中的有毒有害污染物</w:t>
                  </w:r>
                  <w:r>
                    <w:rPr>
                      <w:rFonts w:hint="eastAsia" w:ascii="Times New Roman" w:hAnsi="Times New Roman" w:eastAsia="宋体" w:cs="Times New Roman"/>
                      <w:color w:val="000000" w:themeColor="text1"/>
                      <w:kern w:val="0"/>
                      <w:szCs w:val="21"/>
                      <w:lang w:eastAsia="zh-CN" w:bidi="ar"/>
                      <w14:textFill>
                        <w14:solidFill>
                          <w14:schemeClr w14:val="tx1"/>
                        </w14:solidFill>
                      </w14:textFill>
                    </w:rPr>
                    <w:t>，</w:t>
                  </w:r>
                  <w:r>
                    <w:rPr>
                      <w:rFonts w:hint="default" w:ascii="Times New Roman" w:hAnsi="Times New Roman" w:cs="Times New Roman"/>
                      <w:color w:val="000000" w:themeColor="text1"/>
                      <w:kern w:val="0"/>
                      <w:szCs w:val="21"/>
                      <w:lang w:bidi="ar"/>
                      <w14:textFill>
                        <w14:solidFill>
                          <w14:schemeClr w14:val="tx1"/>
                        </w14:solidFill>
                      </w14:textFill>
                    </w:rPr>
                    <w:t>且</w:t>
                  </w:r>
                  <w:r>
                    <w:rPr>
                      <w:rFonts w:hint="eastAsia" w:ascii="Times New Roman" w:hAnsi="Times New Roman" w:cs="Times New Roman"/>
                      <w:color w:val="000000" w:themeColor="text1"/>
                      <w:kern w:val="0"/>
                      <w:szCs w:val="21"/>
                      <w:lang w:eastAsia="zh-CN" w:bidi="ar"/>
                      <w14:textFill>
                        <w14:solidFill>
                          <w14:schemeClr w14:val="tx1"/>
                        </w14:solidFill>
                      </w14:textFill>
                    </w:rPr>
                    <w:t>项目</w:t>
                  </w:r>
                  <w:r>
                    <w:rPr>
                      <w:rFonts w:hint="default" w:ascii="Times New Roman" w:hAnsi="Times New Roman" w:cs="Times New Roman"/>
                      <w:color w:val="000000" w:themeColor="text1"/>
                      <w:kern w:val="0"/>
                      <w:szCs w:val="21"/>
                      <w:lang w:bidi="ar"/>
                      <w14:textFill>
                        <w14:solidFill>
                          <w14:schemeClr w14:val="tx1"/>
                        </w14:solidFill>
                      </w14:textFill>
                    </w:rPr>
                    <w:t>厂界外500米范围内有环境空气保护目标</w:t>
                  </w:r>
                  <w:r>
                    <w:rPr>
                      <w:rFonts w:hint="eastAsia" w:ascii="Times New Roman" w:hAnsi="Times New Roman" w:cs="Times New Roman"/>
                      <w:color w:val="000000" w:themeColor="text1"/>
                      <w:kern w:val="0"/>
                      <w:szCs w:val="21"/>
                      <w:lang w:eastAsia="zh-CN" w:bidi="ar"/>
                      <w14:textFill>
                        <w14:solidFill>
                          <w14:schemeClr w14:val="tx1"/>
                        </w14:solidFill>
                      </w14:textFill>
                    </w:rPr>
                    <w:t>。</w:t>
                  </w:r>
                </w:p>
              </w:tc>
              <w:tc>
                <w:tcPr>
                  <w:tcW w:w="1137" w:type="dxa"/>
                  <w:vAlign w:val="center"/>
                </w:tcPr>
                <w:p w14:paraId="2C30318C">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设专项评价</w:t>
                  </w:r>
                </w:p>
              </w:tc>
            </w:tr>
            <w:tr w14:paraId="1FB7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Align w:val="center"/>
                </w:tcPr>
                <w:p w14:paraId="4FD92E1D">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地表水</w:t>
                  </w:r>
                </w:p>
              </w:tc>
              <w:tc>
                <w:tcPr>
                  <w:tcW w:w="2757" w:type="dxa"/>
                  <w:vAlign w:val="center"/>
                </w:tcPr>
                <w:p w14:paraId="59CAF3E9">
                  <w:pPr>
                    <w:widowControl/>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新增工业废水直排建设项目</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槽罐车外送污水处理厂的除外</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；新增废水直排的污水集中处理厂</w:t>
                  </w:r>
                </w:p>
              </w:tc>
              <w:tc>
                <w:tcPr>
                  <w:tcW w:w="2916" w:type="dxa"/>
                  <w:vAlign w:val="center"/>
                </w:tcPr>
                <w:p w14:paraId="59FC28A1">
                  <w:pPr>
                    <w:widowControl/>
                    <w:jc w:val="both"/>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项目废水</w:t>
                  </w:r>
                  <w:r>
                    <w:rPr>
                      <w:rFonts w:hint="eastAsia" w:cs="Times New Roman"/>
                      <w:color w:val="000000" w:themeColor="text1"/>
                      <w:szCs w:val="21"/>
                      <w:lang w:eastAsia="zh-CN"/>
                      <w14:textFill>
                        <w14:solidFill>
                          <w14:schemeClr w14:val="tx1"/>
                        </w14:solidFill>
                      </w14:textFill>
                    </w:rPr>
                    <w:t>依托</w:t>
                  </w:r>
                  <w:r>
                    <w:rPr>
                      <w:rFonts w:hint="default" w:cs="Times New Roman"/>
                      <w:color w:val="000000" w:themeColor="text1"/>
                      <w:szCs w:val="21"/>
                      <w14:textFill>
                        <w14:solidFill>
                          <w14:schemeClr w14:val="tx1"/>
                        </w14:solidFill>
                      </w14:textFill>
                    </w:rPr>
                    <w:t>重庆</w:t>
                  </w:r>
                  <w:r>
                    <w:rPr>
                      <w:rFonts w:hint="eastAsia" w:cs="Times New Roman"/>
                      <w:color w:val="000000" w:themeColor="text1"/>
                      <w:szCs w:val="21"/>
                      <w:lang w:eastAsia="zh-CN"/>
                      <w14:textFill>
                        <w14:solidFill>
                          <w14:schemeClr w14:val="tx1"/>
                        </w14:solidFill>
                      </w14:textFill>
                    </w:rPr>
                    <w:t>盛德佳工贸</w:t>
                  </w:r>
                  <w:r>
                    <w:rPr>
                      <w:rFonts w:hint="default" w:cs="Times New Roman"/>
                      <w:color w:val="000000" w:themeColor="text1"/>
                      <w:szCs w:val="21"/>
                      <w14:textFill>
                        <w14:solidFill>
                          <w14:schemeClr w14:val="tx1"/>
                        </w14:solidFill>
                      </w14:textFill>
                    </w:rPr>
                    <w:t>有限公司</w:t>
                  </w:r>
                  <w:r>
                    <w:rPr>
                      <w:rFonts w:hint="eastAsia" w:cs="Times New Roman"/>
                      <w:color w:val="000000" w:themeColor="text1"/>
                      <w:szCs w:val="21"/>
                      <w:lang w:eastAsia="zh-CN"/>
                      <w14:textFill>
                        <w14:solidFill>
                          <w14:schemeClr w14:val="tx1"/>
                        </w14:solidFill>
                      </w14:textFill>
                    </w:rPr>
                    <w:t>生化池</w:t>
                  </w:r>
                  <w:r>
                    <w:rPr>
                      <w:rFonts w:hint="eastAsia" w:cs="Times New Roman"/>
                      <w:color w:val="000000" w:themeColor="text1"/>
                      <w:szCs w:val="21"/>
                      <w14:textFill>
                        <w14:solidFill>
                          <w14:schemeClr w14:val="tx1"/>
                        </w14:solidFill>
                      </w14:textFill>
                    </w:rPr>
                    <w:t>处理后通过污水管网进入园区污水处理厂</w:t>
                  </w:r>
                  <w:r>
                    <w:rPr>
                      <w:rFonts w:hint="eastAsia" w:cs="Times New Roman"/>
                      <w:color w:val="000000" w:themeColor="text1"/>
                      <w:szCs w:val="21"/>
                      <w:lang w:eastAsia="zh-CN"/>
                      <w14:textFill>
                        <w14:solidFill>
                          <w14:schemeClr w14:val="tx1"/>
                        </w14:solidFill>
                      </w14:textFill>
                    </w:rPr>
                    <w:t>进一步</w:t>
                  </w:r>
                  <w:r>
                    <w:rPr>
                      <w:rFonts w:hint="eastAsia" w:cs="Times New Roman"/>
                      <w:color w:val="000000" w:themeColor="text1"/>
                      <w:szCs w:val="21"/>
                      <w14:textFill>
                        <w14:solidFill>
                          <w14:schemeClr w14:val="tx1"/>
                        </w14:solidFill>
                      </w14:textFill>
                    </w:rPr>
                    <w:t>处理达标后外排，</w:t>
                  </w:r>
                  <w:r>
                    <w:rPr>
                      <w:rFonts w:hint="eastAsia" w:cs="Times New Roman"/>
                      <w:color w:val="000000" w:themeColor="text1"/>
                      <w:kern w:val="0"/>
                      <w:szCs w:val="21"/>
                      <w:lang w:bidi="ar"/>
                      <w14:textFill>
                        <w14:solidFill>
                          <w14:schemeClr w14:val="tx1"/>
                        </w14:solidFill>
                      </w14:textFill>
                    </w:rPr>
                    <w:t>属于间接排放建设项目。</w:t>
                  </w:r>
                </w:p>
              </w:tc>
              <w:tc>
                <w:tcPr>
                  <w:tcW w:w="1137" w:type="dxa"/>
                  <w:vAlign w:val="center"/>
                </w:tcPr>
                <w:p w14:paraId="39AF936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不设专项评价</w:t>
                  </w:r>
                </w:p>
              </w:tc>
            </w:tr>
            <w:tr w14:paraId="2BFA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B3C33E6">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环境风险</w:t>
                  </w:r>
                </w:p>
              </w:tc>
              <w:tc>
                <w:tcPr>
                  <w:tcW w:w="2757" w:type="dxa"/>
                  <w:vAlign w:val="center"/>
                </w:tcPr>
                <w:p w14:paraId="5F9FD578">
                  <w:pPr>
                    <w:widowControl/>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有毒有害和易燃易爆危险物质存储量超过临界量的建设项目</w:t>
                  </w:r>
                </w:p>
              </w:tc>
              <w:tc>
                <w:tcPr>
                  <w:tcW w:w="2916" w:type="dxa"/>
                  <w:vAlign w:val="center"/>
                </w:tcPr>
                <w:p w14:paraId="11CD5169">
                  <w:pPr>
                    <w:widowControl/>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kern w:val="0"/>
                      <w:szCs w:val="21"/>
                      <w:lang w:bidi="ar"/>
                      <w14:textFill>
                        <w14:solidFill>
                          <w14:schemeClr w14:val="tx1"/>
                        </w14:solidFill>
                      </w14:textFill>
                    </w:rPr>
                    <w:t>本项目危险物质存储量未超过临界量。</w:t>
                  </w:r>
                </w:p>
              </w:tc>
              <w:tc>
                <w:tcPr>
                  <w:tcW w:w="1137" w:type="dxa"/>
                  <w:vAlign w:val="center"/>
                </w:tcPr>
                <w:p w14:paraId="0CB8E371">
                  <w:pPr>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kern w:val="0"/>
                      <w:szCs w:val="21"/>
                      <w:lang w:bidi="ar"/>
                      <w14:textFill>
                        <w14:solidFill>
                          <w14:schemeClr w14:val="tx1"/>
                        </w14:solidFill>
                      </w14:textFill>
                    </w:rPr>
                    <w:t>不</w:t>
                  </w:r>
                  <w:r>
                    <w:rPr>
                      <w:rFonts w:ascii="Times New Roman" w:hAnsi="Times New Roman" w:eastAsia="宋体" w:cs="Times New Roman"/>
                      <w:color w:val="000000" w:themeColor="text1"/>
                      <w:kern w:val="0"/>
                      <w:szCs w:val="21"/>
                      <w:lang w:bidi="ar"/>
                      <w14:textFill>
                        <w14:solidFill>
                          <w14:schemeClr w14:val="tx1"/>
                        </w14:solidFill>
                      </w14:textFill>
                    </w:rPr>
                    <w:t>设专项评价</w:t>
                  </w:r>
                </w:p>
              </w:tc>
            </w:tr>
            <w:tr w14:paraId="3022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3683CCC4">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生态</w:t>
                  </w:r>
                </w:p>
              </w:tc>
              <w:tc>
                <w:tcPr>
                  <w:tcW w:w="2757" w:type="dxa"/>
                  <w:vAlign w:val="center"/>
                </w:tcPr>
                <w:p w14:paraId="79534527">
                  <w:pPr>
                    <w:widowControl/>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取水口下游500m范围内有重要水生生物的自然产卵场、索饵场、越冬场和洄游通道的新增河道取水的污染类建设项目</w:t>
                  </w:r>
                </w:p>
              </w:tc>
              <w:tc>
                <w:tcPr>
                  <w:tcW w:w="2916" w:type="dxa"/>
                  <w:vAlign w:val="center"/>
                </w:tcPr>
                <w:p w14:paraId="0A90F417">
                  <w:pPr>
                    <w:widowControl/>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本项目建设不涉及取水口</w:t>
                  </w:r>
                </w:p>
              </w:tc>
              <w:tc>
                <w:tcPr>
                  <w:tcW w:w="1137" w:type="dxa"/>
                  <w:vAlign w:val="center"/>
                </w:tcPr>
                <w:p w14:paraId="75F0C0D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不设专项评价</w:t>
                  </w:r>
                </w:p>
              </w:tc>
            </w:tr>
            <w:tr w14:paraId="15B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6D933D71">
                  <w:pPr>
                    <w:pStyle w:val="2"/>
                    <w:spacing w:before="0" w:after="0" w:line="240" w:lineRule="auto"/>
                    <w:ind w:left="0" w:firstLine="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海洋</w:t>
                  </w:r>
                </w:p>
              </w:tc>
              <w:tc>
                <w:tcPr>
                  <w:tcW w:w="2757" w:type="dxa"/>
                  <w:shd w:val="clear" w:color="auto" w:fill="auto"/>
                  <w:vAlign w:val="center"/>
                </w:tcPr>
                <w:p w14:paraId="75049BF1">
                  <w:pPr>
                    <w:widowControl/>
                    <w:rPr>
                      <w:rFonts w:asciiTheme="minorHAnsi" w:hAnsiTheme="minorHAnsi" w:eastAsiaTheme="minorEastAsia" w:cstheme="minorBidi"/>
                      <w:color w:val="000000" w:themeColor="text1"/>
                      <w:kern w:val="0"/>
                      <w:sz w:val="21"/>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直接向海排放污染物的海洋工程建设项目</w:t>
                  </w:r>
                </w:p>
              </w:tc>
              <w:tc>
                <w:tcPr>
                  <w:tcW w:w="2916" w:type="dxa"/>
                  <w:shd w:val="clear" w:color="auto" w:fill="auto"/>
                  <w:vAlign w:val="center"/>
                </w:tcPr>
                <w:p w14:paraId="72A37EB1">
                  <w:pPr>
                    <w:widowControl/>
                    <w:jc w:val="both"/>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本项目不属于海洋工程建设</w:t>
                  </w:r>
                </w:p>
                <w:p w14:paraId="6AD1D222">
                  <w:pPr>
                    <w:widowControl/>
                    <w:jc w:val="both"/>
                    <w:rPr>
                      <w:rFonts w:asciiTheme="minorHAnsi" w:hAnsiTheme="minorHAnsi" w:eastAsiaTheme="minorEastAsia" w:cstheme="minorBidi"/>
                      <w:color w:val="000000" w:themeColor="text1"/>
                      <w:kern w:val="0"/>
                      <w:sz w:val="21"/>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项目</w:t>
                  </w:r>
                </w:p>
              </w:tc>
              <w:tc>
                <w:tcPr>
                  <w:tcW w:w="1137" w:type="dxa"/>
                  <w:shd w:val="clear" w:color="auto" w:fill="auto"/>
                  <w:vAlign w:val="center"/>
                </w:tcPr>
                <w:p w14:paraId="7036BC95">
                  <w:pPr>
                    <w:jc w:val="center"/>
                    <w:rPr>
                      <w:rFonts w:asciiTheme="minorHAnsi" w:hAnsiTheme="minorHAnsi" w:eastAsiaTheme="minorEastAsia" w:cstheme="minorBidi"/>
                      <w:color w:val="000000" w:themeColor="text1"/>
                      <w:kern w:val="0"/>
                      <w:sz w:val="21"/>
                      <w:szCs w:val="21"/>
                      <w:lang w:val="en-US" w:eastAsia="zh-CN" w:bidi="ar"/>
                      <w14:textFill>
                        <w14:solidFill>
                          <w14:schemeClr w14:val="tx1"/>
                        </w14:solidFill>
                      </w14:textFill>
                    </w:rPr>
                  </w:pPr>
                  <w:r>
                    <w:rPr>
                      <w:color w:val="000000" w:themeColor="text1"/>
                      <w:kern w:val="0"/>
                      <w:szCs w:val="21"/>
                      <w:lang w:bidi="ar"/>
                      <w14:textFill>
                        <w14:solidFill>
                          <w14:schemeClr w14:val="tx1"/>
                        </w14:solidFill>
                      </w14:textFill>
                    </w:rPr>
                    <w:t>不设专项评价</w:t>
                  </w:r>
                </w:p>
              </w:tc>
            </w:tr>
            <w:tr w14:paraId="4784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2CEA362">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地下水</w:t>
                  </w:r>
                </w:p>
              </w:tc>
              <w:tc>
                <w:tcPr>
                  <w:tcW w:w="2757" w:type="dxa"/>
                  <w:vAlign w:val="center"/>
                </w:tcPr>
                <w:p w14:paraId="0C5EBC2C">
                  <w:pPr>
                    <w:widowControl/>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地下水原则上不开展专项评价，涉及集中式饮用水水源和热水、矿泉水、温泉等特殊地下水资源保护区的开展地下水专项评价工作</w:t>
                  </w:r>
                </w:p>
              </w:tc>
              <w:tc>
                <w:tcPr>
                  <w:tcW w:w="2916" w:type="dxa"/>
                  <w:vAlign w:val="center"/>
                </w:tcPr>
                <w:p w14:paraId="2965A819">
                  <w:pPr>
                    <w:widowControl/>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本项目建设不涉及集中式饮用水水源和热水、矿泉水、温泉等特殊地下水资源保护区</w:t>
                  </w:r>
                </w:p>
              </w:tc>
              <w:tc>
                <w:tcPr>
                  <w:tcW w:w="1137" w:type="dxa"/>
                  <w:vAlign w:val="center"/>
                </w:tcPr>
                <w:p w14:paraId="3BEE7ED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不设专项评价</w:t>
                  </w:r>
                </w:p>
              </w:tc>
            </w:tr>
            <w:tr w14:paraId="361B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3" w:type="dxa"/>
                  <w:gridSpan w:val="4"/>
                  <w:vAlign w:val="center"/>
                </w:tcPr>
                <w:p w14:paraId="3DECEDEB">
                  <w:pPr>
                    <w:adjustRightInd w:val="0"/>
                    <w:snapToGrid w:val="0"/>
                    <w:rPr>
                      <w:rFonts w:ascii="Times New Roman" w:hAnsi="Times New Roman" w:eastAsia="宋体" w:cs="Times New Roman"/>
                      <w:szCs w:val="21"/>
                    </w:rPr>
                  </w:pPr>
                  <w:r>
                    <w:rPr>
                      <w:rFonts w:ascii="Times New Roman" w:hAnsi="Times New Roman" w:eastAsia="宋体" w:cs="Times New Roman"/>
                      <w:szCs w:val="21"/>
                    </w:rPr>
                    <w:t>注：1.废气中含有毒有害污染物指纳入《有毒有害大气污染物名录》的污染物（不包括无排放标准的污染物）。</w:t>
                  </w:r>
                </w:p>
                <w:p w14:paraId="457033F3">
                  <w:pPr>
                    <w:adjustRightInd w:val="0"/>
                    <w:snapToGrid w:val="0"/>
                    <w:rPr>
                      <w:rFonts w:ascii="Times New Roman" w:hAnsi="Times New Roman" w:eastAsia="宋体" w:cs="Times New Roman"/>
                      <w:szCs w:val="21"/>
                    </w:rPr>
                  </w:pPr>
                  <w:r>
                    <w:rPr>
                      <w:rFonts w:ascii="Times New Roman" w:hAnsi="Times New Roman" w:eastAsia="宋体" w:cs="Times New Roman"/>
                      <w:szCs w:val="21"/>
                    </w:rPr>
                    <w:t>2.环境空气保护目标指自然保护区、风景名胜区、居住区、文化区和农村地区中人群较集中的区域。</w:t>
                  </w:r>
                </w:p>
                <w:p w14:paraId="7C85DA79">
                  <w:pP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szCs w:val="21"/>
                    </w:rPr>
                    <w:t>3.临界量及其计算方法可参考《建设项目环境风险评价技术导则》（HJ169）附录B、附录C。</w:t>
                  </w:r>
                </w:p>
              </w:tc>
            </w:tr>
          </w:tbl>
          <w:p w14:paraId="77F11B26">
            <w:pPr>
              <w:spacing w:before="62" w:beforeLines="20" w:after="62" w:afterLines="20" w:line="360" w:lineRule="auto"/>
              <w:jc w:val="center"/>
              <w:rPr>
                <w:rFonts w:ascii="Times New Roman" w:hAnsi="Times New Roman" w:eastAsia="宋体"/>
                <w:sz w:val="24"/>
              </w:rPr>
            </w:pPr>
          </w:p>
        </w:tc>
      </w:tr>
      <w:tr w14:paraId="0EC0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1E1B14BA">
            <w:pPr>
              <w:spacing w:line="360" w:lineRule="auto"/>
              <w:jc w:val="center"/>
              <w:rPr>
                <w:rFonts w:ascii="Times New Roman" w:hAnsi="Times New Roman" w:eastAsia="宋体"/>
                <w:b/>
                <w:bCs/>
                <w:sz w:val="24"/>
              </w:rPr>
            </w:pPr>
            <w:r>
              <w:rPr>
                <w:rFonts w:hint="eastAsia" w:ascii="Times New Roman" w:hAnsi="Times New Roman" w:eastAsia="宋体"/>
                <w:b/>
                <w:bCs/>
                <w:sz w:val="24"/>
              </w:rPr>
              <w:t>规划情况</w:t>
            </w:r>
          </w:p>
        </w:tc>
        <w:tc>
          <w:tcPr>
            <w:tcW w:w="4160" w:type="pct"/>
            <w:gridSpan w:val="3"/>
            <w:vAlign w:val="center"/>
          </w:tcPr>
          <w:p w14:paraId="0FF6EBCE">
            <w:pPr>
              <w:spacing w:after="31" w:afterLines="10" w:line="372" w:lineRule="auto"/>
              <w:ind w:firstLine="520" w:firstLineChars="200"/>
              <w:rPr>
                <w:rFonts w:ascii="Times New Roman" w:hAnsi="Times New Roman" w:eastAsia="宋体"/>
                <w:sz w:val="24"/>
              </w:rPr>
            </w:pPr>
            <w:r>
              <w:rPr>
                <w:rFonts w:ascii="Times New Roman" w:hAnsi="Times New Roman" w:cs="Times New Roman"/>
                <w:sz w:val="26"/>
                <w:szCs w:val="26"/>
              </w:rPr>
              <w:t>《重庆西彭工业园区规划》（2022年6月）</w:t>
            </w:r>
            <w:r>
              <w:rPr>
                <w:rFonts w:ascii="Times New Roman" w:hAnsi="Times New Roman" w:eastAsia="宋体" w:cs="Times New Roman"/>
                <w:sz w:val="24"/>
              </w:rPr>
              <w:t>。</w:t>
            </w:r>
          </w:p>
        </w:tc>
      </w:tr>
      <w:tr w14:paraId="7F8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1B8BD503">
            <w:pPr>
              <w:spacing w:line="360" w:lineRule="auto"/>
              <w:jc w:val="center"/>
              <w:rPr>
                <w:rFonts w:ascii="Times New Roman" w:hAnsi="Times New Roman" w:eastAsia="宋体"/>
                <w:b/>
                <w:bCs/>
                <w:sz w:val="24"/>
              </w:rPr>
            </w:pPr>
            <w:r>
              <w:rPr>
                <w:rFonts w:hint="eastAsia" w:ascii="Times New Roman" w:hAnsi="Times New Roman" w:eastAsia="宋体"/>
                <w:b/>
                <w:bCs/>
                <w:sz w:val="24"/>
              </w:rPr>
              <w:t>规划环境影响</w:t>
            </w:r>
          </w:p>
          <w:p w14:paraId="5E779700">
            <w:pPr>
              <w:spacing w:line="360" w:lineRule="auto"/>
              <w:jc w:val="center"/>
              <w:rPr>
                <w:rFonts w:ascii="Times New Roman" w:hAnsi="Times New Roman" w:eastAsia="宋体"/>
                <w:b/>
                <w:bCs/>
                <w:sz w:val="24"/>
              </w:rPr>
            </w:pPr>
            <w:r>
              <w:rPr>
                <w:rFonts w:hint="eastAsia" w:ascii="Times New Roman" w:hAnsi="Times New Roman" w:eastAsia="宋体"/>
                <w:b/>
                <w:bCs/>
                <w:sz w:val="24"/>
              </w:rPr>
              <w:t>评价情况</w:t>
            </w:r>
          </w:p>
        </w:tc>
        <w:tc>
          <w:tcPr>
            <w:tcW w:w="4160" w:type="pct"/>
            <w:gridSpan w:val="3"/>
            <w:vAlign w:val="center"/>
          </w:tcPr>
          <w:p w14:paraId="2CE8BCB5">
            <w:pPr>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规划环境影响评价文件名称</w:t>
            </w:r>
            <w:r>
              <w:rPr>
                <w:rFonts w:hint="eastAsia" w:ascii="Times New Roman" w:hAnsi="Times New Roman" w:eastAsia="宋体"/>
                <w:sz w:val="24"/>
              </w:rPr>
              <w:t>：</w:t>
            </w:r>
            <w:r>
              <w:rPr>
                <w:rFonts w:hint="eastAsia"/>
                <w:sz w:val="24"/>
              </w:rPr>
              <w:t>《重庆西彭工业园区规划环境影响报告书》</w:t>
            </w:r>
            <w:r>
              <w:rPr>
                <w:rFonts w:hint="eastAsia" w:ascii="Times New Roman" w:hAnsi="Times New Roman" w:eastAsia="宋体"/>
                <w:sz w:val="24"/>
              </w:rPr>
              <w:t>；</w:t>
            </w:r>
          </w:p>
          <w:p w14:paraId="779C4032">
            <w:pPr>
              <w:spacing w:before="15" w:beforeLines="5" w:after="15" w:afterLines="5" w:line="372" w:lineRule="auto"/>
              <w:ind w:firstLine="482" w:firstLineChars="200"/>
              <w:rPr>
                <w:rFonts w:ascii="Times New Roman" w:hAnsi="Times New Roman" w:eastAsia="宋体"/>
                <w:sz w:val="24"/>
              </w:rPr>
            </w:pPr>
            <w:r>
              <w:rPr>
                <w:rFonts w:hint="eastAsia" w:ascii="Times New Roman" w:hAnsi="Times New Roman" w:eastAsia="宋体"/>
                <w:b/>
                <w:bCs/>
                <w:sz w:val="24"/>
              </w:rPr>
              <w:t>召集审查机关</w:t>
            </w:r>
            <w:r>
              <w:rPr>
                <w:rFonts w:hint="eastAsia" w:ascii="Times New Roman" w:hAnsi="Times New Roman" w:eastAsia="宋体"/>
                <w:sz w:val="24"/>
              </w:rPr>
              <w:t>：重庆市生态环境局；</w:t>
            </w:r>
          </w:p>
          <w:p w14:paraId="4057B334">
            <w:pPr>
              <w:spacing w:before="15" w:beforeLines="5" w:after="15" w:afterLines="5" w:line="372" w:lineRule="auto"/>
              <w:ind w:firstLine="482" w:firstLineChars="200"/>
              <w:rPr>
                <w:rFonts w:hint="eastAsia" w:ascii="Times New Roman" w:hAnsi="Times New Roman" w:eastAsia="宋体"/>
                <w:sz w:val="24"/>
              </w:rPr>
            </w:pPr>
            <w:r>
              <w:rPr>
                <w:rFonts w:hint="eastAsia" w:ascii="Times New Roman" w:hAnsi="Times New Roman" w:eastAsia="宋体"/>
                <w:b/>
                <w:bCs/>
                <w:sz w:val="24"/>
              </w:rPr>
              <w:t>审查文件名称及文号</w:t>
            </w:r>
            <w:r>
              <w:rPr>
                <w:rFonts w:ascii="Times New Roman" w:hAnsi="Times New Roman" w:eastAsia="宋体" w:cs="Times New Roman"/>
                <w:sz w:val="24"/>
              </w:rPr>
              <w:t>：</w:t>
            </w:r>
            <w:r>
              <w:rPr>
                <w:rFonts w:ascii="Times New Roman" w:hAnsi="Times New Roman" w:cs="Times New Roman"/>
                <w:sz w:val="24"/>
              </w:rPr>
              <w:t>《重庆市生态环境局关于重庆西彭工业园区规划环境影响报告书审查意见的函》（渝环函</w:t>
            </w:r>
            <w:r>
              <w:rPr>
                <w:rFonts w:hint="eastAsia" w:ascii="Times New Roman" w:hAnsi="Times New Roman" w:cs="Times New Roman"/>
                <w:sz w:val="24"/>
                <w:lang w:eastAsia="zh-CN"/>
              </w:rPr>
              <w:t>〔2023〕439号</w:t>
            </w:r>
            <w:r>
              <w:rPr>
                <w:rFonts w:ascii="Times New Roman" w:hAnsi="Times New Roman" w:cs="Times New Roman"/>
                <w:sz w:val="24"/>
              </w:rPr>
              <w:t>）</w:t>
            </w:r>
            <w:r>
              <w:rPr>
                <w:rFonts w:hint="eastAsia" w:ascii="Times New Roman" w:hAnsi="Times New Roman" w:eastAsia="宋体"/>
                <w:sz w:val="24"/>
              </w:rPr>
              <w:t>。</w:t>
            </w:r>
          </w:p>
          <w:p w14:paraId="02579A0B">
            <w:pPr>
              <w:autoSpaceDE w:val="0"/>
              <w:autoSpaceDN w:val="0"/>
              <w:adjustRightInd w:val="0"/>
              <w:snapToGrid w:val="0"/>
              <w:spacing w:line="480" w:lineRule="exact"/>
              <w:ind w:firstLine="482" w:firstLineChars="200"/>
              <w:jc w:val="left"/>
              <w:rPr>
                <w:rFonts w:hint="default" w:ascii="Times New Roman" w:hAnsi="Times New Roman" w:cs="Times New Roman"/>
                <w:snapToGrid w:val="0"/>
                <w:kern w:val="0"/>
                <w:sz w:val="24"/>
              </w:rPr>
            </w:pPr>
            <w:r>
              <w:rPr>
                <w:rFonts w:hint="default" w:ascii="Times New Roman" w:hAnsi="Times New Roman" w:cs="Times New Roman"/>
                <w:b/>
                <w:bCs/>
                <w:snapToGrid w:val="0"/>
                <w:kern w:val="0"/>
                <w:sz w:val="24"/>
              </w:rPr>
              <w:t>审查时间：</w:t>
            </w:r>
            <w:r>
              <w:rPr>
                <w:rFonts w:hint="default" w:ascii="Times New Roman" w:hAnsi="Times New Roman" w:cs="Times New Roman"/>
                <w:snapToGrid w:val="0"/>
                <w:kern w:val="0"/>
                <w:sz w:val="24"/>
              </w:rPr>
              <w:t>2023年6月30日</w:t>
            </w:r>
          </w:p>
          <w:p w14:paraId="53D9FD77">
            <w:pPr>
              <w:autoSpaceDE w:val="0"/>
              <w:autoSpaceDN w:val="0"/>
              <w:adjustRightInd w:val="0"/>
              <w:snapToGrid w:val="0"/>
              <w:spacing w:line="480" w:lineRule="exact"/>
              <w:ind w:firstLine="482" w:firstLineChars="200"/>
              <w:jc w:val="left"/>
              <w:rPr>
                <w:rFonts w:hint="default" w:ascii="Times New Roman" w:hAnsi="Times New Roman" w:cs="Times New Roman"/>
                <w:snapToGrid w:val="0"/>
                <w:sz w:val="24"/>
              </w:rPr>
            </w:pPr>
            <w:r>
              <w:rPr>
                <w:rFonts w:hint="default" w:ascii="Times New Roman" w:hAnsi="Times New Roman" w:cs="Times New Roman"/>
                <w:b/>
                <w:bCs/>
                <w:snapToGrid w:val="0"/>
                <w:sz w:val="24"/>
              </w:rPr>
              <w:t>规划环境影响评价文件名称：</w:t>
            </w:r>
            <w:r>
              <w:rPr>
                <w:rFonts w:hint="default" w:ascii="Times New Roman" w:hAnsi="Times New Roman" w:cs="Times New Roman"/>
                <w:snapToGrid w:val="0"/>
                <w:sz w:val="24"/>
              </w:rPr>
              <w:t>《重庆西彭工业园区规划补充环境影响报告书》</w:t>
            </w:r>
          </w:p>
          <w:p w14:paraId="06A95EAA">
            <w:pPr>
              <w:autoSpaceDE w:val="0"/>
              <w:autoSpaceDN w:val="0"/>
              <w:adjustRightInd w:val="0"/>
              <w:snapToGrid w:val="0"/>
              <w:spacing w:line="480" w:lineRule="exact"/>
              <w:ind w:firstLine="482" w:firstLineChars="200"/>
              <w:jc w:val="left"/>
              <w:rPr>
                <w:rFonts w:hint="default" w:ascii="Times New Roman" w:hAnsi="Times New Roman" w:cs="Times New Roman"/>
                <w:snapToGrid w:val="0"/>
                <w:sz w:val="24"/>
              </w:rPr>
            </w:pPr>
            <w:r>
              <w:rPr>
                <w:rFonts w:hint="default" w:ascii="Times New Roman" w:hAnsi="Times New Roman" w:cs="Times New Roman"/>
                <w:b/>
                <w:bCs/>
                <w:snapToGrid w:val="0"/>
                <w:sz w:val="24"/>
              </w:rPr>
              <w:t>召集审查机关：</w:t>
            </w:r>
            <w:r>
              <w:rPr>
                <w:rFonts w:hint="default" w:ascii="Times New Roman" w:hAnsi="Times New Roman" w:cs="Times New Roman"/>
                <w:snapToGrid w:val="0"/>
                <w:sz w:val="24"/>
              </w:rPr>
              <w:t>重庆市生态环境局</w:t>
            </w:r>
          </w:p>
          <w:p w14:paraId="5B16E36A">
            <w:pPr>
              <w:autoSpaceDE w:val="0"/>
              <w:autoSpaceDN w:val="0"/>
              <w:adjustRightInd w:val="0"/>
              <w:snapToGrid w:val="0"/>
              <w:spacing w:line="480" w:lineRule="exact"/>
              <w:ind w:firstLine="482" w:firstLineChars="200"/>
              <w:jc w:val="left"/>
              <w:rPr>
                <w:rFonts w:hint="default" w:ascii="Times New Roman" w:hAnsi="Times New Roman" w:cs="Times New Roman"/>
                <w:snapToGrid w:val="0"/>
                <w:sz w:val="24"/>
              </w:rPr>
            </w:pPr>
            <w:r>
              <w:rPr>
                <w:rFonts w:hint="default" w:ascii="Times New Roman" w:hAnsi="Times New Roman" w:cs="Times New Roman"/>
                <w:b/>
                <w:bCs/>
                <w:snapToGrid w:val="0"/>
                <w:sz w:val="24"/>
              </w:rPr>
              <w:t>审查文件名称：</w:t>
            </w:r>
            <w:r>
              <w:rPr>
                <w:rFonts w:hint="default" w:ascii="Times New Roman" w:hAnsi="Times New Roman" w:cs="Times New Roman"/>
                <w:snapToGrid w:val="0"/>
                <w:sz w:val="24"/>
              </w:rPr>
              <w:t>《重庆市生态环境局关于重庆西彭工业园区规划补充环境影响报告书审查意见的函》渝环函〔2025〕265号</w:t>
            </w:r>
          </w:p>
          <w:p w14:paraId="6E10E533">
            <w:pPr>
              <w:spacing w:before="15" w:beforeLines="5" w:after="15" w:afterLines="5" w:line="372" w:lineRule="auto"/>
              <w:ind w:firstLine="482" w:firstLineChars="200"/>
              <w:rPr>
                <w:rFonts w:hint="eastAsia" w:ascii="Times New Roman" w:hAnsi="Times New Roman" w:eastAsia="宋体"/>
                <w:sz w:val="24"/>
              </w:rPr>
            </w:pPr>
            <w:r>
              <w:rPr>
                <w:rFonts w:hint="default" w:ascii="Times New Roman" w:hAnsi="Times New Roman" w:cs="Times New Roman"/>
                <w:b/>
                <w:bCs/>
                <w:snapToGrid w:val="0"/>
                <w:sz w:val="24"/>
              </w:rPr>
              <w:t>审查时间：</w:t>
            </w:r>
            <w:r>
              <w:rPr>
                <w:rFonts w:hint="default" w:ascii="Times New Roman" w:hAnsi="Times New Roman" w:cs="Times New Roman"/>
                <w:snapToGrid w:val="0"/>
                <w:sz w:val="24"/>
              </w:rPr>
              <w:t>2025年4月21日</w:t>
            </w:r>
          </w:p>
        </w:tc>
      </w:tr>
      <w:tr w14:paraId="7C6A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22" w:hRule="atLeast"/>
        </w:trPr>
        <w:tc>
          <w:tcPr>
            <w:tcW w:w="839" w:type="pct"/>
            <w:vAlign w:val="center"/>
          </w:tcPr>
          <w:p w14:paraId="517088B6">
            <w:pPr>
              <w:spacing w:line="372" w:lineRule="auto"/>
              <w:jc w:val="center"/>
              <w:rPr>
                <w:rFonts w:ascii="Times New Roman" w:hAnsi="Times New Roman" w:eastAsia="宋体"/>
                <w:b/>
                <w:bCs/>
                <w:sz w:val="24"/>
              </w:rPr>
            </w:pPr>
            <w:r>
              <w:rPr>
                <w:rFonts w:hint="eastAsia" w:ascii="Times New Roman" w:hAnsi="Times New Roman" w:eastAsia="宋体"/>
                <w:b/>
                <w:bCs/>
                <w:sz w:val="24"/>
              </w:rPr>
              <w:t>规划及规划环境影响评价符合性分析</w:t>
            </w:r>
          </w:p>
        </w:tc>
        <w:tc>
          <w:tcPr>
            <w:tcW w:w="4160" w:type="pct"/>
            <w:gridSpan w:val="3"/>
            <w:vAlign w:val="center"/>
          </w:tcPr>
          <w:p w14:paraId="65398927">
            <w:pPr>
              <w:adjustRightInd w:val="0"/>
              <w:spacing w:line="360" w:lineRule="auto"/>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1.1与规划及规划环境影响评价符合性分析</w:t>
            </w:r>
          </w:p>
          <w:p w14:paraId="6B4F919B">
            <w:pPr>
              <w:spacing w:line="360" w:lineRule="auto"/>
              <w:rPr>
                <w:rFonts w:ascii="Times New Roman" w:hAnsi="Times New Roman" w:cs="Times New Roman"/>
                <w:b/>
                <w:sz w:val="24"/>
              </w:rPr>
            </w:pPr>
            <w:r>
              <w:rPr>
                <w:rFonts w:ascii="Times New Roman" w:hAnsi="Times New Roman" w:cs="Times New Roman"/>
                <w:b/>
                <w:sz w:val="24"/>
              </w:rPr>
              <w:t>1.</w:t>
            </w:r>
            <w:r>
              <w:rPr>
                <w:rFonts w:hint="eastAsia" w:ascii="Times New Roman" w:hAnsi="Times New Roman" w:cs="Times New Roman"/>
                <w:b/>
                <w:sz w:val="24"/>
              </w:rPr>
              <w:t>1</w:t>
            </w:r>
            <w:r>
              <w:rPr>
                <w:rFonts w:ascii="Times New Roman" w:hAnsi="Times New Roman" w:cs="Times New Roman"/>
                <w:b/>
                <w:sz w:val="24"/>
              </w:rPr>
              <w:t>.1规划符合性分析</w:t>
            </w:r>
          </w:p>
          <w:p w14:paraId="6691CB7C">
            <w:pPr>
              <w:spacing w:line="360" w:lineRule="auto"/>
              <w:ind w:firstLine="480" w:firstLineChars="200"/>
              <w:rPr>
                <w:rFonts w:ascii="Times New Roman" w:hAnsi="Times New Roman" w:cs="Times New Roman"/>
                <w:sz w:val="24"/>
                <w:szCs w:val="36"/>
              </w:rPr>
            </w:pPr>
            <w:r>
              <w:rPr>
                <w:rFonts w:ascii="Times New Roman" w:hAnsi="Times New Roman" w:cs="Times New Roman"/>
                <w:sz w:val="24"/>
                <w:szCs w:val="36"/>
              </w:rPr>
              <w:t>根据《重庆市人民政府关于确认璧山高新区等15个产业园区国土空间开发利用范围的批复》（渝府〔2022〕10号），西彭园区包括西彭组团、陶家组团和铜罐驿组团，规划面积为4267.24hm</w:t>
            </w:r>
            <w:r>
              <w:rPr>
                <w:rFonts w:ascii="Times New Roman" w:hAnsi="Times New Roman" w:cs="Times New Roman"/>
                <w:sz w:val="24"/>
                <w:szCs w:val="36"/>
                <w:vertAlign w:val="superscript"/>
              </w:rPr>
              <w:t>2</w:t>
            </w:r>
            <w:r>
              <w:rPr>
                <w:rFonts w:ascii="Times New Roman" w:hAnsi="Times New Roman" w:cs="Times New Roman"/>
                <w:sz w:val="24"/>
                <w:szCs w:val="36"/>
              </w:rPr>
              <w:t>，涉及原西彭园区A、B、C、D、F、J、L七个标准分区及原九龙园区C区南部区域。</w:t>
            </w:r>
          </w:p>
          <w:p w14:paraId="02384EB5">
            <w:pPr>
              <w:spacing w:line="360" w:lineRule="auto"/>
              <w:ind w:firstLine="480" w:firstLineChars="200"/>
              <w:rPr>
                <w:rFonts w:ascii="Times New Roman" w:hAnsi="Times New Roman" w:cs="Times New Roman"/>
                <w:sz w:val="24"/>
                <w:szCs w:val="36"/>
              </w:rPr>
            </w:pPr>
            <w:r>
              <w:rPr>
                <w:rFonts w:ascii="Times New Roman" w:hAnsi="Times New Roman" w:cs="Times New Roman"/>
                <w:sz w:val="24"/>
                <w:szCs w:val="36"/>
              </w:rPr>
              <w:t>西彭组团规划面积为2616.89hm</w:t>
            </w:r>
            <w:r>
              <w:rPr>
                <w:rFonts w:ascii="Times New Roman" w:hAnsi="Times New Roman" w:cs="Times New Roman"/>
                <w:sz w:val="24"/>
                <w:szCs w:val="36"/>
                <w:vertAlign w:val="superscript"/>
              </w:rPr>
              <w:t>2</w:t>
            </w:r>
            <w:r>
              <w:rPr>
                <w:rFonts w:ascii="Times New Roman" w:hAnsi="Times New Roman" w:cs="Times New Roman"/>
                <w:sz w:val="24"/>
                <w:szCs w:val="36"/>
              </w:rPr>
              <w:t>，东至西彭镇李家石坝，南至西彭镇长江沿岸李家河村，西至西彭镇王家院塘成渝环线高速公路，北至西彭镇铝城大道西侧。该组团包括原西彭园区A、B、C、D标准分区。西彭组团主导产业为装备制造、新材料、仓储物流。装备制造重点发展高端智能装备及机器人、航空航天装备、轨道交通装备等；新材料重点发展先进有色合金材料、气凝胶等其他新材料等。</w:t>
            </w:r>
          </w:p>
          <w:p w14:paraId="4530367E">
            <w:pPr>
              <w:spacing w:line="360" w:lineRule="auto"/>
              <w:ind w:firstLine="480" w:firstLineChars="200"/>
              <w:rPr>
                <w:rFonts w:ascii="Times New Roman" w:hAnsi="Times New Roman" w:cs="Times New Roman"/>
                <w:sz w:val="24"/>
                <w:szCs w:val="36"/>
              </w:rPr>
            </w:pPr>
            <w:r>
              <w:rPr>
                <w:rFonts w:ascii="Times New Roman" w:hAnsi="Times New Roman" w:cs="Times New Roman"/>
                <w:sz w:val="24"/>
                <w:szCs w:val="36"/>
              </w:rPr>
              <w:t>本项目位于重庆市九龙坡区西彭镇森迪大道</w:t>
            </w:r>
            <w:r>
              <w:rPr>
                <w:rFonts w:hint="eastAsia" w:ascii="Times New Roman" w:hAnsi="Times New Roman" w:cs="Times New Roman"/>
                <w:sz w:val="24"/>
                <w:szCs w:val="36"/>
                <w:lang w:val="en-US" w:eastAsia="zh-CN"/>
              </w:rPr>
              <w:t>139</w:t>
            </w:r>
            <w:r>
              <w:rPr>
                <w:rFonts w:ascii="Times New Roman" w:hAnsi="Times New Roman" w:cs="Times New Roman"/>
                <w:sz w:val="24"/>
                <w:szCs w:val="36"/>
              </w:rPr>
              <w:t>号</w:t>
            </w:r>
            <w:r>
              <w:rPr>
                <w:rFonts w:hint="eastAsia" w:ascii="Times New Roman" w:hAnsi="Times New Roman" w:cs="Times New Roman"/>
                <w:sz w:val="24"/>
                <w:szCs w:val="36"/>
              </w:rPr>
              <w:t>附</w:t>
            </w:r>
            <w:r>
              <w:rPr>
                <w:rFonts w:hint="eastAsia" w:ascii="Times New Roman" w:hAnsi="Times New Roman" w:cs="Times New Roman"/>
                <w:sz w:val="24"/>
                <w:szCs w:val="36"/>
                <w:lang w:val="en-US" w:eastAsia="zh-CN"/>
              </w:rPr>
              <w:t>16</w:t>
            </w:r>
            <w:r>
              <w:rPr>
                <w:rFonts w:hint="eastAsia" w:ascii="Times New Roman" w:hAnsi="Times New Roman" w:cs="Times New Roman"/>
                <w:sz w:val="24"/>
                <w:szCs w:val="36"/>
              </w:rPr>
              <w:t>号</w:t>
            </w:r>
            <w:r>
              <w:rPr>
                <w:rFonts w:hint="eastAsia" w:ascii="Times New Roman" w:hAnsi="Times New Roman" w:cs="Times New Roman"/>
                <w:sz w:val="24"/>
                <w:szCs w:val="36"/>
                <w:lang w:val="en-US" w:eastAsia="zh-CN"/>
              </w:rPr>
              <w:t>1层</w:t>
            </w:r>
            <w:r>
              <w:rPr>
                <w:rFonts w:ascii="Times New Roman" w:hAnsi="Times New Roman" w:cs="Times New Roman"/>
                <w:sz w:val="24"/>
                <w:szCs w:val="36"/>
              </w:rPr>
              <w:t>（属于重庆西彭工业园区西彭组团D标准分区</w:t>
            </w:r>
            <w:r>
              <w:rPr>
                <w:rFonts w:ascii="Times New Roman" w:hAnsi="Times New Roman" w:cs="Times New Roman"/>
                <w:sz w:val="24"/>
                <w:szCs w:val="21"/>
              </w:rPr>
              <w:t>，</w:t>
            </w:r>
            <w:r>
              <w:rPr>
                <w:rFonts w:ascii="Times New Roman" w:hAnsi="Times New Roman" w:cs="Times New Roman"/>
                <w:sz w:val="24"/>
                <w:szCs w:val="36"/>
              </w:rPr>
              <w:t>用地性质属于工业用地，符合用地规划</w:t>
            </w:r>
            <w:r>
              <w:rPr>
                <w:rFonts w:hint="eastAsia" w:ascii="Times New Roman" w:hAnsi="Times New Roman" w:cs="Times New Roman"/>
                <w:sz w:val="24"/>
                <w:szCs w:val="36"/>
                <w:lang w:eastAsia="zh-CN"/>
              </w:rPr>
              <w:t>。</w:t>
            </w:r>
            <w:r>
              <w:rPr>
                <w:rFonts w:ascii="Times New Roman" w:hAnsi="Times New Roman" w:cs="Times New Roman"/>
                <w:sz w:val="24"/>
                <w:szCs w:val="36"/>
              </w:rPr>
              <w:t>项目</w:t>
            </w:r>
            <w:r>
              <w:rPr>
                <w:rFonts w:hint="eastAsia" w:ascii="Times New Roman" w:hAnsi="Times New Roman" w:cs="Times New Roman"/>
                <w:sz w:val="24"/>
                <w:szCs w:val="36"/>
                <w:lang w:eastAsia="zh-CN"/>
              </w:rPr>
              <w:t>行业类别</w:t>
            </w:r>
            <w:r>
              <w:rPr>
                <w:rFonts w:ascii="Times New Roman" w:hAnsi="Times New Roman" w:cs="Times New Roman"/>
                <w:sz w:val="24"/>
                <w:szCs w:val="21"/>
              </w:rPr>
              <w:t>属于</w:t>
            </w:r>
            <w:r>
              <w:rPr>
                <w:rFonts w:hint="eastAsia" w:ascii="Times New Roman" w:hAnsi="Times New Roman" w:cs="Times New Roman"/>
                <w:sz w:val="24"/>
                <w:szCs w:val="21"/>
                <w:lang w:eastAsia="zh-CN"/>
              </w:rPr>
              <w:t>“</w:t>
            </w:r>
            <w:r>
              <w:rPr>
                <w:rFonts w:hint="eastAsia" w:ascii="Times New Roman" w:hAnsi="Times New Roman" w:eastAsia="宋体"/>
                <w:color w:val="000000" w:themeColor="text1"/>
                <w:sz w:val="24"/>
                <w14:textFill>
                  <w14:solidFill>
                    <w14:schemeClr w14:val="tx1"/>
                  </w14:solidFill>
                </w14:textFill>
              </w:rPr>
              <w:t>C</w:t>
            </w:r>
            <w:r>
              <w:rPr>
                <w:rFonts w:hint="eastAsia" w:ascii="Times New Roman" w:hAnsi="Times New Roman" w:eastAsia="宋体"/>
                <w:color w:val="000000" w:themeColor="text1"/>
                <w:sz w:val="24"/>
                <w:lang w:val="en-US" w:eastAsia="zh-CN"/>
                <w14:textFill>
                  <w14:solidFill>
                    <w14:schemeClr w14:val="tx1"/>
                  </w14:solidFill>
                </w14:textFill>
              </w:rPr>
              <w:t>2029</w:t>
            </w:r>
            <w:r>
              <w:rPr>
                <w:rFonts w:hint="eastAsia" w:ascii="Times New Roman" w:hAnsi="Times New Roman" w:eastAsia="宋体"/>
                <w:color w:val="000000" w:themeColor="text1"/>
                <w:sz w:val="24"/>
                <w:lang w:eastAsia="zh-CN"/>
                <w14:textFill>
                  <w14:solidFill>
                    <w14:schemeClr w14:val="tx1"/>
                  </w14:solidFill>
                </w14:textFill>
              </w:rPr>
              <w:t>其他人造板制造</w:t>
            </w:r>
            <w:r>
              <w:rPr>
                <w:rFonts w:hint="eastAsia" w:ascii="Times New Roman" w:hAnsi="Times New Roman" w:cs="Times New Roman"/>
                <w:sz w:val="24"/>
                <w:szCs w:val="21"/>
                <w:lang w:eastAsia="zh-CN"/>
              </w:rPr>
              <w:t>”</w:t>
            </w:r>
            <w:r>
              <w:rPr>
                <w:rFonts w:ascii="Times New Roman" w:hAnsi="Times New Roman" w:cs="Times New Roman"/>
                <w:sz w:val="24"/>
                <w:szCs w:val="36"/>
              </w:rPr>
              <w:t>，不属于</w:t>
            </w:r>
            <w:r>
              <w:rPr>
                <w:rFonts w:hint="eastAsia" w:ascii="Times New Roman" w:hAnsi="Times New Roman" w:cs="Times New Roman"/>
                <w:sz w:val="24"/>
                <w:szCs w:val="36"/>
                <w:lang w:eastAsia="zh-CN"/>
              </w:rPr>
              <w:t>园区</w:t>
            </w:r>
            <w:r>
              <w:rPr>
                <w:rFonts w:ascii="Times New Roman" w:hAnsi="Times New Roman" w:cs="Times New Roman"/>
                <w:sz w:val="24"/>
                <w:szCs w:val="36"/>
              </w:rPr>
              <w:t>禁止及限制引入项目，不与园区产业准入冲突，符合重庆西彭工业园区西彭组团产业定位及用地布局要求。</w:t>
            </w:r>
          </w:p>
          <w:p w14:paraId="65A75737">
            <w:pPr>
              <w:spacing w:before="46" w:beforeLines="15" w:after="46" w:afterLines="15" w:line="372" w:lineRule="auto"/>
              <w:rPr>
                <w:rFonts w:ascii="Times New Roman" w:hAnsi="Times New Roman" w:eastAsia="宋体" w:cs="Times New Roman"/>
                <w:b/>
                <w:bCs/>
                <w:sz w:val="24"/>
              </w:rPr>
            </w:pPr>
            <w:r>
              <w:rPr>
                <w:rFonts w:ascii="Times New Roman" w:hAnsi="Times New Roman" w:cs="Times New Roman"/>
                <w:b/>
                <w:sz w:val="24"/>
              </w:rPr>
              <w:t>1.</w:t>
            </w:r>
            <w:r>
              <w:rPr>
                <w:rFonts w:hint="eastAsia" w:ascii="Times New Roman" w:hAnsi="Times New Roman" w:cs="Times New Roman"/>
                <w:b/>
                <w:sz w:val="24"/>
              </w:rPr>
              <w:t>1</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eastAsia="宋体" w:cs="Times New Roman"/>
                <w:b/>
                <w:bCs/>
                <w:sz w:val="24"/>
              </w:rPr>
              <w:t>与</w:t>
            </w:r>
            <w:r>
              <w:rPr>
                <w:rFonts w:ascii="Times New Roman" w:hAnsi="Times New Roman" w:cs="Times New Roman"/>
                <w:b/>
                <w:sz w:val="24"/>
              </w:rPr>
              <w:t>《重庆市西彭工业园区规划环境影响报告书》及其审查意见（渝环函</w:t>
            </w:r>
            <w:r>
              <w:rPr>
                <w:rFonts w:hint="eastAsia" w:ascii="Times New Roman" w:hAnsi="Times New Roman" w:cs="Times New Roman"/>
                <w:b/>
                <w:sz w:val="24"/>
                <w:lang w:eastAsia="zh-CN"/>
              </w:rPr>
              <w:t>〔2023〕439号</w:t>
            </w:r>
            <w:r>
              <w:rPr>
                <w:rFonts w:ascii="Times New Roman" w:hAnsi="Times New Roman" w:cs="Times New Roman"/>
                <w:b/>
                <w:sz w:val="24"/>
              </w:rPr>
              <w:t>）</w:t>
            </w:r>
            <w:r>
              <w:rPr>
                <w:rFonts w:ascii="Times New Roman" w:hAnsi="Times New Roman" w:eastAsia="宋体" w:cs="Times New Roman"/>
                <w:b/>
                <w:bCs/>
                <w:sz w:val="24"/>
              </w:rPr>
              <w:t>及其审查意见函的符合性分析</w:t>
            </w:r>
          </w:p>
          <w:p w14:paraId="5FC9C8D9">
            <w:pPr>
              <w:adjustRightInd w:val="0"/>
              <w:snapToGrid w:val="0"/>
              <w:jc w:val="center"/>
              <w:rPr>
                <w:rFonts w:ascii="Times New Roman" w:hAnsi="Times New Roman" w:cs="Times New Roman"/>
                <w:b/>
                <w:bCs/>
                <w:sz w:val="24"/>
                <w:szCs w:val="21"/>
              </w:rPr>
            </w:pPr>
            <w:r>
              <w:rPr>
                <w:rFonts w:ascii="Times New Roman" w:hAnsi="Times New Roman" w:cs="Times New Roman"/>
                <w:b/>
                <w:bCs/>
                <w:sz w:val="24"/>
                <w:szCs w:val="21"/>
              </w:rPr>
              <w:t>表</w:t>
            </w:r>
            <w:r>
              <w:rPr>
                <w:rFonts w:ascii="Times New Roman" w:hAnsi="Times New Roman" w:cs="Times New Roman"/>
                <w:b/>
                <w:sz w:val="24"/>
                <w:szCs w:val="36"/>
              </w:rPr>
              <w:t>1</w:t>
            </w:r>
            <w:r>
              <w:rPr>
                <w:rFonts w:hint="eastAsia" w:ascii="Times New Roman" w:hAnsi="Times New Roman" w:cs="Times New Roman"/>
                <w:b/>
                <w:sz w:val="24"/>
                <w:szCs w:val="36"/>
              </w:rPr>
              <w:t>.1-1</w:t>
            </w:r>
            <w:r>
              <w:rPr>
                <w:rFonts w:ascii="Times New Roman" w:hAnsi="Times New Roman" w:cs="Times New Roman"/>
                <w:b/>
                <w:bCs/>
                <w:sz w:val="24"/>
                <w:szCs w:val="21"/>
              </w:rPr>
              <w:t xml:space="preserve">  规划环评生态环境准入清单对照分析表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3688"/>
              <w:gridCol w:w="2787"/>
              <w:gridCol w:w="830"/>
            </w:tblGrid>
            <w:tr w14:paraId="2C958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5B2B0DF0">
                  <w:pPr>
                    <w:adjustRightInd w:val="0"/>
                    <w:snapToGrid w:val="0"/>
                    <w:jc w:val="center"/>
                    <w:rPr>
                      <w:rFonts w:ascii="Times New Roman" w:hAnsi="Times New Roman" w:cs="Times New Roman"/>
                      <w:b/>
                      <w:bCs/>
                      <w:szCs w:val="21"/>
                    </w:rPr>
                  </w:pPr>
                  <w:r>
                    <w:rPr>
                      <w:rFonts w:ascii="Times New Roman" w:hAnsi="Times New Roman" w:cs="Times New Roman"/>
                      <w:b/>
                      <w:bCs/>
                      <w:szCs w:val="21"/>
                    </w:rPr>
                    <w:t>分类</w:t>
                  </w:r>
                </w:p>
              </w:tc>
              <w:tc>
                <w:tcPr>
                  <w:tcW w:w="2324" w:type="pct"/>
                  <w:tcBorders>
                    <w:tl2br w:val="nil"/>
                    <w:tr2bl w:val="nil"/>
                  </w:tcBorders>
                  <w:vAlign w:val="center"/>
                </w:tcPr>
                <w:p w14:paraId="1DC2999D">
                  <w:pPr>
                    <w:adjustRightInd w:val="0"/>
                    <w:snapToGrid w:val="0"/>
                    <w:jc w:val="center"/>
                    <w:rPr>
                      <w:rFonts w:ascii="Times New Roman" w:hAnsi="Times New Roman" w:cs="Times New Roman"/>
                      <w:b/>
                      <w:bCs/>
                      <w:szCs w:val="21"/>
                    </w:rPr>
                  </w:pPr>
                  <w:r>
                    <w:rPr>
                      <w:rFonts w:ascii="Times New Roman" w:hAnsi="Times New Roman" w:cs="Times New Roman"/>
                      <w:b/>
                      <w:bCs/>
                      <w:szCs w:val="21"/>
                    </w:rPr>
                    <w:t>环境准入要求</w:t>
                  </w:r>
                </w:p>
              </w:tc>
              <w:tc>
                <w:tcPr>
                  <w:tcW w:w="1757" w:type="pct"/>
                  <w:tcBorders>
                    <w:tl2br w:val="nil"/>
                    <w:tr2bl w:val="nil"/>
                  </w:tcBorders>
                  <w:vAlign w:val="center"/>
                </w:tcPr>
                <w:p w14:paraId="4D8BE551">
                  <w:pPr>
                    <w:adjustRightInd w:val="0"/>
                    <w:snapToGrid w:val="0"/>
                    <w:jc w:val="center"/>
                    <w:rPr>
                      <w:rFonts w:ascii="Times New Roman" w:hAnsi="Times New Roman" w:cs="Times New Roman"/>
                      <w:b/>
                      <w:bCs/>
                      <w:szCs w:val="21"/>
                    </w:rPr>
                  </w:pPr>
                  <w:r>
                    <w:rPr>
                      <w:rFonts w:ascii="Times New Roman" w:hAnsi="Times New Roman" w:cs="Times New Roman"/>
                      <w:b/>
                      <w:bCs/>
                      <w:szCs w:val="21"/>
                    </w:rPr>
                    <w:t>本项目情况</w:t>
                  </w:r>
                </w:p>
              </w:tc>
              <w:tc>
                <w:tcPr>
                  <w:tcW w:w="523" w:type="pct"/>
                  <w:tcBorders>
                    <w:tl2br w:val="nil"/>
                    <w:tr2bl w:val="nil"/>
                  </w:tcBorders>
                  <w:vAlign w:val="center"/>
                </w:tcPr>
                <w:p w14:paraId="0AE920A2">
                  <w:pPr>
                    <w:adjustRightInd w:val="0"/>
                    <w:snapToGrid w:val="0"/>
                    <w:jc w:val="center"/>
                    <w:rPr>
                      <w:rFonts w:ascii="Times New Roman" w:hAnsi="Times New Roman" w:cs="Times New Roman"/>
                      <w:b/>
                      <w:bCs/>
                      <w:szCs w:val="21"/>
                    </w:rPr>
                  </w:pPr>
                  <w:r>
                    <w:rPr>
                      <w:rFonts w:ascii="Times New Roman" w:hAnsi="Times New Roman" w:cs="Times New Roman"/>
                      <w:b/>
                      <w:bCs/>
                      <w:szCs w:val="21"/>
                    </w:rPr>
                    <w:t>符合性</w:t>
                  </w:r>
                </w:p>
              </w:tc>
            </w:tr>
            <w:tr w14:paraId="6C7C6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00BECC2B">
                  <w:pPr>
                    <w:adjustRightInd w:val="0"/>
                    <w:snapToGrid w:val="0"/>
                    <w:jc w:val="center"/>
                    <w:rPr>
                      <w:rFonts w:ascii="Times New Roman" w:hAnsi="Times New Roman" w:cs="Times New Roman"/>
                      <w:szCs w:val="21"/>
                    </w:rPr>
                  </w:pPr>
                  <w:r>
                    <w:rPr>
                      <w:rFonts w:ascii="Times New Roman" w:hAnsi="Times New Roman" w:cs="Times New Roman"/>
                      <w:szCs w:val="21"/>
                    </w:rPr>
                    <w:t>空间布局约束</w:t>
                  </w:r>
                </w:p>
              </w:tc>
              <w:tc>
                <w:tcPr>
                  <w:tcW w:w="2324" w:type="pct"/>
                  <w:tcBorders>
                    <w:tl2br w:val="nil"/>
                    <w:tr2bl w:val="nil"/>
                  </w:tcBorders>
                  <w:vAlign w:val="center"/>
                </w:tcPr>
                <w:p w14:paraId="32AB3E07">
                  <w:pPr>
                    <w:adjustRightInd w:val="0"/>
                    <w:snapToGrid w:val="0"/>
                    <w:rPr>
                      <w:rFonts w:ascii="Times New Roman" w:hAnsi="Times New Roman" w:cs="Times New Roman"/>
                      <w:szCs w:val="21"/>
                    </w:rPr>
                  </w:pPr>
                  <w:r>
                    <w:rPr>
                      <w:rFonts w:ascii="Times New Roman" w:hAnsi="Times New Roman" w:cs="Times New Roman"/>
                      <w:szCs w:val="21"/>
                    </w:rPr>
                    <w:t>西彭组团东北侧科研用地兼一类工业用地（C61-1/01、C61-4/01、C61-5/01、C62-1/01、C62-3/01、C63-1/01、C63-2/01）后续引入项目时应考虑以污染较轻的项目为主，禁止新建涉及喷漆、酸洗、熔炼等异味较大的生产工艺项目</w:t>
                  </w:r>
                </w:p>
              </w:tc>
              <w:tc>
                <w:tcPr>
                  <w:tcW w:w="1757" w:type="pct"/>
                  <w:tcBorders>
                    <w:tl2br w:val="nil"/>
                    <w:tr2bl w:val="nil"/>
                  </w:tcBorders>
                  <w:vAlign w:val="center"/>
                </w:tcPr>
                <w:p w14:paraId="6E77530E">
                  <w:pPr>
                    <w:adjustRightInd w:val="0"/>
                    <w:snapToGrid w:val="0"/>
                    <w:jc w:val="center"/>
                    <w:rPr>
                      <w:rFonts w:ascii="Times New Roman" w:hAnsi="Times New Roman" w:cs="Times New Roman"/>
                      <w:szCs w:val="21"/>
                    </w:rPr>
                  </w:pPr>
                  <w:r>
                    <w:rPr>
                      <w:rFonts w:ascii="Times New Roman" w:hAnsi="Times New Roman" w:cs="Times New Roman"/>
                      <w:szCs w:val="21"/>
                    </w:rPr>
                    <w:t>本项目位于重庆西彭工业园区西彭组团</w:t>
                  </w:r>
                  <w:r>
                    <w:rPr>
                      <w:rFonts w:hint="eastAsia" w:ascii="Times New Roman" w:hAnsi="Times New Roman" w:cs="Times New Roman"/>
                      <w:sz w:val="24"/>
                      <w:szCs w:val="36"/>
                      <w:lang w:val="en-US" w:eastAsia="zh-CN"/>
                    </w:rPr>
                    <w:t>D标准分区</w:t>
                  </w:r>
                  <w:r>
                    <w:rPr>
                      <w:rFonts w:ascii="Times New Roman" w:hAnsi="Times New Roman" w:cs="Times New Roman"/>
                      <w:szCs w:val="21"/>
                    </w:rPr>
                    <w:t>，</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，不涉及喷漆、酸洗、熔炼等工艺</w:t>
                  </w:r>
                </w:p>
              </w:tc>
              <w:tc>
                <w:tcPr>
                  <w:tcW w:w="523" w:type="pct"/>
                  <w:tcBorders>
                    <w:tl2br w:val="nil"/>
                    <w:tr2bl w:val="nil"/>
                  </w:tcBorders>
                  <w:vAlign w:val="center"/>
                </w:tcPr>
                <w:p w14:paraId="72BA347C">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5D6C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14:paraId="7C6CF334">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7ABB09FF">
                  <w:pPr>
                    <w:adjustRightInd w:val="0"/>
                    <w:snapToGrid w:val="0"/>
                    <w:rPr>
                      <w:rFonts w:ascii="Times New Roman" w:hAnsi="Times New Roman" w:cs="Times New Roman"/>
                      <w:szCs w:val="21"/>
                    </w:rPr>
                  </w:pPr>
                  <w:r>
                    <w:rPr>
                      <w:rFonts w:ascii="Times New Roman" w:hAnsi="Times New Roman" w:cs="Times New Roman"/>
                      <w:szCs w:val="21"/>
                    </w:rPr>
                    <w:t>西彭组团临近居住的A31/04、A33/04、A34/04、A30-1-1/06地块在新引入项目时应引入不涉及喷漆、酸洗、熔炼、铸造等异味较大的项目</w:t>
                  </w:r>
                </w:p>
              </w:tc>
              <w:tc>
                <w:tcPr>
                  <w:tcW w:w="1757" w:type="pct"/>
                  <w:tcBorders>
                    <w:tl2br w:val="nil"/>
                    <w:tr2bl w:val="nil"/>
                  </w:tcBorders>
                  <w:vAlign w:val="center"/>
                </w:tcPr>
                <w:p w14:paraId="747B826E">
                  <w:pPr>
                    <w:adjustRightInd w:val="0"/>
                    <w:snapToGrid w:val="0"/>
                    <w:jc w:val="center"/>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，位于重庆西彭工业园区西彭组团</w:t>
                  </w:r>
                  <w:r>
                    <w:rPr>
                      <w:rFonts w:hint="eastAsia" w:ascii="Times New Roman" w:hAnsi="Times New Roman" w:cs="Times New Roman"/>
                      <w:sz w:val="24"/>
                      <w:szCs w:val="36"/>
                      <w:lang w:val="en-US" w:eastAsia="zh-CN"/>
                    </w:rPr>
                    <w:t>D标准分区</w:t>
                  </w:r>
                  <w:r>
                    <w:rPr>
                      <w:rFonts w:hint="eastAsia" w:ascii="Times New Roman" w:hAnsi="Times New Roman" w:cs="Times New Roman"/>
                      <w:szCs w:val="21"/>
                      <w:lang w:eastAsia="zh-CN"/>
                    </w:rPr>
                    <w:t>，不属于上述地块且</w:t>
                  </w:r>
                  <w:r>
                    <w:rPr>
                      <w:rFonts w:ascii="Times New Roman" w:hAnsi="Times New Roman" w:cs="Times New Roman"/>
                      <w:szCs w:val="21"/>
                    </w:rPr>
                    <w:t>不涉及喷漆、酸洗、熔炼</w:t>
                  </w:r>
                  <w:r>
                    <w:rPr>
                      <w:rFonts w:hint="eastAsia" w:ascii="Times New Roman" w:hAnsi="Times New Roman" w:cs="Times New Roman"/>
                      <w:szCs w:val="21"/>
                      <w:lang w:eastAsia="zh-CN"/>
                    </w:rPr>
                    <w:t>、铸造</w:t>
                  </w:r>
                  <w:r>
                    <w:rPr>
                      <w:rFonts w:ascii="Times New Roman" w:hAnsi="Times New Roman" w:cs="Times New Roman"/>
                      <w:szCs w:val="21"/>
                    </w:rPr>
                    <w:t>等工艺</w:t>
                  </w:r>
                </w:p>
              </w:tc>
              <w:tc>
                <w:tcPr>
                  <w:tcW w:w="523" w:type="pct"/>
                  <w:tcBorders>
                    <w:tl2br w:val="nil"/>
                    <w:tr2bl w:val="nil"/>
                  </w:tcBorders>
                  <w:vAlign w:val="center"/>
                </w:tcPr>
                <w:p w14:paraId="4147AD7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53FC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395" w:type="pct"/>
                  <w:vMerge w:val="continue"/>
                  <w:tcBorders>
                    <w:tl2br w:val="nil"/>
                    <w:tr2bl w:val="nil"/>
                  </w:tcBorders>
                  <w:vAlign w:val="center"/>
                </w:tcPr>
                <w:p w14:paraId="4C107A67">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2F34ACF1">
                  <w:pPr>
                    <w:adjustRightInd w:val="0"/>
                    <w:snapToGrid w:val="0"/>
                    <w:rPr>
                      <w:rFonts w:ascii="Times New Roman" w:hAnsi="Times New Roman" w:cs="Times New Roman"/>
                      <w:szCs w:val="21"/>
                    </w:rPr>
                  </w:pPr>
                  <w:r>
                    <w:rPr>
                      <w:rFonts w:ascii="Times New Roman" w:hAnsi="Times New Roman" w:cs="Times New Roman"/>
                      <w:szCs w:val="21"/>
                    </w:rPr>
                    <w:t>陶家组团规划的工业用地（O80-04/01、O80-01/04、L1-02-2/03、L1-02-1/03、L4-03/01、L9-01/02、L27-02-1/04、J41-9/01、J41-10/01）禁止引入涉及喷漆、熔炼、铸造等异味较大的生产工艺项目</w:t>
                  </w:r>
                </w:p>
              </w:tc>
              <w:tc>
                <w:tcPr>
                  <w:tcW w:w="1757" w:type="pct"/>
                  <w:tcBorders>
                    <w:tl2br w:val="nil"/>
                    <w:tr2bl w:val="nil"/>
                  </w:tcBorders>
                  <w:vAlign w:val="center"/>
                </w:tcPr>
                <w:p w14:paraId="12DB6621">
                  <w:pPr>
                    <w:adjustRightInd w:val="0"/>
                    <w:snapToGrid w:val="0"/>
                    <w:jc w:val="center"/>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，位于重庆西彭工业园区西彭组团</w:t>
                  </w:r>
                  <w:r>
                    <w:rPr>
                      <w:rFonts w:hint="eastAsia" w:ascii="Times New Roman" w:hAnsi="Times New Roman" w:cs="Times New Roman"/>
                      <w:sz w:val="24"/>
                      <w:szCs w:val="36"/>
                      <w:lang w:val="en-US" w:eastAsia="zh-CN"/>
                    </w:rPr>
                    <w:t>D标准分区</w:t>
                  </w:r>
                  <w:r>
                    <w:rPr>
                      <w:rFonts w:ascii="Times New Roman" w:hAnsi="Times New Roman" w:cs="Times New Roman"/>
                      <w:szCs w:val="21"/>
                    </w:rPr>
                    <w:t>，</w:t>
                  </w:r>
                  <w:r>
                    <w:rPr>
                      <w:rFonts w:hint="eastAsia" w:ascii="Times New Roman" w:hAnsi="Times New Roman" w:cs="Times New Roman"/>
                      <w:szCs w:val="21"/>
                      <w:lang w:eastAsia="zh-CN"/>
                    </w:rPr>
                    <w:t>不属于上述地块</w:t>
                  </w:r>
                  <w:r>
                    <w:rPr>
                      <w:rFonts w:ascii="Times New Roman" w:hAnsi="Times New Roman" w:cs="Times New Roman"/>
                      <w:szCs w:val="21"/>
                    </w:rPr>
                    <w:t>，</w:t>
                  </w:r>
                  <w:r>
                    <w:rPr>
                      <w:rFonts w:hint="eastAsia" w:ascii="Times New Roman" w:hAnsi="Times New Roman" w:cs="Times New Roman"/>
                      <w:szCs w:val="21"/>
                      <w:lang w:eastAsia="zh-CN"/>
                    </w:rPr>
                    <w:t>且</w:t>
                  </w:r>
                  <w:r>
                    <w:rPr>
                      <w:rFonts w:ascii="Times New Roman" w:hAnsi="Times New Roman" w:cs="Times New Roman"/>
                      <w:szCs w:val="21"/>
                    </w:rPr>
                    <w:t>不涉及喷漆、</w:t>
                  </w:r>
                  <w:r>
                    <w:rPr>
                      <w:rFonts w:hint="eastAsia" w:ascii="Times New Roman" w:hAnsi="Times New Roman" w:cs="Times New Roman"/>
                      <w:szCs w:val="21"/>
                      <w:lang w:eastAsia="zh-CN"/>
                    </w:rPr>
                    <w:t>熔炼、铸造</w:t>
                  </w:r>
                  <w:r>
                    <w:rPr>
                      <w:rFonts w:ascii="Times New Roman" w:hAnsi="Times New Roman" w:cs="Times New Roman"/>
                      <w:szCs w:val="21"/>
                    </w:rPr>
                    <w:t>等工艺</w:t>
                  </w:r>
                </w:p>
              </w:tc>
              <w:tc>
                <w:tcPr>
                  <w:tcW w:w="523" w:type="pct"/>
                  <w:tcBorders>
                    <w:tl2br w:val="nil"/>
                    <w:tr2bl w:val="nil"/>
                  </w:tcBorders>
                  <w:vAlign w:val="center"/>
                </w:tcPr>
                <w:p w14:paraId="05E9CBE5">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20241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2A4528AA">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3A35D71A">
                  <w:pPr>
                    <w:adjustRightInd w:val="0"/>
                    <w:snapToGrid w:val="0"/>
                    <w:rPr>
                      <w:rFonts w:ascii="Times New Roman" w:hAnsi="Times New Roman" w:cs="Times New Roman"/>
                      <w:szCs w:val="21"/>
                    </w:rPr>
                  </w:pPr>
                  <w:r>
                    <w:rPr>
                      <w:rFonts w:ascii="Times New Roman" w:hAnsi="Times New Roman" w:cs="Times New Roman"/>
                      <w:szCs w:val="21"/>
                    </w:rPr>
                    <w:t>规划区禁止新引入木质家具制造、报废汽车拆解，玻璃制造（除光伏玻璃外）工业项目</w:t>
                  </w:r>
                </w:p>
              </w:tc>
              <w:tc>
                <w:tcPr>
                  <w:tcW w:w="1757" w:type="pct"/>
                  <w:tcBorders>
                    <w:tl2br w:val="nil"/>
                    <w:tr2bl w:val="nil"/>
                  </w:tcBorders>
                  <w:vAlign w:val="center"/>
                </w:tcPr>
                <w:p w14:paraId="3E89D604">
                  <w:pPr>
                    <w:adjustRightInd w:val="0"/>
                    <w:snapToGrid w:val="0"/>
                    <w:jc w:val="center"/>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，位于重庆西彭工业园区西彭组团</w:t>
                  </w:r>
                  <w:r>
                    <w:rPr>
                      <w:rFonts w:hint="eastAsia" w:ascii="Times New Roman" w:hAnsi="Times New Roman" w:cs="Times New Roman"/>
                      <w:sz w:val="24"/>
                      <w:szCs w:val="36"/>
                      <w:lang w:val="en-US" w:eastAsia="zh-CN"/>
                    </w:rPr>
                    <w:t>D标准分区</w:t>
                  </w:r>
                  <w:r>
                    <w:rPr>
                      <w:rFonts w:ascii="Times New Roman" w:hAnsi="Times New Roman" w:cs="Times New Roman"/>
                      <w:szCs w:val="21"/>
                    </w:rPr>
                    <w:t>，不属于木质家具制造、报废汽车拆解，玻璃制造等项目</w:t>
                  </w:r>
                </w:p>
              </w:tc>
              <w:tc>
                <w:tcPr>
                  <w:tcW w:w="523" w:type="pct"/>
                  <w:tcBorders>
                    <w:tl2br w:val="nil"/>
                    <w:tr2bl w:val="nil"/>
                  </w:tcBorders>
                  <w:vAlign w:val="center"/>
                </w:tcPr>
                <w:p w14:paraId="48E41B90">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27F02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5B94AB78">
                  <w:pPr>
                    <w:adjustRightInd w:val="0"/>
                    <w:snapToGrid w:val="0"/>
                    <w:jc w:val="center"/>
                    <w:rPr>
                      <w:rFonts w:ascii="Times New Roman" w:hAnsi="Times New Roman" w:cs="Times New Roman"/>
                      <w:szCs w:val="21"/>
                    </w:rPr>
                  </w:pPr>
                  <w:r>
                    <w:rPr>
                      <w:rFonts w:ascii="Times New Roman" w:hAnsi="Times New Roman" w:cs="Times New Roman"/>
                      <w:szCs w:val="21"/>
                    </w:rPr>
                    <w:t>污染物排放管控</w:t>
                  </w:r>
                </w:p>
              </w:tc>
              <w:tc>
                <w:tcPr>
                  <w:tcW w:w="2324" w:type="pct"/>
                  <w:tcBorders>
                    <w:tl2br w:val="nil"/>
                    <w:tr2bl w:val="nil"/>
                  </w:tcBorders>
                  <w:vAlign w:val="center"/>
                </w:tcPr>
                <w:p w14:paraId="7182EF56">
                  <w:pPr>
                    <w:adjustRightInd w:val="0"/>
                    <w:snapToGrid w:val="0"/>
                    <w:rPr>
                      <w:rFonts w:ascii="Times New Roman" w:hAnsi="Times New Roman" w:cs="Times New Roman"/>
                      <w:szCs w:val="21"/>
                    </w:rPr>
                  </w:pPr>
                  <w:r>
                    <w:rPr>
                      <w:rFonts w:ascii="Times New Roman" w:hAnsi="Times New Roman" w:cs="Times New Roman"/>
                      <w:szCs w:val="21"/>
                    </w:rPr>
                    <w:t>规划区范围内污染物排放总量不得突破本次规划环评确定的污染物排放总量限值</w:t>
                  </w:r>
                </w:p>
              </w:tc>
              <w:tc>
                <w:tcPr>
                  <w:tcW w:w="1757" w:type="pct"/>
                  <w:tcBorders>
                    <w:tl2br w:val="nil"/>
                    <w:tr2bl w:val="nil"/>
                  </w:tcBorders>
                  <w:vAlign w:val="center"/>
                </w:tcPr>
                <w:p w14:paraId="4724A0CA">
                  <w:pPr>
                    <w:adjustRightInd w:val="0"/>
                    <w:snapToGrid w:val="0"/>
                    <w:rPr>
                      <w:rFonts w:ascii="Times New Roman" w:hAnsi="Times New Roman" w:cs="Times New Roman"/>
                      <w:szCs w:val="21"/>
                    </w:rPr>
                  </w:pPr>
                  <w:r>
                    <w:rPr>
                      <w:rFonts w:ascii="Times New Roman" w:hAnsi="Times New Roman" w:cs="Times New Roman"/>
                      <w:color w:val="000000"/>
                      <w:kern w:val="0"/>
                      <w:szCs w:val="21"/>
                    </w:rPr>
                    <w:t>根据《报告书》总量管控清单，规划区域污染物排放总量限值为：SO</w:t>
                  </w:r>
                  <w:r>
                    <w:rPr>
                      <w:rFonts w:ascii="Times New Roman" w:hAnsi="Times New Roman" w:cs="Times New Roman"/>
                      <w:color w:val="000000"/>
                      <w:kern w:val="0"/>
                      <w:szCs w:val="21"/>
                      <w:vertAlign w:val="subscript"/>
                    </w:rPr>
                    <w:t>2</w:t>
                  </w:r>
                  <w:r>
                    <w:rPr>
                      <w:rFonts w:ascii="Times New Roman" w:hAnsi="Times New Roman" w:cs="Times New Roman"/>
                      <w:color w:val="000000"/>
                      <w:kern w:val="0"/>
                      <w:szCs w:val="21"/>
                    </w:rPr>
                    <w:t>1357.89t/a，NOx 1320.84t/a，VOCs（以非甲烷总烃计）487.85t/a，COD 1600.28t/a，NH</w:t>
                  </w:r>
                  <w:r>
                    <w:rPr>
                      <w:rFonts w:ascii="Times New Roman" w:hAnsi="Times New Roman" w:cs="Times New Roman"/>
                      <w:color w:val="000000"/>
                      <w:kern w:val="0"/>
                      <w:szCs w:val="21"/>
                      <w:vertAlign w:val="subscript"/>
                    </w:rPr>
                    <w:t>3</w:t>
                  </w:r>
                  <w:r>
                    <w:rPr>
                      <w:rFonts w:ascii="Times New Roman" w:hAnsi="Times New Roman" w:cs="Times New Roman"/>
                      <w:color w:val="000000"/>
                      <w:kern w:val="0"/>
                      <w:szCs w:val="21"/>
                    </w:rPr>
                    <w:t>-N176.29t/a，TP 15.67t/a。</w:t>
                  </w:r>
                  <w:r>
                    <w:rPr>
                      <w:rFonts w:ascii="Times New Roman" w:hAnsi="Times New Roman" w:cs="Times New Roman"/>
                      <w:color w:val="000000"/>
                      <w:kern w:val="0"/>
                      <w:szCs w:val="21"/>
                      <w:lang w:val="zh-CN"/>
                    </w:rPr>
                    <w:t>本项目排</w:t>
                  </w:r>
                  <w:r>
                    <w:rPr>
                      <w:rFonts w:ascii="Times New Roman" w:hAnsi="Times New Roman" w:cs="Times New Roman"/>
                      <w:color w:val="000000" w:themeColor="text1"/>
                      <w:kern w:val="0"/>
                      <w:szCs w:val="21"/>
                      <w:lang w:val="zh-CN"/>
                      <w14:textFill>
                        <w14:solidFill>
                          <w14:schemeClr w14:val="tx1"/>
                        </w14:solidFill>
                      </w14:textFill>
                    </w:rPr>
                    <w:t>放</w:t>
                  </w:r>
                  <w:r>
                    <w:rPr>
                      <w:rFonts w:ascii="Times New Roman" w:hAnsi="Times New Roman" w:cs="Times New Roman"/>
                      <w:color w:val="000000" w:themeColor="text1"/>
                      <w:kern w:val="0"/>
                      <w:szCs w:val="21"/>
                      <w14:textFill>
                        <w14:solidFill>
                          <w14:schemeClr w14:val="tx1"/>
                        </w14:solidFill>
                      </w14:textFill>
                    </w:rPr>
                    <w:t>总</w:t>
                  </w:r>
                  <w:r>
                    <w:rPr>
                      <w:rFonts w:ascii="Times New Roman" w:hAnsi="Times New Roman" w:cs="Times New Roman"/>
                      <w:color w:val="000000" w:themeColor="text1"/>
                      <w:kern w:val="0"/>
                      <w:szCs w:val="21"/>
                      <w:lang w:val="zh-CN"/>
                      <w14:textFill>
                        <w14:solidFill>
                          <w14:schemeClr w14:val="tx1"/>
                        </w14:solidFill>
                      </w14:textFill>
                    </w:rPr>
                    <w:t>量为</w:t>
                  </w:r>
                  <w:r>
                    <w:rPr>
                      <w:rFonts w:hint="eastAsia" w:ascii="Times New Roman" w:hAnsi="Times New Roman" w:cs="Times New Roman"/>
                      <w:color w:val="000000" w:themeColor="text1"/>
                      <w:kern w:val="0"/>
                      <w:szCs w:val="21"/>
                      <w14:textFill>
                        <w14:solidFill>
                          <w14:schemeClr w14:val="tx1"/>
                        </w14:solidFill>
                      </w14:textFill>
                    </w:rPr>
                    <w:t>颗粒物</w:t>
                  </w:r>
                  <w:r>
                    <w:rPr>
                      <w:rFonts w:hint="eastAsia" w:ascii="Times New Roman" w:hAnsi="Times New Roman" w:cs="Times New Roman"/>
                      <w:color w:val="000000" w:themeColor="text1"/>
                      <w:kern w:val="0"/>
                      <w:szCs w:val="21"/>
                      <w:lang w:val="en-US" w:eastAsia="zh-CN"/>
                      <w14:textFill>
                        <w14:solidFill>
                          <w14:schemeClr w14:val="tx1"/>
                        </w14:solidFill>
                      </w14:textFill>
                    </w:rPr>
                    <w:t>0.029</w:t>
                  </w:r>
                  <w:r>
                    <w:rPr>
                      <w:rFonts w:ascii="Times New Roman" w:hAnsi="Times New Roman" w:cs="Times New Roman"/>
                      <w:color w:val="000000" w:themeColor="text1"/>
                      <w:kern w:val="0"/>
                      <w:szCs w:val="21"/>
                      <w14:textFill>
                        <w14:solidFill>
                          <w14:schemeClr w14:val="tx1"/>
                        </w14:solidFill>
                      </w14:textFill>
                    </w:rPr>
                    <w:t>t/a</w:t>
                  </w:r>
                  <w:r>
                    <w:rPr>
                      <w:rFonts w:hint="eastAsia" w:ascii="Times New Roman" w:hAnsi="Times New Roman" w:cs="Times New Roman"/>
                      <w:color w:val="000000" w:themeColor="text1"/>
                      <w:kern w:val="0"/>
                      <w:szCs w:val="21"/>
                      <w14:textFill>
                        <w14:solidFill>
                          <w14:schemeClr w14:val="tx1"/>
                        </w14:solidFill>
                      </w14:textFill>
                    </w:rPr>
                    <w:t>、非甲烷总烃</w:t>
                  </w:r>
                  <w:r>
                    <w:rPr>
                      <w:rFonts w:hint="eastAsia" w:ascii="Times New Roman" w:hAnsi="Times New Roman" w:cs="Times New Roman"/>
                      <w:color w:val="000000" w:themeColor="text1"/>
                      <w:kern w:val="0"/>
                      <w:szCs w:val="21"/>
                      <w:lang w:val="en-US" w:eastAsia="zh-CN"/>
                      <w14:textFill>
                        <w14:solidFill>
                          <w14:schemeClr w14:val="tx1"/>
                        </w14:solidFill>
                      </w14:textFill>
                    </w:rPr>
                    <w:t>0.207</w:t>
                  </w:r>
                  <w:r>
                    <w:rPr>
                      <w:rFonts w:hint="eastAsia" w:ascii="Times New Roman" w:hAnsi="Times New Roman" w:cs="Times New Roman"/>
                      <w:color w:val="000000" w:themeColor="text1"/>
                      <w:kern w:val="0"/>
                      <w:szCs w:val="21"/>
                      <w14:textFill>
                        <w14:solidFill>
                          <w14:schemeClr w14:val="tx1"/>
                        </w14:solidFill>
                      </w14:textFill>
                    </w:rPr>
                    <w:t>t/a、二氧化硫</w:t>
                  </w:r>
                  <w:r>
                    <w:rPr>
                      <w:rFonts w:hint="eastAsia" w:ascii="Times New Roman" w:hAnsi="Times New Roman" w:cs="Times New Roman"/>
                      <w:color w:val="000000" w:themeColor="text1"/>
                      <w:kern w:val="0"/>
                      <w:szCs w:val="21"/>
                      <w:lang w:val="en-US" w:eastAsia="zh-CN"/>
                      <w14:textFill>
                        <w14:solidFill>
                          <w14:schemeClr w14:val="tx1"/>
                        </w14:solidFill>
                      </w14:textFill>
                    </w:rPr>
                    <w:t>0.024</w:t>
                  </w:r>
                  <w:r>
                    <w:rPr>
                      <w:rFonts w:hint="eastAsia" w:ascii="Times New Roman" w:hAnsi="Times New Roman" w:cs="Times New Roman"/>
                      <w:color w:val="000000" w:themeColor="text1"/>
                      <w:kern w:val="0"/>
                      <w:szCs w:val="21"/>
                      <w14:textFill>
                        <w14:solidFill>
                          <w14:schemeClr w14:val="tx1"/>
                        </w14:solidFill>
                      </w14:textFill>
                    </w:rPr>
                    <w:t>t/a、氮氧化物</w:t>
                  </w:r>
                  <w:r>
                    <w:rPr>
                      <w:rFonts w:hint="eastAsia" w:ascii="Times New Roman" w:hAnsi="Times New Roman" w:cs="Times New Roman"/>
                      <w:color w:val="000000" w:themeColor="text1"/>
                      <w:kern w:val="0"/>
                      <w:szCs w:val="21"/>
                      <w:lang w:val="en-US" w:eastAsia="zh-CN"/>
                      <w14:textFill>
                        <w14:solidFill>
                          <w14:schemeClr w14:val="tx1"/>
                        </w14:solidFill>
                      </w14:textFill>
                    </w:rPr>
                    <w:t>0.039</w:t>
                  </w:r>
                  <w:r>
                    <w:rPr>
                      <w:rFonts w:hint="eastAsia" w:ascii="Times New Roman" w:hAnsi="Times New Roman" w:cs="Times New Roman"/>
                      <w:color w:val="000000" w:themeColor="text1"/>
                      <w:kern w:val="0"/>
                      <w:szCs w:val="21"/>
                      <w14:textFill>
                        <w14:solidFill>
                          <w14:schemeClr w14:val="tx1"/>
                        </w14:solidFill>
                      </w14:textFill>
                    </w:rPr>
                    <w:t>t/a、</w:t>
                  </w:r>
                  <w:r>
                    <w:rPr>
                      <w:rFonts w:ascii="Times New Roman" w:hAnsi="Times New Roman" w:cs="Times New Roman"/>
                      <w:color w:val="000000" w:themeColor="text1"/>
                      <w:kern w:val="0"/>
                      <w:szCs w:val="21"/>
                      <w:lang w:val="zh-CN"/>
                      <w14:textFill>
                        <w14:solidFill>
                          <w14:schemeClr w14:val="tx1"/>
                        </w14:solidFill>
                      </w14:textFill>
                    </w:rPr>
                    <w:t>COD</w:t>
                  </w:r>
                  <w:r>
                    <w:rPr>
                      <w:rFonts w:ascii="Times New Roman" w:hAnsi="Times New Roman" w:cs="Times New Roman"/>
                      <w:color w:val="000000" w:themeColor="text1"/>
                      <w:kern w:val="0"/>
                      <w:szCs w:val="21"/>
                      <w14:textFill>
                        <w14:solidFill>
                          <w14:schemeClr w14:val="tx1"/>
                        </w14:solidFill>
                      </w14:textFill>
                    </w:rPr>
                    <w:t>0.0</w:t>
                  </w:r>
                  <w:r>
                    <w:rPr>
                      <w:rFonts w:hint="eastAsia" w:ascii="Times New Roman" w:hAnsi="Times New Roman" w:cs="Times New Roman"/>
                      <w:color w:val="000000" w:themeColor="text1"/>
                      <w:kern w:val="0"/>
                      <w:szCs w:val="21"/>
                      <w14:textFill>
                        <w14:solidFill>
                          <w14:schemeClr w14:val="tx1"/>
                        </w14:solidFill>
                      </w14:textFill>
                    </w:rPr>
                    <w:t>11</w:t>
                  </w:r>
                  <w:r>
                    <w:rPr>
                      <w:rFonts w:ascii="Times New Roman" w:hAnsi="Times New Roman" w:cs="Times New Roman"/>
                      <w:color w:val="000000" w:themeColor="text1"/>
                      <w:kern w:val="0"/>
                      <w:szCs w:val="21"/>
                      <w:lang w:val="zh-CN"/>
                      <w14:textFill>
                        <w14:solidFill>
                          <w14:schemeClr w14:val="tx1"/>
                        </w14:solidFill>
                      </w14:textFill>
                    </w:rPr>
                    <w:t>t/a，氨氮</w:t>
                  </w:r>
                  <w:r>
                    <w:rPr>
                      <w:rFonts w:hint="eastAsia" w:ascii="Times New Roman" w:hAnsi="Times New Roman" w:cs="Times New Roman"/>
                      <w:color w:val="000000" w:themeColor="text1"/>
                      <w:kern w:val="0"/>
                      <w:szCs w:val="21"/>
                      <w14:textFill>
                        <w14:solidFill>
                          <w14:schemeClr w14:val="tx1"/>
                        </w14:solidFill>
                      </w14:textFill>
                    </w:rPr>
                    <w:t>0.002</w:t>
                  </w:r>
                  <w:r>
                    <w:rPr>
                      <w:rFonts w:ascii="Times New Roman" w:hAnsi="Times New Roman" w:cs="Times New Roman"/>
                      <w:color w:val="000000" w:themeColor="text1"/>
                      <w:kern w:val="0"/>
                      <w:szCs w:val="21"/>
                      <w:lang w:val="zh-CN"/>
                      <w14:textFill>
                        <w14:solidFill>
                          <w14:schemeClr w14:val="tx1"/>
                        </w14:solidFill>
                      </w14:textFill>
                    </w:rPr>
                    <w:t>t/a，排放量</w:t>
                  </w:r>
                  <w:r>
                    <w:rPr>
                      <w:rFonts w:hint="eastAsia" w:ascii="Times New Roman" w:hAnsi="Times New Roman" w:cs="Times New Roman"/>
                      <w:color w:val="000000" w:themeColor="text1"/>
                      <w:kern w:val="0"/>
                      <w:szCs w:val="21"/>
                      <w:lang w:val="zh-CN"/>
                      <w14:textFill>
                        <w14:solidFill>
                          <w14:schemeClr w14:val="tx1"/>
                        </w14:solidFill>
                      </w14:textFill>
                    </w:rPr>
                    <w:t>较小</w:t>
                  </w:r>
                  <w:r>
                    <w:rPr>
                      <w:rFonts w:ascii="Times New Roman" w:hAnsi="Times New Roman" w:cs="Times New Roman"/>
                      <w:color w:val="000000" w:themeColor="text1"/>
                      <w:kern w:val="0"/>
                      <w:szCs w:val="21"/>
                      <w:lang w:val="zh-CN"/>
                      <w14:textFill>
                        <w14:solidFill>
                          <w14:schemeClr w14:val="tx1"/>
                        </w14:solidFill>
                      </w14:textFill>
                    </w:rPr>
                    <w:t>，不会突破</w:t>
                  </w:r>
                  <w:r>
                    <w:rPr>
                      <w:rFonts w:ascii="Times New Roman" w:hAnsi="Times New Roman" w:cs="Times New Roman"/>
                      <w:color w:val="000000" w:themeColor="text1"/>
                      <w:kern w:val="0"/>
                      <w:szCs w:val="21"/>
                      <w14:textFill>
                        <w14:solidFill>
                          <w14:schemeClr w14:val="tx1"/>
                        </w14:solidFill>
                      </w14:textFill>
                    </w:rPr>
                    <w:t>总量管控指</w:t>
                  </w:r>
                  <w:r>
                    <w:rPr>
                      <w:rFonts w:ascii="Times New Roman" w:hAnsi="Times New Roman" w:cs="Times New Roman"/>
                      <w:color w:val="000000"/>
                      <w:kern w:val="0"/>
                      <w:szCs w:val="21"/>
                    </w:rPr>
                    <w:t>标；符合。</w:t>
                  </w:r>
                </w:p>
              </w:tc>
              <w:tc>
                <w:tcPr>
                  <w:tcW w:w="523" w:type="pct"/>
                  <w:tcBorders>
                    <w:tl2br w:val="nil"/>
                    <w:tr2bl w:val="nil"/>
                  </w:tcBorders>
                  <w:vAlign w:val="center"/>
                </w:tcPr>
                <w:p w14:paraId="63394A9C">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8B79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43CA2502">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3CFA9E89">
                  <w:pPr>
                    <w:adjustRightInd w:val="0"/>
                    <w:snapToGrid w:val="0"/>
                    <w:rPr>
                      <w:rFonts w:ascii="Times New Roman" w:hAnsi="Times New Roman" w:cs="Times New Roman"/>
                      <w:szCs w:val="21"/>
                    </w:rPr>
                  </w:pPr>
                  <w:r>
                    <w:rPr>
                      <w:rFonts w:ascii="Times New Roman" w:hAnsi="Times New Roman" w:cs="Times New Roman"/>
                      <w:szCs w:val="21"/>
                    </w:rPr>
                    <w:t>禁止新建、扩建排放废水含有五类重金属（铬、镉、汞、砷、铅）、剧毒物质和持久性有机污染物的工业项目</w:t>
                  </w:r>
                </w:p>
              </w:tc>
              <w:tc>
                <w:tcPr>
                  <w:tcW w:w="1757" w:type="pct"/>
                  <w:tcBorders>
                    <w:tl2br w:val="nil"/>
                    <w:tr2bl w:val="nil"/>
                  </w:tcBorders>
                  <w:vAlign w:val="center"/>
                </w:tcPr>
                <w:p w14:paraId="75A0BB51">
                  <w:pPr>
                    <w:adjustRightInd w:val="0"/>
                    <w:snapToGrid w:val="0"/>
                    <w:jc w:val="center"/>
                    <w:rPr>
                      <w:rFonts w:ascii="Times New Roman" w:hAnsi="Times New Roman" w:cs="Times New Roman"/>
                      <w:szCs w:val="21"/>
                    </w:rPr>
                  </w:pPr>
                  <w:r>
                    <w:rPr>
                      <w:rFonts w:ascii="Times New Roman" w:hAnsi="Times New Roman" w:cs="Times New Roman"/>
                      <w:szCs w:val="21"/>
                    </w:rPr>
                    <w:t>本项目无生产废水排放，不涉及前述废物排放</w:t>
                  </w:r>
                </w:p>
              </w:tc>
              <w:tc>
                <w:tcPr>
                  <w:tcW w:w="523" w:type="pct"/>
                  <w:tcBorders>
                    <w:tl2br w:val="nil"/>
                    <w:tr2bl w:val="nil"/>
                  </w:tcBorders>
                  <w:vAlign w:val="center"/>
                </w:tcPr>
                <w:p w14:paraId="323F128E">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50C1D9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76F96022">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57E9E452">
                  <w:pPr>
                    <w:adjustRightInd w:val="0"/>
                    <w:snapToGrid w:val="0"/>
                    <w:rPr>
                      <w:rFonts w:ascii="Times New Roman" w:hAnsi="Times New Roman" w:cs="Times New Roman"/>
                      <w:szCs w:val="21"/>
                    </w:rPr>
                  </w:pPr>
                  <w:r>
                    <w:rPr>
                      <w:rFonts w:ascii="Times New Roman" w:hAnsi="Times New Roman" w:cs="Times New Roman"/>
                      <w:szCs w:val="21"/>
                    </w:rPr>
                    <w:t>陶家组团范围内重庆奇爽实业（集团）有限公司不再扩大用地规模、不新增污染物排放</w:t>
                  </w:r>
                </w:p>
              </w:tc>
              <w:tc>
                <w:tcPr>
                  <w:tcW w:w="1757" w:type="pct"/>
                  <w:tcBorders>
                    <w:tl2br w:val="nil"/>
                    <w:tr2bl w:val="nil"/>
                  </w:tcBorders>
                  <w:vAlign w:val="center"/>
                </w:tcPr>
                <w:p w14:paraId="42E91440">
                  <w:pPr>
                    <w:adjustRightInd w:val="0"/>
                    <w:snapToGrid w:val="0"/>
                    <w:jc w:val="center"/>
                    <w:rPr>
                      <w:rFonts w:ascii="Times New Roman" w:hAnsi="Times New Roman" w:cs="Times New Roman"/>
                      <w:szCs w:val="21"/>
                    </w:rPr>
                  </w:pPr>
                  <w:r>
                    <w:rPr>
                      <w:rFonts w:ascii="Times New Roman" w:hAnsi="Times New Roman" w:cs="Times New Roman"/>
                      <w:szCs w:val="21"/>
                    </w:rPr>
                    <w:t>本项目位于重庆西彭工业园区西彭组团D标准分区，不涉及前述企业</w:t>
                  </w:r>
                </w:p>
              </w:tc>
              <w:tc>
                <w:tcPr>
                  <w:tcW w:w="523" w:type="pct"/>
                  <w:tcBorders>
                    <w:tl2br w:val="nil"/>
                    <w:tr2bl w:val="nil"/>
                  </w:tcBorders>
                  <w:vAlign w:val="center"/>
                </w:tcPr>
                <w:p w14:paraId="02BABBC3">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4ADF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37C28734">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3CC9B619">
                  <w:pPr>
                    <w:adjustRightInd w:val="0"/>
                    <w:snapToGrid w:val="0"/>
                    <w:rPr>
                      <w:rFonts w:ascii="Times New Roman" w:hAnsi="Times New Roman" w:cs="Times New Roman"/>
                      <w:szCs w:val="21"/>
                    </w:rPr>
                  </w:pPr>
                  <w:r>
                    <w:rPr>
                      <w:rFonts w:ascii="Times New Roman" w:hAnsi="Times New Roman" w:cs="Times New Roman"/>
                      <w:szCs w:val="21"/>
                    </w:rPr>
                    <w:t>铜罐驿组团范围内红蜻蜓（重庆）植物油脂有限公司、重庆小可食品有限公司、重庆豆奇食品有限公司不再扩大用地规模、不新增污染物排放</w:t>
                  </w:r>
                </w:p>
              </w:tc>
              <w:tc>
                <w:tcPr>
                  <w:tcW w:w="1757" w:type="pct"/>
                  <w:tcBorders>
                    <w:tl2br w:val="nil"/>
                    <w:tr2bl w:val="nil"/>
                  </w:tcBorders>
                  <w:vAlign w:val="center"/>
                </w:tcPr>
                <w:p w14:paraId="215BBF9D">
                  <w:pPr>
                    <w:adjustRightInd w:val="0"/>
                    <w:snapToGrid w:val="0"/>
                    <w:jc w:val="center"/>
                    <w:rPr>
                      <w:rFonts w:ascii="Times New Roman" w:hAnsi="Times New Roman" w:cs="Times New Roman"/>
                      <w:szCs w:val="21"/>
                    </w:rPr>
                  </w:pPr>
                  <w:r>
                    <w:rPr>
                      <w:rFonts w:ascii="Times New Roman" w:hAnsi="Times New Roman" w:cs="Times New Roman"/>
                      <w:szCs w:val="21"/>
                    </w:rPr>
                    <w:t>本项目位于重庆西彭工业园区西彭组团D标准分区，不涉及前述企业</w:t>
                  </w:r>
                </w:p>
              </w:tc>
              <w:tc>
                <w:tcPr>
                  <w:tcW w:w="523" w:type="pct"/>
                  <w:tcBorders>
                    <w:tl2br w:val="nil"/>
                    <w:tr2bl w:val="nil"/>
                  </w:tcBorders>
                  <w:vAlign w:val="center"/>
                </w:tcPr>
                <w:p w14:paraId="57D2BE67">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1749C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76F885BA">
                  <w:pPr>
                    <w:adjustRightInd w:val="0"/>
                    <w:snapToGrid w:val="0"/>
                    <w:jc w:val="center"/>
                    <w:rPr>
                      <w:rFonts w:ascii="Times New Roman" w:hAnsi="Times New Roman" w:cs="Times New Roman"/>
                      <w:szCs w:val="21"/>
                    </w:rPr>
                  </w:pPr>
                  <w:r>
                    <w:rPr>
                      <w:rFonts w:ascii="Times New Roman" w:hAnsi="Times New Roman" w:cs="Times New Roman"/>
                      <w:szCs w:val="21"/>
                    </w:rPr>
                    <w:t>环境风险防控</w:t>
                  </w:r>
                </w:p>
              </w:tc>
              <w:tc>
                <w:tcPr>
                  <w:tcW w:w="2324" w:type="pct"/>
                  <w:tcBorders>
                    <w:tl2br w:val="nil"/>
                    <w:tr2bl w:val="nil"/>
                  </w:tcBorders>
                  <w:vAlign w:val="center"/>
                </w:tcPr>
                <w:p w14:paraId="372F302D">
                  <w:pPr>
                    <w:adjustRightInd w:val="0"/>
                    <w:snapToGrid w:val="0"/>
                    <w:rPr>
                      <w:rFonts w:ascii="Times New Roman" w:hAnsi="Times New Roman" w:cs="Times New Roman"/>
                      <w:szCs w:val="21"/>
                    </w:rPr>
                  </w:pPr>
                  <w:r>
                    <w:rPr>
                      <w:rFonts w:ascii="Times New Roman" w:hAnsi="Times New Roman" w:cs="Times New Roman"/>
                      <w:szCs w:val="21"/>
                    </w:rPr>
                    <w:t>西彭组团和铜罐驿组团沿江1km范围内规划仓储用地（A72-1/04、A90-1/04、A88/02、A87-1/03、A101/01、A99/01、A102/01、A104/01、A103/01、A105/01、F40-1/02、F41-1/01地块）禁止新引入从事危险化学品储存、运输的仓储物流项目</w:t>
                  </w:r>
                </w:p>
              </w:tc>
              <w:tc>
                <w:tcPr>
                  <w:tcW w:w="1757" w:type="pct"/>
                  <w:tcBorders>
                    <w:tl2br w:val="nil"/>
                    <w:tr2bl w:val="nil"/>
                  </w:tcBorders>
                  <w:vAlign w:val="center"/>
                </w:tcPr>
                <w:p w14:paraId="2857EEB6">
                  <w:pPr>
                    <w:adjustRightInd w:val="0"/>
                    <w:snapToGrid w:val="0"/>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w:t>
                  </w:r>
                  <w:r>
                    <w:rPr>
                      <w:rFonts w:hint="eastAsia" w:ascii="Times New Roman" w:hAnsi="Times New Roman" w:cs="Times New Roman"/>
                      <w:szCs w:val="21"/>
                      <w:lang w:eastAsia="zh-CN"/>
                    </w:rPr>
                    <w:t>位于</w:t>
                  </w:r>
                  <w:r>
                    <w:rPr>
                      <w:rFonts w:ascii="Times New Roman" w:hAnsi="Times New Roman" w:cs="Times New Roman"/>
                      <w:szCs w:val="21"/>
                    </w:rPr>
                    <w:t>重庆西彭工业园区西彭组团</w:t>
                  </w:r>
                  <w:r>
                    <w:rPr>
                      <w:rFonts w:hint="eastAsia" w:ascii="Times New Roman" w:hAnsi="Times New Roman" w:cs="Times New Roman"/>
                      <w:sz w:val="24"/>
                      <w:szCs w:val="36"/>
                      <w:lang w:val="en-US" w:eastAsia="zh-CN"/>
                    </w:rPr>
                    <w:t>D标准分区</w:t>
                  </w:r>
                  <w:r>
                    <w:rPr>
                      <w:rFonts w:ascii="Times New Roman" w:hAnsi="Times New Roman" w:cs="Times New Roman"/>
                      <w:szCs w:val="21"/>
                    </w:rPr>
                    <w:t>，</w:t>
                  </w:r>
                  <w:r>
                    <w:rPr>
                      <w:rFonts w:hint="eastAsia" w:ascii="Times New Roman" w:hAnsi="Times New Roman" w:cs="Times New Roman"/>
                      <w:szCs w:val="21"/>
                      <w:lang w:eastAsia="zh-CN"/>
                    </w:rPr>
                    <w:t>不属于上述地块</w:t>
                  </w:r>
                  <w:r>
                    <w:rPr>
                      <w:rFonts w:ascii="Times New Roman" w:hAnsi="Times New Roman" w:cs="Times New Roman"/>
                      <w:szCs w:val="21"/>
                    </w:rPr>
                    <w:t>，</w:t>
                  </w:r>
                  <w:r>
                    <w:rPr>
                      <w:rFonts w:hint="eastAsia" w:ascii="Times New Roman" w:hAnsi="Times New Roman" w:cs="Times New Roman"/>
                      <w:szCs w:val="21"/>
                      <w:lang w:eastAsia="zh-CN"/>
                    </w:rPr>
                    <w:t>且</w:t>
                  </w:r>
                  <w:r>
                    <w:rPr>
                      <w:rFonts w:ascii="Times New Roman" w:hAnsi="Times New Roman" w:cs="Times New Roman"/>
                      <w:szCs w:val="21"/>
                    </w:rPr>
                    <w:t>不涉及危险化学品储存、运输</w:t>
                  </w:r>
                </w:p>
              </w:tc>
              <w:tc>
                <w:tcPr>
                  <w:tcW w:w="523" w:type="pct"/>
                  <w:tcBorders>
                    <w:tl2br w:val="nil"/>
                    <w:tr2bl w:val="nil"/>
                  </w:tcBorders>
                  <w:vAlign w:val="center"/>
                </w:tcPr>
                <w:p w14:paraId="506D9714">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ADDF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04805F9A">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4BE0446D">
                  <w:pPr>
                    <w:adjustRightInd w:val="0"/>
                    <w:snapToGrid w:val="0"/>
                    <w:rPr>
                      <w:rFonts w:ascii="Times New Roman" w:hAnsi="Times New Roman" w:cs="Times New Roman"/>
                      <w:szCs w:val="21"/>
                    </w:rPr>
                  </w:pPr>
                  <w:r>
                    <w:rPr>
                      <w:rFonts w:ascii="Times New Roman" w:hAnsi="Times New Roman" w:cs="Times New Roman"/>
                      <w:szCs w:val="21"/>
                    </w:rPr>
                    <w:t>临长江道路禁止规划运输危险化学品及危险废物路线</w:t>
                  </w:r>
                </w:p>
              </w:tc>
              <w:tc>
                <w:tcPr>
                  <w:tcW w:w="1757" w:type="pct"/>
                  <w:tcBorders>
                    <w:tl2br w:val="nil"/>
                    <w:tr2bl w:val="nil"/>
                  </w:tcBorders>
                  <w:vAlign w:val="center"/>
                </w:tcPr>
                <w:p w14:paraId="75ADED40">
                  <w:pPr>
                    <w:adjustRightInd w:val="0"/>
                    <w:snapToGrid w:val="0"/>
                    <w:jc w:val="center"/>
                    <w:rPr>
                      <w:rFonts w:ascii="Times New Roman" w:hAnsi="Times New Roman" w:cs="Times New Roman"/>
                      <w:szCs w:val="21"/>
                    </w:rPr>
                  </w:pPr>
                  <w:r>
                    <w:rPr>
                      <w:rFonts w:ascii="Times New Roman" w:hAnsi="Times New Roman" w:cs="Times New Roman"/>
                      <w:szCs w:val="21"/>
                    </w:rPr>
                    <w:t>本项目不涉及</w:t>
                  </w:r>
                </w:p>
              </w:tc>
              <w:tc>
                <w:tcPr>
                  <w:tcW w:w="523" w:type="pct"/>
                  <w:tcBorders>
                    <w:tl2br w:val="nil"/>
                    <w:tr2bl w:val="nil"/>
                  </w:tcBorders>
                  <w:vAlign w:val="center"/>
                </w:tcPr>
                <w:p w14:paraId="2C73A06B">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3CF25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61A21738">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2261AC5E">
                  <w:pPr>
                    <w:adjustRightInd w:val="0"/>
                    <w:snapToGrid w:val="0"/>
                    <w:rPr>
                      <w:rFonts w:ascii="Times New Roman" w:hAnsi="Times New Roman" w:cs="Times New Roman"/>
                      <w:szCs w:val="21"/>
                    </w:rPr>
                  </w:pPr>
                  <w:r>
                    <w:rPr>
                      <w:rFonts w:ascii="Times New Roman" w:hAnsi="Times New Roman" w:cs="Times New Roman"/>
                      <w:szCs w:val="21"/>
                    </w:rPr>
                    <w:t>禁止新建、扩建化工项目</w:t>
                  </w:r>
                </w:p>
              </w:tc>
              <w:tc>
                <w:tcPr>
                  <w:tcW w:w="1757" w:type="pct"/>
                  <w:tcBorders>
                    <w:tl2br w:val="nil"/>
                    <w:tr2bl w:val="nil"/>
                  </w:tcBorders>
                  <w:vAlign w:val="center"/>
                </w:tcPr>
                <w:p w14:paraId="181E50A4">
                  <w:pPr>
                    <w:adjustRightInd w:val="0"/>
                    <w:snapToGrid w:val="0"/>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，不属于化工项目</w:t>
                  </w:r>
                </w:p>
              </w:tc>
              <w:tc>
                <w:tcPr>
                  <w:tcW w:w="523" w:type="pct"/>
                  <w:tcBorders>
                    <w:tl2br w:val="nil"/>
                    <w:tr2bl w:val="nil"/>
                  </w:tcBorders>
                  <w:vAlign w:val="center"/>
                </w:tcPr>
                <w:p w14:paraId="5E0869C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5E88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3CDBA588">
                  <w:pPr>
                    <w:adjustRightInd w:val="0"/>
                    <w:snapToGrid w:val="0"/>
                    <w:jc w:val="center"/>
                    <w:rPr>
                      <w:rFonts w:ascii="Times New Roman" w:hAnsi="Times New Roman" w:cs="Times New Roman"/>
                      <w:szCs w:val="21"/>
                    </w:rPr>
                  </w:pPr>
                  <w:r>
                    <w:rPr>
                      <w:rFonts w:ascii="Times New Roman" w:hAnsi="Times New Roman" w:cs="Times New Roman"/>
                      <w:szCs w:val="21"/>
                    </w:rPr>
                    <w:t>资源开发利用要求</w:t>
                  </w:r>
                </w:p>
              </w:tc>
              <w:tc>
                <w:tcPr>
                  <w:tcW w:w="2324" w:type="pct"/>
                  <w:tcBorders>
                    <w:tl2br w:val="nil"/>
                    <w:tr2bl w:val="nil"/>
                  </w:tcBorders>
                  <w:vAlign w:val="center"/>
                </w:tcPr>
                <w:p w14:paraId="516A3190">
                  <w:pPr>
                    <w:adjustRightInd w:val="0"/>
                    <w:snapToGrid w:val="0"/>
                    <w:rPr>
                      <w:rFonts w:ascii="Times New Roman" w:hAnsi="Times New Roman" w:cs="Times New Roman"/>
                      <w:szCs w:val="21"/>
                    </w:rPr>
                  </w:pPr>
                  <w:r>
                    <w:rPr>
                      <w:rFonts w:ascii="Times New Roman" w:hAnsi="Times New Roman" w:cs="Times New Roman"/>
                      <w:szCs w:val="21"/>
                    </w:rPr>
                    <w:t>禁止新建、扩建燃用煤、重油等高污染燃料的工业项目，重庆和友实业股份有限公司不再新增燃煤总量</w:t>
                  </w:r>
                </w:p>
              </w:tc>
              <w:tc>
                <w:tcPr>
                  <w:tcW w:w="1757" w:type="pct"/>
                  <w:tcBorders>
                    <w:tl2br w:val="nil"/>
                    <w:tr2bl w:val="nil"/>
                  </w:tcBorders>
                  <w:vAlign w:val="center"/>
                </w:tcPr>
                <w:p w14:paraId="71FC5560">
                  <w:pPr>
                    <w:adjustRightInd w:val="0"/>
                    <w:snapToGrid w:val="0"/>
                    <w:jc w:val="center"/>
                    <w:rPr>
                      <w:rFonts w:ascii="Times New Roman" w:hAnsi="Times New Roman" w:cs="Times New Roman"/>
                      <w:szCs w:val="21"/>
                    </w:rPr>
                  </w:pPr>
                  <w:r>
                    <w:rPr>
                      <w:rFonts w:ascii="Times New Roman" w:hAnsi="Times New Roman" w:cs="Times New Roman"/>
                      <w:szCs w:val="21"/>
                    </w:rPr>
                    <w:t>本项目不涉及</w:t>
                  </w:r>
                </w:p>
              </w:tc>
              <w:tc>
                <w:tcPr>
                  <w:tcW w:w="523" w:type="pct"/>
                  <w:tcBorders>
                    <w:tl2br w:val="nil"/>
                    <w:tr2bl w:val="nil"/>
                  </w:tcBorders>
                  <w:vAlign w:val="center"/>
                </w:tcPr>
                <w:p w14:paraId="78642B93">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2715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35CB8268">
                  <w:pPr>
                    <w:adjustRightInd w:val="0"/>
                    <w:snapToGrid w:val="0"/>
                    <w:jc w:val="center"/>
                    <w:rPr>
                      <w:rFonts w:ascii="Times New Roman" w:hAnsi="Times New Roman" w:cs="Times New Roman"/>
                      <w:szCs w:val="21"/>
                    </w:rPr>
                  </w:pPr>
                </w:p>
              </w:tc>
              <w:tc>
                <w:tcPr>
                  <w:tcW w:w="2324" w:type="pct"/>
                  <w:tcBorders>
                    <w:tl2br w:val="nil"/>
                    <w:tr2bl w:val="nil"/>
                  </w:tcBorders>
                  <w:vAlign w:val="center"/>
                </w:tcPr>
                <w:p w14:paraId="5B569D8E">
                  <w:pPr>
                    <w:adjustRightInd w:val="0"/>
                    <w:snapToGrid w:val="0"/>
                    <w:rPr>
                      <w:rFonts w:ascii="Times New Roman" w:hAnsi="Times New Roman" w:cs="Times New Roman"/>
                      <w:szCs w:val="21"/>
                    </w:rPr>
                  </w:pPr>
                  <w:r>
                    <w:rPr>
                      <w:rFonts w:ascii="Times New Roman" w:hAnsi="Times New Roman" w:cs="Times New Roman"/>
                      <w:szCs w:val="21"/>
                    </w:rPr>
                    <w:t>新建和改、扩建的工业项目清洁生产水平应达到国内先进水平</w:t>
                  </w:r>
                </w:p>
              </w:tc>
              <w:tc>
                <w:tcPr>
                  <w:tcW w:w="1757" w:type="pct"/>
                  <w:tcBorders>
                    <w:tl2br w:val="nil"/>
                    <w:tr2bl w:val="nil"/>
                  </w:tcBorders>
                  <w:vAlign w:val="center"/>
                </w:tcPr>
                <w:p w14:paraId="24E73F42">
                  <w:pPr>
                    <w:adjustRightInd w:val="0"/>
                    <w:snapToGrid w:val="0"/>
                    <w:rPr>
                      <w:rFonts w:ascii="Times New Roman" w:hAnsi="Times New Roman" w:cs="Times New Roman"/>
                      <w:szCs w:val="21"/>
                    </w:rPr>
                  </w:pPr>
                  <w:r>
                    <w:rPr>
                      <w:rFonts w:ascii="Times New Roman" w:hAnsi="Times New Roman" w:cs="Times New Roman"/>
                      <w:szCs w:val="21"/>
                    </w:rPr>
                    <w:t>本项目采用先进工艺技术，满足清洁生产要求</w:t>
                  </w:r>
                </w:p>
              </w:tc>
              <w:tc>
                <w:tcPr>
                  <w:tcW w:w="523" w:type="pct"/>
                  <w:tcBorders>
                    <w:tl2br w:val="nil"/>
                    <w:tr2bl w:val="nil"/>
                  </w:tcBorders>
                  <w:vAlign w:val="center"/>
                </w:tcPr>
                <w:p w14:paraId="56728551">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bl>
          <w:p w14:paraId="508C5019">
            <w:pPr>
              <w:adjustRightInd w:val="0"/>
              <w:snapToGrid w:val="0"/>
              <w:spacing w:line="360" w:lineRule="auto"/>
              <w:jc w:val="center"/>
              <w:rPr>
                <w:rFonts w:ascii="Times New Roman" w:hAnsi="Times New Roman" w:cs="Times New Roman"/>
                <w:b/>
                <w:bCs/>
                <w:sz w:val="24"/>
                <w:szCs w:val="21"/>
              </w:rPr>
            </w:pPr>
          </w:p>
          <w:p w14:paraId="31E9AD45">
            <w:pPr>
              <w:adjustRightInd w:val="0"/>
              <w:snapToGrid w:val="0"/>
              <w:spacing w:line="360" w:lineRule="auto"/>
              <w:jc w:val="center"/>
              <w:rPr>
                <w:rFonts w:ascii="Times New Roman" w:hAnsi="Times New Roman" w:cs="Times New Roman"/>
                <w:b/>
                <w:bCs/>
                <w:sz w:val="24"/>
                <w:szCs w:val="21"/>
              </w:rPr>
            </w:pPr>
            <w:r>
              <w:rPr>
                <w:rFonts w:ascii="Times New Roman" w:hAnsi="Times New Roman" w:cs="Times New Roman"/>
                <w:b/>
                <w:bCs/>
                <w:sz w:val="24"/>
                <w:szCs w:val="21"/>
              </w:rPr>
              <w:t>表1</w:t>
            </w:r>
            <w:r>
              <w:rPr>
                <w:rFonts w:hint="eastAsia" w:ascii="Times New Roman" w:hAnsi="Times New Roman" w:cs="Times New Roman"/>
                <w:b/>
                <w:bCs/>
                <w:sz w:val="24"/>
                <w:szCs w:val="21"/>
              </w:rPr>
              <w:t>.1-2</w:t>
            </w:r>
            <w:r>
              <w:rPr>
                <w:rFonts w:ascii="Times New Roman" w:hAnsi="Times New Roman" w:cs="Times New Roman"/>
                <w:b/>
                <w:bCs/>
                <w:sz w:val="24"/>
                <w:szCs w:val="21"/>
              </w:rPr>
              <w:t xml:space="preserve">  本项目与规划环评审查意见的符合性分析</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04"/>
              <w:gridCol w:w="3324"/>
              <w:gridCol w:w="2287"/>
              <w:gridCol w:w="838"/>
            </w:tblGrid>
            <w:tr w14:paraId="1DBC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6CA906E8">
                  <w:pPr>
                    <w:adjustRightInd w:val="0"/>
                    <w:snapToGrid w:val="0"/>
                    <w:jc w:val="center"/>
                    <w:rPr>
                      <w:rFonts w:ascii="Times New Roman" w:hAnsi="Times New Roman" w:cs="Times New Roman"/>
                      <w:b/>
                      <w:bCs/>
                      <w:szCs w:val="21"/>
                    </w:rPr>
                  </w:pPr>
                  <w:r>
                    <w:rPr>
                      <w:rFonts w:ascii="Times New Roman" w:hAnsi="Times New Roman" w:cs="Times New Roman"/>
                      <w:b/>
                      <w:bCs/>
                      <w:szCs w:val="21"/>
                    </w:rPr>
                    <w:t>分类</w:t>
                  </w:r>
                </w:p>
              </w:tc>
              <w:tc>
                <w:tcPr>
                  <w:tcW w:w="2479" w:type="pct"/>
                  <w:gridSpan w:val="2"/>
                  <w:vAlign w:val="center"/>
                </w:tcPr>
                <w:p w14:paraId="2B7AE021">
                  <w:pPr>
                    <w:adjustRightInd w:val="0"/>
                    <w:snapToGrid w:val="0"/>
                    <w:jc w:val="center"/>
                    <w:rPr>
                      <w:rFonts w:ascii="Times New Roman" w:hAnsi="Times New Roman" w:cs="Times New Roman"/>
                      <w:b/>
                      <w:bCs/>
                      <w:szCs w:val="21"/>
                    </w:rPr>
                  </w:pPr>
                  <w:r>
                    <w:rPr>
                      <w:rFonts w:ascii="Times New Roman" w:hAnsi="Times New Roman" w:cs="Times New Roman"/>
                      <w:b/>
                      <w:bCs/>
                      <w:szCs w:val="21"/>
                    </w:rPr>
                    <w:t>审查意见函相关要求</w:t>
                  </w:r>
                </w:p>
              </w:tc>
              <w:tc>
                <w:tcPr>
                  <w:tcW w:w="1443" w:type="pct"/>
                  <w:vAlign w:val="center"/>
                </w:tcPr>
                <w:p w14:paraId="23F5108E">
                  <w:pPr>
                    <w:adjustRightInd w:val="0"/>
                    <w:snapToGrid w:val="0"/>
                    <w:jc w:val="center"/>
                    <w:rPr>
                      <w:rFonts w:ascii="Times New Roman" w:hAnsi="Times New Roman" w:cs="Times New Roman"/>
                      <w:b/>
                      <w:bCs/>
                      <w:szCs w:val="21"/>
                    </w:rPr>
                  </w:pPr>
                  <w:r>
                    <w:rPr>
                      <w:rFonts w:ascii="Times New Roman" w:hAnsi="Times New Roman" w:cs="Times New Roman"/>
                      <w:b/>
                      <w:bCs/>
                      <w:szCs w:val="21"/>
                    </w:rPr>
                    <w:t>本项目情况</w:t>
                  </w:r>
                </w:p>
              </w:tc>
              <w:tc>
                <w:tcPr>
                  <w:tcW w:w="528" w:type="pct"/>
                  <w:vAlign w:val="center"/>
                </w:tcPr>
                <w:p w14:paraId="0B88E4C4">
                  <w:pPr>
                    <w:adjustRightInd w:val="0"/>
                    <w:snapToGrid w:val="0"/>
                    <w:jc w:val="center"/>
                    <w:rPr>
                      <w:rFonts w:ascii="Times New Roman" w:hAnsi="Times New Roman" w:cs="Times New Roman"/>
                      <w:b/>
                      <w:bCs/>
                      <w:szCs w:val="21"/>
                    </w:rPr>
                  </w:pPr>
                  <w:r>
                    <w:rPr>
                      <w:rFonts w:ascii="Times New Roman" w:hAnsi="Times New Roman" w:cs="Times New Roman"/>
                      <w:b/>
                      <w:bCs/>
                      <w:szCs w:val="21"/>
                    </w:rPr>
                    <w:t>符合性</w:t>
                  </w:r>
                </w:p>
              </w:tc>
            </w:tr>
            <w:tr w14:paraId="0792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736EACEE">
                  <w:pPr>
                    <w:adjustRightInd w:val="0"/>
                    <w:snapToGrid w:val="0"/>
                    <w:jc w:val="center"/>
                    <w:rPr>
                      <w:rFonts w:ascii="Times New Roman" w:hAnsi="Times New Roman" w:cs="Times New Roman"/>
                      <w:szCs w:val="21"/>
                    </w:rPr>
                  </w:pPr>
                  <w:r>
                    <w:rPr>
                      <w:rFonts w:ascii="Times New Roman" w:hAnsi="Times New Roman" w:cs="Times New Roman"/>
                      <w:szCs w:val="21"/>
                    </w:rPr>
                    <w:t>严格生态环境准入</w:t>
                  </w:r>
                </w:p>
              </w:tc>
              <w:tc>
                <w:tcPr>
                  <w:tcW w:w="2479" w:type="pct"/>
                  <w:gridSpan w:val="2"/>
                  <w:vAlign w:val="center"/>
                </w:tcPr>
                <w:p w14:paraId="77ED2875">
                  <w:pPr>
                    <w:adjustRightInd w:val="0"/>
                    <w:snapToGrid w:val="0"/>
                    <w:rPr>
                      <w:rFonts w:ascii="Times New Roman" w:hAnsi="Times New Roman" w:cs="Times New Roman"/>
                      <w:szCs w:val="21"/>
                    </w:rPr>
                  </w:pPr>
                  <w:r>
                    <w:rPr>
                      <w:rFonts w:ascii="Times New Roman" w:hAnsi="Times New Roman" w:cs="Times New Roman"/>
                      <w:szCs w:val="21"/>
                    </w:rPr>
                    <w:t>强化规划环评与</w:t>
                  </w:r>
                  <w:r>
                    <w:rPr>
                      <w:rFonts w:hint="eastAsia" w:ascii="Times New Roman" w:hAnsi="Times New Roman" w:cs="Times New Roman"/>
                      <w:szCs w:val="21"/>
                    </w:rPr>
                    <w:t>“</w:t>
                  </w:r>
                  <w:r>
                    <w:rPr>
                      <w:rFonts w:ascii="Times New Roman" w:hAnsi="Times New Roman" w:cs="Times New Roman"/>
                      <w:szCs w:val="21"/>
                    </w:rPr>
                    <w:t>三线一单</w:t>
                  </w:r>
                  <w:r>
                    <w:rPr>
                      <w:rFonts w:hint="eastAsia" w:ascii="Times New Roman" w:hAnsi="Times New Roman" w:cs="Times New Roman"/>
                      <w:szCs w:val="21"/>
                    </w:rPr>
                    <w:t>”</w:t>
                  </w:r>
                  <w:r>
                    <w:rPr>
                      <w:rFonts w:ascii="Times New Roman" w:hAnsi="Times New Roman" w:cs="Times New Roman"/>
                      <w:szCs w:val="21"/>
                    </w:rPr>
                    <w:t>生态环境分区管控要求、国土空间</w:t>
                  </w:r>
                  <w:r>
                    <w:rPr>
                      <w:rFonts w:hint="eastAsia" w:ascii="Times New Roman" w:hAnsi="Times New Roman" w:cs="Times New Roman"/>
                      <w:szCs w:val="21"/>
                    </w:rPr>
                    <w:t>“</w:t>
                  </w:r>
                  <w:r>
                    <w:rPr>
                      <w:rFonts w:ascii="Times New Roman" w:hAnsi="Times New Roman" w:cs="Times New Roman"/>
                      <w:szCs w:val="21"/>
                    </w:rPr>
                    <w:t>三区三线</w:t>
                  </w:r>
                  <w:r>
                    <w:rPr>
                      <w:rFonts w:hint="eastAsia" w:ascii="Times New Roman" w:hAnsi="Times New Roman" w:cs="Times New Roman"/>
                      <w:szCs w:val="21"/>
                    </w:rPr>
                    <w:t>”</w:t>
                  </w:r>
                  <w:r>
                    <w:rPr>
                      <w:rFonts w:ascii="Times New Roman" w:hAnsi="Times New Roman" w:cs="Times New Roman"/>
                      <w:szCs w:val="21"/>
                    </w:rPr>
                    <w:t>等成果衔接，主要管控措施应符合重庆市及九龙坡区</w:t>
                  </w:r>
                  <w:r>
                    <w:rPr>
                      <w:rFonts w:hint="eastAsia" w:ascii="Times New Roman" w:hAnsi="Times New Roman" w:cs="Times New Roman"/>
                      <w:szCs w:val="21"/>
                    </w:rPr>
                    <w:t>“</w:t>
                  </w:r>
                  <w:r>
                    <w:rPr>
                      <w:rFonts w:ascii="Times New Roman" w:hAnsi="Times New Roman" w:cs="Times New Roman"/>
                      <w:szCs w:val="21"/>
                    </w:rPr>
                    <w:t>三线一单</w:t>
                  </w:r>
                  <w:r>
                    <w:rPr>
                      <w:rFonts w:hint="eastAsia" w:ascii="Times New Roman" w:hAnsi="Times New Roman" w:cs="Times New Roman"/>
                      <w:szCs w:val="21"/>
                    </w:rPr>
                    <w:t>”</w:t>
                  </w:r>
                  <w:r>
                    <w:rPr>
                      <w:rFonts w:ascii="Times New Roman" w:hAnsi="Times New Roman" w:cs="Times New Roman"/>
                      <w:szCs w:val="21"/>
                    </w:rPr>
                    <w:t>生态环境分区管控要求。规划区入驻项目应满足相关产业政策和环境准入要求以及《报告书》提出的生态环境管控要求。</w:t>
                  </w:r>
                </w:p>
              </w:tc>
              <w:tc>
                <w:tcPr>
                  <w:tcW w:w="1443" w:type="pct"/>
                  <w:vAlign w:val="center"/>
                </w:tcPr>
                <w:p w14:paraId="60361666">
                  <w:pPr>
                    <w:adjustRightInd w:val="0"/>
                    <w:snapToGrid w:val="0"/>
                    <w:jc w:val="center"/>
                    <w:rPr>
                      <w:rFonts w:ascii="Times New Roman" w:hAnsi="Times New Roman" w:cs="Times New Roman"/>
                      <w:szCs w:val="21"/>
                    </w:rPr>
                  </w:pPr>
                  <w:r>
                    <w:rPr>
                      <w:rFonts w:ascii="Times New Roman" w:hAnsi="Times New Roman" w:cs="Times New Roman"/>
                      <w:szCs w:val="21"/>
                    </w:rPr>
                    <w:t>本项目位于西彭工业园区西彭组团D标准分区，符合规划环评准入及</w:t>
                  </w:r>
                  <w:r>
                    <w:rPr>
                      <w:rFonts w:hint="eastAsia" w:ascii="Times New Roman" w:hAnsi="Times New Roman" w:cs="Times New Roman"/>
                      <w:szCs w:val="21"/>
                    </w:rPr>
                    <w:t>“</w:t>
                  </w:r>
                  <w:r>
                    <w:rPr>
                      <w:rFonts w:ascii="Times New Roman" w:hAnsi="Times New Roman" w:cs="Times New Roman"/>
                      <w:szCs w:val="21"/>
                    </w:rPr>
                    <w:t>三线一单</w:t>
                  </w:r>
                  <w:r>
                    <w:rPr>
                      <w:rFonts w:hint="eastAsia" w:ascii="Times New Roman" w:hAnsi="Times New Roman" w:cs="Times New Roman"/>
                      <w:szCs w:val="21"/>
                    </w:rPr>
                    <w:t>”</w:t>
                  </w:r>
                  <w:r>
                    <w:rPr>
                      <w:rFonts w:ascii="Times New Roman" w:hAnsi="Times New Roman" w:cs="Times New Roman"/>
                      <w:szCs w:val="21"/>
                    </w:rPr>
                    <w:t>要求</w:t>
                  </w:r>
                </w:p>
              </w:tc>
              <w:tc>
                <w:tcPr>
                  <w:tcW w:w="528" w:type="pct"/>
                  <w:vAlign w:val="center"/>
                </w:tcPr>
                <w:p w14:paraId="160637AD">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8C3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1E663070">
                  <w:pPr>
                    <w:adjustRightInd w:val="0"/>
                    <w:snapToGrid w:val="0"/>
                    <w:jc w:val="center"/>
                    <w:rPr>
                      <w:rFonts w:ascii="Times New Roman" w:hAnsi="Times New Roman" w:cs="Times New Roman"/>
                      <w:szCs w:val="21"/>
                    </w:rPr>
                  </w:pPr>
                  <w:r>
                    <w:rPr>
                      <w:rFonts w:ascii="Times New Roman" w:hAnsi="Times New Roman" w:cs="Times New Roman"/>
                      <w:szCs w:val="21"/>
                    </w:rPr>
                    <w:t>强化空间布局约束</w:t>
                  </w:r>
                </w:p>
              </w:tc>
              <w:tc>
                <w:tcPr>
                  <w:tcW w:w="2479" w:type="pct"/>
                  <w:gridSpan w:val="2"/>
                  <w:vAlign w:val="center"/>
                </w:tcPr>
                <w:p w14:paraId="515D05B7">
                  <w:pPr>
                    <w:adjustRightInd w:val="0"/>
                    <w:snapToGrid w:val="0"/>
                    <w:rPr>
                      <w:rFonts w:ascii="Times New Roman" w:hAnsi="Times New Roman" w:cs="Times New Roman"/>
                      <w:szCs w:val="21"/>
                    </w:rPr>
                  </w:pPr>
                  <w:r>
                    <w:rPr>
                      <w:rFonts w:ascii="Times New Roman" w:hAnsi="Times New Roman" w:cs="Times New Roman"/>
                      <w:szCs w:val="21"/>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本项目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镉、汞、砷、铅等重金属）、剧毒物质和持久性有机污染物的工业项目。</w:t>
                  </w:r>
                </w:p>
              </w:tc>
              <w:tc>
                <w:tcPr>
                  <w:tcW w:w="1443" w:type="pct"/>
                  <w:vAlign w:val="center"/>
                </w:tcPr>
                <w:p w14:paraId="78B10CD4">
                  <w:pPr>
                    <w:adjustRightInd w:val="0"/>
                    <w:snapToGrid w:val="0"/>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w:t>
                  </w:r>
                  <w:r>
                    <w:rPr>
                      <w:rFonts w:hint="eastAsia" w:ascii="Times New Roman" w:hAnsi="Times New Roman" w:cs="Times New Roman"/>
                      <w:szCs w:val="21"/>
                      <w:lang w:eastAsia="zh-CN"/>
                    </w:rPr>
                    <w:t>位于</w:t>
                  </w:r>
                  <w:r>
                    <w:rPr>
                      <w:rFonts w:ascii="Times New Roman" w:hAnsi="Times New Roman" w:cs="Times New Roman"/>
                      <w:szCs w:val="21"/>
                    </w:rPr>
                    <w:t>重庆西彭工业园区西彭组团</w:t>
                  </w:r>
                  <w:r>
                    <w:rPr>
                      <w:rFonts w:hint="eastAsia" w:ascii="Times New Roman" w:hAnsi="Times New Roman" w:cs="Times New Roman"/>
                      <w:sz w:val="24"/>
                      <w:szCs w:val="36"/>
                      <w:lang w:val="en-US" w:eastAsia="zh-CN"/>
                    </w:rPr>
                    <w:t>D标准分区</w:t>
                  </w:r>
                  <w:r>
                    <w:rPr>
                      <w:rFonts w:ascii="Times New Roman" w:hAnsi="Times New Roman" w:cs="Times New Roman"/>
                      <w:szCs w:val="21"/>
                    </w:rPr>
                    <w:t>，</w:t>
                  </w:r>
                  <w:r>
                    <w:rPr>
                      <w:rFonts w:hint="eastAsia" w:ascii="Times New Roman" w:hAnsi="Times New Roman" w:cs="Times New Roman"/>
                      <w:szCs w:val="21"/>
                      <w:lang w:eastAsia="zh-CN"/>
                    </w:rPr>
                    <w:t>不属于上述地块</w:t>
                  </w:r>
                  <w:r>
                    <w:rPr>
                      <w:rFonts w:ascii="Times New Roman" w:hAnsi="Times New Roman" w:cs="Times New Roman"/>
                      <w:szCs w:val="21"/>
                    </w:rPr>
                    <w:t>，</w:t>
                  </w:r>
                  <w:r>
                    <w:rPr>
                      <w:rFonts w:hint="eastAsia" w:ascii="Times New Roman" w:hAnsi="Times New Roman" w:cs="Times New Roman"/>
                      <w:szCs w:val="21"/>
                    </w:rPr>
                    <w:t>距离渝西中学约</w:t>
                  </w:r>
                  <w:r>
                    <w:rPr>
                      <w:rFonts w:hint="eastAsia" w:ascii="Times New Roman" w:hAnsi="Times New Roman" w:cs="Times New Roman"/>
                      <w:szCs w:val="21"/>
                      <w:lang w:val="en-US" w:eastAsia="zh-CN"/>
                    </w:rPr>
                    <w:t>2.7</w:t>
                  </w:r>
                  <w:r>
                    <w:rPr>
                      <w:rFonts w:hint="eastAsia" w:ascii="Times New Roman" w:hAnsi="Times New Roman" w:cs="Times New Roman"/>
                      <w:szCs w:val="21"/>
                    </w:rPr>
                    <w:t>km</w:t>
                  </w:r>
                  <w:r>
                    <w:rPr>
                      <w:rFonts w:ascii="Times New Roman" w:hAnsi="Times New Roman" w:cs="Times New Roman"/>
                      <w:szCs w:val="21"/>
                    </w:rPr>
                    <w:t>，</w:t>
                  </w:r>
                  <w:r>
                    <w:rPr>
                      <w:rFonts w:hint="eastAsia" w:ascii="Times New Roman" w:hAnsi="Times New Roman" w:cs="Times New Roman"/>
                      <w:szCs w:val="21"/>
                      <w:lang w:eastAsia="zh-CN"/>
                    </w:rPr>
                    <w:t>且</w:t>
                  </w:r>
                  <w:r>
                    <w:rPr>
                      <w:rFonts w:ascii="Times New Roman" w:hAnsi="Times New Roman" w:cs="Times New Roman"/>
                      <w:szCs w:val="21"/>
                    </w:rPr>
                    <w:t>不涉及喷漆、酸洗、熔炼</w:t>
                  </w:r>
                  <w:r>
                    <w:rPr>
                      <w:rFonts w:hint="eastAsia" w:ascii="Times New Roman" w:hAnsi="Times New Roman" w:cs="Times New Roman"/>
                      <w:szCs w:val="21"/>
                      <w:lang w:eastAsia="zh-CN"/>
                    </w:rPr>
                    <w:t>工序</w:t>
                  </w:r>
                  <w:r>
                    <w:rPr>
                      <w:rFonts w:ascii="Times New Roman" w:hAnsi="Times New Roman" w:cs="Times New Roman"/>
                      <w:szCs w:val="21"/>
                    </w:rPr>
                    <w:t>，不排放含重金属、剧毒物质和持久性有机污染物的废水</w:t>
                  </w:r>
                  <w:r>
                    <w:rPr>
                      <w:rFonts w:hint="eastAsia" w:ascii="Times New Roman" w:hAnsi="Times New Roman" w:cs="Times New Roman"/>
                      <w:szCs w:val="21"/>
                    </w:rPr>
                    <w:t>。</w:t>
                  </w:r>
                </w:p>
              </w:tc>
              <w:tc>
                <w:tcPr>
                  <w:tcW w:w="528" w:type="pct"/>
                  <w:vAlign w:val="center"/>
                </w:tcPr>
                <w:p w14:paraId="3B460891">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DF5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vAlign w:val="center"/>
                </w:tcPr>
                <w:p w14:paraId="4EBAA38E">
                  <w:pPr>
                    <w:adjustRightInd w:val="0"/>
                    <w:snapToGrid w:val="0"/>
                    <w:jc w:val="center"/>
                    <w:rPr>
                      <w:rFonts w:ascii="Times New Roman" w:hAnsi="Times New Roman" w:cs="Times New Roman"/>
                      <w:szCs w:val="21"/>
                    </w:rPr>
                  </w:pPr>
                  <w:r>
                    <w:rPr>
                      <w:rFonts w:ascii="Times New Roman" w:hAnsi="Times New Roman" w:cs="Times New Roman"/>
                      <w:szCs w:val="21"/>
                    </w:rPr>
                    <w:t>加强污染排放管控</w:t>
                  </w:r>
                </w:p>
              </w:tc>
              <w:tc>
                <w:tcPr>
                  <w:tcW w:w="381" w:type="pct"/>
                  <w:vAlign w:val="center"/>
                </w:tcPr>
                <w:p w14:paraId="692162C3">
                  <w:pPr>
                    <w:adjustRightInd w:val="0"/>
                    <w:snapToGrid w:val="0"/>
                    <w:jc w:val="center"/>
                    <w:rPr>
                      <w:rFonts w:ascii="Times New Roman" w:hAnsi="Times New Roman" w:cs="Times New Roman"/>
                      <w:szCs w:val="21"/>
                    </w:rPr>
                  </w:pPr>
                  <w:r>
                    <w:rPr>
                      <w:rFonts w:ascii="Times New Roman" w:hAnsi="Times New Roman" w:cs="Times New Roman"/>
                      <w:szCs w:val="21"/>
                    </w:rPr>
                    <w:t>水污染物排放管控</w:t>
                  </w:r>
                </w:p>
              </w:tc>
              <w:tc>
                <w:tcPr>
                  <w:tcW w:w="2098" w:type="pct"/>
                  <w:vAlign w:val="center"/>
                </w:tcPr>
                <w:p w14:paraId="40D6CD6C">
                  <w:pPr>
                    <w:adjustRightInd w:val="0"/>
                    <w:snapToGrid w:val="0"/>
                    <w:rPr>
                      <w:rFonts w:ascii="Times New Roman" w:hAnsi="Times New Roman" w:cs="Times New Roman"/>
                      <w:szCs w:val="21"/>
                    </w:rPr>
                  </w:pPr>
                  <w:r>
                    <w:rPr>
                      <w:rFonts w:ascii="Times New Roman" w:hAnsi="Times New Roman" w:cs="Times New Roman"/>
                      <w:szCs w:val="21"/>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₃-N、TP达《地表水环境质量标准》(GB3838-2002)Ⅳ类标准）；西南铝企业污废水经自建污水处理站处理达《污水综合排放标准》(GB8978-1996）一级标准后排入桥头河。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ascii="Times New Roman" w:hAnsi="Times New Roman" w:cs="Times New Roman"/>
                      <w:szCs w:val="21"/>
                      <w:vertAlign w:val="subscript"/>
                    </w:rPr>
                    <w:t>3</w:t>
                  </w:r>
                  <w:r>
                    <w:rPr>
                      <w:rFonts w:ascii="Times New Roman" w:hAnsi="Times New Roman" w:cs="Times New Roman"/>
                      <w:szCs w:val="21"/>
                    </w:rPr>
                    <w:t>-N、TP达《地表水环境质量标准》(GB3838-2002)Ⅳ类标准）。铜罐驿组团污废水（除重庆和友实业股份有限公司）污废水通过市政污水管网进入铜罐驿污水处理厂处理达《地表水环境质量标准》(GB3838-2002)Ⅳ类标准后排入金竹沟再汇入长江；重庆和友实业股份有限公司经自建污水处理站处理达到《合成氨工业水污染物排放标准》(GB13458-2013）后排入金竹沟再汇入长江。</w:t>
                  </w:r>
                </w:p>
              </w:tc>
              <w:tc>
                <w:tcPr>
                  <w:tcW w:w="1443" w:type="pct"/>
                  <w:vAlign w:val="center"/>
                </w:tcPr>
                <w:p w14:paraId="0B93885F">
                  <w:pPr>
                    <w:adjustRightInd w:val="0"/>
                    <w:snapToGrid w:val="0"/>
                    <w:rPr>
                      <w:rFonts w:ascii="Times New Roman" w:hAnsi="Times New Roman" w:cs="Times New Roman"/>
                      <w:szCs w:val="21"/>
                    </w:rPr>
                  </w:pPr>
                  <w:r>
                    <w:rPr>
                      <w:rFonts w:ascii="Times New Roman" w:hAnsi="Times New Roman" w:cs="Times New Roman"/>
                      <w:szCs w:val="21"/>
                    </w:rPr>
                    <w:t>本项目厂区雨污分流，雨水直接进入园区雨水管网；生活污水依托</w:t>
                  </w:r>
                  <w:r>
                    <w:rPr>
                      <w:rFonts w:hint="eastAsia" w:ascii="Times New Roman" w:hAnsi="Times New Roman" w:cs="Times New Roman"/>
                      <w:szCs w:val="21"/>
                      <w:lang w:eastAsia="zh-CN"/>
                    </w:rPr>
                    <w:t>盛德佳</w:t>
                  </w:r>
                  <w:r>
                    <w:rPr>
                      <w:rFonts w:hint="eastAsia" w:ascii="Times New Roman" w:hAnsi="Times New Roman" w:cs="Times New Roman"/>
                      <w:szCs w:val="21"/>
                    </w:rPr>
                    <w:t>公司</w:t>
                  </w:r>
                  <w:r>
                    <w:rPr>
                      <w:rFonts w:ascii="Times New Roman" w:hAnsi="Times New Roman" w:cs="Times New Roman"/>
                      <w:szCs w:val="21"/>
                    </w:rPr>
                    <w:t>已建生化池处理达《污水综合排放标准》（GB8978-1996）三级标准后排入园区管网，进入西彭工业园区污水处理厂处理后排入桥头河再汇入长江</w:t>
                  </w:r>
                  <w:r>
                    <w:rPr>
                      <w:rFonts w:hint="eastAsia" w:ascii="Times New Roman" w:hAnsi="Times New Roman" w:cs="Times New Roman"/>
                      <w:szCs w:val="21"/>
                    </w:rPr>
                    <w:t>。</w:t>
                  </w:r>
                </w:p>
              </w:tc>
              <w:tc>
                <w:tcPr>
                  <w:tcW w:w="528" w:type="pct"/>
                  <w:vAlign w:val="center"/>
                </w:tcPr>
                <w:p w14:paraId="35E359B6">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2F2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7C60EF00">
                  <w:pPr>
                    <w:adjustRightInd w:val="0"/>
                    <w:snapToGrid w:val="0"/>
                    <w:jc w:val="center"/>
                    <w:rPr>
                      <w:rFonts w:ascii="Times New Roman" w:hAnsi="Times New Roman" w:cs="Times New Roman"/>
                      <w:szCs w:val="21"/>
                    </w:rPr>
                  </w:pPr>
                </w:p>
              </w:tc>
              <w:tc>
                <w:tcPr>
                  <w:tcW w:w="381" w:type="pct"/>
                  <w:vAlign w:val="center"/>
                </w:tcPr>
                <w:p w14:paraId="2DBDD035">
                  <w:pPr>
                    <w:adjustRightInd w:val="0"/>
                    <w:snapToGrid w:val="0"/>
                    <w:jc w:val="center"/>
                    <w:rPr>
                      <w:rFonts w:ascii="Times New Roman" w:hAnsi="Times New Roman" w:cs="Times New Roman"/>
                      <w:szCs w:val="21"/>
                    </w:rPr>
                  </w:pPr>
                  <w:r>
                    <w:rPr>
                      <w:rFonts w:ascii="Times New Roman" w:hAnsi="Times New Roman" w:cs="Times New Roman"/>
                      <w:szCs w:val="21"/>
                    </w:rPr>
                    <w:t>大气污染物排放管控</w:t>
                  </w:r>
                </w:p>
              </w:tc>
              <w:tc>
                <w:tcPr>
                  <w:tcW w:w="2098" w:type="pct"/>
                  <w:vAlign w:val="center"/>
                </w:tcPr>
                <w:p w14:paraId="65E948CF">
                  <w:pPr>
                    <w:adjustRightInd w:val="0"/>
                    <w:snapToGrid w:val="0"/>
                    <w:rPr>
                      <w:rFonts w:ascii="Times New Roman" w:hAnsi="Times New Roman" w:cs="Times New Roman"/>
                      <w:szCs w:val="21"/>
                    </w:rPr>
                  </w:pPr>
                  <w:r>
                    <w:rPr>
                      <w:rFonts w:ascii="Times New Roman" w:hAnsi="Times New Roman" w:cs="Times New Roman"/>
                      <w:szCs w:val="21"/>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s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443" w:type="pct"/>
                  <w:vAlign w:val="center"/>
                </w:tcPr>
                <w:p w14:paraId="419B18F2">
                  <w:pPr>
                    <w:adjustRightInd w:val="0"/>
                    <w:snapToGrid w:val="0"/>
                    <w:rPr>
                      <w:rFonts w:ascii="Times New Roman" w:hAnsi="Times New Roman" w:cs="Times New Roman"/>
                      <w:szCs w:val="21"/>
                    </w:rPr>
                  </w:pPr>
                  <w:r>
                    <w:rPr>
                      <w:rFonts w:ascii="Times New Roman" w:hAnsi="Times New Roman" w:cs="Times New Roman"/>
                      <w:szCs w:val="21"/>
                    </w:rPr>
                    <w:t>项目</w:t>
                  </w:r>
                  <w:r>
                    <w:rPr>
                      <w:rFonts w:hint="eastAsia" w:ascii="Times New Roman" w:hAnsi="Times New Roman" w:cs="Times New Roman"/>
                      <w:szCs w:val="21"/>
                    </w:rPr>
                    <w:t>使用电能及天然气作为能源，生产原料为</w:t>
                  </w:r>
                  <w:r>
                    <w:rPr>
                      <w:rFonts w:hint="eastAsia" w:ascii="Times New Roman" w:hAnsi="Times New Roman" w:cs="Times New Roman"/>
                      <w:szCs w:val="21"/>
                      <w:lang w:eastAsia="zh-CN"/>
                    </w:rPr>
                    <w:t>纤维板、三聚氰胺浸胶纸</w:t>
                  </w:r>
                  <w:r>
                    <w:rPr>
                      <w:rFonts w:hint="eastAsia" w:ascii="Times New Roman" w:hAnsi="Times New Roman" w:cs="Times New Roman"/>
                      <w:szCs w:val="21"/>
                    </w:rPr>
                    <w:t>，不涉及喷漆、酸洗等工艺。生产过程中会产生</w:t>
                  </w:r>
                  <w:r>
                    <w:rPr>
                      <w:rFonts w:hint="eastAsia" w:ascii="Times New Roman" w:hAnsi="Times New Roman" w:cs="Times New Roman"/>
                      <w:color w:val="000000" w:themeColor="text1"/>
                      <w:szCs w:val="21"/>
                      <w14:textFill>
                        <w14:solidFill>
                          <w14:schemeClr w14:val="tx1"/>
                        </w14:solidFill>
                      </w14:textFill>
                    </w:rPr>
                    <w:t>VOCs废气</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采用“干式过滤+</w:t>
                  </w:r>
                  <w:r>
                    <w:rPr>
                      <w:rFonts w:hint="eastAsia" w:ascii="Times New Roman" w:hAnsi="Times New Roman" w:cs="Times New Roman"/>
                      <w:color w:val="000000" w:themeColor="text1"/>
                      <w:szCs w:val="21"/>
                      <w:lang w:eastAsia="zh-CN"/>
                      <w14:textFill>
                        <w14:solidFill>
                          <w14:schemeClr w14:val="tx1"/>
                        </w14:solidFill>
                      </w14:textFill>
                    </w:rPr>
                    <w:t>两级</w:t>
                  </w:r>
                  <w:r>
                    <w:rPr>
                      <w:rFonts w:hint="eastAsia" w:ascii="Times New Roman" w:hAnsi="Times New Roman" w:cs="Times New Roman"/>
                      <w:color w:val="000000" w:themeColor="text1"/>
                      <w:szCs w:val="21"/>
                      <w14:textFill>
                        <w14:solidFill>
                          <w14:schemeClr w14:val="tx1"/>
                        </w14:solidFill>
                      </w14:textFill>
                    </w:rPr>
                    <w:t>活性炭”吸附处置后有组织排放。</w:t>
                  </w:r>
                </w:p>
              </w:tc>
              <w:tc>
                <w:tcPr>
                  <w:tcW w:w="528" w:type="pct"/>
                  <w:vAlign w:val="center"/>
                </w:tcPr>
                <w:p w14:paraId="7618DD65">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5AF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15310F42">
                  <w:pPr>
                    <w:adjustRightInd w:val="0"/>
                    <w:snapToGrid w:val="0"/>
                    <w:jc w:val="center"/>
                    <w:rPr>
                      <w:rFonts w:ascii="Times New Roman" w:hAnsi="Times New Roman" w:cs="Times New Roman"/>
                      <w:szCs w:val="21"/>
                    </w:rPr>
                  </w:pPr>
                </w:p>
              </w:tc>
              <w:tc>
                <w:tcPr>
                  <w:tcW w:w="381" w:type="pct"/>
                  <w:vAlign w:val="center"/>
                </w:tcPr>
                <w:p w14:paraId="1623250E">
                  <w:pPr>
                    <w:adjustRightInd w:val="0"/>
                    <w:snapToGrid w:val="0"/>
                    <w:jc w:val="center"/>
                    <w:rPr>
                      <w:rFonts w:ascii="Times New Roman" w:hAnsi="Times New Roman" w:cs="Times New Roman"/>
                      <w:szCs w:val="21"/>
                    </w:rPr>
                  </w:pPr>
                  <w:r>
                    <w:rPr>
                      <w:rFonts w:ascii="Times New Roman" w:hAnsi="Times New Roman" w:cs="Times New Roman"/>
                      <w:szCs w:val="21"/>
                    </w:rPr>
                    <w:t>工业固废排放管控</w:t>
                  </w:r>
                </w:p>
              </w:tc>
              <w:tc>
                <w:tcPr>
                  <w:tcW w:w="2098" w:type="pct"/>
                  <w:vAlign w:val="center"/>
                </w:tcPr>
                <w:p w14:paraId="5D5147E6">
                  <w:pPr>
                    <w:adjustRightInd w:val="0"/>
                    <w:snapToGrid w:val="0"/>
                    <w:rPr>
                      <w:rFonts w:ascii="Times New Roman" w:hAnsi="Times New Roman" w:cs="Times New Roman"/>
                      <w:szCs w:val="21"/>
                    </w:rPr>
                  </w:pPr>
                  <w:r>
                    <w:rPr>
                      <w:rFonts w:ascii="Times New Roman" w:hAnsi="Times New Roman" w:cs="Times New Roman"/>
                      <w:szCs w:val="21"/>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令第23号）相关要求。</w:t>
                  </w:r>
                </w:p>
              </w:tc>
              <w:tc>
                <w:tcPr>
                  <w:tcW w:w="1443" w:type="pct"/>
                  <w:vAlign w:val="center"/>
                </w:tcPr>
                <w:p w14:paraId="12403D24">
                  <w:pPr>
                    <w:adjustRightInd w:val="0"/>
                    <w:snapToGrid w:val="0"/>
                    <w:rPr>
                      <w:rFonts w:ascii="Times New Roman" w:hAnsi="Times New Roman" w:cs="Times New Roman"/>
                      <w:szCs w:val="21"/>
                    </w:rPr>
                  </w:pPr>
                  <w:r>
                    <w:rPr>
                      <w:rFonts w:hint="eastAsia" w:ascii="Times New Roman" w:hAnsi="Times New Roman" w:cs="Times New Roman"/>
                      <w:szCs w:val="21"/>
                    </w:rPr>
                    <w:t>本项目</w:t>
                  </w:r>
                  <w:r>
                    <w:rPr>
                      <w:rFonts w:ascii="Times New Roman" w:hAnsi="Times New Roman" w:cs="Times New Roman"/>
                      <w:color w:val="000000" w:themeColor="text1"/>
                      <w:szCs w:val="21"/>
                      <w14:textFill>
                        <w14:solidFill>
                          <w14:schemeClr w14:val="tx1"/>
                        </w14:solidFill>
                      </w14:textFill>
                    </w:rPr>
                    <w:t>设置</w:t>
                  </w:r>
                  <w:r>
                    <w:rPr>
                      <w:rFonts w:hint="eastAsia" w:ascii="Times New Roman" w:hAnsi="Times New Roman" w:cs="Times New Roman"/>
                      <w:color w:val="000000" w:themeColor="text1"/>
                      <w:szCs w:val="21"/>
                      <w14:textFill>
                        <w14:solidFill>
                          <w14:schemeClr w14:val="tx1"/>
                        </w14:solidFill>
                      </w14:textFill>
                    </w:rPr>
                    <w:t>的</w:t>
                  </w:r>
                  <w:r>
                    <w:rPr>
                      <w:rFonts w:ascii="Times New Roman" w:hAnsi="Times New Roman" w:cs="Times New Roman"/>
                      <w:color w:val="000000" w:themeColor="text1"/>
                      <w:szCs w:val="21"/>
                      <w14:textFill>
                        <w14:solidFill>
                          <w14:schemeClr w14:val="tx1"/>
                        </w14:solidFill>
                      </w14:textFill>
                    </w:rPr>
                    <w:t>1个一般固废暂存区，分类收集，定期外售处理；设置1处危险废物贮存点，分类收集，定期交由有危废资质的单位处理</w:t>
                  </w:r>
                </w:p>
              </w:tc>
              <w:tc>
                <w:tcPr>
                  <w:tcW w:w="528" w:type="pct"/>
                  <w:vAlign w:val="center"/>
                </w:tcPr>
                <w:p w14:paraId="457647D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103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0C209A2F">
                  <w:pPr>
                    <w:adjustRightInd w:val="0"/>
                    <w:snapToGrid w:val="0"/>
                    <w:jc w:val="center"/>
                    <w:rPr>
                      <w:rFonts w:ascii="Times New Roman" w:hAnsi="Times New Roman" w:cs="Times New Roman"/>
                      <w:szCs w:val="21"/>
                    </w:rPr>
                  </w:pPr>
                </w:p>
              </w:tc>
              <w:tc>
                <w:tcPr>
                  <w:tcW w:w="381" w:type="pct"/>
                  <w:vAlign w:val="center"/>
                </w:tcPr>
                <w:p w14:paraId="59C7C468">
                  <w:pPr>
                    <w:adjustRightInd w:val="0"/>
                    <w:snapToGrid w:val="0"/>
                    <w:jc w:val="center"/>
                    <w:rPr>
                      <w:rFonts w:ascii="Times New Roman" w:hAnsi="Times New Roman" w:cs="Times New Roman"/>
                      <w:szCs w:val="21"/>
                    </w:rPr>
                  </w:pPr>
                  <w:r>
                    <w:rPr>
                      <w:rFonts w:ascii="Times New Roman" w:hAnsi="Times New Roman" w:cs="Times New Roman"/>
                      <w:szCs w:val="21"/>
                    </w:rPr>
                    <w:t>噪声污染管控</w:t>
                  </w:r>
                </w:p>
              </w:tc>
              <w:tc>
                <w:tcPr>
                  <w:tcW w:w="2098" w:type="pct"/>
                  <w:vAlign w:val="center"/>
                </w:tcPr>
                <w:p w14:paraId="5FC6A09F">
                  <w:pPr>
                    <w:adjustRightInd w:val="0"/>
                    <w:snapToGrid w:val="0"/>
                    <w:rPr>
                      <w:rFonts w:ascii="Times New Roman" w:hAnsi="Times New Roman" w:cs="Times New Roman"/>
                      <w:szCs w:val="21"/>
                    </w:rPr>
                  </w:pPr>
                  <w:r>
                    <w:rPr>
                      <w:rFonts w:ascii="Times New Roman" w:hAnsi="Times New Roman" w:cs="Times New Roman"/>
                      <w:szCs w:val="21"/>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443" w:type="pct"/>
                  <w:vAlign w:val="center"/>
                </w:tcPr>
                <w:p w14:paraId="620CE19B">
                  <w:pPr>
                    <w:adjustRightInd w:val="0"/>
                    <w:snapToGrid w:val="0"/>
                    <w:rPr>
                      <w:rFonts w:ascii="Times New Roman" w:hAnsi="Times New Roman" w:cs="Times New Roman"/>
                      <w:szCs w:val="21"/>
                    </w:rPr>
                  </w:pPr>
                  <w:r>
                    <w:rPr>
                      <w:rFonts w:ascii="Times New Roman" w:hAnsi="Times New Roman" w:cs="Times New Roman"/>
                      <w:szCs w:val="21"/>
                    </w:rPr>
                    <w:t>本项目选用低噪声设备，通过合理布局、建筑隔声等措施，确保厂界噪声达标</w:t>
                  </w:r>
                </w:p>
              </w:tc>
              <w:tc>
                <w:tcPr>
                  <w:tcW w:w="528" w:type="pct"/>
                  <w:vAlign w:val="center"/>
                </w:tcPr>
                <w:p w14:paraId="2337DC17">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EFF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5F9335BF">
                  <w:pPr>
                    <w:adjustRightInd w:val="0"/>
                    <w:snapToGrid w:val="0"/>
                    <w:jc w:val="center"/>
                    <w:rPr>
                      <w:rFonts w:ascii="Times New Roman" w:hAnsi="Times New Roman" w:cs="Times New Roman"/>
                      <w:szCs w:val="21"/>
                    </w:rPr>
                  </w:pPr>
                </w:p>
              </w:tc>
              <w:tc>
                <w:tcPr>
                  <w:tcW w:w="381" w:type="pct"/>
                  <w:vAlign w:val="center"/>
                </w:tcPr>
                <w:p w14:paraId="2D81BEF3">
                  <w:pPr>
                    <w:adjustRightInd w:val="0"/>
                    <w:snapToGrid w:val="0"/>
                    <w:jc w:val="center"/>
                    <w:rPr>
                      <w:rFonts w:ascii="Times New Roman" w:hAnsi="Times New Roman" w:cs="Times New Roman"/>
                      <w:szCs w:val="21"/>
                    </w:rPr>
                  </w:pPr>
                  <w:r>
                    <w:rPr>
                      <w:rFonts w:ascii="Times New Roman" w:hAnsi="Times New Roman" w:cs="Times New Roman"/>
                      <w:szCs w:val="21"/>
                    </w:rPr>
                    <w:t>土壤、地下水污染风险防控</w:t>
                  </w:r>
                </w:p>
              </w:tc>
              <w:tc>
                <w:tcPr>
                  <w:tcW w:w="2098" w:type="pct"/>
                  <w:vAlign w:val="center"/>
                </w:tcPr>
                <w:p w14:paraId="65872C98">
                  <w:pPr>
                    <w:adjustRightInd w:val="0"/>
                    <w:snapToGrid w:val="0"/>
                    <w:rPr>
                      <w:rFonts w:ascii="Times New Roman" w:hAnsi="Times New Roman" w:cs="Times New Roman"/>
                      <w:szCs w:val="21"/>
                    </w:rPr>
                  </w:pPr>
                  <w:r>
                    <w:rPr>
                      <w:rFonts w:ascii="Times New Roman" w:hAnsi="Times New Roman" w:cs="Times New Roman"/>
                      <w:szCs w:val="21"/>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443" w:type="pct"/>
                  <w:vAlign w:val="center"/>
                </w:tcPr>
                <w:p w14:paraId="0DC6A587">
                  <w:pPr>
                    <w:adjustRightInd w:val="0"/>
                    <w:snapToGrid w:val="0"/>
                    <w:rPr>
                      <w:rFonts w:ascii="Times New Roman" w:hAnsi="Times New Roman" w:cs="Times New Roman"/>
                      <w:szCs w:val="21"/>
                    </w:rPr>
                  </w:pPr>
                  <w:r>
                    <w:rPr>
                      <w:rFonts w:ascii="Times New Roman" w:hAnsi="Times New Roman" w:cs="Times New Roman"/>
                      <w:szCs w:val="21"/>
                    </w:rPr>
                    <w:t>本项目不涉及排放重金属，对设置的危险废物贮存点采取“六防”措施</w:t>
                  </w:r>
                </w:p>
              </w:tc>
              <w:tc>
                <w:tcPr>
                  <w:tcW w:w="528" w:type="pct"/>
                  <w:vAlign w:val="center"/>
                </w:tcPr>
                <w:p w14:paraId="18C8EB83">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5F54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61CE6BCE">
                  <w:pPr>
                    <w:adjustRightInd w:val="0"/>
                    <w:snapToGrid w:val="0"/>
                    <w:jc w:val="center"/>
                    <w:rPr>
                      <w:rFonts w:ascii="Times New Roman" w:hAnsi="Times New Roman" w:cs="Times New Roman"/>
                      <w:szCs w:val="21"/>
                    </w:rPr>
                  </w:pPr>
                </w:p>
              </w:tc>
              <w:tc>
                <w:tcPr>
                  <w:tcW w:w="381" w:type="pct"/>
                  <w:vAlign w:val="center"/>
                </w:tcPr>
                <w:p w14:paraId="470AA1B7">
                  <w:pPr>
                    <w:adjustRightInd w:val="0"/>
                    <w:snapToGrid w:val="0"/>
                    <w:jc w:val="center"/>
                    <w:rPr>
                      <w:rFonts w:ascii="Times New Roman" w:hAnsi="Times New Roman" w:cs="Times New Roman"/>
                      <w:szCs w:val="21"/>
                    </w:rPr>
                  </w:pPr>
                  <w:r>
                    <w:rPr>
                      <w:rFonts w:ascii="Times New Roman" w:hAnsi="Times New Roman" w:cs="Times New Roman"/>
                      <w:szCs w:val="21"/>
                    </w:rPr>
                    <w:t>碳排放管控</w:t>
                  </w:r>
                </w:p>
              </w:tc>
              <w:tc>
                <w:tcPr>
                  <w:tcW w:w="2098" w:type="pct"/>
                  <w:vAlign w:val="center"/>
                </w:tcPr>
                <w:p w14:paraId="7DEAC830">
                  <w:pPr>
                    <w:adjustRightInd w:val="0"/>
                    <w:snapToGrid w:val="0"/>
                    <w:rPr>
                      <w:rFonts w:ascii="Times New Roman" w:hAnsi="Times New Roman" w:cs="Times New Roman"/>
                      <w:szCs w:val="21"/>
                    </w:rPr>
                  </w:pPr>
                  <w:r>
                    <w:rPr>
                      <w:rFonts w:ascii="Times New Roman" w:hAnsi="Times New Roman" w:cs="Times New Roman"/>
                      <w:szCs w:val="21"/>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1443" w:type="pct"/>
                  <w:vAlign w:val="center"/>
                </w:tcPr>
                <w:p w14:paraId="330ECA0E">
                  <w:pPr>
                    <w:adjustRightInd w:val="0"/>
                    <w:snapToGrid w:val="0"/>
                    <w:jc w:val="center"/>
                    <w:rPr>
                      <w:rFonts w:ascii="Times New Roman" w:hAnsi="Times New Roman" w:cs="Times New Roman"/>
                      <w:szCs w:val="21"/>
                    </w:rPr>
                  </w:pPr>
                  <w:r>
                    <w:rPr>
                      <w:rFonts w:ascii="Times New Roman" w:hAnsi="Times New Roman" w:cs="Times New Roman"/>
                      <w:szCs w:val="21"/>
                    </w:rPr>
                    <w:t>本项目不涉及</w:t>
                  </w:r>
                </w:p>
              </w:tc>
              <w:tc>
                <w:tcPr>
                  <w:tcW w:w="528" w:type="pct"/>
                  <w:vAlign w:val="center"/>
                </w:tcPr>
                <w:p w14:paraId="596A553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3A9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41F0DB85">
                  <w:pPr>
                    <w:adjustRightInd w:val="0"/>
                    <w:snapToGrid w:val="0"/>
                    <w:jc w:val="center"/>
                    <w:rPr>
                      <w:rFonts w:ascii="Times New Roman" w:hAnsi="Times New Roman" w:cs="Times New Roman"/>
                      <w:szCs w:val="21"/>
                    </w:rPr>
                  </w:pPr>
                  <w:r>
                    <w:rPr>
                      <w:rFonts w:ascii="Times New Roman" w:hAnsi="Times New Roman" w:cs="Times New Roman"/>
                      <w:szCs w:val="21"/>
                    </w:rPr>
                    <w:t>环境风险防控</w:t>
                  </w:r>
                </w:p>
              </w:tc>
              <w:tc>
                <w:tcPr>
                  <w:tcW w:w="2479" w:type="pct"/>
                  <w:gridSpan w:val="2"/>
                  <w:vAlign w:val="center"/>
                </w:tcPr>
                <w:p w14:paraId="50224D0A">
                  <w:pPr>
                    <w:adjustRightInd w:val="0"/>
                    <w:snapToGrid w:val="0"/>
                    <w:rPr>
                      <w:rFonts w:ascii="Times New Roman" w:hAnsi="Times New Roman" w:cs="Times New Roman"/>
                      <w:szCs w:val="21"/>
                    </w:rPr>
                  </w:pPr>
                  <w:r>
                    <w:rPr>
                      <w:rFonts w:ascii="Times New Roman" w:hAnsi="Times New Roman" w:cs="Times New Roman"/>
                      <w:szCs w:val="21"/>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1443" w:type="pct"/>
                  <w:vAlign w:val="center"/>
                </w:tcPr>
                <w:p w14:paraId="4EF25CA9">
                  <w:pPr>
                    <w:adjustRightInd w:val="0"/>
                    <w:snapToGrid w:val="0"/>
                    <w:rPr>
                      <w:rFonts w:ascii="Times New Roman" w:hAnsi="Times New Roman" w:cs="Times New Roman"/>
                      <w:szCs w:val="21"/>
                    </w:rPr>
                  </w:pPr>
                  <w:r>
                    <w:rPr>
                      <w:rFonts w:ascii="Times New Roman" w:hAnsi="Times New Roman" w:cs="Times New Roman"/>
                      <w:szCs w:val="21"/>
                    </w:rPr>
                    <w:t>本</w:t>
                  </w:r>
                  <w:r>
                    <w:rPr>
                      <w:rFonts w:hint="eastAsia" w:ascii="Times New Roman" w:hAnsi="Times New Roman" w:cs="Times New Roman"/>
                      <w:szCs w:val="21"/>
                      <w:lang w:eastAsia="zh-CN"/>
                    </w:rPr>
                    <w:t>项目属于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，危险废物贮存</w:t>
                  </w:r>
                  <w:r>
                    <w:rPr>
                      <w:rFonts w:hint="eastAsia" w:ascii="Times New Roman" w:hAnsi="Times New Roman" w:cs="Times New Roman"/>
                      <w:szCs w:val="21"/>
                    </w:rPr>
                    <w:t>设施依托现有工程设置的危废间，采取严格的防渗措施。</w:t>
                  </w:r>
                </w:p>
              </w:tc>
              <w:tc>
                <w:tcPr>
                  <w:tcW w:w="528" w:type="pct"/>
                  <w:vAlign w:val="center"/>
                </w:tcPr>
                <w:p w14:paraId="42D9AC0A">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bl>
          <w:p w14:paraId="0131CA82">
            <w:pPr>
              <w:autoSpaceDE w:val="0"/>
              <w:autoSpaceDN w:val="0"/>
              <w:adjustRightInd w:val="0"/>
              <w:snapToGrid w:val="0"/>
              <w:spacing w:line="480" w:lineRule="exact"/>
              <w:ind w:firstLine="480" w:firstLineChars="200"/>
              <w:jc w:val="left"/>
              <w:rPr>
                <w:rFonts w:hint="default" w:ascii="Times New Roman" w:hAnsi="Times New Roman" w:cs="Times New Roman"/>
                <w:b/>
                <w:bCs/>
                <w:kern w:val="0"/>
                <w:sz w:val="24"/>
                <w:lang w:val="en-US" w:eastAsia="zh-CN"/>
              </w:rPr>
            </w:pPr>
            <w:r>
              <w:rPr>
                <w:rFonts w:hint="default" w:ascii="Times New Roman" w:hAnsi="Times New Roman" w:cs="Times New Roman"/>
                <w:sz w:val="24"/>
              </w:rPr>
              <w:t>由表</w:t>
            </w:r>
            <w:r>
              <w:rPr>
                <w:rFonts w:hint="default" w:ascii="Times New Roman" w:hAnsi="Times New Roman" w:cs="Times New Roman"/>
                <w:sz w:val="24"/>
                <w:lang w:val="en-US" w:eastAsia="zh-CN"/>
              </w:rPr>
              <w:t>1.1-1、表1.1-2</w:t>
            </w:r>
            <w:r>
              <w:rPr>
                <w:rFonts w:hint="default" w:ascii="Times New Roman" w:hAnsi="Times New Roman" w:cs="Times New Roman"/>
                <w:sz w:val="24"/>
              </w:rPr>
              <w:t>所知</w:t>
            </w:r>
            <w:r>
              <w:rPr>
                <w:rFonts w:hint="default" w:ascii="Times New Roman" w:hAnsi="Times New Roman" w:cs="Times New Roman"/>
                <w:kern w:val="0"/>
                <w:sz w:val="24"/>
              </w:rPr>
              <w:t>，本项目符合</w:t>
            </w:r>
            <w:r>
              <w:rPr>
                <w:rFonts w:hint="default" w:ascii="Times New Roman" w:hAnsi="Times New Roman" w:cs="Times New Roman"/>
                <w:sz w:val="24"/>
              </w:rPr>
              <w:t>《重庆西彭工业园区规划环境影响报告书审查意见的函》（渝环函〔2023〕439号）</w:t>
            </w:r>
            <w:r>
              <w:rPr>
                <w:rFonts w:hint="default" w:ascii="Times New Roman" w:hAnsi="Times New Roman" w:cs="Times New Roman"/>
                <w:kern w:val="0"/>
                <w:sz w:val="24"/>
              </w:rPr>
              <w:t>中的相关要求。</w:t>
            </w:r>
          </w:p>
          <w:p w14:paraId="6EFB2EF2">
            <w:pPr>
              <w:autoSpaceDE w:val="0"/>
              <w:autoSpaceDN w:val="0"/>
              <w:adjustRightInd w:val="0"/>
              <w:snapToGrid w:val="0"/>
              <w:spacing w:line="480" w:lineRule="exact"/>
              <w:jc w:val="left"/>
              <w:rPr>
                <w:rFonts w:hint="default" w:ascii="Times New Roman" w:hAnsi="Times New Roman" w:cs="Times New Roman"/>
                <w:b/>
                <w:bCs/>
                <w:kern w:val="0"/>
                <w:sz w:val="24"/>
              </w:rPr>
            </w:pPr>
            <w:r>
              <w:rPr>
                <w:rFonts w:hint="default" w:ascii="Times New Roman" w:hAnsi="Times New Roman" w:cs="Times New Roman"/>
                <w:b/>
                <w:bCs/>
                <w:kern w:val="0"/>
                <w:sz w:val="24"/>
                <w:lang w:val="en-US" w:eastAsia="zh-CN"/>
              </w:rPr>
              <w:t>1.1.2</w:t>
            </w:r>
            <w:r>
              <w:rPr>
                <w:rFonts w:hint="default" w:ascii="Times New Roman" w:hAnsi="Times New Roman" w:cs="Times New Roman"/>
                <w:b/>
                <w:bCs/>
                <w:kern w:val="0"/>
                <w:sz w:val="24"/>
              </w:rPr>
              <w:t>与《重庆西彭工业园区规划补充环境影响报告书》及审查意见的函的符合性分析</w:t>
            </w:r>
          </w:p>
          <w:p w14:paraId="7BE1B401">
            <w:pPr>
              <w:spacing w:before="31" w:beforeLines="10" w:line="372" w:lineRule="auto"/>
              <w:ind w:firstLine="480" w:firstLineChars="200"/>
              <w:rPr>
                <w:rFonts w:ascii="Times New Roman" w:hAnsi="Times New Roman" w:eastAsia="宋体"/>
                <w:sz w:val="24"/>
              </w:rPr>
            </w:pPr>
            <w:r>
              <w:rPr>
                <w:kern w:val="0"/>
                <w:sz w:val="24"/>
              </w:rPr>
              <w:t>本项目所在地块不属于《重庆西彭工业园区规划补充环境影响报告书》调整地块区域，不再进行与</w:t>
            </w:r>
            <w:r>
              <w:rPr>
                <w:sz w:val="24"/>
              </w:rPr>
              <w:t>《重庆西彭工业园区规划补充环境影响报告书》及审查意见的函的符合性分析。</w:t>
            </w:r>
          </w:p>
        </w:tc>
      </w:tr>
      <w:tr w14:paraId="763D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39" w:type="pct"/>
            <w:vAlign w:val="center"/>
          </w:tcPr>
          <w:p w14:paraId="25D4B64D">
            <w:pPr>
              <w:spacing w:line="360" w:lineRule="auto"/>
              <w:jc w:val="center"/>
              <w:rPr>
                <w:rFonts w:ascii="Times New Roman" w:hAnsi="Times New Roman" w:eastAsia="宋体"/>
                <w:b/>
                <w:bCs/>
                <w:sz w:val="24"/>
              </w:rPr>
            </w:pPr>
            <w:r>
              <w:rPr>
                <w:rFonts w:hint="eastAsia" w:ascii="Times New Roman" w:hAnsi="Times New Roman" w:eastAsia="宋体"/>
                <w:b/>
                <w:bCs/>
                <w:sz w:val="24"/>
              </w:rPr>
              <w:t>其他符合性分析</w:t>
            </w:r>
          </w:p>
        </w:tc>
        <w:tc>
          <w:tcPr>
            <w:tcW w:w="4160" w:type="pct"/>
            <w:gridSpan w:val="3"/>
            <w:tcBorders>
              <w:bottom w:val="single" w:color="auto" w:sz="4" w:space="0"/>
            </w:tcBorders>
          </w:tcPr>
          <w:p w14:paraId="6C627B37">
            <w:pPr>
              <w:spacing w:line="360" w:lineRule="auto"/>
              <w:rPr>
                <w:rFonts w:ascii="Times New Roman" w:hAnsi="Times New Roman" w:cs="Times New Roman"/>
                <w:szCs w:val="36"/>
              </w:rPr>
            </w:pPr>
            <w:r>
              <w:rPr>
                <w:rFonts w:ascii="Times New Roman" w:hAnsi="Times New Roman" w:cs="Times New Roman"/>
                <w:b/>
                <w:sz w:val="24"/>
              </w:rPr>
              <w:t>1.</w:t>
            </w:r>
            <w:r>
              <w:rPr>
                <w:rFonts w:hint="eastAsia" w:ascii="Times New Roman" w:hAnsi="Times New Roman" w:cs="Times New Roman"/>
                <w:b/>
                <w:sz w:val="24"/>
              </w:rPr>
              <w:t>2</w:t>
            </w:r>
            <w:r>
              <w:rPr>
                <w:rFonts w:ascii="Times New Roman" w:hAnsi="Times New Roman" w:cs="Times New Roman"/>
                <w:b/>
                <w:sz w:val="24"/>
              </w:rPr>
              <w:t>其他符合性分析</w:t>
            </w:r>
          </w:p>
          <w:p w14:paraId="191DE59E">
            <w:pPr>
              <w:spacing w:line="360" w:lineRule="auto"/>
              <w:rPr>
                <w:rFonts w:ascii="Times New Roman" w:hAnsi="Times New Roman" w:cs="Times New Roman"/>
                <w:szCs w:val="36"/>
              </w:rPr>
            </w:pPr>
            <w:r>
              <w:rPr>
                <w:rFonts w:ascii="Times New Roman" w:hAnsi="Times New Roman" w:cs="Times New Roman"/>
                <w:b/>
                <w:sz w:val="24"/>
              </w:rPr>
              <w:t>1.</w:t>
            </w:r>
            <w:r>
              <w:rPr>
                <w:rFonts w:hint="eastAsia" w:ascii="Times New Roman" w:hAnsi="Times New Roman" w:cs="Times New Roman"/>
                <w:b/>
                <w:sz w:val="24"/>
              </w:rPr>
              <w:t>2</w:t>
            </w:r>
            <w:r>
              <w:rPr>
                <w:rFonts w:ascii="Times New Roman" w:hAnsi="Times New Roman" w:cs="Times New Roman"/>
                <w:b/>
                <w:sz w:val="24"/>
              </w:rPr>
              <w:t>.1与“三线一单”的符合性分析</w:t>
            </w:r>
          </w:p>
          <w:p w14:paraId="2AFEA2F6">
            <w:pPr>
              <w:tabs>
                <w:tab w:val="right" w:leader="dot" w:pos="9180"/>
              </w:tabs>
              <w:autoSpaceDE w:val="0"/>
              <w:autoSpaceDN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根据重庆市“三线一单”智检服务网站生成的项目所在地“三线一单”分析检测报告，本项目属于九龙坡区重点管控单元，单元名称为九龙坡区工业城镇重点管控单元-九龙西城片区（ZH50010720002）。</w:t>
            </w:r>
          </w:p>
          <w:p w14:paraId="05BE7290">
            <w:pPr>
              <w:spacing w:line="372" w:lineRule="auto"/>
              <w:ind w:firstLine="480" w:firstLineChars="200"/>
              <w:rPr>
                <w:rFonts w:ascii="Times New Roman" w:hAnsi="Times New Roman" w:eastAsia="宋体"/>
                <w:b/>
                <w:bCs/>
                <w:sz w:val="24"/>
              </w:rPr>
            </w:pPr>
            <w:r>
              <w:rPr>
                <w:rFonts w:ascii="Times New Roman" w:hAnsi="Times New Roman" w:cs="Times New Roman"/>
                <w:sz w:val="24"/>
              </w:rPr>
              <w:t>本项目与“三线一单”管控要求的符合性分析见表1.</w:t>
            </w:r>
            <w:r>
              <w:rPr>
                <w:rFonts w:hint="eastAsia" w:ascii="Times New Roman" w:hAnsi="Times New Roman" w:cs="Times New Roman"/>
                <w:sz w:val="24"/>
              </w:rPr>
              <w:t>2</w:t>
            </w:r>
            <w:r>
              <w:rPr>
                <w:rFonts w:ascii="Times New Roman" w:hAnsi="Times New Roman" w:cs="Times New Roman"/>
                <w:sz w:val="24"/>
              </w:rPr>
              <w:t>-1。</w:t>
            </w:r>
          </w:p>
        </w:tc>
      </w:tr>
    </w:tbl>
    <w:p w14:paraId="3AB48335">
      <w:pPr>
        <w:spacing w:line="40" w:lineRule="exact"/>
        <w:rPr>
          <w:rFonts w:ascii="Times New Roman" w:hAnsi="Times New Roman"/>
        </w:rPr>
      </w:pPr>
    </w:p>
    <w:p w14:paraId="3A1A56B4">
      <w:pPr>
        <w:spacing w:line="40" w:lineRule="exact"/>
        <w:rPr>
          <w:rFonts w:ascii="Times New Roman" w:hAnsi="Times New Roman"/>
        </w:rPr>
      </w:pPr>
    </w:p>
    <w:p w14:paraId="1F7D180D">
      <w:pPr>
        <w:pStyle w:val="35"/>
        <w:rPr>
          <w:rFonts w:ascii="Times New Roman" w:hAnsi="Times New Roman"/>
          <w:color w:val="auto"/>
          <w:sz w:val="21"/>
        </w:rPr>
      </w:pPr>
    </w:p>
    <w:p w14:paraId="1D106A57">
      <w:pPr>
        <w:rPr>
          <w:rFonts w:ascii="Times New Roman" w:hAnsi="Times New Roman"/>
        </w:rPr>
        <w:sectPr>
          <w:footerReference r:id="rId3" w:type="default"/>
          <w:pgSz w:w="11906" w:h="16838"/>
          <w:pgMar w:top="1440" w:right="1344" w:bottom="1440" w:left="151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14:paraId="28CF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trPr>
        <w:tc>
          <w:tcPr>
            <w:tcW w:w="704" w:type="dxa"/>
            <w:vAlign w:val="center"/>
          </w:tcPr>
          <w:p w14:paraId="19CC4740">
            <w:pPr>
              <w:spacing w:line="360" w:lineRule="auto"/>
              <w:jc w:val="center"/>
              <w:rPr>
                <w:sz w:val="24"/>
                <w:szCs w:val="36"/>
              </w:rPr>
            </w:pPr>
            <w:r>
              <w:rPr>
                <w:rFonts w:hint="eastAsia" w:ascii="Times New Roman" w:hAnsi="Times New Roman" w:eastAsia="宋体"/>
                <w:b/>
                <w:bCs/>
                <w:sz w:val="24"/>
              </w:rPr>
              <w:t>其他符合性分析</w:t>
            </w:r>
          </w:p>
        </w:tc>
        <w:tc>
          <w:tcPr>
            <w:tcW w:w="13244" w:type="dxa"/>
          </w:tcPr>
          <w:p w14:paraId="4CD62C34">
            <w:pPr>
              <w:spacing w:line="360" w:lineRule="auto"/>
              <w:jc w:val="center"/>
              <w:rPr>
                <w:rFonts w:ascii="Times New Roman" w:hAnsi="Times New Roman" w:cs="Times New Roman"/>
                <w:b/>
                <w:sz w:val="24"/>
              </w:rPr>
            </w:pPr>
            <w:r>
              <w:rPr>
                <w:rFonts w:ascii="Times New Roman" w:hAnsi="Times New Roman" w:cs="Times New Roman"/>
                <w:b/>
                <w:sz w:val="24"/>
              </w:rPr>
              <w:t>表1.</w:t>
            </w:r>
            <w:r>
              <w:rPr>
                <w:rFonts w:hint="eastAsia" w:ascii="Times New Roman" w:hAnsi="Times New Roman" w:cs="Times New Roman"/>
                <w:b/>
                <w:sz w:val="24"/>
              </w:rPr>
              <w:t>2</w:t>
            </w:r>
            <w:r>
              <w:rPr>
                <w:rFonts w:ascii="Times New Roman" w:hAnsi="Times New Roman" w:cs="Times New Roman"/>
                <w:b/>
                <w:sz w:val="24"/>
              </w:rPr>
              <w:t>-1  本项目与“三线一单”管控要求的符合性分析</w:t>
            </w:r>
          </w:p>
          <w:tbl>
            <w:tblPr>
              <w:tblStyle w:val="27"/>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892"/>
              <w:gridCol w:w="7135"/>
              <w:gridCol w:w="2793"/>
              <w:gridCol w:w="885"/>
            </w:tblGrid>
            <w:tr w14:paraId="4696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5" w:type="pct"/>
                  <w:vAlign w:val="center"/>
                </w:tcPr>
                <w:p w14:paraId="4F6AAB72">
                  <w:pPr>
                    <w:snapToGrid w:val="0"/>
                    <w:jc w:val="center"/>
                    <w:rPr>
                      <w:rFonts w:ascii="Times New Roman" w:hAnsi="Times New Roman" w:cs="Times New Roman"/>
                      <w:bCs/>
                      <w:szCs w:val="21"/>
                    </w:rPr>
                  </w:pPr>
                  <w:r>
                    <w:rPr>
                      <w:rFonts w:ascii="Times New Roman" w:hAnsi="Times New Roman" w:cs="Times New Roman"/>
                      <w:bCs/>
                      <w:szCs w:val="21"/>
                    </w:rPr>
                    <w:t>环境管控单元编码</w:t>
                  </w:r>
                </w:p>
              </w:tc>
              <w:tc>
                <w:tcPr>
                  <w:tcW w:w="3129" w:type="pct"/>
                  <w:gridSpan w:val="2"/>
                  <w:vAlign w:val="center"/>
                </w:tcPr>
                <w:p w14:paraId="4A40051D">
                  <w:pPr>
                    <w:snapToGrid w:val="0"/>
                    <w:jc w:val="center"/>
                    <w:rPr>
                      <w:rFonts w:ascii="Times New Roman" w:hAnsi="Times New Roman" w:cs="Times New Roman"/>
                      <w:bCs/>
                      <w:szCs w:val="21"/>
                    </w:rPr>
                  </w:pPr>
                  <w:r>
                    <w:rPr>
                      <w:rFonts w:ascii="Times New Roman" w:hAnsi="Times New Roman" w:cs="Times New Roman"/>
                      <w:bCs/>
                      <w:szCs w:val="21"/>
                    </w:rPr>
                    <w:t>环境管控单元名称</w:t>
                  </w:r>
                </w:p>
              </w:tc>
              <w:tc>
                <w:tcPr>
                  <w:tcW w:w="1434" w:type="pct"/>
                  <w:gridSpan w:val="2"/>
                  <w:vAlign w:val="center"/>
                </w:tcPr>
                <w:p w14:paraId="1510F511">
                  <w:pPr>
                    <w:snapToGrid w:val="0"/>
                    <w:jc w:val="center"/>
                    <w:rPr>
                      <w:rFonts w:ascii="Times New Roman" w:hAnsi="Times New Roman" w:cs="Times New Roman"/>
                      <w:bCs/>
                      <w:szCs w:val="21"/>
                    </w:rPr>
                  </w:pPr>
                  <w:r>
                    <w:rPr>
                      <w:rFonts w:ascii="Times New Roman" w:hAnsi="Times New Roman" w:cs="Times New Roman"/>
                      <w:bCs/>
                      <w:szCs w:val="21"/>
                    </w:rPr>
                    <w:t>环境管控单元类型</w:t>
                  </w:r>
                </w:p>
              </w:tc>
            </w:tr>
            <w:tr w14:paraId="038A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5" w:type="pct"/>
                  <w:vAlign w:val="center"/>
                </w:tcPr>
                <w:p w14:paraId="0DC51223">
                  <w:pPr>
                    <w:snapToGrid w:val="0"/>
                    <w:jc w:val="center"/>
                    <w:rPr>
                      <w:rFonts w:ascii="Times New Roman" w:hAnsi="Times New Roman" w:eastAsia="宋体" w:cs="Times New Roman"/>
                      <w:bCs/>
                      <w:szCs w:val="21"/>
                    </w:rPr>
                  </w:pPr>
                  <w:r>
                    <w:rPr>
                      <w:rFonts w:ascii="Times New Roman" w:hAnsi="Times New Roman" w:cs="Times New Roman"/>
                      <w:bCs/>
                      <w:szCs w:val="21"/>
                    </w:rPr>
                    <w:t>ZH50010720002</w:t>
                  </w:r>
                </w:p>
              </w:tc>
              <w:tc>
                <w:tcPr>
                  <w:tcW w:w="3129" w:type="pct"/>
                  <w:gridSpan w:val="2"/>
                  <w:vAlign w:val="center"/>
                </w:tcPr>
                <w:p w14:paraId="5C5575BF">
                  <w:pPr>
                    <w:snapToGrid w:val="0"/>
                    <w:jc w:val="center"/>
                    <w:rPr>
                      <w:rFonts w:ascii="Times New Roman" w:hAnsi="Times New Roman" w:eastAsia="宋体" w:cs="Times New Roman"/>
                      <w:bCs/>
                      <w:szCs w:val="21"/>
                    </w:rPr>
                  </w:pPr>
                  <w:r>
                    <w:rPr>
                      <w:rFonts w:ascii="Times New Roman" w:hAnsi="Times New Roman" w:cs="Times New Roman"/>
                      <w:bCs/>
                      <w:szCs w:val="21"/>
                    </w:rPr>
                    <w:t>九龙坡区工业城镇重点管控单元-九龙西城片区</w:t>
                  </w:r>
                </w:p>
              </w:tc>
              <w:tc>
                <w:tcPr>
                  <w:tcW w:w="1434" w:type="pct"/>
                  <w:gridSpan w:val="2"/>
                  <w:vAlign w:val="center"/>
                </w:tcPr>
                <w:p w14:paraId="55930098">
                  <w:pPr>
                    <w:snapToGrid w:val="0"/>
                    <w:jc w:val="center"/>
                    <w:rPr>
                      <w:rFonts w:ascii="Times New Roman" w:hAnsi="Times New Roman" w:eastAsia="宋体" w:cs="Times New Roman"/>
                      <w:bCs/>
                      <w:szCs w:val="21"/>
                    </w:rPr>
                  </w:pPr>
                  <w:r>
                    <w:rPr>
                      <w:rFonts w:ascii="Times New Roman" w:hAnsi="Times New Roman" w:cs="Times New Roman"/>
                      <w:bCs/>
                      <w:szCs w:val="21"/>
                    </w:rPr>
                    <w:t>重点管控单元2</w:t>
                  </w:r>
                </w:p>
              </w:tc>
            </w:tr>
            <w:tr w14:paraId="643E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35" w:type="pct"/>
                  <w:vAlign w:val="center"/>
                </w:tcPr>
                <w:p w14:paraId="799EFF1E">
                  <w:pPr>
                    <w:snapToGrid w:val="0"/>
                    <w:jc w:val="center"/>
                    <w:rPr>
                      <w:rFonts w:ascii="Times New Roman" w:hAnsi="Times New Roman" w:cs="Times New Roman"/>
                      <w:bCs/>
                      <w:szCs w:val="21"/>
                    </w:rPr>
                  </w:pPr>
                  <w:r>
                    <w:rPr>
                      <w:rFonts w:ascii="Times New Roman" w:hAnsi="Times New Roman" w:cs="Times New Roman"/>
                      <w:bCs/>
                      <w:szCs w:val="21"/>
                    </w:rPr>
                    <w:t>管控要求层级</w:t>
                  </w:r>
                </w:p>
              </w:tc>
              <w:tc>
                <w:tcPr>
                  <w:tcW w:w="347" w:type="pct"/>
                  <w:vAlign w:val="center"/>
                </w:tcPr>
                <w:p w14:paraId="63AE0FF7">
                  <w:pPr>
                    <w:snapToGrid w:val="0"/>
                    <w:jc w:val="center"/>
                    <w:rPr>
                      <w:rFonts w:ascii="Times New Roman" w:hAnsi="Times New Roman" w:cs="Times New Roman"/>
                      <w:bCs/>
                      <w:szCs w:val="21"/>
                    </w:rPr>
                  </w:pPr>
                  <w:r>
                    <w:rPr>
                      <w:rFonts w:ascii="Times New Roman" w:hAnsi="Times New Roman" w:cs="Times New Roman"/>
                      <w:bCs/>
                      <w:szCs w:val="21"/>
                    </w:rPr>
                    <w:t>管控</w:t>
                  </w:r>
                </w:p>
                <w:p w14:paraId="27A7707E">
                  <w:pPr>
                    <w:snapToGrid w:val="0"/>
                    <w:jc w:val="center"/>
                    <w:rPr>
                      <w:rFonts w:ascii="Times New Roman" w:hAnsi="Times New Roman" w:cs="Times New Roman"/>
                      <w:bCs/>
                      <w:szCs w:val="21"/>
                    </w:rPr>
                  </w:pPr>
                  <w:r>
                    <w:rPr>
                      <w:rFonts w:ascii="Times New Roman" w:hAnsi="Times New Roman" w:cs="Times New Roman"/>
                      <w:bCs/>
                      <w:szCs w:val="21"/>
                    </w:rPr>
                    <w:t>类型</w:t>
                  </w:r>
                </w:p>
              </w:tc>
              <w:tc>
                <w:tcPr>
                  <w:tcW w:w="2782" w:type="pct"/>
                  <w:vAlign w:val="center"/>
                </w:tcPr>
                <w:p w14:paraId="5D934B9E">
                  <w:pPr>
                    <w:snapToGrid w:val="0"/>
                    <w:jc w:val="center"/>
                    <w:rPr>
                      <w:rFonts w:ascii="Times New Roman" w:hAnsi="Times New Roman" w:cs="Times New Roman"/>
                      <w:bCs/>
                      <w:szCs w:val="21"/>
                    </w:rPr>
                  </w:pPr>
                  <w:r>
                    <w:rPr>
                      <w:rFonts w:ascii="Times New Roman" w:hAnsi="Times New Roman" w:cs="Times New Roman"/>
                      <w:bCs/>
                      <w:szCs w:val="21"/>
                    </w:rPr>
                    <w:t>管控要求</w:t>
                  </w:r>
                </w:p>
              </w:tc>
              <w:tc>
                <w:tcPr>
                  <w:tcW w:w="1089" w:type="pct"/>
                  <w:vAlign w:val="center"/>
                </w:tcPr>
                <w:p w14:paraId="76C8CEED">
                  <w:pPr>
                    <w:snapToGrid w:val="0"/>
                    <w:jc w:val="center"/>
                    <w:rPr>
                      <w:rFonts w:ascii="Times New Roman" w:hAnsi="Times New Roman" w:cs="Times New Roman"/>
                      <w:bCs/>
                      <w:szCs w:val="21"/>
                    </w:rPr>
                  </w:pPr>
                  <w:r>
                    <w:rPr>
                      <w:rFonts w:ascii="Times New Roman" w:hAnsi="Times New Roman" w:cs="Times New Roman"/>
                      <w:bCs/>
                      <w:szCs w:val="21"/>
                    </w:rPr>
                    <w:t>建设项目相关情况</w:t>
                  </w:r>
                </w:p>
              </w:tc>
              <w:tc>
                <w:tcPr>
                  <w:tcW w:w="345" w:type="pct"/>
                  <w:vAlign w:val="center"/>
                </w:tcPr>
                <w:p w14:paraId="10B754D5">
                  <w:pPr>
                    <w:snapToGrid w:val="0"/>
                    <w:jc w:val="center"/>
                    <w:rPr>
                      <w:rFonts w:ascii="Times New Roman" w:hAnsi="Times New Roman" w:cs="Times New Roman"/>
                      <w:bCs/>
                      <w:szCs w:val="21"/>
                    </w:rPr>
                  </w:pPr>
                  <w:r>
                    <w:rPr>
                      <w:rFonts w:ascii="Times New Roman" w:hAnsi="Times New Roman" w:cs="Times New Roman"/>
                      <w:bCs/>
                      <w:szCs w:val="21"/>
                    </w:rPr>
                    <w:t>符合性分析</w:t>
                  </w:r>
                </w:p>
              </w:tc>
            </w:tr>
            <w:tr w14:paraId="5809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restart"/>
                  <w:vAlign w:val="center"/>
                </w:tcPr>
                <w:p w14:paraId="41D9DA0E">
                  <w:pPr>
                    <w:snapToGrid w:val="0"/>
                    <w:jc w:val="center"/>
                    <w:rPr>
                      <w:rFonts w:ascii="Times New Roman" w:hAnsi="Times New Roman" w:cs="Times New Roman"/>
                      <w:szCs w:val="21"/>
                    </w:rPr>
                  </w:pPr>
                  <w:r>
                    <w:rPr>
                      <w:rFonts w:ascii="Times New Roman" w:hAnsi="Times New Roman" w:cs="Times New Roman"/>
                      <w:szCs w:val="21"/>
                    </w:rPr>
                    <w:t>全市总体管控要求</w:t>
                  </w:r>
                </w:p>
              </w:tc>
              <w:tc>
                <w:tcPr>
                  <w:tcW w:w="347" w:type="pct"/>
                  <w:vMerge w:val="restart"/>
                  <w:vAlign w:val="center"/>
                </w:tcPr>
                <w:p w14:paraId="5D8F1C15">
                  <w:pPr>
                    <w:snapToGrid w:val="0"/>
                    <w:jc w:val="center"/>
                    <w:rPr>
                      <w:rFonts w:ascii="Times New Roman" w:hAnsi="Times New Roman" w:cs="Times New Roman"/>
                      <w:szCs w:val="21"/>
                    </w:rPr>
                  </w:pPr>
                  <w:r>
                    <w:rPr>
                      <w:rFonts w:ascii="Times New Roman" w:hAnsi="Times New Roman" w:cs="Times New Roman"/>
                      <w:szCs w:val="21"/>
                    </w:rPr>
                    <w:t>空间布局约束</w:t>
                  </w:r>
                </w:p>
              </w:tc>
              <w:tc>
                <w:tcPr>
                  <w:tcW w:w="2782" w:type="pct"/>
                  <w:vAlign w:val="center"/>
                </w:tcPr>
                <w:p w14:paraId="56353907">
                  <w:pPr>
                    <w:pStyle w:val="42"/>
                    <w:spacing w:beforeLines="0"/>
                    <w:jc w:val="both"/>
                    <w:rPr>
                      <w:rFonts w:ascii="Times New Roman" w:hAnsi="Times New Roman" w:cs="Times New Roman"/>
                    </w:rPr>
                  </w:pPr>
                  <w:r>
                    <w:rPr>
                      <w:rFonts w:ascii="Times New Roman" w:hAnsi="Times New Roman" w:cs="Times New Roman"/>
                    </w:rPr>
                    <w:t>第一条 深入贯彻习近平生态文明思想，筑牢长江上游重要生态屏障，推动优势区域重点发展、生态功能区重点保护、城乡融合发展，优化重点区域、流域、产业的空间布局。</w:t>
                  </w:r>
                </w:p>
              </w:tc>
              <w:tc>
                <w:tcPr>
                  <w:tcW w:w="1089" w:type="pct"/>
                  <w:vAlign w:val="center"/>
                </w:tcPr>
                <w:p w14:paraId="52D9B4DB">
                  <w:pPr>
                    <w:snapToGrid w:val="0"/>
                    <w:rPr>
                      <w:rFonts w:ascii="Times New Roman" w:hAnsi="Times New Roman" w:eastAsia="宋体" w:cs="Times New Roman"/>
                      <w:szCs w:val="21"/>
                    </w:rPr>
                  </w:pPr>
                  <w:r>
                    <w:rPr>
                      <w:rFonts w:ascii="Times New Roman" w:hAnsi="Times New Roman" w:cs="Times New Roman"/>
                      <w:szCs w:val="21"/>
                    </w:rPr>
                    <w:t>本项目</w:t>
                  </w:r>
                  <w:r>
                    <w:rPr>
                      <w:rFonts w:hint="eastAsia" w:ascii="Times New Roman" w:hAnsi="Times New Roman" w:cs="Times New Roman"/>
                      <w:szCs w:val="21"/>
                      <w:lang w:eastAsia="zh-CN"/>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，符合</w:t>
                  </w:r>
                  <w:r>
                    <w:rPr>
                      <w:rFonts w:ascii="Times New Roman" w:hAnsi="Times New Roman" w:cs="Times New Roman"/>
                      <w:szCs w:val="18"/>
                    </w:rPr>
                    <w:t>空间布局。</w:t>
                  </w:r>
                </w:p>
              </w:tc>
              <w:tc>
                <w:tcPr>
                  <w:tcW w:w="345" w:type="pct"/>
                  <w:vAlign w:val="center"/>
                </w:tcPr>
                <w:p w14:paraId="04FC244E">
                  <w:pPr>
                    <w:snapToGrid w:val="0"/>
                    <w:jc w:val="center"/>
                    <w:rPr>
                      <w:rFonts w:ascii="Times New Roman" w:hAnsi="Times New Roman" w:cs="Times New Roman"/>
                      <w:szCs w:val="21"/>
                    </w:rPr>
                  </w:pPr>
                  <w:r>
                    <w:rPr>
                      <w:rFonts w:ascii="Times New Roman" w:hAnsi="Times New Roman" w:cs="Times New Roman"/>
                      <w:szCs w:val="21"/>
                    </w:rPr>
                    <w:t>符合</w:t>
                  </w:r>
                </w:p>
              </w:tc>
            </w:tr>
            <w:tr w14:paraId="38CF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00F25975">
                  <w:pPr>
                    <w:snapToGrid w:val="0"/>
                    <w:jc w:val="center"/>
                    <w:rPr>
                      <w:rFonts w:ascii="Times New Roman" w:hAnsi="Times New Roman" w:cs="Times New Roman"/>
                      <w:szCs w:val="21"/>
                    </w:rPr>
                  </w:pPr>
                </w:p>
              </w:tc>
              <w:tc>
                <w:tcPr>
                  <w:tcW w:w="347" w:type="pct"/>
                  <w:vMerge w:val="continue"/>
                  <w:vAlign w:val="center"/>
                </w:tcPr>
                <w:p w14:paraId="6C5EA129">
                  <w:pPr>
                    <w:snapToGrid w:val="0"/>
                    <w:jc w:val="center"/>
                    <w:rPr>
                      <w:rFonts w:ascii="Times New Roman" w:hAnsi="Times New Roman" w:cs="Times New Roman"/>
                      <w:szCs w:val="21"/>
                    </w:rPr>
                  </w:pPr>
                </w:p>
              </w:tc>
              <w:tc>
                <w:tcPr>
                  <w:tcW w:w="2782" w:type="pct"/>
                  <w:vAlign w:val="center"/>
                </w:tcPr>
                <w:p w14:paraId="0559A2ED">
                  <w:pPr>
                    <w:pStyle w:val="42"/>
                    <w:spacing w:beforeLines="0"/>
                    <w:jc w:val="both"/>
                    <w:rPr>
                      <w:rFonts w:ascii="Times New Roman" w:hAnsi="Times New Roman" w:cs="Times New Roman"/>
                      <w:szCs w:val="18"/>
                    </w:rPr>
                  </w:pPr>
                  <w:r>
                    <w:rPr>
                      <w:rFonts w:ascii="Times New Roman" w:hAnsi="Times New Roman" w:cs="Times New Roman"/>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089" w:type="pct"/>
                  <w:vAlign w:val="center"/>
                </w:tcPr>
                <w:p w14:paraId="5ACC14DE">
                  <w:pPr>
                    <w:snapToGrid w:val="0"/>
                    <w:rPr>
                      <w:rFonts w:ascii="Times New Roman" w:hAnsi="Times New Roman" w:cs="Times New Roman"/>
                      <w:szCs w:val="21"/>
                    </w:rPr>
                  </w:pPr>
                  <w:r>
                    <w:rPr>
                      <w:rFonts w:ascii="Times New Roman" w:hAnsi="Times New Roman" w:cs="Times New Roman"/>
                      <w:szCs w:val="21"/>
                    </w:rPr>
                    <w:t>本项目不在</w:t>
                  </w:r>
                  <w:r>
                    <w:rPr>
                      <w:rFonts w:ascii="Times New Roman" w:hAnsi="Times New Roman" w:cs="Times New Roman"/>
                      <w:szCs w:val="18"/>
                    </w:rPr>
                    <w:t>长江干流及主要支流岸线1公里范围内，不属于化工、纺织、造纸等存在污染风险的工业项目。</w:t>
                  </w:r>
                </w:p>
              </w:tc>
              <w:tc>
                <w:tcPr>
                  <w:tcW w:w="345" w:type="pct"/>
                  <w:vAlign w:val="center"/>
                </w:tcPr>
                <w:p w14:paraId="62498062">
                  <w:pPr>
                    <w:snapToGrid w:val="0"/>
                    <w:jc w:val="center"/>
                    <w:rPr>
                      <w:rFonts w:ascii="Times New Roman" w:hAnsi="Times New Roman" w:cs="Times New Roman"/>
                      <w:szCs w:val="21"/>
                    </w:rPr>
                  </w:pPr>
                  <w:r>
                    <w:rPr>
                      <w:rFonts w:ascii="Times New Roman" w:hAnsi="Times New Roman" w:cs="Times New Roman"/>
                      <w:szCs w:val="21"/>
                    </w:rPr>
                    <w:t>符合</w:t>
                  </w:r>
                </w:p>
              </w:tc>
            </w:tr>
            <w:tr w14:paraId="539A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B2B3464">
                  <w:pPr>
                    <w:snapToGrid w:val="0"/>
                    <w:jc w:val="center"/>
                    <w:rPr>
                      <w:rFonts w:ascii="Times New Roman" w:hAnsi="Times New Roman" w:cs="Times New Roman"/>
                      <w:szCs w:val="21"/>
                    </w:rPr>
                  </w:pPr>
                </w:p>
              </w:tc>
              <w:tc>
                <w:tcPr>
                  <w:tcW w:w="347" w:type="pct"/>
                  <w:vMerge w:val="continue"/>
                  <w:vAlign w:val="center"/>
                </w:tcPr>
                <w:p w14:paraId="4385D0F2">
                  <w:pPr>
                    <w:snapToGrid w:val="0"/>
                    <w:jc w:val="center"/>
                    <w:rPr>
                      <w:rFonts w:ascii="Times New Roman" w:hAnsi="Times New Roman" w:cs="Times New Roman"/>
                      <w:szCs w:val="21"/>
                    </w:rPr>
                  </w:pPr>
                </w:p>
              </w:tc>
              <w:tc>
                <w:tcPr>
                  <w:tcW w:w="2782" w:type="pct"/>
                  <w:vAlign w:val="center"/>
                </w:tcPr>
                <w:p w14:paraId="7FADAE0D">
                  <w:pPr>
                    <w:pStyle w:val="42"/>
                    <w:spacing w:beforeLines="0"/>
                    <w:jc w:val="both"/>
                    <w:rPr>
                      <w:rFonts w:ascii="Times New Roman" w:hAnsi="Times New Roman" w:cs="Times New Roman"/>
                      <w:szCs w:val="18"/>
                    </w:rPr>
                  </w:pPr>
                  <w:r>
                    <w:rPr>
                      <w:rFonts w:ascii="Times New Roman" w:hAnsi="Times New Roman" w:cs="Times New Roman"/>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089" w:type="pct"/>
                  <w:vAlign w:val="center"/>
                </w:tcPr>
                <w:p w14:paraId="44FB1645">
                  <w:pPr>
                    <w:snapToGrid w:val="0"/>
                    <w:rPr>
                      <w:rFonts w:ascii="Times New Roman" w:hAnsi="Times New Roman" w:cs="Times New Roman"/>
                      <w:szCs w:val="21"/>
                    </w:rPr>
                  </w:pPr>
                  <w:r>
                    <w:rPr>
                      <w:rFonts w:ascii="Times New Roman" w:hAnsi="Times New Roman" w:cs="Times New Roman"/>
                      <w:szCs w:val="21"/>
                      <w:lang w:bidi="ar"/>
                    </w:rPr>
                    <w:t>本项目在西彭工业园区内，不属于高污染项目，不属于石化、现代煤化工等产业，不属于“两高”项目。不涉及前述区域，符合园区规划、环境准入等要求。</w:t>
                  </w:r>
                </w:p>
              </w:tc>
              <w:tc>
                <w:tcPr>
                  <w:tcW w:w="345" w:type="pct"/>
                  <w:vAlign w:val="center"/>
                </w:tcPr>
                <w:p w14:paraId="6F921E1E">
                  <w:pPr>
                    <w:snapToGrid w:val="0"/>
                    <w:jc w:val="center"/>
                    <w:rPr>
                      <w:rFonts w:ascii="Times New Roman" w:hAnsi="Times New Roman" w:cs="Times New Roman"/>
                      <w:szCs w:val="21"/>
                    </w:rPr>
                  </w:pPr>
                  <w:r>
                    <w:rPr>
                      <w:rFonts w:ascii="Times New Roman" w:hAnsi="Times New Roman" w:cs="Times New Roman"/>
                      <w:szCs w:val="21"/>
                    </w:rPr>
                    <w:t>符合</w:t>
                  </w:r>
                </w:p>
              </w:tc>
            </w:tr>
            <w:tr w14:paraId="1C7C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65B801AB">
                  <w:pPr>
                    <w:snapToGrid w:val="0"/>
                    <w:jc w:val="center"/>
                    <w:rPr>
                      <w:rFonts w:ascii="Times New Roman" w:hAnsi="Times New Roman" w:cs="Times New Roman"/>
                      <w:szCs w:val="21"/>
                    </w:rPr>
                  </w:pPr>
                </w:p>
              </w:tc>
              <w:tc>
                <w:tcPr>
                  <w:tcW w:w="347" w:type="pct"/>
                  <w:vMerge w:val="continue"/>
                  <w:vAlign w:val="center"/>
                </w:tcPr>
                <w:p w14:paraId="5F24F874">
                  <w:pPr>
                    <w:snapToGrid w:val="0"/>
                    <w:jc w:val="center"/>
                    <w:rPr>
                      <w:rFonts w:ascii="Times New Roman" w:hAnsi="Times New Roman" w:cs="Times New Roman"/>
                      <w:szCs w:val="21"/>
                    </w:rPr>
                  </w:pPr>
                </w:p>
              </w:tc>
              <w:tc>
                <w:tcPr>
                  <w:tcW w:w="2782" w:type="pct"/>
                  <w:vAlign w:val="center"/>
                </w:tcPr>
                <w:p w14:paraId="285C533B">
                  <w:pPr>
                    <w:pStyle w:val="42"/>
                    <w:spacing w:beforeLines="0"/>
                    <w:jc w:val="both"/>
                    <w:rPr>
                      <w:rFonts w:ascii="Times New Roman" w:hAnsi="Times New Roman" w:cs="Times New Roman"/>
                      <w:szCs w:val="18"/>
                    </w:rPr>
                  </w:pPr>
                  <w:r>
                    <w:rPr>
                      <w:rFonts w:ascii="Times New Roman" w:hAnsi="Times New Roman" w:cs="Times New Roman"/>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089" w:type="pct"/>
                  <w:vAlign w:val="center"/>
                </w:tcPr>
                <w:p w14:paraId="78F1D725">
                  <w:pPr>
                    <w:snapToGrid w:val="0"/>
                    <w:rPr>
                      <w:rFonts w:ascii="Times New Roman" w:hAnsi="Times New Roman" w:cs="Times New Roman"/>
                      <w:szCs w:val="21"/>
                    </w:rPr>
                  </w:pPr>
                  <w:r>
                    <w:rPr>
                      <w:rFonts w:ascii="Times New Roman" w:hAnsi="Times New Roman" w:cs="Times New Roman"/>
                      <w:szCs w:val="21"/>
                    </w:rPr>
                    <w:t>本项目位于</w:t>
                  </w:r>
                  <w:r>
                    <w:rPr>
                      <w:rFonts w:ascii="Times New Roman" w:hAnsi="Times New Roman" w:cs="Times New Roman"/>
                      <w:szCs w:val="21"/>
                      <w:lang w:bidi="ar"/>
                    </w:rPr>
                    <w:t>西彭</w:t>
                  </w:r>
                  <w:r>
                    <w:rPr>
                      <w:rFonts w:ascii="Times New Roman" w:hAnsi="Times New Roman" w:cs="Times New Roman"/>
                      <w:szCs w:val="21"/>
                    </w:rPr>
                    <w:t>工业园区，不属于高耗能、高排放、低水平项目，不属于化工项目</w:t>
                  </w:r>
                </w:p>
              </w:tc>
              <w:tc>
                <w:tcPr>
                  <w:tcW w:w="345" w:type="pct"/>
                  <w:vAlign w:val="center"/>
                </w:tcPr>
                <w:p w14:paraId="70D7A90A">
                  <w:pPr>
                    <w:snapToGrid w:val="0"/>
                    <w:jc w:val="center"/>
                    <w:rPr>
                      <w:rFonts w:ascii="Times New Roman" w:hAnsi="Times New Roman" w:cs="Times New Roman"/>
                      <w:szCs w:val="21"/>
                    </w:rPr>
                  </w:pPr>
                  <w:r>
                    <w:rPr>
                      <w:rFonts w:ascii="Times New Roman" w:hAnsi="Times New Roman" w:cs="Times New Roman"/>
                      <w:szCs w:val="21"/>
                    </w:rPr>
                    <w:t>符合</w:t>
                  </w:r>
                </w:p>
              </w:tc>
            </w:tr>
            <w:tr w14:paraId="01DD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C1951DE">
                  <w:pPr>
                    <w:snapToGrid w:val="0"/>
                    <w:jc w:val="center"/>
                    <w:rPr>
                      <w:rFonts w:ascii="Times New Roman" w:hAnsi="Times New Roman" w:cs="Times New Roman"/>
                      <w:szCs w:val="21"/>
                    </w:rPr>
                  </w:pPr>
                </w:p>
              </w:tc>
              <w:tc>
                <w:tcPr>
                  <w:tcW w:w="347" w:type="pct"/>
                  <w:vMerge w:val="continue"/>
                  <w:vAlign w:val="center"/>
                </w:tcPr>
                <w:p w14:paraId="7266B512">
                  <w:pPr>
                    <w:snapToGrid w:val="0"/>
                    <w:jc w:val="center"/>
                    <w:rPr>
                      <w:rFonts w:ascii="Times New Roman" w:hAnsi="Times New Roman" w:cs="Times New Roman"/>
                      <w:szCs w:val="21"/>
                    </w:rPr>
                  </w:pPr>
                </w:p>
              </w:tc>
              <w:tc>
                <w:tcPr>
                  <w:tcW w:w="2782" w:type="pct"/>
                  <w:vAlign w:val="center"/>
                </w:tcPr>
                <w:p w14:paraId="693D6474">
                  <w:pPr>
                    <w:pStyle w:val="42"/>
                    <w:spacing w:beforeLines="0"/>
                    <w:jc w:val="both"/>
                    <w:rPr>
                      <w:rFonts w:ascii="Times New Roman" w:hAnsi="Times New Roman" w:cs="Times New Roman"/>
                      <w:szCs w:val="18"/>
                    </w:rPr>
                  </w:pPr>
                  <w:r>
                    <w:rPr>
                      <w:rFonts w:ascii="Times New Roman" w:hAnsi="Times New Roman" w:cs="Times New Roman"/>
                    </w:rPr>
                    <w:t>第五条 新建、扩建有色金属冶炼、电镀、铅蓄电池等企业应布设在依法合规设立并经过规划环评的产业园区。</w:t>
                  </w:r>
                </w:p>
              </w:tc>
              <w:tc>
                <w:tcPr>
                  <w:tcW w:w="1089" w:type="pct"/>
                  <w:vAlign w:val="center"/>
                </w:tcPr>
                <w:p w14:paraId="7343AC26">
                  <w:pPr>
                    <w:snapToGrid w:val="0"/>
                    <w:rPr>
                      <w:rFonts w:ascii="Times New Roman" w:hAnsi="Times New Roman" w:cs="Times New Roman"/>
                      <w:szCs w:val="21"/>
                    </w:rPr>
                  </w:pPr>
                  <w:r>
                    <w:rPr>
                      <w:rFonts w:ascii="Times New Roman" w:hAnsi="Times New Roman" w:cs="Times New Roman"/>
                      <w:szCs w:val="18"/>
                    </w:rPr>
                    <w:t>本项目</w:t>
                  </w:r>
                  <w:r>
                    <w:rPr>
                      <w:rFonts w:ascii="Times New Roman" w:hAnsi="Times New Roman" w:cs="Times New Roman"/>
                      <w:szCs w:val="21"/>
                    </w:rPr>
                    <w:t>位于重庆西彭工业园区西彭组团D标准分区，</w:t>
                  </w:r>
                  <w:r>
                    <w:rPr>
                      <w:rFonts w:hint="eastAsia" w:ascii="Times New Roman" w:hAnsi="Times New Roman" w:cs="Times New Roman"/>
                      <w:szCs w:val="21"/>
                    </w:rPr>
                    <w:t>为摩托车零部件表面喷粉项目。</w:t>
                  </w:r>
                </w:p>
              </w:tc>
              <w:tc>
                <w:tcPr>
                  <w:tcW w:w="345" w:type="pct"/>
                  <w:vAlign w:val="center"/>
                </w:tcPr>
                <w:p w14:paraId="0630313C">
                  <w:pPr>
                    <w:snapToGrid w:val="0"/>
                    <w:jc w:val="center"/>
                    <w:rPr>
                      <w:rFonts w:ascii="Times New Roman" w:hAnsi="Times New Roman" w:cs="Times New Roman"/>
                      <w:szCs w:val="21"/>
                    </w:rPr>
                  </w:pPr>
                  <w:r>
                    <w:rPr>
                      <w:rFonts w:ascii="Times New Roman" w:hAnsi="Times New Roman" w:cs="Times New Roman"/>
                      <w:szCs w:val="21"/>
                    </w:rPr>
                    <w:t>符合</w:t>
                  </w:r>
                </w:p>
              </w:tc>
            </w:tr>
            <w:tr w14:paraId="1366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6F7AF7C">
                  <w:pPr>
                    <w:snapToGrid w:val="0"/>
                    <w:jc w:val="center"/>
                    <w:rPr>
                      <w:rFonts w:ascii="Times New Roman" w:hAnsi="Times New Roman" w:cs="Times New Roman"/>
                      <w:szCs w:val="21"/>
                    </w:rPr>
                  </w:pPr>
                </w:p>
              </w:tc>
              <w:tc>
                <w:tcPr>
                  <w:tcW w:w="347" w:type="pct"/>
                  <w:vMerge w:val="continue"/>
                  <w:vAlign w:val="center"/>
                </w:tcPr>
                <w:p w14:paraId="0713FE25">
                  <w:pPr>
                    <w:snapToGrid w:val="0"/>
                    <w:jc w:val="center"/>
                    <w:rPr>
                      <w:rFonts w:ascii="Times New Roman" w:hAnsi="Times New Roman" w:cs="Times New Roman"/>
                      <w:szCs w:val="21"/>
                    </w:rPr>
                  </w:pPr>
                </w:p>
              </w:tc>
              <w:tc>
                <w:tcPr>
                  <w:tcW w:w="2782" w:type="pct"/>
                  <w:vAlign w:val="center"/>
                </w:tcPr>
                <w:p w14:paraId="2509909C">
                  <w:pPr>
                    <w:pStyle w:val="42"/>
                    <w:spacing w:beforeLines="0"/>
                    <w:jc w:val="both"/>
                    <w:rPr>
                      <w:rFonts w:ascii="Times New Roman" w:hAnsi="Times New Roman" w:cs="Times New Roman"/>
                      <w:szCs w:val="18"/>
                    </w:rPr>
                  </w:pPr>
                  <w:r>
                    <w:rPr>
                      <w:rFonts w:ascii="Times New Roman" w:hAnsi="Times New Roman" w:cs="Times New Roman"/>
                    </w:rPr>
                    <w:t>第六条 涉及环境防护距离的工业企业或项目应通过选址或调整布局原则上将环境防护距离控制在园区边界或用地红线内，提前合理规划项目地块布置、预防环境风险。</w:t>
                  </w:r>
                </w:p>
              </w:tc>
              <w:tc>
                <w:tcPr>
                  <w:tcW w:w="1089" w:type="pct"/>
                  <w:vAlign w:val="center"/>
                </w:tcPr>
                <w:p w14:paraId="7AFD68DD">
                  <w:pPr>
                    <w:snapToGrid w:val="0"/>
                    <w:rPr>
                      <w:rFonts w:ascii="Times New Roman" w:hAnsi="Times New Roman" w:cs="Times New Roman"/>
                      <w:szCs w:val="18"/>
                    </w:rPr>
                  </w:pPr>
                  <w:r>
                    <w:rPr>
                      <w:rFonts w:ascii="Times New Roman" w:hAnsi="Times New Roman" w:cs="Times New Roman"/>
                      <w:szCs w:val="21"/>
                    </w:rPr>
                    <w:t>本项目不涉及环境防护距离，且项目布局合理</w:t>
                  </w:r>
                  <w:r>
                    <w:rPr>
                      <w:rFonts w:ascii="Times New Roman" w:hAnsi="Times New Roman" w:cs="Times New Roman"/>
                      <w:szCs w:val="21"/>
                      <w:lang w:bidi="ar"/>
                    </w:rPr>
                    <w:t>。</w:t>
                  </w:r>
                </w:p>
              </w:tc>
              <w:tc>
                <w:tcPr>
                  <w:tcW w:w="345" w:type="pct"/>
                  <w:vAlign w:val="center"/>
                </w:tcPr>
                <w:p w14:paraId="66ACEF54">
                  <w:pPr>
                    <w:snapToGrid w:val="0"/>
                    <w:jc w:val="center"/>
                    <w:rPr>
                      <w:rFonts w:ascii="Times New Roman" w:hAnsi="Times New Roman" w:cs="Times New Roman"/>
                      <w:szCs w:val="21"/>
                    </w:rPr>
                  </w:pPr>
                </w:p>
              </w:tc>
            </w:tr>
            <w:tr w14:paraId="790E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567A7CFC">
                  <w:pPr>
                    <w:snapToGrid w:val="0"/>
                    <w:jc w:val="center"/>
                    <w:rPr>
                      <w:rFonts w:ascii="Times New Roman" w:hAnsi="Times New Roman" w:cs="Times New Roman"/>
                      <w:szCs w:val="21"/>
                    </w:rPr>
                  </w:pPr>
                </w:p>
              </w:tc>
              <w:tc>
                <w:tcPr>
                  <w:tcW w:w="347" w:type="pct"/>
                  <w:vMerge w:val="continue"/>
                  <w:vAlign w:val="center"/>
                </w:tcPr>
                <w:p w14:paraId="3419C5DC">
                  <w:pPr>
                    <w:snapToGrid w:val="0"/>
                    <w:jc w:val="center"/>
                    <w:rPr>
                      <w:rFonts w:ascii="Times New Roman" w:hAnsi="Times New Roman" w:cs="Times New Roman"/>
                      <w:szCs w:val="21"/>
                    </w:rPr>
                  </w:pPr>
                </w:p>
              </w:tc>
              <w:tc>
                <w:tcPr>
                  <w:tcW w:w="2782" w:type="pct"/>
                  <w:vAlign w:val="center"/>
                </w:tcPr>
                <w:p w14:paraId="5BC85B7E">
                  <w:pPr>
                    <w:pStyle w:val="42"/>
                    <w:spacing w:beforeLines="0"/>
                    <w:jc w:val="both"/>
                    <w:rPr>
                      <w:rFonts w:ascii="Times New Roman" w:hAnsi="Times New Roman" w:cs="Times New Roman"/>
                      <w:szCs w:val="18"/>
                    </w:rPr>
                  </w:pPr>
                  <w:r>
                    <w:rPr>
                      <w:rFonts w:ascii="Times New Roman" w:hAnsi="Times New Roman" w:cs="Times New Roman"/>
                    </w:rPr>
                    <w:t>第七条 有效规范空间开发秩序，合理控制空间开发强度，切实将各类开发活动限制在资源环境承载能力之内，为构建高效协调可持续的国土空间开发格局奠定坚实基础。</w:t>
                  </w:r>
                </w:p>
              </w:tc>
              <w:tc>
                <w:tcPr>
                  <w:tcW w:w="1089" w:type="pct"/>
                  <w:vAlign w:val="center"/>
                </w:tcPr>
                <w:p w14:paraId="306AD10F">
                  <w:pPr>
                    <w:snapToGrid w:val="0"/>
                    <w:rPr>
                      <w:rFonts w:ascii="Times New Roman" w:hAnsi="Times New Roman" w:cs="Times New Roman"/>
                      <w:szCs w:val="21"/>
                    </w:rPr>
                  </w:pPr>
                  <w:r>
                    <w:rPr>
                      <w:rFonts w:ascii="Times New Roman" w:hAnsi="Times New Roman" w:cs="Times New Roman"/>
                      <w:szCs w:val="18"/>
                    </w:rPr>
                    <w:t>本项目</w:t>
                  </w:r>
                  <w:r>
                    <w:rPr>
                      <w:rFonts w:ascii="Times New Roman" w:hAnsi="Times New Roman" w:cs="Times New Roman"/>
                      <w:szCs w:val="21"/>
                    </w:rPr>
                    <w:t>位于重庆西彭工业园区西彭组团D标准分区，为</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w:t>
                  </w:r>
                  <w:r>
                    <w:rPr>
                      <w:rFonts w:ascii="Times New Roman" w:hAnsi="Times New Roman" w:cs="Times New Roman"/>
                    </w:rPr>
                    <w:t>符合</w:t>
                  </w:r>
                  <w:r>
                    <w:rPr>
                      <w:rFonts w:ascii="Times New Roman" w:hAnsi="Times New Roman" w:cs="Times New Roman"/>
                      <w:szCs w:val="18"/>
                    </w:rPr>
                    <w:t>资源环境承载能力</w:t>
                  </w:r>
                </w:p>
              </w:tc>
              <w:tc>
                <w:tcPr>
                  <w:tcW w:w="345" w:type="pct"/>
                  <w:vAlign w:val="center"/>
                </w:tcPr>
                <w:p w14:paraId="0CE2EF97">
                  <w:pPr>
                    <w:snapToGrid w:val="0"/>
                    <w:jc w:val="center"/>
                    <w:rPr>
                      <w:rFonts w:ascii="Times New Roman" w:hAnsi="Times New Roman" w:cs="Times New Roman"/>
                      <w:szCs w:val="21"/>
                    </w:rPr>
                  </w:pPr>
                  <w:r>
                    <w:rPr>
                      <w:rFonts w:ascii="Times New Roman" w:hAnsi="Times New Roman" w:cs="Times New Roman"/>
                      <w:szCs w:val="21"/>
                    </w:rPr>
                    <w:t>符合</w:t>
                  </w:r>
                </w:p>
              </w:tc>
            </w:tr>
            <w:tr w14:paraId="2C34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35" w:type="pct"/>
                  <w:vMerge w:val="continue"/>
                  <w:vAlign w:val="center"/>
                </w:tcPr>
                <w:p w14:paraId="2D97CA1B">
                  <w:pPr>
                    <w:snapToGrid w:val="0"/>
                    <w:jc w:val="center"/>
                    <w:rPr>
                      <w:rFonts w:ascii="Times New Roman" w:hAnsi="Times New Roman" w:cs="Times New Roman"/>
                      <w:szCs w:val="21"/>
                    </w:rPr>
                  </w:pPr>
                </w:p>
              </w:tc>
              <w:tc>
                <w:tcPr>
                  <w:tcW w:w="347" w:type="pct"/>
                  <w:vMerge w:val="restart"/>
                  <w:vAlign w:val="center"/>
                </w:tcPr>
                <w:p w14:paraId="33313DC2">
                  <w:pPr>
                    <w:snapToGrid w:val="0"/>
                    <w:jc w:val="center"/>
                    <w:rPr>
                      <w:rFonts w:ascii="Times New Roman" w:hAnsi="Times New Roman" w:cs="Times New Roman"/>
                      <w:szCs w:val="21"/>
                    </w:rPr>
                  </w:pPr>
                  <w:r>
                    <w:rPr>
                      <w:rFonts w:ascii="Times New Roman" w:hAnsi="Times New Roman" w:cs="Times New Roman"/>
                      <w:szCs w:val="21"/>
                    </w:rPr>
                    <w:t>污染物排放管控</w:t>
                  </w:r>
                </w:p>
              </w:tc>
              <w:tc>
                <w:tcPr>
                  <w:tcW w:w="2782" w:type="pct"/>
                  <w:vAlign w:val="center"/>
                </w:tcPr>
                <w:p w14:paraId="031B0E0D">
                  <w:pPr>
                    <w:pStyle w:val="42"/>
                    <w:spacing w:beforeLines="0"/>
                    <w:jc w:val="both"/>
                    <w:rPr>
                      <w:rFonts w:ascii="Times New Roman" w:hAnsi="Times New Roman" w:cs="Times New Roman"/>
                    </w:rPr>
                  </w:pPr>
                  <w:r>
                    <w:rPr>
                      <w:rFonts w:ascii="Times New Roman" w:hAnsi="Times New Roman" w:cs="Times New Roman"/>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089" w:type="pct"/>
                  <w:vAlign w:val="center"/>
                </w:tcPr>
                <w:p w14:paraId="3FF6C2A4">
                  <w:pPr>
                    <w:snapToGrid w:val="0"/>
                    <w:rPr>
                      <w:rFonts w:ascii="Times New Roman" w:hAnsi="Times New Roman" w:cs="Times New Roman"/>
                      <w:szCs w:val="21"/>
                    </w:rPr>
                  </w:pPr>
                  <w:r>
                    <w:rPr>
                      <w:rFonts w:ascii="Times New Roman" w:hAnsi="Times New Roman" w:cs="Times New Roman"/>
                      <w:szCs w:val="21"/>
                      <w:lang w:bidi="ar"/>
                    </w:rPr>
                    <w:t>本项目</w:t>
                  </w:r>
                  <w:r>
                    <w:rPr>
                      <w:rFonts w:hint="eastAsia" w:ascii="Times New Roman" w:hAnsi="Times New Roman" w:cs="Times New Roman"/>
                      <w:szCs w:val="21"/>
                      <w:lang w:eastAsia="zh-CN" w:bidi="ar"/>
                    </w:rPr>
                    <w:t>属于</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hint="eastAsia" w:ascii="Times New Roman" w:hAnsi="Times New Roman" w:cs="Times New Roman"/>
                      <w:szCs w:val="21"/>
                      <w:lang w:eastAsia="zh-CN"/>
                    </w:rPr>
                    <w:t>，</w:t>
                  </w:r>
                  <w:r>
                    <w:rPr>
                      <w:rFonts w:ascii="Times New Roman" w:hAnsi="Times New Roman" w:cs="Times New Roman"/>
                      <w:szCs w:val="21"/>
                      <w:lang w:bidi="ar"/>
                    </w:rPr>
                    <w:t>不属于石化、煤化工、燃煤发电（含热电）、钢铁、有色金属冶炼、制浆造纸行业，不属于钢铁、水泥熟料、平板玻璃、电解铝等行业，不属于</w:t>
                  </w:r>
                  <w:r>
                    <w:rPr>
                      <w:rFonts w:hint="eastAsia" w:ascii="Times New Roman" w:hAnsi="Times New Roman" w:cs="Times New Roman"/>
                      <w:szCs w:val="21"/>
                      <w:lang w:bidi="ar"/>
                    </w:rPr>
                    <w:t>“</w:t>
                  </w:r>
                  <w:r>
                    <w:rPr>
                      <w:rFonts w:ascii="Times New Roman" w:hAnsi="Times New Roman" w:cs="Times New Roman"/>
                      <w:szCs w:val="21"/>
                      <w:lang w:bidi="ar"/>
                    </w:rPr>
                    <w:t>两高</w:t>
                  </w:r>
                  <w:r>
                    <w:rPr>
                      <w:rFonts w:hint="eastAsia" w:ascii="Times New Roman" w:hAnsi="Times New Roman" w:cs="Times New Roman"/>
                      <w:szCs w:val="21"/>
                      <w:lang w:bidi="ar"/>
                    </w:rPr>
                    <w:t>”</w:t>
                  </w:r>
                  <w:r>
                    <w:rPr>
                      <w:rFonts w:ascii="Times New Roman" w:hAnsi="Times New Roman" w:cs="Times New Roman"/>
                      <w:szCs w:val="21"/>
                      <w:lang w:bidi="ar"/>
                    </w:rPr>
                    <w:t>行业。</w:t>
                  </w:r>
                </w:p>
              </w:tc>
              <w:tc>
                <w:tcPr>
                  <w:tcW w:w="345" w:type="pct"/>
                  <w:vAlign w:val="center"/>
                </w:tcPr>
                <w:p w14:paraId="7895F714">
                  <w:pPr>
                    <w:snapToGrid w:val="0"/>
                    <w:jc w:val="center"/>
                    <w:rPr>
                      <w:rFonts w:ascii="Times New Roman" w:hAnsi="Times New Roman" w:cs="Times New Roman"/>
                      <w:szCs w:val="21"/>
                    </w:rPr>
                  </w:pPr>
                  <w:r>
                    <w:rPr>
                      <w:rFonts w:ascii="Times New Roman" w:hAnsi="Times New Roman" w:cs="Times New Roman"/>
                      <w:szCs w:val="21"/>
                    </w:rPr>
                    <w:t>符合</w:t>
                  </w:r>
                </w:p>
              </w:tc>
            </w:tr>
            <w:tr w14:paraId="4080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A252A7A">
                  <w:pPr>
                    <w:snapToGrid w:val="0"/>
                    <w:jc w:val="center"/>
                    <w:rPr>
                      <w:rFonts w:ascii="Times New Roman" w:hAnsi="Times New Roman" w:cs="Times New Roman"/>
                      <w:szCs w:val="21"/>
                    </w:rPr>
                  </w:pPr>
                </w:p>
              </w:tc>
              <w:tc>
                <w:tcPr>
                  <w:tcW w:w="347" w:type="pct"/>
                  <w:vMerge w:val="continue"/>
                  <w:vAlign w:val="center"/>
                </w:tcPr>
                <w:p w14:paraId="7EDB8F3D">
                  <w:pPr>
                    <w:pStyle w:val="40"/>
                    <w:spacing w:beforeLines="0" w:afterLines="0" w:line="240" w:lineRule="auto"/>
                    <w:ind w:firstLine="0" w:firstLineChars="0"/>
                    <w:rPr>
                      <w:rFonts w:ascii="Times New Roman"/>
                    </w:rPr>
                  </w:pPr>
                </w:p>
              </w:tc>
              <w:tc>
                <w:tcPr>
                  <w:tcW w:w="2782" w:type="pct"/>
                  <w:vAlign w:val="center"/>
                </w:tcPr>
                <w:p w14:paraId="4813205B">
                  <w:pPr>
                    <w:pStyle w:val="42"/>
                    <w:spacing w:beforeLines="0"/>
                    <w:jc w:val="both"/>
                    <w:rPr>
                      <w:rFonts w:ascii="Times New Roman" w:hAnsi="Times New Roman" w:cs="Times New Roman"/>
                    </w:rPr>
                  </w:pPr>
                  <w:r>
                    <w:rPr>
                      <w:rFonts w:ascii="Times New Roman" w:hAnsi="Times New Roman" w:cs="Times New Roman"/>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089" w:type="pct"/>
                  <w:vAlign w:val="center"/>
                </w:tcPr>
                <w:p w14:paraId="20CD0D04">
                  <w:pPr>
                    <w:pStyle w:val="40"/>
                    <w:spacing w:beforeLines="0" w:afterLines="0" w:line="240" w:lineRule="auto"/>
                    <w:ind w:firstLine="0" w:firstLineChars="0"/>
                    <w:jc w:val="both"/>
                    <w:rPr>
                      <w:rFonts w:ascii="Times New Roman"/>
                    </w:rPr>
                  </w:pPr>
                  <w:r>
                    <w:rPr>
                      <w:rFonts w:ascii="Times New Roman"/>
                      <w:szCs w:val="21"/>
                    </w:rPr>
                    <w:t>根据《202</w:t>
                  </w:r>
                  <w:r>
                    <w:rPr>
                      <w:rFonts w:hint="eastAsia" w:ascii="Times New Roman"/>
                      <w:szCs w:val="21"/>
                    </w:rPr>
                    <w:t>4</w:t>
                  </w:r>
                  <w:r>
                    <w:rPr>
                      <w:rFonts w:ascii="Times New Roman"/>
                      <w:szCs w:val="21"/>
                    </w:rPr>
                    <w:t>年重庆市生态环境状况公报》，九龙坡区环境空气属于达标区</w:t>
                  </w:r>
                  <w:r>
                    <w:rPr>
                      <w:rFonts w:hint="eastAsia" w:ascii="Times New Roman"/>
                      <w:szCs w:val="21"/>
                    </w:rPr>
                    <w:t>；</w:t>
                  </w:r>
                  <w:r>
                    <w:rPr>
                      <w:rFonts w:ascii="Times New Roman"/>
                      <w:szCs w:val="21"/>
                    </w:rPr>
                    <w:t>项目废水受纳区域地表水满足《地表水环境质量标准》（GB3838-2002）Ⅱ类水域水质标准</w:t>
                  </w:r>
                </w:p>
              </w:tc>
              <w:tc>
                <w:tcPr>
                  <w:tcW w:w="345" w:type="pct"/>
                  <w:vAlign w:val="center"/>
                </w:tcPr>
                <w:p w14:paraId="757910A4">
                  <w:pPr>
                    <w:snapToGrid w:val="0"/>
                    <w:jc w:val="center"/>
                    <w:rPr>
                      <w:rFonts w:ascii="Times New Roman" w:hAnsi="Times New Roman" w:cs="Times New Roman"/>
                      <w:szCs w:val="21"/>
                    </w:rPr>
                  </w:pPr>
                  <w:r>
                    <w:rPr>
                      <w:rFonts w:ascii="Times New Roman" w:hAnsi="Times New Roman" w:cs="Times New Roman"/>
                      <w:szCs w:val="21"/>
                    </w:rPr>
                    <w:t>符合</w:t>
                  </w:r>
                </w:p>
              </w:tc>
            </w:tr>
            <w:tr w14:paraId="20D9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1722112F">
                  <w:pPr>
                    <w:snapToGrid w:val="0"/>
                    <w:jc w:val="center"/>
                    <w:rPr>
                      <w:rFonts w:ascii="Times New Roman" w:hAnsi="Times New Roman" w:cs="Times New Roman"/>
                      <w:szCs w:val="21"/>
                    </w:rPr>
                  </w:pPr>
                </w:p>
              </w:tc>
              <w:tc>
                <w:tcPr>
                  <w:tcW w:w="347" w:type="pct"/>
                  <w:vMerge w:val="continue"/>
                  <w:vAlign w:val="center"/>
                </w:tcPr>
                <w:p w14:paraId="10F9F61E">
                  <w:pPr>
                    <w:pStyle w:val="40"/>
                    <w:spacing w:beforeLines="0" w:afterLines="0" w:line="240" w:lineRule="auto"/>
                    <w:ind w:firstLine="0" w:firstLineChars="0"/>
                    <w:rPr>
                      <w:rFonts w:ascii="Times New Roman"/>
                    </w:rPr>
                  </w:pPr>
                </w:p>
              </w:tc>
              <w:tc>
                <w:tcPr>
                  <w:tcW w:w="2782" w:type="pct"/>
                  <w:vAlign w:val="center"/>
                </w:tcPr>
                <w:p w14:paraId="60639FA8">
                  <w:pPr>
                    <w:pStyle w:val="42"/>
                    <w:spacing w:beforeLines="0"/>
                    <w:jc w:val="both"/>
                    <w:rPr>
                      <w:rFonts w:ascii="Times New Roman" w:hAnsi="Times New Roman" w:cs="Times New Roman"/>
                    </w:rPr>
                  </w:pPr>
                  <w:r>
                    <w:rPr>
                      <w:rFonts w:ascii="Times New Roman" w:hAnsi="Times New Roman" w:cs="Times New Roman"/>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089" w:type="pct"/>
                  <w:vAlign w:val="center"/>
                </w:tcPr>
                <w:p w14:paraId="68F0EA2A">
                  <w:pPr>
                    <w:pStyle w:val="40"/>
                    <w:spacing w:beforeLines="0" w:afterLines="0" w:line="240" w:lineRule="auto"/>
                    <w:ind w:firstLine="0" w:firstLineChars="0"/>
                    <w:jc w:val="both"/>
                    <w:rPr>
                      <w:rFonts w:ascii="Times New Roman"/>
                    </w:rPr>
                  </w:pPr>
                  <w:r>
                    <w:rPr>
                      <w:rFonts w:ascii="Times New Roman"/>
                      <w:szCs w:val="21"/>
                    </w:rPr>
                    <w:t>本项目位于九龙坡区</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主要生产原料为</w:t>
                  </w:r>
                  <w:r>
                    <w:rPr>
                      <w:rFonts w:hint="eastAsia" w:ascii="Times New Roman"/>
                      <w:color w:val="000000" w:themeColor="text1"/>
                      <w:szCs w:val="21"/>
                      <w:lang w:eastAsia="zh-CN"/>
                      <w14:textFill>
                        <w14:solidFill>
                          <w14:schemeClr w14:val="tx1"/>
                        </w14:solidFill>
                      </w14:textFill>
                    </w:rPr>
                    <w:t>纤维板、三聚氰胺浸胶纸</w:t>
                  </w:r>
                  <w:r>
                    <w:rPr>
                      <w:rFonts w:hint="eastAsia" w:ascii="Times New Roman"/>
                      <w:color w:val="000000" w:themeColor="text1"/>
                      <w:szCs w:val="21"/>
                      <w14:textFill>
                        <w14:solidFill>
                          <w14:schemeClr w14:val="tx1"/>
                        </w14:solidFill>
                      </w14:textFill>
                    </w:rPr>
                    <w:t>，生产过程中会产生VOCs废气</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采用“干式过滤+</w:t>
                  </w:r>
                  <w:r>
                    <w:rPr>
                      <w:rFonts w:hint="eastAsia" w:ascii="Times New Roman"/>
                      <w:color w:val="000000" w:themeColor="text1"/>
                      <w:szCs w:val="21"/>
                      <w:lang w:eastAsia="zh-CN"/>
                      <w14:textFill>
                        <w14:solidFill>
                          <w14:schemeClr w14:val="tx1"/>
                        </w14:solidFill>
                      </w14:textFill>
                    </w:rPr>
                    <w:t>两级</w:t>
                  </w:r>
                  <w:r>
                    <w:rPr>
                      <w:rFonts w:hint="eastAsia" w:ascii="Times New Roman"/>
                      <w:color w:val="000000" w:themeColor="text1"/>
                      <w:szCs w:val="21"/>
                      <w14:textFill>
                        <w14:solidFill>
                          <w14:schemeClr w14:val="tx1"/>
                        </w14:solidFill>
                      </w14:textFill>
                    </w:rPr>
                    <w:t>活性炭”吸附处置后有组织排放。</w:t>
                  </w:r>
                </w:p>
              </w:tc>
              <w:tc>
                <w:tcPr>
                  <w:tcW w:w="345" w:type="pct"/>
                  <w:vAlign w:val="center"/>
                </w:tcPr>
                <w:p w14:paraId="7D5429F1">
                  <w:pPr>
                    <w:snapToGrid w:val="0"/>
                    <w:jc w:val="center"/>
                    <w:rPr>
                      <w:rFonts w:ascii="Times New Roman" w:hAnsi="Times New Roman" w:cs="Times New Roman"/>
                      <w:szCs w:val="21"/>
                    </w:rPr>
                  </w:pPr>
                  <w:r>
                    <w:rPr>
                      <w:rFonts w:ascii="Times New Roman" w:hAnsi="Times New Roman" w:cs="Times New Roman"/>
                      <w:szCs w:val="21"/>
                    </w:rPr>
                    <w:t>符合</w:t>
                  </w:r>
                </w:p>
              </w:tc>
            </w:tr>
            <w:tr w14:paraId="4BB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64DF6C59">
                  <w:pPr>
                    <w:snapToGrid w:val="0"/>
                    <w:jc w:val="center"/>
                    <w:rPr>
                      <w:rFonts w:ascii="Times New Roman" w:hAnsi="Times New Roman" w:cs="Times New Roman"/>
                      <w:szCs w:val="21"/>
                    </w:rPr>
                  </w:pPr>
                </w:p>
              </w:tc>
              <w:tc>
                <w:tcPr>
                  <w:tcW w:w="347" w:type="pct"/>
                  <w:vMerge w:val="continue"/>
                  <w:vAlign w:val="center"/>
                </w:tcPr>
                <w:p w14:paraId="6A4C6ECB">
                  <w:pPr>
                    <w:pStyle w:val="40"/>
                    <w:spacing w:beforeLines="0" w:afterLines="0" w:line="240" w:lineRule="auto"/>
                    <w:ind w:firstLine="0" w:firstLineChars="0"/>
                    <w:rPr>
                      <w:rFonts w:ascii="Times New Roman"/>
                    </w:rPr>
                  </w:pPr>
                </w:p>
              </w:tc>
              <w:tc>
                <w:tcPr>
                  <w:tcW w:w="2782" w:type="pct"/>
                  <w:vAlign w:val="center"/>
                </w:tcPr>
                <w:p w14:paraId="11434122">
                  <w:pPr>
                    <w:pStyle w:val="42"/>
                    <w:spacing w:beforeLines="0"/>
                    <w:jc w:val="both"/>
                    <w:rPr>
                      <w:rFonts w:ascii="Times New Roman" w:hAnsi="Times New Roman" w:cs="Times New Roman"/>
                    </w:rPr>
                  </w:pPr>
                  <w:r>
                    <w:rPr>
                      <w:rFonts w:ascii="Times New Roman" w:hAnsi="Times New Roman" w:cs="Times New Roman"/>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089" w:type="pct"/>
                  <w:vAlign w:val="center"/>
                </w:tcPr>
                <w:p w14:paraId="5C267198">
                  <w:pPr>
                    <w:pStyle w:val="40"/>
                    <w:spacing w:beforeLines="0" w:afterLines="0" w:line="240" w:lineRule="auto"/>
                    <w:ind w:firstLine="0" w:firstLineChars="0"/>
                    <w:jc w:val="both"/>
                    <w:rPr>
                      <w:rFonts w:ascii="Times New Roman"/>
                    </w:rPr>
                  </w:pPr>
                  <w:r>
                    <w:rPr>
                      <w:rFonts w:ascii="Times New Roman"/>
                      <w:szCs w:val="21"/>
                      <w:lang w:bidi="ar"/>
                    </w:rPr>
                    <w:t>本项目生活污水依托</w:t>
                  </w:r>
                  <w:r>
                    <w:rPr>
                      <w:rFonts w:hint="eastAsia" w:ascii="Times New Roman"/>
                      <w:szCs w:val="21"/>
                      <w:lang w:eastAsia="zh-CN" w:bidi="ar"/>
                    </w:rPr>
                    <w:t>盛德佳</w:t>
                  </w:r>
                  <w:r>
                    <w:rPr>
                      <w:rFonts w:hint="eastAsia" w:ascii="Times New Roman"/>
                      <w:szCs w:val="21"/>
                      <w:lang w:bidi="ar"/>
                    </w:rPr>
                    <w:t>公司现有</w:t>
                  </w:r>
                  <w:r>
                    <w:rPr>
                      <w:rFonts w:ascii="Times New Roman"/>
                      <w:szCs w:val="21"/>
                      <w:lang w:bidi="ar"/>
                    </w:rPr>
                    <w:t>生化池处理后排入市政污水管网进入西彭污水处理厂</w:t>
                  </w:r>
                  <w:r>
                    <w:rPr>
                      <w:rFonts w:hint="eastAsia" w:ascii="Times New Roman"/>
                      <w:color w:val="000000" w:themeColor="text1"/>
                      <w:szCs w:val="21"/>
                      <w:lang w:eastAsia="zh-CN" w:bidi="ar"/>
                      <w14:textFill>
                        <w14:solidFill>
                          <w14:schemeClr w14:val="tx1"/>
                        </w14:solidFill>
                      </w14:textFill>
                    </w:rPr>
                    <w:t>进一步</w:t>
                  </w:r>
                  <w:r>
                    <w:rPr>
                      <w:rFonts w:ascii="Times New Roman"/>
                      <w:szCs w:val="21"/>
                      <w:lang w:bidi="ar"/>
                    </w:rPr>
                    <w:t>处理。</w:t>
                  </w:r>
                </w:p>
              </w:tc>
              <w:tc>
                <w:tcPr>
                  <w:tcW w:w="345" w:type="pct"/>
                  <w:vAlign w:val="center"/>
                </w:tcPr>
                <w:p w14:paraId="49E0AF8E">
                  <w:pPr>
                    <w:snapToGrid w:val="0"/>
                    <w:jc w:val="center"/>
                    <w:rPr>
                      <w:rFonts w:ascii="Times New Roman" w:hAnsi="Times New Roman" w:cs="Times New Roman"/>
                      <w:szCs w:val="21"/>
                    </w:rPr>
                  </w:pPr>
                  <w:r>
                    <w:rPr>
                      <w:rFonts w:ascii="Times New Roman" w:hAnsi="Times New Roman" w:cs="Times New Roman"/>
                      <w:szCs w:val="21"/>
                    </w:rPr>
                    <w:t>符合</w:t>
                  </w:r>
                </w:p>
              </w:tc>
            </w:tr>
            <w:tr w14:paraId="0ACE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D6F8F76">
                  <w:pPr>
                    <w:snapToGrid w:val="0"/>
                    <w:jc w:val="center"/>
                    <w:rPr>
                      <w:rFonts w:ascii="Times New Roman" w:hAnsi="Times New Roman" w:cs="Times New Roman"/>
                      <w:szCs w:val="21"/>
                    </w:rPr>
                  </w:pPr>
                </w:p>
              </w:tc>
              <w:tc>
                <w:tcPr>
                  <w:tcW w:w="347" w:type="pct"/>
                  <w:vMerge w:val="continue"/>
                  <w:vAlign w:val="center"/>
                </w:tcPr>
                <w:p w14:paraId="3BDF9DF3">
                  <w:pPr>
                    <w:pStyle w:val="40"/>
                    <w:spacing w:beforeLines="0" w:afterLines="0" w:line="240" w:lineRule="auto"/>
                    <w:ind w:firstLine="0" w:firstLineChars="0"/>
                    <w:rPr>
                      <w:rFonts w:ascii="Times New Roman"/>
                    </w:rPr>
                  </w:pPr>
                </w:p>
              </w:tc>
              <w:tc>
                <w:tcPr>
                  <w:tcW w:w="2782" w:type="pct"/>
                  <w:vAlign w:val="center"/>
                </w:tcPr>
                <w:p w14:paraId="0CBB4554">
                  <w:pPr>
                    <w:pStyle w:val="42"/>
                    <w:spacing w:beforeLines="0"/>
                    <w:jc w:val="both"/>
                    <w:rPr>
                      <w:rFonts w:ascii="Times New Roman" w:hAnsi="Times New Roman" w:cs="Times New Roman"/>
                    </w:rPr>
                  </w:pPr>
                  <w:r>
                    <w:rPr>
                      <w:rFonts w:ascii="Times New Roman" w:hAnsi="Times New Roman" w:cs="Times New Roman"/>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089" w:type="pct"/>
                  <w:vAlign w:val="center"/>
                </w:tcPr>
                <w:p w14:paraId="075F5706">
                  <w:pPr>
                    <w:pStyle w:val="40"/>
                    <w:spacing w:beforeLines="0" w:afterLines="0" w:line="240" w:lineRule="auto"/>
                    <w:ind w:firstLine="0" w:firstLineChars="0"/>
                    <w:jc w:val="both"/>
                    <w:rPr>
                      <w:rFonts w:ascii="Times New Roman"/>
                    </w:rPr>
                  </w:pPr>
                  <w:r>
                    <w:rPr>
                      <w:rFonts w:ascii="Times New Roman"/>
                      <w:szCs w:val="21"/>
                      <w:lang w:bidi="ar"/>
                    </w:rPr>
                    <w:t>西彭工业园区配套建设有污水处理厂集中处理园区废水，本项目废水可实现接管排放。</w:t>
                  </w:r>
                </w:p>
              </w:tc>
              <w:tc>
                <w:tcPr>
                  <w:tcW w:w="345" w:type="pct"/>
                  <w:vAlign w:val="center"/>
                </w:tcPr>
                <w:p w14:paraId="6F9A3ACC">
                  <w:pPr>
                    <w:snapToGrid w:val="0"/>
                    <w:jc w:val="center"/>
                    <w:rPr>
                      <w:rFonts w:ascii="Times New Roman" w:hAnsi="Times New Roman" w:cs="Times New Roman"/>
                      <w:szCs w:val="21"/>
                    </w:rPr>
                  </w:pPr>
                  <w:r>
                    <w:rPr>
                      <w:rFonts w:ascii="Times New Roman" w:hAnsi="Times New Roman" w:cs="Times New Roman"/>
                      <w:szCs w:val="21"/>
                    </w:rPr>
                    <w:t>符合</w:t>
                  </w:r>
                </w:p>
              </w:tc>
            </w:tr>
            <w:tr w14:paraId="5EDB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32ADD7D1">
                  <w:pPr>
                    <w:snapToGrid w:val="0"/>
                    <w:jc w:val="center"/>
                    <w:rPr>
                      <w:rFonts w:ascii="Times New Roman" w:hAnsi="Times New Roman" w:cs="Times New Roman"/>
                      <w:szCs w:val="21"/>
                    </w:rPr>
                  </w:pPr>
                </w:p>
              </w:tc>
              <w:tc>
                <w:tcPr>
                  <w:tcW w:w="347" w:type="pct"/>
                  <w:vMerge w:val="continue"/>
                  <w:vAlign w:val="center"/>
                </w:tcPr>
                <w:p w14:paraId="523D3382">
                  <w:pPr>
                    <w:pStyle w:val="40"/>
                    <w:spacing w:beforeLines="0" w:afterLines="0" w:line="240" w:lineRule="auto"/>
                    <w:ind w:firstLine="0" w:firstLineChars="0"/>
                    <w:rPr>
                      <w:rFonts w:ascii="Times New Roman"/>
                    </w:rPr>
                  </w:pPr>
                </w:p>
              </w:tc>
              <w:tc>
                <w:tcPr>
                  <w:tcW w:w="2782" w:type="pct"/>
                  <w:vAlign w:val="center"/>
                </w:tcPr>
                <w:p w14:paraId="10EDE01D">
                  <w:pPr>
                    <w:pStyle w:val="42"/>
                    <w:spacing w:beforeLines="0"/>
                    <w:jc w:val="both"/>
                    <w:rPr>
                      <w:rFonts w:ascii="Times New Roman" w:hAnsi="Times New Roman" w:cs="Times New Roman"/>
                    </w:rPr>
                  </w:pPr>
                  <w:r>
                    <w:rPr>
                      <w:rFonts w:ascii="Times New Roman" w:hAnsi="Times New Roman" w:cs="Times New Roman"/>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089" w:type="pct"/>
                  <w:vAlign w:val="center"/>
                </w:tcPr>
                <w:p w14:paraId="10BB82DE">
                  <w:pPr>
                    <w:pStyle w:val="40"/>
                    <w:spacing w:beforeLines="0" w:afterLines="0" w:line="240" w:lineRule="auto"/>
                    <w:ind w:firstLine="0" w:firstLineChars="0"/>
                    <w:rPr>
                      <w:rFonts w:ascii="Times New Roman"/>
                    </w:rPr>
                  </w:pPr>
                  <w:r>
                    <w:rPr>
                      <w:rFonts w:ascii="Times New Roman"/>
                      <w:szCs w:val="21"/>
                      <w:lang w:bidi="ar"/>
                    </w:rPr>
                    <w:t>项目不属于重点行业。</w:t>
                  </w:r>
                </w:p>
              </w:tc>
              <w:tc>
                <w:tcPr>
                  <w:tcW w:w="345" w:type="pct"/>
                  <w:vAlign w:val="center"/>
                </w:tcPr>
                <w:p w14:paraId="04983952">
                  <w:pPr>
                    <w:snapToGrid w:val="0"/>
                    <w:jc w:val="center"/>
                    <w:rPr>
                      <w:rFonts w:ascii="Times New Roman" w:hAnsi="Times New Roman" w:cs="Times New Roman"/>
                      <w:szCs w:val="21"/>
                    </w:rPr>
                  </w:pPr>
                  <w:r>
                    <w:rPr>
                      <w:rFonts w:ascii="Times New Roman" w:hAnsi="Times New Roman" w:cs="Times New Roman"/>
                      <w:szCs w:val="21"/>
                    </w:rPr>
                    <w:t>符合</w:t>
                  </w:r>
                </w:p>
              </w:tc>
            </w:tr>
            <w:tr w14:paraId="07CA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2E9D3D81">
                  <w:pPr>
                    <w:snapToGrid w:val="0"/>
                    <w:jc w:val="center"/>
                    <w:rPr>
                      <w:rFonts w:ascii="Times New Roman" w:hAnsi="Times New Roman" w:cs="Times New Roman"/>
                      <w:szCs w:val="21"/>
                    </w:rPr>
                  </w:pPr>
                </w:p>
              </w:tc>
              <w:tc>
                <w:tcPr>
                  <w:tcW w:w="347" w:type="pct"/>
                  <w:vMerge w:val="continue"/>
                  <w:vAlign w:val="center"/>
                </w:tcPr>
                <w:p w14:paraId="614D49B0">
                  <w:pPr>
                    <w:pStyle w:val="40"/>
                    <w:spacing w:beforeLines="0" w:afterLines="0" w:line="240" w:lineRule="auto"/>
                    <w:ind w:firstLine="0" w:firstLineChars="0"/>
                    <w:rPr>
                      <w:rFonts w:ascii="Times New Roman"/>
                    </w:rPr>
                  </w:pPr>
                </w:p>
              </w:tc>
              <w:tc>
                <w:tcPr>
                  <w:tcW w:w="2782" w:type="pct"/>
                  <w:vAlign w:val="center"/>
                </w:tcPr>
                <w:p w14:paraId="6D10DE3E">
                  <w:pPr>
                    <w:pStyle w:val="42"/>
                    <w:spacing w:beforeLines="0"/>
                    <w:jc w:val="both"/>
                    <w:rPr>
                      <w:rFonts w:ascii="Times New Roman" w:hAnsi="Times New Roman" w:cs="Times New Roman"/>
                    </w:rPr>
                  </w:pPr>
                  <w:r>
                    <w:rPr>
                      <w:rFonts w:ascii="Times New Roman" w:hAnsi="Times New Roman" w:cs="Times New Roman"/>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089" w:type="pct"/>
                  <w:vAlign w:val="center"/>
                </w:tcPr>
                <w:p w14:paraId="3B2AF3A6">
                  <w:pPr>
                    <w:pStyle w:val="40"/>
                    <w:spacing w:beforeLines="0" w:afterLines="0" w:line="240" w:lineRule="auto"/>
                    <w:ind w:firstLine="0" w:firstLineChars="0"/>
                    <w:rPr>
                      <w:rFonts w:ascii="Times New Roman"/>
                    </w:rPr>
                  </w:pPr>
                  <w:r>
                    <w:rPr>
                      <w:rFonts w:ascii="Times New Roman"/>
                      <w:szCs w:val="21"/>
                      <w:lang w:bidi="ar"/>
                    </w:rPr>
                    <w:t>本项目固体废物污染环境防治实行减量化、资源化和无害化。企业拟建立健全工业固体废物产生、收集、贮存、运输、利用、处置全过程的污染环境防治责任制度，建立工业固体废物管理台账。</w:t>
                  </w:r>
                </w:p>
              </w:tc>
              <w:tc>
                <w:tcPr>
                  <w:tcW w:w="345" w:type="pct"/>
                  <w:vAlign w:val="center"/>
                </w:tcPr>
                <w:p w14:paraId="79D1FC58">
                  <w:pPr>
                    <w:snapToGrid w:val="0"/>
                    <w:jc w:val="center"/>
                    <w:rPr>
                      <w:rFonts w:ascii="Times New Roman" w:hAnsi="Times New Roman" w:cs="Times New Roman"/>
                      <w:szCs w:val="21"/>
                    </w:rPr>
                  </w:pPr>
                  <w:r>
                    <w:rPr>
                      <w:rFonts w:ascii="Times New Roman" w:hAnsi="Times New Roman" w:cs="Times New Roman"/>
                      <w:szCs w:val="21"/>
                    </w:rPr>
                    <w:t>符合</w:t>
                  </w:r>
                </w:p>
              </w:tc>
            </w:tr>
            <w:tr w14:paraId="72E5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08904B13">
                  <w:pPr>
                    <w:snapToGrid w:val="0"/>
                    <w:jc w:val="center"/>
                    <w:rPr>
                      <w:rFonts w:ascii="Times New Roman" w:hAnsi="Times New Roman" w:cs="Times New Roman"/>
                      <w:szCs w:val="21"/>
                    </w:rPr>
                  </w:pPr>
                </w:p>
              </w:tc>
              <w:tc>
                <w:tcPr>
                  <w:tcW w:w="347" w:type="pct"/>
                  <w:vMerge w:val="continue"/>
                  <w:vAlign w:val="center"/>
                </w:tcPr>
                <w:p w14:paraId="229CDC17">
                  <w:pPr>
                    <w:pStyle w:val="40"/>
                    <w:spacing w:beforeLines="0" w:afterLines="0" w:line="240" w:lineRule="auto"/>
                    <w:ind w:firstLine="0" w:firstLineChars="0"/>
                    <w:rPr>
                      <w:rFonts w:ascii="Times New Roman"/>
                    </w:rPr>
                  </w:pPr>
                </w:p>
              </w:tc>
              <w:tc>
                <w:tcPr>
                  <w:tcW w:w="2782" w:type="pct"/>
                  <w:vAlign w:val="center"/>
                </w:tcPr>
                <w:p w14:paraId="76B41D11">
                  <w:pPr>
                    <w:pStyle w:val="42"/>
                    <w:spacing w:beforeLines="0"/>
                    <w:jc w:val="both"/>
                    <w:rPr>
                      <w:rFonts w:ascii="Times New Roman" w:hAnsi="Times New Roman" w:cs="Times New Roman"/>
                    </w:rPr>
                  </w:pPr>
                  <w:r>
                    <w:rPr>
                      <w:rFonts w:ascii="Times New Roman" w:hAnsi="Times New Roman" w:cs="Times New Roman"/>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089" w:type="pct"/>
                  <w:vAlign w:val="center"/>
                </w:tcPr>
                <w:p w14:paraId="76CC16A6">
                  <w:pPr>
                    <w:pStyle w:val="40"/>
                    <w:spacing w:beforeLines="0" w:afterLines="0" w:line="240" w:lineRule="auto"/>
                    <w:ind w:firstLine="0" w:firstLineChars="0"/>
                    <w:jc w:val="both"/>
                    <w:rPr>
                      <w:rFonts w:ascii="Times New Roman"/>
                    </w:rPr>
                  </w:pPr>
                  <w:r>
                    <w:rPr>
                      <w:rFonts w:ascii="Times New Roman"/>
                      <w:szCs w:val="21"/>
                      <w:lang w:bidi="ar"/>
                    </w:rPr>
                    <w:t>生活垃圾分类收集后交由环卫部门处理。</w:t>
                  </w:r>
                </w:p>
              </w:tc>
              <w:tc>
                <w:tcPr>
                  <w:tcW w:w="345" w:type="pct"/>
                  <w:vAlign w:val="center"/>
                </w:tcPr>
                <w:p w14:paraId="0E8DD9B7">
                  <w:pPr>
                    <w:snapToGrid w:val="0"/>
                    <w:jc w:val="center"/>
                    <w:rPr>
                      <w:rFonts w:ascii="Times New Roman" w:hAnsi="Times New Roman" w:eastAsia="宋体" w:cs="Times New Roman"/>
                      <w:szCs w:val="21"/>
                    </w:rPr>
                  </w:pPr>
                  <w:r>
                    <w:rPr>
                      <w:rFonts w:ascii="Times New Roman" w:hAnsi="Times New Roman" w:cs="Times New Roman"/>
                      <w:szCs w:val="21"/>
                    </w:rPr>
                    <w:t>符合</w:t>
                  </w:r>
                </w:p>
              </w:tc>
            </w:tr>
            <w:tr w14:paraId="2DF5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BE4A1CF">
                  <w:pPr>
                    <w:snapToGrid w:val="0"/>
                    <w:jc w:val="center"/>
                    <w:rPr>
                      <w:rFonts w:ascii="Times New Roman" w:hAnsi="Times New Roman" w:cs="Times New Roman"/>
                      <w:szCs w:val="21"/>
                    </w:rPr>
                  </w:pPr>
                </w:p>
              </w:tc>
              <w:tc>
                <w:tcPr>
                  <w:tcW w:w="347" w:type="pct"/>
                  <w:vMerge w:val="restart"/>
                  <w:vAlign w:val="center"/>
                </w:tcPr>
                <w:p w14:paraId="0D208135">
                  <w:pPr>
                    <w:pStyle w:val="40"/>
                    <w:spacing w:beforeLines="0" w:afterLines="0" w:line="240" w:lineRule="auto"/>
                    <w:ind w:firstLine="0" w:firstLineChars="0"/>
                    <w:rPr>
                      <w:rFonts w:ascii="Times New Roman"/>
                    </w:rPr>
                  </w:pPr>
                  <w:r>
                    <w:rPr>
                      <w:rFonts w:ascii="Times New Roman"/>
                      <w:szCs w:val="21"/>
                    </w:rPr>
                    <w:t>环境风险防控</w:t>
                  </w:r>
                </w:p>
              </w:tc>
              <w:tc>
                <w:tcPr>
                  <w:tcW w:w="2782" w:type="pct"/>
                  <w:vAlign w:val="center"/>
                </w:tcPr>
                <w:p w14:paraId="33097D3C">
                  <w:pPr>
                    <w:pStyle w:val="42"/>
                    <w:spacing w:beforeLines="0"/>
                    <w:jc w:val="both"/>
                    <w:rPr>
                      <w:rFonts w:ascii="Times New Roman" w:hAnsi="Times New Roman" w:cs="Times New Roman"/>
                    </w:rPr>
                  </w:pPr>
                  <w:r>
                    <w:rPr>
                      <w:rFonts w:ascii="Times New Roman" w:hAnsi="Times New Roman" w:cs="Times New Roman"/>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089" w:type="pct"/>
                  <w:vAlign w:val="center"/>
                </w:tcPr>
                <w:p w14:paraId="0E163C5E">
                  <w:pPr>
                    <w:pStyle w:val="40"/>
                    <w:spacing w:beforeLines="0" w:afterLines="0" w:line="240" w:lineRule="auto"/>
                    <w:ind w:firstLine="0" w:firstLineChars="0"/>
                    <w:jc w:val="both"/>
                    <w:rPr>
                      <w:rFonts w:ascii="Times New Roman"/>
                    </w:rPr>
                  </w:pPr>
                  <w:r>
                    <w:rPr>
                      <w:rFonts w:ascii="Times New Roman"/>
                      <w:szCs w:val="21"/>
                      <w:lang w:bidi="ar"/>
                    </w:rPr>
                    <w:t>项目不属于重大突发环境事件风险企业，</w:t>
                  </w:r>
                  <w:r>
                    <w:rPr>
                      <w:rFonts w:ascii="Times New Roman"/>
                    </w:rPr>
                    <w:t>本次评价对本项目提出了相应的风险防范措施要求，企业风险可防可控</w:t>
                  </w:r>
                  <w:r>
                    <w:rPr>
                      <w:rFonts w:hint="eastAsia" w:ascii="Times New Roman"/>
                    </w:rPr>
                    <w:t>。</w:t>
                  </w:r>
                </w:p>
              </w:tc>
              <w:tc>
                <w:tcPr>
                  <w:tcW w:w="345" w:type="pct"/>
                  <w:vAlign w:val="center"/>
                </w:tcPr>
                <w:p w14:paraId="0616A643">
                  <w:pPr>
                    <w:snapToGrid w:val="0"/>
                    <w:jc w:val="center"/>
                    <w:rPr>
                      <w:rFonts w:ascii="Times New Roman" w:hAnsi="Times New Roman" w:cs="Times New Roman"/>
                      <w:szCs w:val="21"/>
                    </w:rPr>
                  </w:pPr>
                  <w:r>
                    <w:rPr>
                      <w:rFonts w:ascii="Times New Roman" w:hAnsi="Times New Roman" w:cs="Times New Roman"/>
                      <w:szCs w:val="21"/>
                    </w:rPr>
                    <w:t>符合</w:t>
                  </w:r>
                </w:p>
              </w:tc>
            </w:tr>
            <w:tr w14:paraId="598E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2D76FB3A">
                  <w:pPr>
                    <w:snapToGrid w:val="0"/>
                    <w:jc w:val="center"/>
                    <w:rPr>
                      <w:rFonts w:ascii="Times New Roman" w:hAnsi="Times New Roman" w:cs="Times New Roman"/>
                      <w:szCs w:val="21"/>
                    </w:rPr>
                  </w:pPr>
                </w:p>
              </w:tc>
              <w:tc>
                <w:tcPr>
                  <w:tcW w:w="347" w:type="pct"/>
                  <w:vMerge w:val="continue"/>
                  <w:vAlign w:val="center"/>
                </w:tcPr>
                <w:p w14:paraId="4890B4BD">
                  <w:pPr>
                    <w:pStyle w:val="40"/>
                    <w:spacing w:beforeLines="0" w:afterLines="0" w:line="240" w:lineRule="auto"/>
                    <w:ind w:firstLine="0" w:firstLineChars="0"/>
                    <w:rPr>
                      <w:rFonts w:ascii="Times New Roman"/>
                    </w:rPr>
                  </w:pPr>
                </w:p>
              </w:tc>
              <w:tc>
                <w:tcPr>
                  <w:tcW w:w="2782" w:type="pct"/>
                  <w:vAlign w:val="center"/>
                </w:tcPr>
                <w:p w14:paraId="72729A3D">
                  <w:pPr>
                    <w:pStyle w:val="42"/>
                    <w:spacing w:beforeLines="0"/>
                    <w:jc w:val="both"/>
                    <w:rPr>
                      <w:rFonts w:ascii="Times New Roman" w:hAnsi="Times New Roman" w:cs="Times New Roman"/>
                    </w:rPr>
                  </w:pPr>
                  <w:r>
                    <w:rPr>
                      <w:rFonts w:ascii="Times New Roman" w:hAnsi="Times New Roman" w:cs="Times New Roman"/>
                    </w:rPr>
                    <w:t>第十七条 强化化工园区涉水突发环境事件四级环境风险防范体系建设。持续推进重点化工园区（化工集中区）建设有毒有害气体监测预警体系和水质生物毒性预警体系。</w:t>
                  </w:r>
                </w:p>
              </w:tc>
              <w:tc>
                <w:tcPr>
                  <w:tcW w:w="1089" w:type="pct"/>
                  <w:vAlign w:val="center"/>
                </w:tcPr>
                <w:p w14:paraId="3193FF5C">
                  <w:pPr>
                    <w:pStyle w:val="40"/>
                    <w:spacing w:beforeLines="0" w:afterLines="0" w:line="240" w:lineRule="auto"/>
                    <w:ind w:firstLine="0" w:firstLineChars="0"/>
                    <w:jc w:val="both"/>
                    <w:rPr>
                      <w:rFonts w:ascii="Times New Roman"/>
                    </w:rPr>
                  </w:pPr>
                  <w:r>
                    <w:rPr>
                      <w:rFonts w:ascii="Times New Roman"/>
                      <w:szCs w:val="21"/>
                    </w:rPr>
                    <w:t>本项目为</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rPr>
                    <w:t>，非化工项目，且</w:t>
                  </w:r>
                  <w:r>
                    <w:rPr>
                      <w:rFonts w:ascii="Times New Roman"/>
                      <w:szCs w:val="21"/>
                    </w:rPr>
                    <w:t>不涉及重大环境安全隐患</w:t>
                  </w:r>
                  <w:r>
                    <w:rPr>
                      <w:rFonts w:hint="eastAsia" w:ascii="Times New Roman"/>
                      <w:szCs w:val="21"/>
                    </w:rPr>
                    <w:t>。</w:t>
                  </w:r>
                </w:p>
              </w:tc>
              <w:tc>
                <w:tcPr>
                  <w:tcW w:w="345" w:type="pct"/>
                  <w:vAlign w:val="center"/>
                </w:tcPr>
                <w:p w14:paraId="15B8472A">
                  <w:pPr>
                    <w:snapToGrid w:val="0"/>
                    <w:jc w:val="center"/>
                    <w:rPr>
                      <w:rFonts w:ascii="Times New Roman" w:hAnsi="Times New Roman" w:cs="Times New Roman"/>
                      <w:szCs w:val="21"/>
                    </w:rPr>
                  </w:pPr>
                  <w:r>
                    <w:rPr>
                      <w:rFonts w:ascii="Times New Roman" w:hAnsi="Times New Roman" w:cs="Times New Roman"/>
                      <w:szCs w:val="21"/>
                    </w:rPr>
                    <w:t>符合</w:t>
                  </w:r>
                </w:p>
              </w:tc>
            </w:tr>
            <w:tr w14:paraId="4F3F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55AD252B">
                  <w:pPr>
                    <w:snapToGrid w:val="0"/>
                    <w:jc w:val="center"/>
                    <w:rPr>
                      <w:rFonts w:ascii="Times New Roman" w:hAnsi="Times New Roman" w:cs="Times New Roman"/>
                      <w:szCs w:val="21"/>
                    </w:rPr>
                  </w:pPr>
                </w:p>
              </w:tc>
              <w:tc>
                <w:tcPr>
                  <w:tcW w:w="347" w:type="pct"/>
                  <w:vMerge w:val="restart"/>
                  <w:vAlign w:val="center"/>
                </w:tcPr>
                <w:p w14:paraId="6E77B557">
                  <w:pPr>
                    <w:pStyle w:val="40"/>
                    <w:spacing w:beforeLines="0" w:afterLines="0" w:line="240" w:lineRule="auto"/>
                    <w:ind w:firstLine="0" w:firstLineChars="0"/>
                    <w:rPr>
                      <w:rFonts w:ascii="Times New Roman"/>
                    </w:rPr>
                  </w:pPr>
                  <w:r>
                    <w:rPr>
                      <w:rFonts w:ascii="Times New Roman"/>
                      <w:szCs w:val="21"/>
                    </w:rPr>
                    <w:t>资源开发利用效率</w:t>
                  </w:r>
                </w:p>
              </w:tc>
              <w:tc>
                <w:tcPr>
                  <w:tcW w:w="2782" w:type="pct"/>
                  <w:vAlign w:val="center"/>
                </w:tcPr>
                <w:p w14:paraId="0174B8D4">
                  <w:pPr>
                    <w:pStyle w:val="42"/>
                    <w:spacing w:beforeLines="0"/>
                    <w:jc w:val="both"/>
                    <w:rPr>
                      <w:rFonts w:ascii="Times New Roman" w:hAnsi="Times New Roman" w:cs="Times New Roman"/>
                    </w:rPr>
                  </w:pPr>
                  <w:r>
                    <w:rPr>
                      <w:rFonts w:ascii="Times New Roman" w:hAnsi="Times New Roman" w:cs="Times New Roman"/>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089" w:type="pct"/>
                  <w:vAlign w:val="center"/>
                </w:tcPr>
                <w:p w14:paraId="75E357FB">
                  <w:pPr>
                    <w:pStyle w:val="40"/>
                    <w:spacing w:beforeLines="0" w:afterLines="0" w:line="240" w:lineRule="auto"/>
                    <w:ind w:firstLine="0" w:firstLineChars="0"/>
                    <w:jc w:val="both"/>
                    <w:rPr>
                      <w:rFonts w:ascii="Times New Roman"/>
                    </w:rPr>
                  </w:pPr>
                  <w:r>
                    <w:rPr>
                      <w:rFonts w:ascii="Times New Roman"/>
                      <w:szCs w:val="21"/>
                    </w:rPr>
                    <w:t>本项目实行能耗、水耗管控，从源头减少污染物排放</w:t>
                  </w:r>
                </w:p>
              </w:tc>
              <w:tc>
                <w:tcPr>
                  <w:tcW w:w="345" w:type="pct"/>
                  <w:vAlign w:val="center"/>
                </w:tcPr>
                <w:p w14:paraId="2DB33684">
                  <w:pPr>
                    <w:snapToGrid w:val="0"/>
                    <w:jc w:val="center"/>
                    <w:rPr>
                      <w:rFonts w:ascii="Times New Roman" w:hAnsi="Times New Roman" w:cs="Times New Roman"/>
                      <w:szCs w:val="21"/>
                    </w:rPr>
                  </w:pPr>
                  <w:r>
                    <w:rPr>
                      <w:rFonts w:ascii="Times New Roman" w:hAnsi="Times New Roman" w:cs="Times New Roman"/>
                      <w:szCs w:val="21"/>
                    </w:rPr>
                    <w:t>符合</w:t>
                  </w:r>
                </w:p>
              </w:tc>
            </w:tr>
            <w:tr w14:paraId="2A7E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45E43E6C">
                  <w:pPr>
                    <w:snapToGrid w:val="0"/>
                    <w:jc w:val="center"/>
                    <w:rPr>
                      <w:rFonts w:ascii="Times New Roman" w:hAnsi="Times New Roman" w:cs="Times New Roman"/>
                      <w:szCs w:val="21"/>
                    </w:rPr>
                  </w:pPr>
                </w:p>
              </w:tc>
              <w:tc>
                <w:tcPr>
                  <w:tcW w:w="347" w:type="pct"/>
                  <w:vMerge w:val="continue"/>
                  <w:vAlign w:val="center"/>
                </w:tcPr>
                <w:p w14:paraId="603B8BA0">
                  <w:pPr>
                    <w:pStyle w:val="40"/>
                    <w:spacing w:beforeLines="0" w:afterLines="0" w:line="240" w:lineRule="auto"/>
                    <w:ind w:firstLine="0" w:firstLineChars="0"/>
                    <w:rPr>
                      <w:rFonts w:ascii="Times New Roman"/>
                    </w:rPr>
                  </w:pPr>
                </w:p>
              </w:tc>
              <w:tc>
                <w:tcPr>
                  <w:tcW w:w="2782" w:type="pct"/>
                  <w:vAlign w:val="center"/>
                </w:tcPr>
                <w:p w14:paraId="67686385">
                  <w:pPr>
                    <w:pStyle w:val="42"/>
                    <w:spacing w:beforeLines="0"/>
                    <w:jc w:val="both"/>
                    <w:rPr>
                      <w:rFonts w:ascii="Times New Roman" w:hAnsi="Times New Roman" w:cs="Times New Roman"/>
                    </w:rPr>
                  </w:pPr>
                  <w:r>
                    <w:rPr>
                      <w:rFonts w:ascii="Times New Roman" w:hAnsi="Times New Roman" w:cs="Times New Roman"/>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089" w:type="pct"/>
                  <w:vAlign w:val="center"/>
                </w:tcPr>
                <w:p w14:paraId="2ABEE2D3">
                  <w:pPr>
                    <w:pStyle w:val="40"/>
                    <w:spacing w:beforeLines="0" w:afterLines="0" w:line="240" w:lineRule="auto"/>
                    <w:ind w:firstLine="0" w:firstLineChars="0"/>
                    <w:jc w:val="both"/>
                    <w:rPr>
                      <w:rFonts w:ascii="Times New Roman"/>
                    </w:rPr>
                  </w:pPr>
                  <w:r>
                    <w:rPr>
                      <w:rFonts w:ascii="Times New Roman"/>
                      <w:szCs w:val="21"/>
                    </w:rPr>
                    <w:t>本项目不使用</w:t>
                  </w:r>
                  <w:r>
                    <w:rPr>
                      <w:rFonts w:ascii="Times New Roman"/>
                      <w:kern w:val="2"/>
                      <w:szCs w:val="18"/>
                    </w:rPr>
                    <w:t>高污染燃料</w:t>
                  </w:r>
                </w:p>
              </w:tc>
              <w:tc>
                <w:tcPr>
                  <w:tcW w:w="345" w:type="pct"/>
                  <w:vAlign w:val="center"/>
                </w:tcPr>
                <w:p w14:paraId="781075A4">
                  <w:pPr>
                    <w:snapToGrid w:val="0"/>
                    <w:jc w:val="center"/>
                    <w:rPr>
                      <w:rFonts w:ascii="Times New Roman" w:hAnsi="Times New Roman" w:cs="Times New Roman"/>
                      <w:szCs w:val="21"/>
                    </w:rPr>
                  </w:pPr>
                  <w:r>
                    <w:rPr>
                      <w:rFonts w:ascii="Times New Roman" w:hAnsi="Times New Roman" w:cs="Times New Roman"/>
                      <w:szCs w:val="21"/>
                    </w:rPr>
                    <w:t>符合</w:t>
                  </w:r>
                </w:p>
              </w:tc>
            </w:tr>
            <w:tr w14:paraId="2354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411B57F9">
                  <w:pPr>
                    <w:snapToGrid w:val="0"/>
                    <w:jc w:val="center"/>
                    <w:rPr>
                      <w:rFonts w:ascii="Times New Roman" w:hAnsi="Times New Roman" w:cs="Times New Roman"/>
                      <w:szCs w:val="21"/>
                    </w:rPr>
                  </w:pPr>
                </w:p>
              </w:tc>
              <w:tc>
                <w:tcPr>
                  <w:tcW w:w="347" w:type="pct"/>
                  <w:vMerge w:val="continue"/>
                  <w:vAlign w:val="center"/>
                </w:tcPr>
                <w:p w14:paraId="510AC9DE">
                  <w:pPr>
                    <w:pStyle w:val="40"/>
                    <w:spacing w:beforeLines="0" w:afterLines="0" w:line="240" w:lineRule="auto"/>
                    <w:ind w:firstLine="0" w:firstLineChars="0"/>
                    <w:rPr>
                      <w:rFonts w:ascii="Times New Roman"/>
                    </w:rPr>
                  </w:pPr>
                </w:p>
              </w:tc>
              <w:tc>
                <w:tcPr>
                  <w:tcW w:w="2782" w:type="pct"/>
                  <w:vAlign w:val="center"/>
                </w:tcPr>
                <w:p w14:paraId="25EF1E65">
                  <w:pPr>
                    <w:pStyle w:val="42"/>
                    <w:spacing w:beforeLines="0"/>
                    <w:jc w:val="both"/>
                    <w:rPr>
                      <w:rFonts w:ascii="Times New Roman" w:hAnsi="Times New Roman" w:cs="Times New Roman"/>
                    </w:rPr>
                  </w:pPr>
                  <w:r>
                    <w:rPr>
                      <w:rFonts w:ascii="Times New Roman" w:hAnsi="Times New Roman" w:cs="Times New Roman"/>
                    </w:rPr>
                    <w:t>第二十条 新建、扩建“两高”项目应采用先进适用的工艺技术和装备，单位产品物耗、能耗、水耗等达到清洁生产先进水平。</w:t>
                  </w:r>
                </w:p>
              </w:tc>
              <w:tc>
                <w:tcPr>
                  <w:tcW w:w="1089" w:type="pct"/>
                  <w:vAlign w:val="center"/>
                </w:tcPr>
                <w:p w14:paraId="616DCCE0">
                  <w:pPr>
                    <w:pStyle w:val="40"/>
                    <w:spacing w:beforeLines="0" w:afterLines="0" w:line="240" w:lineRule="auto"/>
                    <w:ind w:firstLine="0" w:firstLineChars="0"/>
                    <w:jc w:val="both"/>
                    <w:rPr>
                      <w:rFonts w:ascii="Times New Roman"/>
                    </w:rPr>
                  </w:pPr>
                  <w:r>
                    <w:rPr>
                      <w:rFonts w:ascii="Times New Roman"/>
                      <w:szCs w:val="21"/>
                      <w:lang w:bidi="ar"/>
                    </w:rPr>
                    <w:t>项目不属于“两高”项目，采用先进适用的工艺技术和装备，单位产品物耗、能耗、水耗等达到清洁生产先进水平。</w:t>
                  </w:r>
                </w:p>
              </w:tc>
              <w:tc>
                <w:tcPr>
                  <w:tcW w:w="345" w:type="pct"/>
                  <w:vAlign w:val="center"/>
                </w:tcPr>
                <w:p w14:paraId="4C599274">
                  <w:pPr>
                    <w:snapToGrid w:val="0"/>
                    <w:jc w:val="center"/>
                    <w:rPr>
                      <w:rFonts w:ascii="Times New Roman" w:hAnsi="Times New Roman" w:cs="Times New Roman"/>
                      <w:szCs w:val="21"/>
                    </w:rPr>
                  </w:pPr>
                  <w:r>
                    <w:rPr>
                      <w:rFonts w:ascii="Times New Roman" w:hAnsi="Times New Roman" w:cs="Times New Roman"/>
                      <w:szCs w:val="21"/>
                    </w:rPr>
                    <w:t>符合</w:t>
                  </w:r>
                </w:p>
              </w:tc>
            </w:tr>
            <w:tr w14:paraId="2A4A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33E5DA7">
                  <w:pPr>
                    <w:snapToGrid w:val="0"/>
                    <w:jc w:val="center"/>
                    <w:rPr>
                      <w:rFonts w:ascii="Times New Roman" w:hAnsi="Times New Roman" w:cs="Times New Roman"/>
                      <w:szCs w:val="21"/>
                    </w:rPr>
                  </w:pPr>
                </w:p>
              </w:tc>
              <w:tc>
                <w:tcPr>
                  <w:tcW w:w="347" w:type="pct"/>
                  <w:vMerge w:val="continue"/>
                  <w:vAlign w:val="center"/>
                </w:tcPr>
                <w:p w14:paraId="3A9BD617">
                  <w:pPr>
                    <w:pStyle w:val="40"/>
                    <w:spacing w:beforeLines="0" w:afterLines="0" w:line="240" w:lineRule="auto"/>
                    <w:ind w:firstLine="0" w:firstLineChars="0"/>
                    <w:rPr>
                      <w:rFonts w:ascii="Times New Roman"/>
                    </w:rPr>
                  </w:pPr>
                </w:p>
              </w:tc>
              <w:tc>
                <w:tcPr>
                  <w:tcW w:w="2782" w:type="pct"/>
                  <w:vAlign w:val="center"/>
                </w:tcPr>
                <w:p w14:paraId="0771051A">
                  <w:pPr>
                    <w:pStyle w:val="42"/>
                    <w:spacing w:beforeLines="0"/>
                    <w:jc w:val="both"/>
                    <w:rPr>
                      <w:rFonts w:ascii="Times New Roman" w:hAnsi="Times New Roman" w:cs="Times New Roman"/>
                    </w:rPr>
                  </w:pPr>
                  <w:r>
                    <w:rPr>
                      <w:rFonts w:ascii="Times New Roman" w:hAnsi="Times New Roman" w:cs="Times New Roman"/>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089" w:type="pct"/>
                  <w:vAlign w:val="center"/>
                </w:tcPr>
                <w:p w14:paraId="15DD7AA2">
                  <w:pPr>
                    <w:pStyle w:val="40"/>
                    <w:spacing w:beforeLines="0" w:afterLines="0" w:line="240" w:lineRule="auto"/>
                    <w:ind w:firstLine="0" w:firstLineChars="0"/>
                    <w:jc w:val="both"/>
                    <w:rPr>
                      <w:rFonts w:ascii="Times New Roman"/>
                    </w:rPr>
                  </w:pPr>
                  <w:r>
                    <w:rPr>
                      <w:rFonts w:ascii="Times New Roman"/>
                    </w:rPr>
                    <w:t>本项目不涉及工业用水，仅员工生活用水，用水量较少。</w:t>
                  </w:r>
                </w:p>
              </w:tc>
              <w:tc>
                <w:tcPr>
                  <w:tcW w:w="345" w:type="pct"/>
                  <w:vAlign w:val="center"/>
                </w:tcPr>
                <w:p w14:paraId="6CB65790">
                  <w:pPr>
                    <w:snapToGrid w:val="0"/>
                    <w:jc w:val="center"/>
                    <w:rPr>
                      <w:rFonts w:ascii="Times New Roman" w:hAnsi="Times New Roman" w:cs="Times New Roman"/>
                      <w:szCs w:val="21"/>
                    </w:rPr>
                  </w:pPr>
                  <w:r>
                    <w:rPr>
                      <w:rFonts w:ascii="Times New Roman" w:hAnsi="Times New Roman" w:cs="Times New Roman"/>
                      <w:szCs w:val="21"/>
                    </w:rPr>
                    <w:t>符合</w:t>
                  </w:r>
                </w:p>
              </w:tc>
            </w:tr>
            <w:tr w14:paraId="263A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B3E8A6C">
                  <w:pPr>
                    <w:snapToGrid w:val="0"/>
                    <w:jc w:val="center"/>
                    <w:rPr>
                      <w:rFonts w:ascii="Times New Roman" w:hAnsi="Times New Roman" w:cs="Times New Roman"/>
                      <w:szCs w:val="21"/>
                    </w:rPr>
                  </w:pPr>
                </w:p>
              </w:tc>
              <w:tc>
                <w:tcPr>
                  <w:tcW w:w="347" w:type="pct"/>
                  <w:vMerge w:val="continue"/>
                  <w:vAlign w:val="center"/>
                </w:tcPr>
                <w:p w14:paraId="295157A8">
                  <w:pPr>
                    <w:pStyle w:val="40"/>
                    <w:spacing w:beforeLines="0" w:afterLines="0" w:line="240" w:lineRule="auto"/>
                    <w:ind w:firstLine="0" w:firstLineChars="0"/>
                    <w:rPr>
                      <w:rFonts w:ascii="Times New Roman"/>
                    </w:rPr>
                  </w:pPr>
                </w:p>
              </w:tc>
              <w:tc>
                <w:tcPr>
                  <w:tcW w:w="2782" w:type="pct"/>
                  <w:vAlign w:val="center"/>
                </w:tcPr>
                <w:p w14:paraId="309C9CC7">
                  <w:pPr>
                    <w:pStyle w:val="42"/>
                    <w:spacing w:beforeLines="0"/>
                    <w:jc w:val="both"/>
                    <w:rPr>
                      <w:rFonts w:ascii="Times New Roman" w:hAnsi="Times New Roman" w:cs="Times New Roman"/>
                    </w:rPr>
                  </w:pPr>
                  <w:r>
                    <w:rPr>
                      <w:rFonts w:ascii="Times New Roman" w:hAnsi="Times New Roman" w:cs="Times New Roman"/>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089" w:type="pct"/>
                  <w:vAlign w:val="center"/>
                </w:tcPr>
                <w:p w14:paraId="0337427B">
                  <w:pPr>
                    <w:pStyle w:val="40"/>
                    <w:spacing w:beforeLines="0" w:afterLines="0" w:line="240" w:lineRule="auto"/>
                    <w:ind w:firstLine="0" w:firstLineChars="0"/>
                    <w:rPr>
                      <w:rFonts w:ascii="Times New Roman"/>
                    </w:rPr>
                  </w:pPr>
                  <w:r>
                    <w:rPr>
                      <w:rFonts w:ascii="Times New Roman"/>
                    </w:rPr>
                    <w:t>不涉及</w:t>
                  </w:r>
                </w:p>
              </w:tc>
              <w:tc>
                <w:tcPr>
                  <w:tcW w:w="345" w:type="pct"/>
                  <w:vAlign w:val="center"/>
                </w:tcPr>
                <w:p w14:paraId="79FE2765">
                  <w:pPr>
                    <w:snapToGrid w:val="0"/>
                    <w:jc w:val="center"/>
                    <w:rPr>
                      <w:rFonts w:ascii="Times New Roman" w:hAnsi="Times New Roman" w:cs="Times New Roman"/>
                      <w:szCs w:val="21"/>
                    </w:rPr>
                  </w:pPr>
                  <w:r>
                    <w:rPr>
                      <w:rFonts w:ascii="Times New Roman" w:hAnsi="Times New Roman" w:cs="Times New Roman"/>
                      <w:szCs w:val="21"/>
                    </w:rPr>
                    <w:t>符合</w:t>
                  </w:r>
                </w:p>
              </w:tc>
            </w:tr>
            <w:tr w14:paraId="0230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restart"/>
                  <w:vAlign w:val="center"/>
                </w:tcPr>
                <w:p w14:paraId="25FC10BF">
                  <w:pPr>
                    <w:snapToGrid w:val="0"/>
                    <w:jc w:val="center"/>
                    <w:rPr>
                      <w:rFonts w:ascii="Times New Roman" w:hAnsi="Times New Roman" w:cs="Times New Roman"/>
                      <w:szCs w:val="21"/>
                    </w:rPr>
                  </w:pPr>
                  <w:r>
                    <w:rPr>
                      <w:rFonts w:ascii="Times New Roman" w:hAnsi="Times New Roman" w:cs="Times New Roman"/>
                      <w:szCs w:val="21"/>
                    </w:rPr>
                    <w:t>九龙坡区总体管控要求</w:t>
                  </w:r>
                </w:p>
              </w:tc>
              <w:tc>
                <w:tcPr>
                  <w:tcW w:w="347" w:type="pct"/>
                  <w:vMerge w:val="restart"/>
                  <w:vAlign w:val="center"/>
                </w:tcPr>
                <w:p w14:paraId="521B26FC">
                  <w:pPr>
                    <w:snapToGrid w:val="0"/>
                    <w:jc w:val="center"/>
                    <w:rPr>
                      <w:rFonts w:ascii="Times New Roman" w:hAnsi="Times New Roman" w:cs="Times New Roman"/>
                      <w:szCs w:val="21"/>
                    </w:rPr>
                  </w:pPr>
                  <w:r>
                    <w:rPr>
                      <w:rFonts w:ascii="Times New Roman" w:hAnsi="Times New Roman" w:cs="Times New Roman"/>
                      <w:szCs w:val="21"/>
                    </w:rPr>
                    <w:t>空间布局约束</w:t>
                  </w:r>
                </w:p>
              </w:tc>
              <w:tc>
                <w:tcPr>
                  <w:tcW w:w="2782" w:type="pct"/>
                  <w:vAlign w:val="center"/>
                </w:tcPr>
                <w:p w14:paraId="76B362D7">
                  <w:pPr>
                    <w:snapToGrid w:val="0"/>
                    <w:rPr>
                      <w:rFonts w:ascii="Times New Roman" w:hAnsi="Times New Roman" w:cs="Times New Roman"/>
                      <w:szCs w:val="21"/>
                    </w:rPr>
                  </w:pPr>
                  <w:r>
                    <w:rPr>
                      <w:rFonts w:ascii="Times New Roman" w:hAnsi="Times New Roman" w:cs="Times New Roman"/>
                      <w:szCs w:val="21"/>
                    </w:rPr>
                    <w:t>第一条确保饮用水源取水口水质安全，饮用水源地所在岸线不得建设与供水设施和保护水源无关的项目，禁止新增船舶码头，规范渔业船舶管理，不得停靠餐饮趸船，取缔现有餐饮趸船；饮用水源保护区内可实施有利于改善取水水质或取水口改造的项目</w:t>
                  </w:r>
                </w:p>
              </w:tc>
              <w:tc>
                <w:tcPr>
                  <w:tcW w:w="1089" w:type="pct"/>
                  <w:vAlign w:val="center"/>
                </w:tcPr>
                <w:p w14:paraId="5AE3D561">
                  <w:pPr>
                    <w:snapToGrid w:val="0"/>
                    <w:rPr>
                      <w:rFonts w:ascii="Times New Roman" w:hAnsi="Times New Roman" w:cs="Times New Roman"/>
                      <w:szCs w:val="21"/>
                    </w:rPr>
                  </w:pPr>
                  <w:r>
                    <w:rPr>
                      <w:rFonts w:ascii="Times New Roman" w:hAnsi="Times New Roman" w:cs="Times New Roman"/>
                      <w:lang w:bidi="en-US"/>
                    </w:rPr>
                    <w:t>本项目</w:t>
                  </w:r>
                  <w:r>
                    <w:rPr>
                      <w:rFonts w:ascii="Times New Roman" w:hAnsi="Times New Roman" w:cs="Times New Roman"/>
                      <w:szCs w:val="21"/>
                    </w:rPr>
                    <w:t>位于重庆西彭工业园区西彭组团D标准分区，</w:t>
                  </w:r>
                  <w:r>
                    <w:rPr>
                      <w:rFonts w:ascii="Times New Roman" w:hAnsi="Times New Roman" w:cs="Times New Roman"/>
                      <w:lang w:bidi="en-US"/>
                    </w:rPr>
                    <w:t>不涉及</w:t>
                  </w:r>
                  <w:r>
                    <w:rPr>
                      <w:rFonts w:ascii="Times New Roman" w:hAnsi="Times New Roman" w:cs="Times New Roman"/>
                      <w:szCs w:val="21"/>
                    </w:rPr>
                    <w:t>饮用水源保护区</w:t>
                  </w:r>
                </w:p>
              </w:tc>
              <w:tc>
                <w:tcPr>
                  <w:tcW w:w="345" w:type="pct"/>
                  <w:vAlign w:val="center"/>
                </w:tcPr>
                <w:p w14:paraId="717DCD11">
                  <w:pPr>
                    <w:snapToGrid w:val="0"/>
                    <w:jc w:val="center"/>
                    <w:rPr>
                      <w:rFonts w:ascii="Times New Roman" w:hAnsi="Times New Roman" w:cs="Times New Roman"/>
                      <w:szCs w:val="21"/>
                    </w:rPr>
                  </w:pPr>
                  <w:r>
                    <w:rPr>
                      <w:rFonts w:ascii="Times New Roman" w:hAnsi="Times New Roman" w:cs="Times New Roman"/>
                      <w:szCs w:val="21"/>
                    </w:rPr>
                    <w:t>符合</w:t>
                  </w:r>
                </w:p>
              </w:tc>
            </w:tr>
            <w:tr w14:paraId="6B6D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B43E79C">
                  <w:pPr>
                    <w:snapToGrid w:val="0"/>
                    <w:jc w:val="center"/>
                    <w:rPr>
                      <w:rFonts w:ascii="Times New Roman" w:hAnsi="Times New Roman" w:cs="Times New Roman"/>
                      <w:szCs w:val="21"/>
                    </w:rPr>
                  </w:pPr>
                </w:p>
              </w:tc>
              <w:tc>
                <w:tcPr>
                  <w:tcW w:w="347" w:type="pct"/>
                  <w:vMerge w:val="continue"/>
                  <w:vAlign w:val="center"/>
                </w:tcPr>
                <w:p w14:paraId="67190810">
                  <w:pPr>
                    <w:snapToGrid w:val="0"/>
                    <w:jc w:val="center"/>
                    <w:rPr>
                      <w:rFonts w:ascii="Times New Roman" w:hAnsi="Times New Roman" w:cs="Times New Roman"/>
                      <w:szCs w:val="21"/>
                    </w:rPr>
                  </w:pPr>
                </w:p>
              </w:tc>
              <w:tc>
                <w:tcPr>
                  <w:tcW w:w="2782" w:type="pct"/>
                  <w:vAlign w:val="center"/>
                </w:tcPr>
                <w:p w14:paraId="46574E17">
                  <w:pPr>
                    <w:snapToGrid w:val="0"/>
                    <w:rPr>
                      <w:rFonts w:ascii="Times New Roman" w:hAnsi="Times New Roman" w:cs="Times New Roman"/>
                      <w:szCs w:val="21"/>
                    </w:rPr>
                  </w:pPr>
                  <w:r>
                    <w:rPr>
                      <w:rFonts w:ascii="Times New Roman" w:hAnsi="Times New Roman" w:cs="Times New Roman"/>
                      <w:szCs w:val="21"/>
                    </w:rPr>
                    <w:t>第二条区内“四山”（缙云山山脉、中梁山山脉）管制区按照生态红线和四山管制区相应的管控要求进行管理，对非法建构筑物分类制定退出方案，分批次拆除违法建筑，对破坏林地、耕地实施修复，编制修复计划，推进修复工作，至2020年“四山”地区现有天然林面积不减少，人工林面积逐年增加</w:t>
                  </w:r>
                </w:p>
              </w:tc>
              <w:tc>
                <w:tcPr>
                  <w:tcW w:w="1089" w:type="pct"/>
                  <w:vAlign w:val="center"/>
                </w:tcPr>
                <w:p w14:paraId="1E5BA0FF">
                  <w:pPr>
                    <w:snapToGrid w:val="0"/>
                    <w:rPr>
                      <w:rFonts w:ascii="Times New Roman" w:hAnsi="Times New Roman" w:cs="Times New Roman"/>
                      <w:szCs w:val="21"/>
                    </w:rPr>
                  </w:pPr>
                  <w:r>
                    <w:rPr>
                      <w:rFonts w:ascii="Times New Roman" w:hAnsi="Times New Roman" w:cs="Times New Roman"/>
                      <w:szCs w:val="21"/>
                    </w:rPr>
                    <w:t>本项目位于重庆西彭工业园区西彭组团D标准分区，</w:t>
                  </w:r>
                  <w:r>
                    <w:rPr>
                      <w:rFonts w:ascii="Times New Roman" w:hAnsi="Times New Roman" w:cs="Times New Roman"/>
                      <w:lang w:bidi="en-US"/>
                    </w:rPr>
                    <w:t>不涉及</w:t>
                  </w:r>
                  <w:r>
                    <w:rPr>
                      <w:rFonts w:hint="eastAsia" w:ascii="Times New Roman" w:hAnsi="Times New Roman" w:cs="Times New Roman"/>
                      <w:lang w:eastAsia="zh-CN" w:bidi="en-US"/>
                    </w:rPr>
                    <w:t>“</w:t>
                  </w:r>
                  <w:r>
                    <w:rPr>
                      <w:rFonts w:ascii="Times New Roman" w:hAnsi="Times New Roman" w:cs="Times New Roman"/>
                      <w:szCs w:val="21"/>
                    </w:rPr>
                    <w:t>四山</w:t>
                  </w:r>
                  <w:r>
                    <w:rPr>
                      <w:rFonts w:hint="eastAsia" w:ascii="Times New Roman" w:hAnsi="Times New Roman" w:cs="Times New Roman"/>
                      <w:lang w:eastAsia="zh-CN" w:bidi="en-US"/>
                    </w:rPr>
                    <w:t>”</w:t>
                  </w:r>
                  <w:r>
                    <w:rPr>
                      <w:rFonts w:ascii="Times New Roman" w:hAnsi="Times New Roman" w:cs="Times New Roman"/>
                      <w:szCs w:val="21"/>
                    </w:rPr>
                    <w:t>管制区</w:t>
                  </w:r>
                </w:p>
              </w:tc>
              <w:tc>
                <w:tcPr>
                  <w:tcW w:w="345" w:type="pct"/>
                  <w:vAlign w:val="center"/>
                </w:tcPr>
                <w:p w14:paraId="3C3C2BE8">
                  <w:pPr>
                    <w:snapToGrid w:val="0"/>
                    <w:jc w:val="center"/>
                    <w:rPr>
                      <w:rFonts w:ascii="Times New Roman" w:hAnsi="Times New Roman" w:cs="Times New Roman"/>
                      <w:szCs w:val="21"/>
                    </w:rPr>
                  </w:pPr>
                  <w:r>
                    <w:rPr>
                      <w:rFonts w:ascii="Times New Roman" w:hAnsi="Times New Roman" w:cs="Times New Roman"/>
                      <w:szCs w:val="21"/>
                    </w:rPr>
                    <w:t>符合</w:t>
                  </w:r>
                </w:p>
              </w:tc>
            </w:tr>
            <w:tr w14:paraId="1EA6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571F7355">
                  <w:pPr>
                    <w:snapToGrid w:val="0"/>
                    <w:jc w:val="center"/>
                    <w:rPr>
                      <w:rFonts w:ascii="Times New Roman" w:hAnsi="Times New Roman" w:cs="Times New Roman"/>
                      <w:szCs w:val="21"/>
                    </w:rPr>
                  </w:pPr>
                </w:p>
              </w:tc>
              <w:tc>
                <w:tcPr>
                  <w:tcW w:w="347" w:type="pct"/>
                  <w:vMerge w:val="continue"/>
                  <w:vAlign w:val="center"/>
                </w:tcPr>
                <w:p w14:paraId="6C98619D">
                  <w:pPr>
                    <w:snapToGrid w:val="0"/>
                    <w:jc w:val="center"/>
                    <w:rPr>
                      <w:rFonts w:ascii="Times New Roman" w:hAnsi="Times New Roman" w:cs="Times New Roman"/>
                      <w:szCs w:val="21"/>
                    </w:rPr>
                  </w:pPr>
                </w:p>
              </w:tc>
              <w:tc>
                <w:tcPr>
                  <w:tcW w:w="2782" w:type="pct"/>
                  <w:vAlign w:val="center"/>
                </w:tcPr>
                <w:p w14:paraId="2CE5A6CB">
                  <w:pPr>
                    <w:snapToGrid w:val="0"/>
                    <w:rPr>
                      <w:rFonts w:ascii="Times New Roman" w:hAnsi="Times New Roman" w:cs="Times New Roman"/>
                      <w:szCs w:val="21"/>
                    </w:rPr>
                  </w:pPr>
                  <w:r>
                    <w:rPr>
                      <w:rFonts w:ascii="Times New Roman" w:hAnsi="Times New Roman" w:cs="Times New Roman"/>
                      <w:szCs w:val="21"/>
                    </w:rPr>
                    <w:t>第三条长江上游珍稀特有鱼类国家级自然保护区、白市驿县级自然保护区、白市驿城市花卉市级森林公园、白塔坪市级森林公园、中梁云岭森林公园（原尖刀山市级森林公园）、重庆彩云湖国家湿地公园生态红线范围内严禁不符合主体功能定位的各类开发活动，严禁任意改变用途，严格禁止任何单位和个人擅自占用和改变用地性质，鼓励按照规划开展维护、修复和提升生态功能的活动。区内一般生态空间原则上按限制开发区域的要求进行管理，严格控制新增建设占用生态保护红线外的生态空间</w:t>
                  </w:r>
                </w:p>
              </w:tc>
              <w:tc>
                <w:tcPr>
                  <w:tcW w:w="1089" w:type="pct"/>
                  <w:vAlign w:val="center"/>
                </w:tcPr>
                <w:p w14:paraId="013C7CD0">
                  <w:pPr>
                    <w:snapToGrid w:val="0"/>
                    <w:rPr>
                      <w:rFonts w:ascii="Times New Roman" w:hAnsi="Times New Roman" w:cs="Times New Roman"/>
                      <w:szCs w:val="21"/>
                    </w:rPr>
                  </w:pPr>
                  <w:r>
                    <w:rPr>
                      <w:rFonts w:ascii="Times New Roman" w:hAnsi="Times New Roman" w:cs="Times New Roman"/>
                      <w:szCs w:val="21"/>
                    </w:rPr>
                    <w:t>本项目位于重庆西彭工业园区西彭组团D标准分区，</w:t>
                  </w:r>
                  <w:r>
                    <w:rPr>
                      <w:rFonts w:ascii="Times New Roman" w:hAnsi="Times New Roman" w:cs="Times New Roman"/>
                      <w:lang w:bidi="en-US"/>
                    </w:rPr>
                    <w:t>不涉及</w:t>
                  </w:r>
                  <w:r>
                    <w:rPr>
                      <w:rFonts w:ascii="Times New Roman" w:hAnsi="Times New Roman" w:cs="Times New Roman"/>
                      <w:szCs w:val="21"/>
                    </w:rPr>
                    <w:t>上述区域</w:t>
                  </w:r>
                </w:p>
              </w:tc>
              <w:tc>
                <w:tcPr>
                  <w:tcW w:w="345" w:type="pct"/>
                  <w:vAlign w:val="center"/>
                </w:tcPr>
                <w:p w14:paraId="088CDA7C">
                  <w:pPr>
                    <w:snapToGrid w:val="0"/>
                    <w:jc w:val="center"/>
                    <w:rPr>
                      <w:rFonts w:ascii="Times New Roman" w:hAnsi="Times New Roman" w:cs="Times New Roman"/>
                      <w:szCs w:val="21"/>
                    </w:rPr>
                  </w:pPr>
                  <w:r>
                    <w:rPr>
                      <w:rFonts w:ascii="Times New Roman" w:hAnsi="Times New Roman" w:cs="Times New Roman"/>
                      <w:szCs w:val="18"/>
                    </w:rPr>
                    <w:t>符合</w:t>
                  </w:r>
                </w:p>
              </w:tc>
            </w:tr>
            <w:tr w14:paraId="7909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1AC1B63">
                  <w:pPr>
                    <w:snapToGrid w:val="0"/>
                    <w:jc w:val="center"/>
                    <w:rPr>
                      <w:rFonts w:ascii="Times New Roman" w:hAnsi="Times New Roman" w:cs="Times New Roman"/>
                      <w:szCs w:val="21"/>
                    </w:rPr>
                  </w:pPr>
                </w:p>
              </w:tc>
              <w:tc>
                <w:tcPr>
                  <w:tcW w:w="347" w:type="pct"/>
                  <w:vMerge w:val="continue"/>
                  <w:vAlign w:val="center"/>
                </w:tcPr>
                <w:p w14:paraId="72A3A221">
                  <w:pPr>
                    <w:snapToGrid w:val="0"/>
                    <w:jc w:val="center"/>
                    <w:rPr>
                      <w:rFonts w:ascii="Times New Roman" w:hAnsi="Times New Roman" w:cs="Times New Roman"/>
                      <w:szCs w:val="21"/>
                    </w:rPr>
                  </w:pPr>
                </w:p>
              </w:tc>
              <w:tc>
                <w:tcPr>
                  <w:tcW w:w="2782" w:type="pct"/>
                  <w:vAlign w:val="center"/>
                </w:tcPr>
                <w:p w14:paraId="0A8FC9A6">
                  <w:pPr>
                    <w:snapToGrid w:val="0"/>
                    <w:rPr>
                      <w:rFonts w:ascii="Times New Roman" w:hAnsi="Times New Roman" w:cs="Times New Roman"/>
                      <w:szCs w:val="21"/>
                    </w:rPr>
                  </w:pPr>
                  <w:r>
                    <w:rPr>
                      <w:rFonts w:ascii="Times New Roman" w:hAnsi="Times New Roman" w:cs="Times New Roman"/>
                      <w:szCs w:val="21"/>
                    </w:rPr>
                    <w:t>第四条长江50年一遇洪水位向陆域一侧1公里沿岸地区，禁止引入排放重金属（铬、镉、汞、砷、铅五类重金属）、剧毒物质和持久性有机污染物的工业项目、单纯电镀行业、危险废物处置设施项目、存在严重环境安全风险的产业项目和其它不符合国家产业政策的项目，以及超出环境资源承载力的项目</w:t>
                  </w:r>
                </w:p>
              </w:tc>
              <w:tc>
                <w:tcPr>
                  <w:tcW w:w="1089" w:type="pct"/>
                  <w:vAlign w:val="center"/>
                </w:tcPr>
                <w:p w14:paraId="493789F2">
                  <w:pPr>
                    <w:snapToGrid w:val="0"/>
                    <w:rPr>
                      <w:rFonts w:ascii="Times New Roman" w:hAnsi="Times New Roman" w:cs="Times New Roman"/>
                      <w:szCs w:val="21"/>
                    </w:rPr>
                  </w:pPr>
                  <w:r>
                    <w:rPr>
                      <w:rFonts w:ascii="Times New Roman" w:hAnsi="Times New Roman" w:cs="Times New Roman"/>
                      <w:szCs w:val="21"/>
                    </w:rPr>
                    <w:t>本项目位于重庆西彭工业园区西彭组团D标准分区，</w:t>
                  </w:r>
                  <w:r>
                    <w:rPr>
                      <w:rFonts w:ascii="Times New Roman" w:hAnsi="Times New Roman" w:cs="Times New Roman"/>
                      <w:lang w:bidi="en-US"/>
                    </w:rPr>
                    <w:t>不涉及</w:t>
                  </w:r>
                  <w:r>
                    <w:rPr>
                      <w:rFonts w:ascii="Times New Roman" w:hAnsi="Times New Roman" w:cs="Times New Roman"/>
                      <w:szCs w:val="21"/>
                    </w:rPr>
                    <w:t>上述区域</w:t>
                  </w:r>
                </w:p>
              </w:tc>
              <w:tc>
                <w:tcPr>
                  <w:tcW w:w="345" w:type="pct"/>
                  <w:vAlign w:val="center"/>
                </w:tcPr>
                <w:p w14:paraId="72B3DBEF">
                  <w:pPr>
                    <w:snapToGrid w:val="0"/>
                    <w:jc w:val="center"/>
                    <w:rPr>
                      <w:rFonts w:ascii="Times New Roman" w:hAnsi="Times New Roman" w:cs="Times New Roman"/>
                      <w:szCs w:val="21"/>
                    </w:rPr>
                  </w:pPr>
                  <w:r>
                    <w:rPr>
                      <w:rFonts w:ascii="Times New Roman" w:hAnsi="Times New Roman" w:cs="Times New Roman"/>
                      <w:szCs w:val="18"/>
                    </w:rPr>
                    <w:t>符合</w:t>
                  </w:r>
                </w:p>
              </w:tc>
            </w:tr>
            <w:tr w14:paraId="32EC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3716F6E">
                  <w:pPr>
                    <w:snapToGrid w:val="0"/>
                    <w:jc w:val="center"/>
                    <w:rPr>
                      <w:rFonts w:ascii="Times New Roman" w:hAnsi="Times New Roman" w:cs="Times New Roman"/>
                      <w:szCs w:val="21"/>
                    </w:rPr>
                  </w:pPr>
                </w:p>
              </w:tc>
              <w:tc>
                <w:tcPr>
                  <w:tcW w:w="347" w:type="pct"/>
                  <w:vMerge w:val="continue"/>
                  <w:vAlign w:val="center"/>
                </w:tcPr>
                <w:p w14:paraId="61CCCEDD">
                  <w:pPr>
                    <w:snapToGrid w:val="0"/>
                    <w:jc w:val="center"/>
                    <w:rPr>
                      <w:rFonts w:ascii="Times New Roman" w:hAnsi="Times New Roman" w:cs="Times New Roman"/>
                      <w:szCs w:val="21"/>
                    </w:rPr>
                  </w:pPr>
                </w:p>
              </w:tc>
              <w:tc>
                <w:tcPr>
                  <w:tcW w:w="2782" w:type="pct"/>
                  <w:vAlign w:val="center"/>
                </w:tcPr>
                <w:p w14:paraId="0928D087">
                  <w:pPr>
                    <w:snapToGrid w:val="0"/>
                    <w:rPr>
                      <w:rFonts w:ascii="Times New Roman" w:hAnsi="Times New Roman" w:cs="Times New Roman"/>
                      <w:szCs w:val="21"/>
                    </w:rPr>
                  </w:pPr>
                  <w:r>
                    <w:rPr>
                      <w:rFonts w:ascii="Times New Roman" w:hAnsi="Times New Roman" w:cs="Times New Roman"/>
                      <w:szCs w:val="21"/>
                    </w:rPr>
                    <w:t>第五条梁滩河河道保护线外侧城镇规划建设用地内尚未建设的区域控制不少于30米的绿化缓冲带，绿化缓冲带内禁止进行工业、畜禽养殖业等可能导致水环境恶化的经营性活动</w:t>
                  </w:r>
                </w:p>
              </w:tc>
              <w:tc>
                <w:tcPr>
                  <w:tcW w:w="1089" w:type="pct"/>
                  <w:vAlign w:val="center"/>
                </w:tcPr>
                <w:p w14:paraId="7DD46F28">
                  <w:pPr>
                    <w:snapToGrid w:val="0"/>
                    <w:rPr>
                      <w:rFonts w:ascii="Times New Roman" w:hAnsi="Times New Roman" w:cs="Times New Roman"/>
                      <w:szCs w:val="21"/>
                    </w:rPr>
                  </w:pPr>
                  <w:r>
                    <w:rPr>
                      <w:rFonts w:ascii="Times New Roman" w:hAnsi="Times New Roman" w:cs="Times New Roman"/>
                      <w:szCs w:val="21"/>
                    </w:rPr>
                    <w:t>本项目位于重庆西彭工业园区西彭组团D标准分区，</w:t>
                  </w:r>
                  <w:r>
                    <w:rPr>
                      <w:rFonts w:ascii="Times New Roman" w:hAnsi="Times New Roman" w:cs="Times New Roman"/>
                      <w:lang w:bidi="en-US"/>
                    </w:rPr>
                    <w:t>不涉及</w:t>
                  </w:r>
                  <w:r>
                    <w:rPr>
                      <w:rFonts w:ascii="Times New Roman" w:hAnsi="Times New Roman" w:cs="Times New Roman"/>
                      <w:szCs w:val="21"/>
                    </w:rPr>
                    <w:t>上述区域</w:t>
                  </w:r>
                </w:p>
              </w:tc>
              <w:tc>
                <w:tcPr>
                  <w:tcW w:w="345" w:type="pct"/>
                  <w:vAlign w:val="center"/>
                </w:tcPr>
                <w:p w14:paraId="59B94080">
                  <w:pPr>
                    <w:snapToGrid w:val="0"/>
                    <w:jc w:val="center"/>
                    <w:rPr>
                      <w:rFonts w:ascii="Times New Roman" w:hAnsi="Times New Roman" w:cs="Times New Roman"/>
                      <w:szCs w:val="21"/>
                    </w:rPr>
                  </w:pPr>
                  <w:r>
                    <w:rPr>
                      <w:rFonts w:ascii="Times New Roman" w:hAnsi="Times New Roman" w:cs="Times New Roman"/>
                      <w:szCs w:val="18"/>
                    </w:rPr>
                    <w:t>符合</w:t>
                  </w:r>
                </w:p>
              </w:tc>
            </w:tr>
            <w:tr w14:paraId="6B5C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DB14281">
                  <w:pPr>
                    <w:snapToGrid w:val="0"/>
                    <w:jc w:val="center"/>
                    <w:rPr>
                      <w:rFonts w:ascii="Times New Roman" w:hAnsi="Times New Roman" w:cs="Times New Roman"/>
                      <w:szCs w:val="21"/>
                    </w:rPr>
                  </w:pPr>
                </w:p>
              </w:tc>
              <w:tc>
                <w:tcPr>
                  <w:tcW w:w="347" w:type="pct"/>
                  <w:vMerge w:val="continue"/>
                  <w:vAlign w:val="center"/>
                </w:tcPr>
                <w:p w14:paraId="04510F88">
                  <w:pPr>
                    <w:snapToGrid w:val="0"/>
                    <w:jc w:val="center"/>
                    <w:rPr>
                      <w:rFonts w:ascii="Times New Roman" w:hAnsi="Times New Roman" w:cs="Times New Roman"/>
                      <w:szCs w:val="21"/>
                    </w:rPr>
                  </w:pPr>
                </w:p>
              </w:tc>
              <w:tc>
                <w:tcPr>
                  <w:tcW w:w="2782" w:type="pct"/>
                  <w:vAlign w:val="center"/>
                </w:tcPr>
                <w:p w14:paraId="34CD7E84">
                  <w:pPr>
                    <w:snapToGrid w:val="0"/>
                    <w:rPr>
                      <w:rFonts w:ascii="Times New Roman" w:hAnsi="Times New Roman" w:cs="Times New Roman"/>
                      <w:szCs w:val="21"/>
                    </w:rPr>
                  </w:pPr>
                  <w:r>
                    <w:rPr>
                      <w:rFonts w:ascii="Times New Roman" w:hAnsi="Times New Roman" w:cs="Times New Roman"/>
                      <w:szCs w:val="21"/>
                    </w:rPr>
                    <w:t>第六条逐步弱化高新技术产业开发区东区生产制造功能，推动工业“退二进三”，不再发展传统工业（企业总部与研发中心列入高技术服务业）；有序推进批发市场和物流仓储（除快递物流外）向高新西区转移</w:t>
                  </w:r>
                </w:p>
              </w:tc>
              <w:tc>
                <w:tcPr>
                  <w:tcW w:w="1089" w:type="pct"/>
                  <w:vAlign w:val="center"/>
                </w:tcPr>
                <w:p w14:paraId="4A7B6AF0">
                  <w:pPr>
                    <w:snapToGrid w:val="0"/>
                    <w:jc w:val="center"/>
                    <w:rPr>
                      <w:rFonts w:ascii="Times New Roman" w:hAnsi="Times New Roman" w:cs="Times New Roman"/>
                      <w:szCs w:val="21"/>
                    </w:rPr>
                  </w:pPr>
                  <w:r>
                    <w:rPr>
                      <w:rFonts w:ascii="Times New Roman" w:hAnsi="Times New Roman" w:cs="Times New Roman"/>
                      <w:szCs w:val="21"/>
                    </w:rPr>
                    <w:t>本项目</w:t>
                  </w:r>
                  <w:r>
                    <w:rPr>
                      <w:rFonts w:ascii="Times New Roman" w:hAnsi="Times New Roman" w:cs="Times New Roman"/>
                      <w:lang w:bidi="en-US"/>
                    </w:rPr>
                    <w:t>不涉及</w:t>
                  </w:r>
                </w:p>
              </w:tc>
              <w:tc>
                <w:tcPr>
                  <w:tcW w:w="345" w:type="pct"/>
                  <w:vAlign w:val="center"/>
                </w:tcPr>
                <w:p w14:paraId="7BC262FC">
                  <w:pPr>
                    <w:snapToGrid w:val="0"/>
                    <w:jc w:val="center"/>
                    <w:rPr>
                      <w:rFonts w:ascii="Times New Roman" w:hAnsi="Times New Roman" w:cs="Times New Roman"/>
                      <w:szCs w:val="21"/>
                    </w:rPr>
                  </w:pPr>
                  <w:r>
                    <w:rPr>
                      <w:rFonts w:ascii="Times New Roman" w:hAnsi="Times New Roman" w:cs="Times New Roman"/>
                      <w:szCs w:val="21"/>
                    </w:rPr>
                    <w:t>符合</w:t>
                  </w:r>
                </w:p>
              </w:tc>
            </w:tr>
            <w:tr w14:paraId="5E12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E830328">
                  <w:pPr>
                    <w:snapToGrid w:val="0"/>
                    <w:jc w:val="center"/>
                    <w:rPr>
                      <w:rFonts w:ascii="Times New Roman" w:hAnsi="Times New Roman" w:cs="Times New Roman"/>
                      <w:szCs w:val="21"/>
                    </w:rPr>
                  </w:pPr>
                </w:p>
              </w:tc>
              <w:tc>
                <w:tcPr>
                  <w:tcW w:w="347" w:type="pct"/>
                  <w:vMerge w:val="restart"/>
                  <w:vAlign w:val="center"/>
                </w:tcPr>
                <w:p w14:paraId="131CEDE0">
                  <w:pPr>
                    <w:snapToGrid w:val="0"/>
                    <w:jc w:val="center"/>
                    <w:rPr>
                      <w:rFonts w:ascii="Times New Roman" w:hAnsi="Times New Roman" w:cs="Times New Roman"/>
                      <w:szCs w:val="21"/>
                    </w:rPr>
                  </w:pPr>
                  <w:r>
                    <w:rPr>
                      <w:rFonts w:ascii="Times New Roman" w:hAnsi="Times New Roman" w:cs="Times New Roman"/>
                      <w:szCs w:val="21"/>
                    </w:rPr>
                    <w:t>污染物排放管控</w:t>
                  </w:r>
                </w:p>
              </w:tc>
              <w:tc>
                <w:tcPr>
                  <w:tcW w:w="2782" w:type="pct"/>
                  <w:vAlign w:val="center"/>
                </w:tcPr>
                <w:p w14:paraId="57DE63C5">
                  <w:pPr>
                    <w:snapToGrid w:val="0"/>
                    <w:rPr>
                      <w:rFonts w:ascii="Times New Roman" w:hAnsi="Times New Roman" w:cs="Times New Roman"/>
                      <w:szCs w:val="21"/>
                    </w:rPr>
                  </w:pPr>
                  <w:r>
                    <w:rPr>
                      <w:rFonts w:ascii="Times New Roman" w:hAnsi="Times New Roman" w:cs="Times New Roman"/>
                      <w:szCs w:val="21"/>
                    </w:rPr>
                    <w:t>第七条通过改造提升、集约布局、关停并转等方式对“散乱污”企业分类治理。对布局不合理、装备水平低、环保设施差的小型污染企业进行全面排查，制订综合整治方案，集中整治镇村产业集聚区</w:t>
                  </w:r>
                </w:p>
              </w:tc>
              <w:tc>
                <w:tcPr>
                  <w:tcW w:w="1089" w:type="pct"/>
                  <w:vAlign w:val="center"/>
                </w:tcPr>
                <w:p w14:paraId="09A65BA7">
                  <w:pPr>
                    <w:snapToGrid w:val="0"/>
                    <w:jc w:val="center"/>
                    <w:rPr>
                      <w:rFonts w:ascii="Times New Roman" w:hAnsi="Times New Roman" w:cs="Times New Roman"/>
                      <w:szCs w:val="21"/>
                    </w:rPr>
                  </w:pPr>
                  <w:r>
                    <w:rPr>
                      <w:rFonts w:ascii="Times New Roman" w:hAnsi="Times New Roman" w:cs="Times New Roman"/>
                      <w:szCs w:val="21"/>
                    </w:rPr>
                    <w:t>本项目不涉及</w:t>
                  </w:r>
                </w:p>
              </w:tc>
              <w:tc>
                <w:tcPr>
                  <w:tcW w:w="345" w:type="pct"/>
                  <w:vAlign w:val="center"/>
                </w:tcPr>
                <w:p w14:paraId="4E16DC66">
                  <w:pPr>
                    <w:snapToGrid w:val="0"/>
                    <w:jc w:val="center"/>
                    <w:rPr>
                      <w:rFonts w:ascii="Times New Roman" w:hAnsi="Times New Roman" w:cs="Times New Roman"/>
                      <w:szCs w:val="21"/>
                    </w:rPr>
                  </w:pPr>
                  <w:r>
                    <w:rPr>
                      <w:rFonts w:ascii="Times New Roman" w:hAnsi="Times New Roman" w:cs="Times New Roman"/>
                      <w:szCs w:val="21"/>
                    </w:rPr>
                    <w:t>符合</w:t>
                  </w:r>
                </w:p>
              </w:tc>
            </w:tr>
            <w:tr w14:paraId="15B0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788419D2">
                  <w:pPr>
                    <w:snapToGrid w:val="0"/>
                    <w:jc w:val="center"/>
                    <w:rPr>
                      <w:rFonts w:ascii="Times New Roman" w:hAnsi="Times New Roman" w:cs="Times New Roman"/>
                      <w:szCs w:val="21"/>
                    </w:rPr>
                  </w:pPr>
                </w:p>
              </w:tc>
              <w:tc>
                <w:tcPr>
                  <w:tcW w:w="347" w:type="pct"/>
                  <w:vMerge w:val="continue"/>
                  <w:vAlign w:val="center"/>
                </w:tcPr>
                <w:p w14:paraId="7EDF956E">
                  <w:pPr>
                    <w:snapToGrid w:val="0"/>
                    <w:jc w:val="center"/>
                    <w:rPr>
                      <w:rFonts w:ascii="Times New Roman" w:hAnsi="Times New Roman" w:cs="Times New Roman"/>
                      <w:szCs w:val="21"/>
                    </w:rPr>
                  </w:pPr>
                </w:p>
              </w:tc>
              <w:tc>
                <w:tcPr>
                  <w:tcW w:w="2782" w:type="pct"/>
                  <w:vAlign w:val="center"/>
                </w:tcPr>
                <w:p w14:paraId="62749ECF">
                  <w:pPr>
                    <w:snapToGrid w:val="0"/>
                    <w:rPr>
                      <w:rFonts w:ascii="Times New Roman" w:hAnsi="Times New Roman" w:cs="Times New Roman"/>
                      <w:szCs w:val="21"/>
                    </w:rPr>
                  </w:pPr>
                  <w:r>
                    <w:rPr>
                      <w:rFonts w:ascii="Times New Roman" w:hAnsi="Times New Roman" w:cs="Times New Roman"/>
                      <w:szCs w:val="21"/>
                    </w:rPr>
                    <w:t>第八条区内二氧化硫、氮氧化物、颗粒物、挥发性有机物严格执行大气污染物特别排放限值，全面开展涉VOCs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1089" w:type="pct"/>
                  <w:vAlign w:val="center"/>
                </w:tcPr>
                <w:p w14:paraId="2EFD6329">
                  <w:pPr>
                    <w:snapToGrid w:val="0"/>
                    <w:rPr>
                      <w:rFonts w:ascii="Times New Roman" w:hAnsi="Times New Roman" w:cs="Times New Roman"/>
                      <w:szCs w:val="21"/>
                    </w:rPr>
                  </w:pPr>
                  <w:r>
                    <w:rPr>
                      <w:rFonts w:ascii="Times New Roman" w:hAnsi="Times New Roman" w:cs="Times New Roman"/>
                      <w:szCs w:val="21"/>
                    </w:rPr>
                    <w:t>本项目位于九龙坡</w:t>
                  </w:r>
                  <w:r>
                    <w:rPr>
                      <w:rFonts w:ascii="Times New Roman" w:hAnsi="Times New Roman" w:cs="Times New Roman"/>
                      <w:color w:val="000000" w:themeColor="text1"/>
                      <w:szCs w:val="21"/>
                      <w14:textFill>
                        <w14:solidFill>
                          <w14:schemeClr w14:val="tx1"/>
                        </w14:solidFill>
                      </w14:textFill>
                    </w:rPr>
                    <w:t>区，</w:t>
                  </w:r>
                  <w:r>
                    <w:rPr>
                      <w:rFonts w:hint="eastAsia" w:ascii="Times New Roman" w:hAnsi="Times New Roman" w:cs="Times New Roman"/>
                      <w:color w:val="000000" w:themeColor="text1"/>
                      <w:szCs w:val="21"/>
                      <w14:textFill>
                        <w14:solidFill>
                          <w14:schemeClr w14:val="tx1"/>
                        </w14:solidFill>
                      </w14:textFill>
                    </w:rPr>
                    <w:t>主要生产原料为</w:t>
                  </w:r>
                  <w:r>
                    <w:rPr>
                      <w:rFonts w:hint="eastAsia" w:ascii="Times New Roman" w:hAnsi="Times New Roman" w:cs="Times New Roman"/>
                      <w:color w:val="000000" w:themeColor="text1"/>
                      <w:szCs w:val="21"/>
                      <w:lang w:eastAsia="zh-CN"/>
                      <w14:textFill>
                        <w14:solidFill>
                          <w14:schemeClr w14:val="tx1"/>
                        </w14:solidFill>
                      </w14:textFill>
                    </w:rPr>
                    <w:t>纤维板、三聚氰胺浸胶纸</w:t>
                  </w:r>
                  <w:r>
                    <w:rPr>
                      <w:rFonts w:hint="eastAsia" w:ascii="Times New Roman" w:hAnsi="Times New Roman" w:cs="Times New Roman"/>
                      <w:color w:val="000000" w:themeColor="text1"/>
                      <w:szCs w:val="21"/>
                      <w14:textFill>
                        <w14:solidFill>
                          <w14:schemeClr w14:val="tx1"/>
                        </w14:solidFill>
                      </w14:textFill>
                    </w:rPr>
                    <w:t>，生产过程中会产生VOCs废气</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采用“干式过滤+</w:t>
                  </w:r>
                  <w:r>
                    <w:rPr>
                      <w:rFonts w:hint="eastAsia" w:ascii="Times New Roman" w:hAnsi="Times New Roman" w:cs="Times New Roman"/>
                      <w:color w:val="000000" w:themeColor="text1"/>
                      <w:szCs w:val="21"/>
                      <w:lang w:eastAsia="zh-CN"/>
                      <w14:textFill>
                        <w14:solidFill>
                          <w14:schemeClr w14:val="tx1"/>
                        </w14:solidFill>
                      </w14:textFill>
                    </w:rPr>
                    <w:t>两级</w:t>
                  </w:r>
                  <w:r>
                    <w:rPr>
                      <w:rFonts w:hint="eastAsia" w:ascii="Times New Roman" w:hAnsi="Times New Roman" w:cs="Times New Roman"/>
                      <w:color w:val="000000" w:themeColor="text1"/>
                      <w:szCs w:val="21"/>
                      <w14:textFill>
                        <w14:solidFill>
                          <w14:schemeClr w14:val="tx1"/>
                        </w14:solidFill>
                      </w14:textFill>
                    </w:rPr>
                    <w:t>活性炭”吸附处置后有组织排放</w:t>
                  </w:r>
                  <w:r>
                    <w:rPr>
                      <w:rFonts w:hint="eastAsia" w:ascii="Times New Roman" w:cs="Times New Roman"/>
                      <w:color w:val="000000" w:themeColor="text1"/>
                      <w:szCs w:val="21"/>
                      <w14:textFill>
                        <w14:solidFill>
                          <w14:schemeClr w14:val="tx1"/>
                        </w14:solidFill>
                      </w14:textFill>
                    </w:rPr>
                    <w:t>。</w:t>
                  </w:r>
                </w:p>
              </w:tc>
              <w:tc>
                <w:tcPr>
                  <w:tcW w:w="345" w:type="pct"/>
                  <w:vAlign w:val="center"/>
                </w:tcPr>
                <w:p w14:paraId="49D1EE51">
                  <w:pPr>
                    <w:snapToGrid w:val="0"/>
                    <w:jc w:val="center"/>
                    <w:rPr>
                      <w:rFonts w:ascii="Times New Roman" w:hAnsi="Times New Roman" w:cs="Times New Roman"/>
                      <w:szCs w:val="21"/>
                    </w:rPr>
                  </w:pPr>
                  <w:r>
                    <w:rPr>
                      <w:rFonts w:ascii="Times New Roman" w:hAnsi="Times New Roman" w:cs="Times New Roman"/>
                      <w:szCs w:val="21"/>
                    </w:rPr>
                    <w:t>符合</w:t>
                  </w:r>
                </w:p>
              </w:tc>
            </w:tr>
            <w:tr w14:paraId="25EE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2C23564F">
                  <w:pPr>
                    <w:snapToGrid w:val="0"/>
                    <w:jc w:val="center"/>
                    <w:rPr>
                      <w:rFonts w:ascii="Times New Roman" w:hAnsi="Times New Roman" w:cs="Times New Roman"/>
                      <w:szCs w:val="21"/>
                    </w:rPr>
                  </w:pPr>
                </w:p>
              </w:tc>
              <w:tc>
                <w:tcPr>
                  <w:tcW w:w="347" w:type="pct"/>
                  <w:vMerge w:val="continue"/>
                  <w:vAlign w:val="center"/>
                </w:tcPr>
                <w:p w14:paraId="62B2E432">
                  <w:pPr>
                    <w:snapToGrid w:val="0"/>
                    <w:jc w:val="center"/>
                    <w:rPr>
                      <w:rFonts w:ascii="Times New Roman" w:hAnsi="Times New Roman" w:cs="Times New Roman"/>
                      <w:szCs w:val="21"/>
                    </w:rPr>
                  </w:pPr>
                </w:p>
              </w:tc>
              <w:tc>
                <w:tcPr>
                  <w:tcW w:w="2782" w:type="pct"/>
                  <w:vAlign w:val="center"/>
                </w:tcPr>
                <w:p w14:paraId="03E947A8">
                  <w:pPr>
                    <w:snapToGrid w:val="0"/>
                    <w:rPr>
                      <w:rFonts w:ascii="Times New Roman" w:hAnsi="Times New Roman" w:cs="Times New Roman"/>
                      <w:szCs w:val="21"/>
                    </w:rPr>
                  </w:pPr>
                  <w:r>
                    <w:rPr>
                      <w:rFonts w:ascii="Times New Roman" w:hAnsi="Times New Roman" w:cs="Times New Roman"/>
                      <w:szCs w:val="21"/>
                    </w:rPr>
                    <w:t>第九条城市污水处理厂全面达到一级A排放标准，城市污水集中处理率达到95%左右，对所有执行二级及以下标准的城镇污水处理设施实施提标改造。完善区内排水管网建设和配套污水处理厂建设，强化污水处理设施运维管理，确保设施正常运行，出水达标排放</w:t>
                  </w:r>
                </w:p>
              </w:tc>
              <w:tc>
                <w:tcPr>
                  <w:tcW w:w="1089" w:type="pct"/>
                  <w:vAlign w:val="center"/>
                </w:tcPr>
                <w:p w14:paraId="276EA451">
                  <w:pPr>
                    <w:snapToGrid w:val="0"/>
                    <w:rPr>
                      <w:rFonts w:ascii="Times New Roman" w:hAnsi="Times New Roman" w:cs="Times New Roman"/>
                      <w:lang w:bidi="en-US"/>
                    </w:rPr>
                  </w:pPr>
                  <w:r>
                    <w:rPr>
                      <w:rFonts w:ascii="Times New Roman" w:hAnsi="Times New Roman" w:cs="Times New Roman"/>
                      <w:lang w:bidi="en-US"/>
                    </w:rPr>
                    <w:t>本项目</w:t>
                  </w:r>
                  <w:r>
                    <w:rPr>
                      <w:rFonts w:ascii="Times New Roman" w:hAnsi="Times New Roman" w:cs="Times New Roman"/>
                      <w:szCs w:val="21"/>
                    </w:rPr>
                    <w:t>生活污水依托</w:t>
                  </w:r>
                  <w:r>
                    <w:rPr>
                      <w:rFonts w:hint="eastAsia" w:ascii="Times New Roman" w:hAnsi="Times New Roman" w:cs="Times New Roman"/>
                      <w:szCs w:val="21"/>
                      <w:lang w:eastAsia="zh-CN"/>
                    </w:rPr>
                    <w:t>盛德佳</w:t>
                  </w:r>
                  <w:r>
                    <w:rPr>
                      <w:rFonts w:hint="eastAsia" w:ascii="Times New Roman" w:hAnsi="Times New Roman" w:cs="Times New Roman"/>
                      <w:szCs w:val="21"/>
                    </w:rPr>
                    <w:t>公司</w:t>
                  </w:r>
                  <w:r>
                    <w:rPr>
                      <w:rFonts w:ascii="Times New Roman" w:hAnsi="Times New Roman" w:cs="Times New Roman"/>
                      <w:szCs w:val="21"/>
                    </w:rPr>
                    <w:t>已建生化池处理后排入园区管网，进入西彭工业园区污水处理厂处理后排入桥头河再汇入长江</w:t>
                  </w:r>
                </w:p>
              </w:tc>
              <w:tc>
                <w:tcPr>
                  <w:tcW w:w="345" w:type="pct"/>
                  <w:vAlign w:val="center"/>
                </w:tcPr>
                <w:p w14:paraId="5AA27850">
                  <w:pPr>
                    <w:snapToGrid w:val="0"/>
                    <w:jc w:val="center"/>
                    <w:rPr>
                      <w:rFonts w:ascii="Times New Roman" w:hAnsi="Times New Roman" w:cs="Times New Roman"/>
                      <w:szCs w:val="21"/>
                    </w:rPr>
                  </w:pPr>
                  <w:r>
                    <w:rPr>
                      <w:rFonts w:ascii="Times New Roman" w:hAnsi="Times New Roman" w:cs="Times New Roman"/>
                      <w:szCs w:val="21"/>
                    </w:rPr>
                    <w:t>符合</w:t>
                  </w:r>
                </w:p>
              </w:tc>
            </w:tr>
            <w:tr w14:paraId="56B6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8DC11AC">
                  <w:pPr>
                    <w:snapToGrid w:val="0"/>
                    <w:jc w:val="center"/>
                    <w:rPr>
                      <w:rFonts w:ascii="Times New Roman" w:hAnsi="Times New Roman" w:cs="Times New Roman"/>
                      <w:szCs w:val="21"/>
                    </w:rPr>
                  </w:pPr>
                </w:p>
              </w:tc>
              <w:tc>
                <w:tcPr>
                  <w:tcW w:w="347" w:type="pct"/>
                  <w:vMerge w:val="continue"/>
                  <w:vAlign w:val="center"/>
                </w:tcPr>
                <w:p w14:paraId="3D9EDE68">
                  <w:pPr>
                    <w:snapToGrid w:val="0"/>
                    <w:jc w:val="center"/>
                    <w:rPr>
                      <w:rFonts w:ascii="Times New Roman" w:hAnsi="Times New Roman" w:cs="Times New Roman"/>
                      <w:szCs w:val="21"/>
                    </w:rPr>
                  </w:pPr>
                </w:p>
              </w:tc>
              <w:tc>
                <w:tcPr>
                  <w:tcW w:w="2782" w:type="pct"/>
                  <w:vAlign w:val="center"/>
                </w:tcPr>
                <w:p w14:paraId="12C71D57">
                  <w:pPr>
                    <w:snapToGrid w:val="0"/>
                    <w:rPr>
                      <w:rFonts w:ascii="Times New Roman" w:hAnsi="Times New Roman" w:cs="Times New Roman"/>
                      <w:szCs w:val="21"/>
                    </w:rPr>
                  </w:pPr>
                  <w:r>
                    <w:rPr>
                      <w:rFonts w:ascii="Times New Roman" w:hAnsi="Times New Roman" w:cs="Times New Roman"/>
                      <w:szCs w:val="21"/>
                    </w:rPr>
                    <w:t>第十条持续推进梁滩河综合整治，排入梁滩河的污水执行污水特别排放限值，完善限养区养殖场污染治理配套设施设备，推广、指导畜禽养殖废弃物综合利用，推进畜禽养殖废弃物减量化、资源化和无害化。发展生态循环农业，开展现代生态农业创新试点</w:t>
                  </w:r>
                </w:p>
              </w:tc>
              <w:tc>
                <w:tcPr>
                  <w:tcW w:w="1089" w:type="pct"/>
                  <w:vAlign w:val="center"/>
                </w:tcPr>
                <w:p w14:paraId="7BBD591C">
                  <w:pPr>
                    <w:snapToGrid w:val="0"/>
                    <w:jc w:val="center"/>
                    <w:rPr>
                      <w:rFonts w:ascii="Times New Roman" w:hAnsi="Times New Roman" w:cs="Times New Roman"/>
                      <w:lang w:bidi="en-US"/>
                    </w:rPr>
                  </w:pPr>
                  <w:r>
                    <w:rPr>
                      <w:rFonts w:ascii="Times New Roman" w:hAnsi="Times New Roman" w:cs="Times New Roman"/>
                      <w:szCs w:val="21"/>
                    </w:rPr>
                    <w:t>/</w:t>
                  </w:r>
                </w:p>
              </w:tc>
              <w:tc>
                <w:tcPr>
                  <w:tcW w:w="345" w:type="pct"/>
                  <w:vAlign w:val="center"/>
                </w:tcPr>
                <w:p w14:paraId="2A108474">
                  <w:pPr>
                    <w:snapToGrid w:val="0"/>
                    <w:jc w:val="center"/>
                    <w:rPr>
                      <w:rFonts w:ascii="Times New Roman" w:hAnsi="Times New Roman" w:cs="Times New Roman"/>
                      <w:szCs w:val="21"/>
                    </w:rPr>
                  </w:pPr>
                  <w:r>
                    <w:rPr>
                      <w:rFonts w:ascii="Times New Roman" w:hAnsi="Times New Roman" w:cs="Times New Roman"/>
                      <w:szCs w:val="21"/>
                    </w:rPr>
                    <w:t>符合</w:t>
                  </w:r>
                </w:p>
              </w:tc>
            </w:tr>
            <w:tr w14:paraId="07AE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24A69584">
                  <w:pPr>
                    <w:snapToGrid w:val="0"/>
                    <w:jc w:val="center"/>
                    <w:rPr>
                      <w:rFonts w:ascii="Times New Roman" w:hAnsi="Times New Roman" w:cs="Times New Roman"/>
                      <w:szCs w:val="21"/>
                    </w:rPr>
                  </w:pPr>
                </w:p>
              </w:tc>
              <w:tc>
                <w:tcPr>
                  <w:tcW w:w="347" w:type="pct"/>
                  <w:vMerge w:val="continue"/>
                  <w:vAlign w:val="center"/>
                </w:tcPr>
                <w:p w14:paraId="25C2A892">
                  <w:pPr>
                    <w:snapToGrid w:val="0"/>
                    <w:jc w:val="center"/>
                    <w:rPr>
                      <w:rFonts w:ascii="Times New Roman" w:hAnsi="Times New Roman" w:cs="Times New Roman"/>
                      <w:szCs w:val="21"/>
                    </w:rPr>
                  </w:pPr>
                </w:p>
              </w:tc>
              <w:tc>
                <w:tcPr>
                  <w:tcW w:w="2782" w:type="pct"/>
                  <w:vAlign w:val="center"/>
                </w:tcPr>
                <w:p w14:paraId="37C9A4AF">
                  <w:pPr>
                    <w:snapToGrid w:val="0"/>
                    <w:rPr>
                      <w:rFonts w:ascii="Times New Roman" w:hAnsi="Times New Roman" w:cs="Times New Roman"/>
                      <w:szCs w:val="21"/>
                    </w:rPr>
                  </w:pPr>
                  <w:r>
                    <w:rPr>
                      <w:rFonts w:ascii="Times New Roman" w:hAnsi="Times New Roman" w:cs="Times New Roman"/>
                      <w:szCs w:val="21"/>
                    </w:rPr>
                    <w:t>第十一条严禁引入高水耗、高物耗、高能耗项目，水的重复利用率低的行业。严格执行高污染燃料禁燃区管理要求</w:t>
                  </w:r>
                </w:p>
              </w:tc>
              <w:tc>
                <w:tcPr>
                  <w:tcW w:w="1089" w:type="pct"/>
                  <w:vAlign w:val="center"/>
                </w:tcPr>
                <w:p w14:paraId="4DBF9787">
                  <w:pPr>
                    <w:snapToGrid w:val="0"/>
                    <w:rPr>
                      <w:rFonts w:ascii="Times New Roman" w:hAnsi="Times New Roman" w:cs="Times New Roman"/>
                      <w:lang w:bidi="en-US"/>
                    </w:rPr>
                  </w:pPr>
                  <w:r>
                    <w:rPr>
                      <w:rFonts w:ascii="Times New Roman" w:hAnsi="Times New Roman" w:cs="Times New Roman"/>
                      <w:szCs w:val="21"/>
                    </w:rPr>
                    <w:t>本项目不属于高水耗、高物耗、高能耗项目</w:t>
                  </w:r>
                </w:p>
              </w:tc>
              <w:tc>
                <w:tcPr>
                  <w:tcW w:w="345" w:type="pct"/>
                  <w:vAlign w:val="center"/>
                </w:tcPr>
                <w:p w14:paraId="4A24FA99">
                  <w:pPr>
                    <w:snapToGrid w:val="0"/>
                    <w:jc w:val="center"/>
                    <w:rPr>
                      <w:rFonts w:ascii="Times New Roman" w:hAnsi="Times New Roman" w:cs="Times New Roman"/>
                      <w:szCs w:val="21"/>
                    </w:rPr>
                  </w:pPr>
                  <w:r>
                    <w:rPr>
                      <w:rFonts w:ascii="Times New Roman" w:hAnsi="Times New Roman" w:cs="Times New Roman"/>
                      <w:szCs w:val="21"/>
                    </w:rPr>
                    <w:t>符合</w:t>
                  </w:r>
                </w:p>
              </w:tc>
            </w:tr>
            <w:tr w14:paraId="65C0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EE1E5AF">
                  <w:pPr>
                    <w:snapToGrid w:val="0"/>
                    <w:jc w:val="center"/>
                    <w:rPr>
                      <w:rFonts w:ascii="Times New Roman" w:hAnsi="Times New Roman" w:cs="Times New Roman"/>
                      <w:szCs w:val="21"/>
                    </w:rPr>
                  </w:pPr>
                </w:p>
              </w:tc>
              <w:tc>
                <w:tcPr>
                  <w:tcW w:w="347" w:type="pct"/>
                  <w:vMerge w:val="continue"/>
                  <w:vAlign w:val="center"/>
                </w:tcPr>
                <w:p w14:paraId="4B354802">
                  <w:pPr>
                    <w:snapToGrid w:val="0"/>
                    <w:jc w:val="center"/>
                    <w:rPr>
                      <w:rFonts w:ascii="Times New Roman" w:hAnsi="Times New Roman" w:cs="Times New Roman"/>
                      <w:szCs w:val="21"/>
                    </w:rPr>
                  </w:pPr>
                </w:p>
              </w:tc>
              <w:tc>
                <w:tcPr>
                  <w:tcW w:w="2782" w:type="pct"/>
                  <w:vAlign w:val="center"/>
                </w:tcPr>
                <w:p w14:paraId="561861F9">
                  <w:pPr>
                    <w:snapToGrid w:val="0"/>
                    <w:rPr>
                      <w:rFonts w:ascii="Times New Roman" w:hAnsi="Times New Roman" w:cs="Times New Roman"/>
                      <w:szCs w:val="21"/>
                    </w:rPr>
                  </w:pPr>
                  <w:r>
                    <w:rPr>
                      <w:rFonts w:ascii="Times New Roman" w:hAnsi="Times New Roman" w:cs="Times New Roman"/>
                      <w:szCs w:val="21"/>
                    </w:rPr>
                    <w:t>第十二条制定柴油货车、高排放车辆限行方案，依法依规加快淘汰老旧柴油货车。每年新增或更新的公交车、出租车全部使用清洁能源车辆</w:t>
                  </w:r>
                </w:p>
              </w:tc>
              <w:tc>
                <w:tcPr>
                  <w:tcW w:w="1089" w:type="pct"/>
                  <w:vAlign w:val="center"/>
                </w:tcPr>
                <w:p w14:paraId="007360DB">
                  <w:pPr>
                    <w:snapToGrid w:val="0"/>
                    <w:jc w:val="center"/>
                    <w:rPr>
                      <w:rFonts w:ascii="Times New Roman" w:hAnsi="Times New Roman" w:cs="Times New Roman"/>
                      <w:szCs w:val="21"/>
                    </w:rPr>
                  </w:pPr>
                  <w:r>
                    <w:rPr>
                      <w:rFonts w:ascii="Times New Roman" w:hAnsi="Times New Roman" w:cs="Times New Roman"/>
                      <w:szCs w:val="21"/>
                    </w:rPr>
                    <w:t>/</w:t>
                  </w:r>
                </w:p>
              </w:tc>
              <w:tc>
                <w:tcPr>
                  <w:tcW w:w="345" w:type="pct"/>
                  <w:vAlign w:val="center"/>
                </w:tcPr>
                <w:p w14:paraId="65576B67">
                  <w:pPr>
                    <w:snapToGrid w:val="0"/>
                    <w:jc w:val="center"/>
                    <w:rPr>
                      <w:rFonts w:ascii="Times New Roman" w:hAnsi="Times New Roman" w:cs="Times New Roman"/>
                      <w:szCs w:val="21"/>
                    </w:rPr>
                  </w:pPr>
                  <w:r>
                    <w:rPr>
                      <w:rFonts w:ascii="Times New Roman" w:hAnsi="Times New Roman" w:cs="Times New Roman"/>
                      <w:szCs w:val="21"/>
                    </w:rPr>
                    <w:t>符合</w:t>
                  </w:r>
                </w:p>
              </w:tc>
            </w:tr>
            <w:tr w14:paraId="491B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1922BA1D">
                  <w:pPr>
                    <w:snapToGrid w:val="0"/>
                    <w:jc w:val="center"/>
                    <w:rPr>
                      <w:rFonts w:ascii="Times New Roman" w:hAnsi="Times New Roman" w:cs="Times New Roman"/>
                      <w:szCs w:val="21"/>
                    </w:rPr>
                  </w:pPr>
                </w:p>
              </w:tc>
              <w:tc>
                <w:tcPr>
                  <w:tcW w:w="347" w:type="pct"/>
                  <w:vMerge w:val="restart"/>
                  <w:vAlign w:val="center"/>
                </w:tcPr>
                <w:p w14:paraId="644AAA39">
                  <w:pPr>
                    <w:snapToGrid w:val="0"/>
                    <w:jc w:val="center"/>
                    <w:rPr>
                      <w:rFonts w:ascii="Times New Roman" w:hAnsi="Times New Roman" w:cs="Times New Roman"/>
                      <w:szCs w:val="21"/>
                    </w:rPr>
                  </w:pPr>
                  <w:r>
                    <w:rPr>
                      <w:rFonts w:ascii="Times New Roman" w:hAnsi="Times New Roman" w:cs="Times New Roman"/>
                      <w:szCs w:val="21"/>
                    </w:rPr>
                    <w:t>环境风险防控</w:t>
                  </w:r>
                </w:p>
              </w:tc>
              <w:tc>
                <w:tcPr>
                  <w:tcW w:w="2782" w:type="pct"/>
                  <w:vAlign w:val="center"/>
                </w:tcPr>
                <w:p w14:paraId="1F7135AF">
                  <w:pPr>
                    <w:snapToGrid w:val="0"/>
                    <w:rPr>
                      <w:rFonts w:ascii="Times New Roman" w:hAnsi="Times New Roman" w:cs="Times New Roman"/>
                      <w:szCs w:val="21"/>
                    </w:rPr>
                  </w:pPr>
                  <w:r>
                    <w:rPr>
                      <w:rFonts w:ascii="Times New Roman" w:hAnsi="Times New Roman" w:cs="Times New Roman"/>
                      <w:szCs w:val="21"/>
                    </w:rPr>
                    <w:t>第十三条严禁在长江干流1公里范围内新建危化品码头，长江干流沿岸1公里范围内现有化工企业、危化企业、重点风险源全部</w:t>
                  </w:r>
                  <w:r>
                    <w:rPr>
                      <w:rFonts w:hint="eastAsia" w:ascii="Times New Roman" w:hAnsi="Times New Roman" w:cs="Times New Roman"/>
                      <w:szCs w:val="21"/>
                    </w:rPr>
                    <w:t>“</w:t>
                  </w:r>
                  <w:r>
                    <w:rPr>
                      <w:rFonts w:ascii="Times New Roman" w:hAnsi="Times New Roman" w:cs="Times New Roman"/>
                      <w:szCs w:val="21"/>
                    </w:rPr>
                    <w:t>清零</w:t>
                  </w:r>
                  <w:r>
                    <w:rPr>
                      <w:rFonts w:hint="eastAsia" w:ascii="Times New Roman" w:hAnsi="Times New Roman" w:cs="Times New Roman"/>
                      <w:szCs w:val="21"/>
                    </w:rPr>
                    <w:t>”</w:t>
                  </w:r>
                </w:p>
              </w:tc>
              <w:tc>
                <w:tcPr>
                  <w:tcW w:w="1089" w:type="pct"/>
                  <w:vAlign w:val="center"/>
                </w:tcPr>
                <w:p w14:paraId="55254068">
                  <w:pPr>
                    <w:snapToGrid w:val="0"/>
                    <w:rPr>
                      <w:rFonts w:ascii="Times New Roman" w:hAnsi="Times New Roman" w:cs="Times New Roman"/>
                      <w:szCs w:val="21"/>
                    </w:rPr>
                  </w:pPr>
                  <w:r>
                    <w:rPr>
                      <w:rFonts w:ascii="Times New Roman" w:hAnsi="Times New Roman" w:cs="Times New Roman"/>
                      <w:szCs w:val="21"/>
                      <w:lang w:bidi="en-US"/>
                    </w:rPr>
                    <w:t>本项目</w:t>
                  </w:r>
                  <w:r>
                    <w:rPr>
                      <w:rFonts w:ascii="Times New Roman" w:hAnsi="Times New Roman" w:cs="Times New Roman"/>
                      <w:szCs w:val="21"/>
                    </w:rPr>
                    <w:t>位于重庆西彭工业园区西彭组团D标准分区，为</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hint="eastAsia" w:ascii="Times New Roman" w:hAnsi="Times New Roman" w:cs="Times New Roman"/>
                      <w:lang w:bidi="en-US"/>
                    </w:rPr>
                    <w:t>不属于</w:t>
                  </w:r>
                  <w:r>
                    <w:rPr>
                      <w:rFonts w:hint="eastAsia" w:ascii="Times New Roman" w:hAnsi="Times New Roman" w:cs="Times New Roman"/>
                      <w:lang w:eastAsia="zh-CN" w:bidi="en-US"/>
                    </w:rPr>
                    <w:t>上述</w:t>
                  </w:r>
                  <w:r>
                    <w:rPr>
                      <w:rFonts w:hint="eastAsia" w:ascii="Times New Roman" w:hAnsi="Times New Roman" w:cs="Times New Roman"/>
                      <w:lang w:bidi="en-US"/>
                    </w:rPr>
                    <w:t>企业。</w:t>
                  </w:r>
                </w:p>
              </w:tc>
              <w:tc>
                <w:tcPr>
                  <w:tcW w:w="345" w:type="pct"/>
                  <w:vAlign w:val="center"/>
                </w:tcPr>
                <w:p w14:paraId="1124BAB6">
                  <w:pPr>
                    <w:snapToGrid w:val="0"/>
                    <w:jc w:val="center"/>
                    <w:rPr>
                      <w:rFonts w:ascii="Times New Roman" w:hAnsi="Times New Roman" w:cs="Times New Roman"/>
                      <w:szCs w:val="21"/>
                    </w:rPr>
                  </w:pPr>
                  <w:r>
                    <w:rPr>
                      <w:rFonts w:ascii="Times New Roman" w:hAnsi="Times New Roman" w:cs="Times New Roman"/>
                      <w:szCs w:val="21"/>
                    </w:rPr>
                    <w:t>符合</w:t>
                  </w:r>
                </w:p>
              </w:tc>
            </w:tr>
            <w:tr w14:paraId="2DFB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5" w:type="pct"/>
                  <w:vMerge w:val="continue"/>
                  <w:vAlign w:val="center"/>
                </w:tcPr>
                <w:p w14:paraId="44A10B88">
                  <w:pPr>
                    <w:snapToGrid w:val="0"/>
                    <w:jc w:val="center"/>
                    <w:rPr>
                      <w:rFonts w:ascii="Times New Roman" w:hAnsi="Times New Roman" w:cs="Times New Roman"/>
                      <w:szCs w:val="21"/>
                    </w:rPr>
                  </w:pPr>
                </w:p>
              </w:tc>
              <w:tc>
                <w:tcPr>
                  <w:tcW w:w="347" w:type="pct"/>
                  <w:vMerge w:val="continue"/>
                  <w:vAlign w:val="center"/>
                </w:tcPr>
                <w:p w14:paraId="71443FB6">
                  <w:pPr>
                    <w:snapToGrid w:val="0"/>
                    <w:jc w:val="center"/>
                    <w:rPr>
                      <w:rFonts w:ascii="Times New Roman" w:hAnsi="Times New Roman" w:cs="Times New Roman"/>
                      <w:szCs w:val="21"/>
                    </w:rPr>
                  </w:pPr>
                </w:p>
              </w:tc>
              <w:tc>
                <w:tcPr>
                  <w:tcW w:w="2782" w:type="pct"/>
                  <w:vAlign w:val="center"/>
                </w:tcPr>
                <w:p w14:paraId="624D2B1E">
                  <w:pPr>
                    <w:snapToGrid w:val="0"/>
                    <w:rPr>
                      <w:rFonts w:ascii="Times New Roman" w:hAnsi="Times New Roman" w:cs="Times New Roman"/>
                      <w:szCs w:val="21"/>
                    </w:rPr>
                  </w:pPr>
                  <w:r>
                    <w:rPr>
                      <w:rFonts w:ascii="Times New Roman" w:hAnsi="Times New Roman" w:cs="Times New Roman"/>
                      <w:szCs w:val="21"/>
                    </w:rPr>
                    <w:t>第十四条工业园区污水处理厂应设置相应规模的事故池，防止事故废水直接进入江河</w:t>
                  </w:r>
                </w:p>
              </w:tc>
              <w:tc>
                <w:tcPr>
                  <w:tcW w:w="1089" w:type="pct"/>
                  <w:vAlign w:val="center"/>
                </w:tcPr>
                <w:p w14:paraId="457BFD6F">
                  <w:pPr>
                    <w:snapToGrid w:val="0"/>
                    <w:jc w:val="center"/>
                    <w:rPr>
                      <w:rFonts w:ascii="Times New Roman" w:hAnsi="Times New Roman" w:cs="Times New Roman"/>
                      <w:szCs w:val="21"/>
                    </w:rPr>
                  </w:pPr>
                  <w:r>
                    <w:rPr>
                      <w:rFonts w:ascii="Times New Roman" w:hAnsi="Times New Roman" w:cs="Times New Roman"/>
                      <w:szCs w:val="21"/>
                    </w:rPr>
                    <w:t>/</w:t>
                  </w:r>
                </w:p>
              </w:tc>
              <w:tc>
                <w:tcPr>
                  <w:tcW w:w="345" w:type="pct"/>
                  <w:vAlign w:val="center"/>
                </w:tcPr>
                <w:p w14:paraId="40B65581">
                  <w:pPr>
                    <w:snapToGrid w:val="0"/>
                    <w:jc w:val="center"/>
                    <w:rPr>
                      <w:rFonts w:ascii="Times New Roman" w:hAnsi="Times New Roman" w:cs="Times New Roman"/>
                      <w:szCs w:val="21"/>
                    </w:rPr>
                  </w:pPr>
                  <w:r>
                    <w:rPr>
                      <w:rFonts w:ascii="Times New Roman" w:hAnsi="Times New Roman" w:cs="Times New Roman"/>
                      <w:szCs w:val="21"/>
                    </w:rPr>
                    <w:t>符合</w:t>
                  </w:r>
                </w:p>
              </w:tc>
            </w:tr>
            <w:tr w14:paraId="7952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5" w:type="pct"/>
                  <w:vMerge w:val="continue"/>
                  <w:vAlign w:val="center"/>
                </w:tcPr>
                <w:p w14:paraId="129389B4">
                  <w:pPr>
                    <w:snapToGrid w:val="0"/>
                    <w:jc w:val="center"/>
                    <w:rPr>
                      <w:rFonts w:ascii="Times New Roman" w:hAnsi="Times New Roman" w:cs="Times New Roman"/>
                      <w:szCs w:val="21"/>
                    </w:rPr>
                  </w:pPr>
                </w:p>
              </w:tc>
              <w:tc>
                <w:tcPr>
                  <w:tcW w:w="347" w:type="pct"/>
                  <w:vAlign w:val="center"/>
                </w:tcPr>
                <w:p w14:paraId="41168B0B">
                  <w:pPr>
                    <w:snapToGrid w:val="0"/>
                    <w:jc w:val="center"/>
                    <w:rPr>
                      <w:rFonts w:ascii="Times New Roman" w:hAnsi="Times New Roman" w:cs="Times New Roman"/>
                      <w:szCs w:val="21"/>
                    </w:rPr>
                  </w:pPr>
                  <w:r>
                    <w:rPr>
                      <w:rFonts w:ascii="Times New Roman" w:hAnsi="Times New Roman" w:cs="Times New Roman"/>
                      <w:szCs w:val="21"/>
                    </w:rPr>
                    <w:t>资源开发利用效率</w:t>
                  </w:r>
                </w:p>
              </w:tc>
              <w:tc>
                <w:tcPr>
                  <w:tcW w:w="2782" w:type="pct"/>
                  <w:vAlign w:val="center"/>
                </w:tcPr>
                <w:p w14:paraId="18E0F7DF">
                  <w:pPr>
                    <w:snapToGrid w:val="0"/>
                    <w:rPr>
                      <w:rFonts w:ascii="Times New Roman" w:hAnsi="Times New Roman" w:cs="Times New Roman"/>
                      <w:szCs w:val="21"/>
                    </w:rPr>
                  </w:pPr>
                  <w:r>
                    <w:rPr>
                      <w:rFonts w:ascii="Times New Roman" w:hAnsi="Times New Roman" w:cs="Times New Roman"/>
                      <w:szCs w:val="21"/>
                    </w:rPr>
                    <w:t>第十五条新建和改造的工业项目的水资源消耗水平应优于《重庆市工业项目环境准入规定》中的准入值及行业平均值，企业水耗应达到先进定额标准。新建和改造的能耗水平应优于《重庆市工业项目环境准入规定》中的准入值及行业平均值，高耗能企业能耗应达到先进定额标准</w:t>
                  </w:r>
                </w:p>
              </w:tc>
              <w:tc>
                <w:tcPr>
                  <w:tcW w:w="1089" w:type="pct"/>
                  <w:vAlign w:val="center"/>
                </w:tcPr>
                <w:p w14:paraId="0991D572">
                  <w:pPr>
                    <w:snapToGrid w:val="0"/>
                    <w:rPr>
                      <w:rFonts w:ascii="Times New Roman" w:hAnsi="Times New Roman" w:cs="Times New Roman"/>
                      <w:szCs w:val="21"/>
                    </w:rPr>
                  </w:pPr>
                  <w:r>
                    <w:rPr>
                      <w:rFonts w:ascii="Times New Roman" w:hAnsi="Times New Roman" w:cs="Times New Roman"/>
                      <w:szCs w:val="21"/>
                    </w:rPr>
                    <w:t>本项目不属于高水耗、高物耗、高能耗项目</w:t>
                  </w:r>
                </w:p>
              </w:tc>
              <w:tc>
                <w:tcPr>
                  <w:tcW w:w="345" w:type="pct"/>
                  <w:vAlign w:val="center"/>
                </w:tcPr>
                <w:p w14:paraId="3AB62911">
                  <w:pPr>
                    <w:snapToGrid w:val="0"/>
                    <w:jc w:val="center"/>
                    <w:rPr>
                      <w:rFonts w:ascii="Times New Roman" w:hAnsi="Times New Roman" w:cs="Times New Roman"/>
                      <w:szCs w:val="21"/>
                    </w:rPr>
                  </w:pPr>
                  <w:r>
                    <w:rPr>
                      <w:rFonts w:ascii="Times New Roman" w:hAnsi="Times New Roman" w:cs="Times New Roman"/>
                      <w:szCs w:val="21"/>
                    </w:rPr>
                    <w:t>符合</w:t>
                  </w:r>
                </w:p>
              </w:tc>
            </w:tr>
            <w:tr w14:paraId="1D68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35" w:type="pct"/>
                  <w:vMerge w:val="restart"/>
                  <w:vAlign w:val="center"/>
                </w:tcPr>
                <w:p w14:paraId="63DE3817">
                  <w:pPr>
                    <w:snapToGrid w:val="0"/>
                    <w:jc w:val="center"/>
                    <w:rPr>
                      <w:rFonts w:ascii="Times New Roman" w:hAnsi="Times New Roman" w:cs="Times New Roman"/>
                      <w:szCs w:val="21"/>
                    </w:rPr>
                  </w:pPr>
                  <w:r>
                    <w:rPr>
                      <w:rFonts w:ascii="Times New Roman" w:hAnsi="Times New Roman" w:cs="Times New Roman"/>
                      <w:szCs w:val="21"/>
                    </w:rPr>
                    <w:t xml:space="preserve">九龙坡区工业城镇重点管控单元-九龙西城 </w:t>
                  </w:r>
                </w:p>
                <w:p w14:paraId="5F1ABAF9">
                  <w:pPr>
                    <w:snapToGrid w:val="0"/>
                    <w:jc w:val="center"/>
                    <w:rPr>
                      <w:rFonts w:ascii="Times New Roman" w:hAnsi="Times New Roman" w:cs="Times New Roman"/>
                      <w:szCs w:val="21"/>
                    </w:rPr>
                  </w:pPr>
                  <w:r>
                    <w:rPr>
                      <w:rFonts w:ascii="Times New Roman" w:hAnsi="Times New Roman" w:cs="Times New Roman"/>
                      <w:szCs w:val="21"/>
                    </w:rPr>
                    <w:t>片区管控要求（ZH50010720002）</w:t>
                  </w:r>
                </w:p>
              </w:tc>
              <w:tc>
                <w:tcPr>
                  <w:tcW w:w="347" w:type="pct"/>
                  <w:vAlign w:val="center"/>
                </w:tcPr>
                <w:p w14:paraId="1F83BC86">
                  <w:pPr>
                    <w:snapToGrid w:val="0"/>
                    <w:jc w:val="center"/>
                    <w:rPr>
                      <w:rFonts w:ascii="Times New Roman" w:hAnsi="Times New Roman" w:cs="Times New Roman"/>
                      <w:szCs w:val="21"/>
                    </w:rPr>
                  </w:pPr>
                  <w:r>
                    <w:rPr>
                      <w:rFonts w:ascii="Times New Roman" w:hAnsi="Times New Roman" w:cs="Times New Roman"/>
                      <w:szCs w:val="21"/>
                    </w:rPr>
                    <w:t>空间布局约束</w:t>
                  </w:r>
                </w:p>
              </w:tc>
              <w:tc>
                <w:tcPr>
                  <w:tcW w:w="2782" w:type="pct"/>
                  <w:vAlign w:val="center"/>
                </w:tcPr>
                <w:p w14:paraId="1BE420E5">
                  <w:pPr>
                    <w:rPr>
                      <w:rFonts w:ascii="Times New Roman" w:hAnsi="Times New Roman" w:cs="Times New Roman"/>
                    </w:rPr>
                  </w:pPr>
                  <w:r>
                    <w:rPr>
                      <w:rFonts w:ascii="Times New Roman" w:hAnsi="Times New Roman" w:cs="Times New Roman"/>
                    </w:rPr>
                    <w:t>1.紧邻现状及规划居住用地、中小学用地等的工业用地后续引入项目时应考虑以污染较轻的项目为主，禁止新建涉及喷漆、酸洗、熔炼等异味较大的生产工艺项目。</w:t>
                  </w:r>
                </w:p>
                <w:p w14:paraId="19CEBE38">
                  <w:pPr>
                    <w:rPr>
                      <w:rFonts w:ascii="Times New Roman" w:hAnsi="Times New Roman" w:cs="Times New Roman"/>
                    </w:rPr>
                  </w:pPr>
                  <w:r>
                    <w:rPr>
                      <w:rFonts w:ascii="Times New Roman" w:hAnsi="Times New Roman" w:cs="Times New Roman"/>
                    </w:rPr>
                    <w:t xml:space="preserve">2.推动九龙西城新能源、装备制造、新材料等产业往下游延伸；西彭工业园区禁止新建、扩建木质家具制造、报废汽车拆解、平板玻璃制造工业项目。 </w:t>
                  </w:r>
                </w:p>
                <w:p w14:paraId="2B6439B2">
                  <w:pPr>
                    <w:rPr>
                      <w:rFonts w:ascii="Times New Roman" w:hAnsi="Times New Roman" w:cs="Times New Roman"/>
                    </w:rPr>
                  </w:pPr>
                  <w:r>
                    <w:rPr>
                      <w:rFonts w:ascii="Times New Roman" w:hAnsi="Times New Roman" w:cs="Times New Roman"/>
                    </w:rPr>
                    <w:t>3.重庆奇爽实业（集团）有限公司、红蜻蜓（重庆）植物油脂有限公司、重庆小可食品有限公司、重庆豆奇食品有限公司不再扩大用地规模、不新增污染物排放。</w:t>
                  </w:r>
                </w:p>
              </w:tc>
              <w:tc>
                <w:tcPr>
                  <w:tcW w:w="1089" w:type="pct"/>
                  <w:vAlign w:val="center"/>
                </w:tcPr>
                <w:p w14:paraId="3F0622DA">
                  <w:pPr>
                    <w:snapToGrid w:val="0"/>
                    <w:rPr>
                      <w:rFonts w:ascii="Times New Roman" w:hAnsi="Times New Roman" w:cs="Times New Roman"/>
                      <w:szCs w:val="21"/>
                    </w:rPr>
                  </w:pPr>
                  <w:r>
                    <w:rPr>
                      <w:rFonts w:ascii="Times New Roman" w:hAnsi="Times New Roman" w:cs="Times New Roman"/>
                      <w:szCs w:val="21"/>
                    </w:rPr>
                    <w:t>本项目</w:t>
                  </w:r>
                  <w:r>
                    <w:rPr>
                      <w:rFonts w:hint="eastAsia" w:ascii="Times New Roman" w:hAnsi="Times New Roman" w:cs="Times New Roman"/>
                      <w:szCs w:val="21"/>
                    </w:rPr>
                    <w:t>C</w:t>
                  </w:r>
                  <w:r>
                    <w:rPr>
                      <w:rFonts w:hint="eastAsia" w:ascii="Times New Roman" w:hAnsi="Times New Roman" w:cs="Times New Roman"/>
                      <w:szCs w:val="21"/>
                      <w:lang w:val="en-US" w:eastAsia="zh-CN"/>
                    </w:rPr>
                    <w:t>2029</w:t>
                  </w:r>
                  <w:r>
                    <w:rPr>
                      <w:rFonts w:hint="eastAsia" w:ascii="Times New Roman" w:hAnsi="Times New Roman" w:cs="Times New Roman"/>
                      <w:szCs w:val="21"/>
                      <w:lang w:eastAsia="zh-CN"/>
                    </w:rPr>
                    <w:t>其他人造板制造</w:t>
                  </w:r>
                  <w:r>
                    <w:rPr>
                      <w:rFonts w:hint="eastAsia" w:ascii="Times New Roman" w:hAnsi="Times New Roman" w:cs="Times New Roman"/>
                      <w:szCs w:val="21"/>
                    </w:rPr>
                    <w:t>项目，</w:t>
                  </w:r>
                  <w:r>
                    <w:rPr>
                      <w:rFonts w:ascii="Times New Roman" w:hAnsi="Times New Roman" w:cs="Times New Roman"/>
                      <w:szCs w:val="21"/>
                    </w:rPr>
                    <w:t>不涉及</w:t>
                  </w:r>
                  <w:r>
                    <w:rPr>
                      <w:rFonts w:ascii="Times New Roman" w:hAnsi="Times New Roman" w:cs="Times New Roman"/>
                    </w:rPr>
                    <w:t>喷漆、酸洗、熔炼等生产工艺；不属于木质家具制造、报废汽车拆解、平板玻璃制造工业项目；</w:t>
                  </w:r>
                </w:p>
              </w:tc>
              <w:tc>
                <w:tcPr>
                  <w:tcW w:w="345" w:type="pct"/>
                  <w:vAlign w:val="center"/>
                </w:tcPr>
                <w:p w14:paraId="6973E015">
                  <w:pPr>
                    <w:snapToGrid w:val="0"/>
                    <w:jc w:val="center"/>
                    <w:rPr>
                      <w:rFonts w:ascii="Times New Roman" w:hAnsi="Times New Roman" w:cs="Times New Roman"/>
                      <w:szCs w:val="21"/>
                    </w:rPr>
                  </w:pPr>
                  <w:r>
                    <w:rPr>
                      <w:rFonts w:ascii="Times New Roman" w:hAnsi="Times New Roman" w:cs="Times New Roman"/>
                      <w:szCs w:val="21"/>
                    </w:rPr>
                    <w:t>符合</w:t>
                  </w:r>
                </w:p>
              </w:tc>
            </w:tr>
            <w:tr w14:paraId="1E5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5" w:type="pct"/>
                  <w:vMerge w:val="continue"/>
                  <w:vAlign w:val="center"/>
                </w:tcPr>
                <w:p w14:paraId="4A091A69">
                  <w:pPr>
                    <w:snapToGrid w:val="0"/>
                    <w:jc w:val="center"/>
                    <w:rPr>
                      <w:rFonts w:ascii="Times New Roman" w:hAnsi="Times New Roman" w:cs="Times New Roman"/>
                      <w:szCs w:val="21"/>
                    </w:rPr>
                  </w:pPr>
                </w:p>
              </w:tc>
              <w:tc>
                <w:tcPr>
                  <w:tcW w:w="347" w:type="pct"/>
                  <w:vAlign w:val="center"/>
                </w:tcPr>
                <w:p w14:paraId="5A47019D">
                  <w:pPr>
                    <w:snapToGrid w:val="0"/>
                    <w:jc w:val="center"/>
                    <w:rPr>
                      <w:rFonts w:ascii="Times New Roman" w:hAnsi="Times New Roman" w:cs="Times New Roman"/>
                      <w:szCs w:val="21"/>
                    </w:rPr>
                  </w:pPr>
                  <w:r>
                    <w:rPr>
                      <w:rFonts w:ascii="Times New Roman" w:hAnsi="Times New Roman" w:cs="Times New Roman"/>
                      <w:szCs w:val="21"/>
                    </w:rPr>
                    <w:t>污染物排放管控</w:t>
                  </w:r>
                </w:p>
              </w:tc>
              <w:tc>
                <w:tcPr>
                  <w:tcW w:w="2782" w:type="pct"/>
                  <w:vAlign w:val="center"/>
                </w:tcPr>
                <w:p w14:paraId="7115CB35">
                  <w:pPr>
                    <w:pStyle w:val="43"/>
                    <w:numPr>
                      <w:ilvl w:val="0"/>
                      <w:numId w:val="2"/>
                    </w:numPr>
                    <w:jc w:val="both"/>
                    <w:rPr>
                      <w:rFonts w:ascii="Times New Roman" w:hAnsi="Times New Roman" w:cs="Times New Roman"/>
                      <w:szCs w:val="21"/>
                    </w:rPr>
                  </w:pPr>
                  <w:r>
                    <w:rPr>
                      <w:rFonts w:ascii="Times New Roman" w:hAnsi="Times New Roman" w:cs="Times New Roman"/>
                      <w:szCs w:val="21"/>
                    </w:rPr>
                    <w:t>推动重点行业持续提升低（无）VOCs含量、低反应活性的原辅材料替代比例，推进重点监管企业VOCs综合整治，加强重点排污企业污染治理设施和在线监控建设和运维。</w:t>
                  </w:r>
                </w:p>
                <w:p w14:paraId="6C21B506">
                  <w:pPr>
                    <w:pStyle w:val="43"/>
                    <w:numPr>
                      <w:ilvl w:val="0"/>
                      <w:numId w:val="2"/>
                    </w:numPr>
                    <w:jc w:val="both"/>
                    <w:rPr>
                      <w:rFonts w:ascii="Times New Roman" w:hAnsi="Times New Roman" w:cs="Times New Roman"/>
                      <w:szCs w:val="21"/>
                    </w:rPr>
                  </w:pPr>
                  <w:r>
                    <w:rPr>
                      <w:rFonts w:ascii="Times New Roman" w:hAnsi="Times New Roman" w:cs="Times New Roman"/>
                      <w:szCs w:val="21"/>
                    </w:rPr>
                    <w:t>推进西彭工业园区污水处理厂提标扩建工程。 新改建铜罐驿沿江片区、西彭镇和陶家镇等区域污水管网，改造管网错混接点；推进铜罐驿污水处理厂配套管网建设工作。</w:t>
                  </w:r>
                </w:p>
                <w:p w14:paraId="642AA249">
                  <w:pPr>
                    <w:pStyle w:val="43"/>
                    <w:jc w:val="both"/>
                    <w:rPr>
                      <w:rFonts w:ascii="Times New Roman" w:hAnsi="Times New Roman" w:cs="Times New Roman"/>
                      <w:szCs w:val="21"/>
                    </w:rPr>
                  </w:pPr>
                  <w:r>
                    <w:rPr>
                      <w:rFonts w:ascii="Times New Roman" w:hAnsi="Times New Roman" w:cs="Times New Roman"/>
                      <w:szCs w:val="21"/>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52A0B524">
                  <w:pPr>
                    <w:pStyle w:val="43"/>
                    <w:jc w:val="both"/>
                    <w:rPr>
                      <w:rFonts w:ascii="Times New Roman" w:hAnsi="Times New Roman" w:cs="Times New Roman"/>
                      <w:szCs w:val="21"/>
                    </w:rPr>
                  </w:pPr>
                  <w:r>
                    <w:rPr>
                      <w:rFonts w:ascii="Times New Roman" w:hAnsi="Times New Roman" w:cs="Times New Roman"/>
                      <w:szCs w:val="21"/>
                    </w:rPr>
                    <w:t>4.加强施工扬尘监管，逐步推进建筑面积2万平方米以上的工地安装在线监控系统。</w:t>
                  </w:r>
                </w:p>
              </w:tc>
              <w:tc>
                <w:tcPr>
                  <w:tcW w:w="1089" w:type="pct"/>
                  <w:vAlign w:val="center"/>
                </w:tcPr>
                <w:p w14:paraId="7A52121F">
                  <w:pPr>
                    <w:pStyle w:val="43"/>
                    <w:jc w:val="both"/>
                    <w:rPr>
                      <w:rFonts w:ascii="Times New Roman" w:hAnsi="Times New Roman" w:eastAsia="宋体" w:cs="Times New Roman"/>
                      <w:szCs w:val="21"/>
                    </w:rPr>
                  </w:pPr>
                  <w:r>
                    <w:rPr>
                      <w:rFonts w:ascii="Times New Roman" w:hAnsi="Times New Roman" w:cs="Times New Roman"/>
                      <w:szCs w:val="21"/>
                    </w:rPr>
                    <w:t>本项目位于重庆西彭工业园区西彭组团D标准分区</w:t>
                  </w:r>
                  <w:r>
                    <w:rPr>
                      <w:rFonts w:ascii="Times New Roman" w:hAnsi="Times New Roman" w:cs="Times New Roman"/>
                      <w:color w:val="FF0000"/>
                      <w:szCs w:val="21"/>
                    </w:rPr>
                    <w:t>，</w:t>
                  </w:r>
                  <w:r>
                    <w:rPr>
                      <w:rFonts w:hint="eastAsia" w:ascii="Times New Roman" w:hAnsi="Times New Roman" w:cs="Times New Roman"/>
                      <w:color w:val="000000" w:themeColor="text1"/>
                      <w:szCs w:val="21"/>
                      <w14:textFill>
                        <w14:solidFill>
                          <w14:schemeClr w14:val="tx1"/>
                        </w14:solidFill>
                      </w14:textFill>
                    </w:rPr>
                    <w:t>主要生产原料为</w:t>
                  </w:r>
                  <w:r>
                    <w:rPr>
                      <w:rFonts w:hint="eastAsia" w:ascii="Times New Roman" w:hAnsi="Times New Roman" w:cs="Times New Roman"/>
                      <w:color w:val="000000" w:themeColor="text1"/>
                      <w:szCs w:val="21"/>
                      <w:lang w:eastAsia="zh-CN"/>
                      <w14:textFill>
                        <w14:solidFill>
                          <w14:schemeClr w14:val="tx1"/>
                        </w14:solidFill>
                      </w14:textFill>
                    </w:rPr>
                    <w:t>纤维板、三聚氰胺浸胶纸</w:t>
                  </w:r>
                  <w:r>
                    <w:rPr>
                      <w:rFonts w:hint="eastAsia" w:ascii="Times New Roman" w:hAnsi="Times New Roman" w:cs="Times New Roman"/>
                      <w:color w:val="000000" w:themeColor="text1"/>
                      <w:szCs w:val="21"/>
                      <w14:textFill>
                        <w14:solidFill>
                          <w14:schemeClr w14:val="tx1"/>
                        </w14:solidFill>
                      </w14:textFill>
                    </w:rPr>
                    <w:t>，生产过程中会产生VOCs废气</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采用“干式过滤+</w:t>
                  </w:r>
                  <w:r>
                    <w:rPr>
                      <w:rFonts w:hint="eastAsia" w:ascii="Times New Roman" w:hAnsi="Times New Roman" w:cs="Times New Roman"/>
                      <w:color w:val="000000" w:themeColor="text1"/>
                      <w:szCs w:val="21"/>
                      <w:lang w:eastAsia="zh-CN"/>
                      <w14:textFill>
                        <w14:solidFill>
                          <w14:schemeClr w14:val="tx1"/>
                        </w14:solidFill>
                      </w14:textFill>
                    </w:rPr>
                    <w:t>两级</w:t>
                  </w:r>
                  <w:r>
                    <w:rPr>
                      <w:rFonts w:hint="eastAsia" w:ascii="Times New Roman" w:hAnsi="Times New Roman" w:cs="Times New Roman"/>
                      <w:color w:val="000000" w:themeColor="text1"/>
                      <w:szCs w:val="21"/>
                      <w14:textFill>
                        <w14:solidFill>
                          <w14:schemeClr w14:val="tx1"/>
                        </w14:solidFill>
                      </w14:textFill>
                    </w:rPr>
                    <w:t>活性炭”吸附处置后有组织排放；</w:t>
                  </w:r>
                  <w:r>
                    <w:rPr>
                      <w:rFonts w:ascii="Times New Roman" w:hAnsi="Times New Roman" w:cs="Times New Roman"/>
                      <w:color w:val="000000" w:themeColor="text1"/>
                      <w:szCs w:val="21"/>
                      <w14:textFill>
                        <w14:solidFill>
                          <w14:schemeClr w14:val="tx1"/>
                        </w14:solidFill>
                      </w14:textFill>
                    </w:rPr>
                    <w:t>污水依托</w:t>
                  </w:r>
                  <w:r>
                    <w:rPr>
                      <w:rFonts w:hint="eastAsia" w:ascii="Times New Roman" w:hAnsi="Times New Roman" w:cs="Times New Roman"/>
                      <w:color w:val="000000" w:themeColor="text1"/>
                      <w:szCs w:val="21"/>
                      <w:lang w:eastAsia="zh-CN"/>
                      <w14:textFill>
                        <w14:solidFill>
                          <w14:schemeClr w14:val="tx1"/>
                        </w14:solidFill>
                      </w14:textFill>
                    </w:rPr>
                    <w:t>盛德佳</w:t>
                  </w:r>
                  <w:r>
                    <w:rPr>
                      <w:rFonts w:hint="eastAsia" w:ascii="Times New Roman" w:hAnsi="Times New Roman" w:cs="Times New Roman"/>
                      <w:color w:val="000000" w:themeColor="text1"/>
                      <w:szCs w:val="21"/>
                      <w14:textFill>
                        <w14:solidFill>
                          <w14:schemeClr w14:val="tx1"/>
                        </w14:solidFill>
                      </w14:textFill>
                    </w:rPr>
                    <w:t>公司</w:t>
                  </w:r>
                  <w:r>
                    <w:rPr>
                      <w:rFonts w:ascii="Times New Roman" w:hAnsi="Times New Roman" w:cs="Times New Roman"/>
                      <w:color w:val="000000" w:themeColor="text1"/>
                      <w:szCs w:val="21"/>
                      <w14:textFill>
                        <w14:solidFill>
                          <w14:schemeClr w14:val="tx1"/>
                        </w14:solidFill>
                      </w14:textFill>
                    </w:rPr>
                    <w:t>已建生化池处理达标后排入园区管网，进入西彭工业园区污水处理厂处理。</w:t>
                  </w:r>
                </w:p>
              </w:tc>
              <w:tc>
                <w:tcPr>
                  <w:tcW w:w="345" w:type="pct"/>
                  <w:vAlign w:val="center"/>
                </w:tcPr>
                <w:p w14:paraId="398E2C9E">
                  <w:pPr>
                    <w:snapToGrid w:val="0"/>
                    <w:jc w:val="center"/>
                    <w:rPr>
                      <w:rFonts w:ascii="Times New Roman" w:hAnsi="Times New Roman" w:cs="Times New Roman"/>
                      <w:szCs w:val="21"/>
                    </w:rPr>
                  </w:pPr>
                  <w:r>
                    <w:rPr>
                      <w:rFonts w:ascii="Times New Roman" w:hAnsi="Times New Roman" w:cs="Times New Roman"/>
                      <w:szCs w:val="21"/>
                    </w:rPr>
                    <w:t>符合</w:t>
                  </w:r>
                </w:p>
              </w:tc>
            </w:tr>
            <w:tr w14:paraId="44A3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5" w:type="pct"/>
                  <w:vMerge w:val="continue"/>
                  <w:vAlign w:val="center"/>
                </w:tcPr>
                <w:p w14:paraId="5DDAD455">
                  <w:pPr>
                    <w:snapToGrid w:val="0"/>
                    <w:jc w:val="center"/>
                    <w:rPr>
                      <w:rFonts w:ascii="Times New Roman" w:hAnsi="Times New Roman" w:cs="Times New Roman"/>
                      <w:szCs w:val="21"/>
                    </w:rPr>
                  </w:pPr>
                </w:p>
              </w:tc>
              <w:tc>
                <w:tcPr>
                  <w:tcW w:w="347" w:type="pct"/>
                  <w:vAlign w:val="center"/>
                </w:tcPr>
                <w:p w14:paraId="2F10A31C">
                  <w:pPr>
                    <w:snapToGrid w:val="0"/>
                    <w:jc w:val="center"/>
                    <w:rPr>
                      <w:rFonts w:ascii="Times New Roman" w:hAnsi="Times New Roman" w:cs="Times New Roman"/>
                      <w:szCs w:val="21"/>
                    </w:rPr>
                  </w:pPr>
                  <w:r>
                    <w:rPr>
                      <w:rFonts w:ascii="Times New Roman" w:hAnsi="Times New Roman" w:cs="Times New Roman"/>
                      <w:szCs w:val="21"/>
                    </w:rPr>
                    <w:t>环境风险防控</w:t>
                  </w:r>
                </w:p>
              </w:tc>
              <w:tc>
                <w:tcPr>
                  <w:tcW w:w="2782" w:type="pct"/>
                  <w:vAlign w:val="center"/>
                </w:tcPr>
                <w:p w14:paraId="2C4E4808">
                  <w:pPr>
                    <w:numPr>
                      <w:ilvl w:val="0"/>
                      <w:numId w:val="3"/>
                    </w:numPr>
                    <w:rPr>
                      <w:rFonts w:ascii="Times New Roman" w:hAnsi="Times New Roman" w:cs="Times New Roman"/>
                      <w:szCs w:val="21"/>
                    </w:rPr>
                  </w:pPr>
                  <w:r>
                    <w:rPr>
                      <w:rFonts w:ascii="Times New Roman" w:hAnsi="Times New Roman" w:cs="Times New Roman"/>
                      <w:szCs w:val="21"/>
                    </w:rPr>
                    <w:t>西彭组团和铜罐驿组团沿江1km范围内规划仓储用地禁止新引入从事危险化学品储存、运输的仓储物流项目。</w:t>
                  </w:r>
                </w:p>
                <w:p w14:paraId="522E3319">
                  <w:pPr>
                    <w:numPr>
                      <w:ilvl w:val="0"/>
                      <w:numId w:val="3"/>
                    </w:numPr>
                    <w:rPr>
                      <w:rFonts w:ascii="Times New Roman" w:hAnsi="Times New Roman" w:cs="Times New Roman"/>
                      <w:szCs w:val="21"/>
                    </w:rPr>
                  </w:pPr>
                  <w:r>
                    <w:rPr>
                      <w:rFonts w:ascii="Times New Roman" w:hAnsi="Times New Roman" w:cs="Times New Roman"/>
                      <w:szCs w:val="21"/>
                    </w:rPr>
                    <w:t>禁止新建、扩建化工项目。</w:t>
                  </w:r>
                </w:p>
                <w:p w14:paraId="516B17E7">
                  <w:pPr>
                    <w:numPr>
                      <w:ilvl w:val="0"/>
                      <w:numId w:val="3"/>
                    </w:numPr>
                    <w:rPr>
                      <w:rFonts w:ascii="Times New Roman" w:hAnsi="Times New Roman" w:cs="Times New Roman"/>
                      <w:szCs w:val="21"/>
                    </w:rPr>
                  </w:pPr>
                  <w:r>
                    <w:rPr>
                      <w:rFonts w:ascii="Times New Roman" w:hAnsi="Times New Roman" w:cs="Times New Roman"/>
                      <w:szCs w:val="21"/>
                    </w:rPr>
                    <w:t>推进铜罐驿组团金竹沟闸坝的修建。</w:t>
                  </w:r>
                </w:p>
                <w:p w14:paraId="1480E03F">
                  <w:pPr>
                    <w:numPr>
                      <w:ilvl w:val="0"/>
                      <w:numId w:val="3"/>
                    </w:numPr>
                    <w:rPr>
                      <w:rFonts w:ascii="Times New Roman" w:hAnsi="Times New Roman" w:cs="Times New Roman"/>
                      <w:szCs w:val="21"/>
                    </w:rPr>
                  </w:pPr>
                  <w:r>
                    <w:rPr>
                      <w:rFonts w:ascii="Times New Roman" w:hAnsi="Times New Roman" w:cs="Times New Roman"/>
                      <w:szCs w:val="21"/>
                    </w:rPr>
                    <w:t>西彭工业园区应与下游饮用水水源取水口运营单位建立水源地突发环境事件应急联动机制。</w:t>
                  </w:r>
                </w:p>
                <w:p w14:paraId="2F2796DF">
                  <w:pPr>
                    <w:numPr>
                      <w:ilvl w:val="0"/>
                      <w:numId w:val="3"/>
                    </w:numPr>
                    <w:rPr>
                      <w:rFonts w:ascii="Times New Roman" w:hAnsi="Times New Roman" w:cs="Times New Roman"/>
                      <w:szCs w:val="21"/>
                    </w:rPr>
                  </w:pPr>
                  <w:r>
                    <w:rPr>
                      <w:rFonts w:ascii="Times New Roman" w:hAnsi="Times New Roman" w:cs="Times New Roman"/>
                      <w:szCs w:val="21"/>
                    </w:rPr>
                    <w:t>禁止新建、扩建排放废水含有五类重金属（铬、镉、汞、砷、铅）、剧毒物质和持久性有机污染物的工业项目。</w:t>
                  </w:r>
                </w:p>
              </w:tc>
              <w:tc>
                <w:tcPr>
                  <w:tcW w:w="1089" w:type="pct"/>
                  <w:vAlign w:val="center"/>
                </w:tcPr>
                <w:p w14:paraId="1CD3B584">
                  <w:pPr>
                    <w:rPr>
                      <w:rFonts w:ascii="Times New Roman" w:hAnsi="Times New Roman" w:eastAsia="宋体" w:cs="Times New Roman"/>
                      <w:szCs w:val="21"/>
                    </w:rPr>
                  </w:pPr>
                  <w:r>
                    <w:rPr>
                      <w:rFonts w:ascii="Times New Roman" w:hAnsi="Times New Roman" w:cs="Times New Roman"/>
                      <w:szCs w:val="21"/>
                    </w:rPr>
                    <w:t>本项目位于重庆西彭工业园区西彭组团D标准分区，不涉及新建危化品储存、运输的仓储物流项目，不属于化工项目，不属于排放重金属、剧毒物质和持久性有机污染物的工业项目。</w:t>
                  </w:r>
                </w:p>
              </w:tc>
              <w:tc>
                <w:tcPr>
                  <w:tcW w:w="345" w:type="pct"/>
                  <w:vAlign w:val="center"/>
                </w:tcPr>
                <w:p w14:paraId="00E74DE4">
                  <w:pPr>
                    <w:jc w:val="center"/>
                    <w:rPr>
                      <w:rFonts w:ascii="Times New Roman" w:hAnsi="Times New Roman" w:cs="Times New Roman"/>
                      <w:szCs w:val="21"/>
                    </w:rPr>
                  </w:pPr>
                  <w:r>
                    <w:rPr>
                      <w:rFonts w:ascii="Times New Roman" w:hAnsi="Times New Roman" w:cs="Times New Roman"/>
                      <w:szCs w:val="21"/>
                    </w:rPr>
                    <w:t>符合</w:t>
                  </w:r>
                </w:p>
              </w:tc>
            </w:tr>
            <w:tr w14:paraId="0FA8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pct"/>
                  <w:vMerge w:val="continue"/>
                  <w:vAlign w:val="center"/>
                </w:tcPr>
                <w:p w14:paraId="5D2895C4">
                  <w:pPr>
                    <w:snapToGrid w:val="0"/>
                    <w:jc w:val="center"/>
                    <w:rPr>
                      <w:rFonts w:ascii="Times New Roman" w:hAnsi="Times New Roman" w:cs="Times New Roman"/>
                      <w:szCs w:val="21"/>
                    </w:rPr>
                  </w:pPr>
                </w:p>
              </w:tc>
              <w:tc>
                <w:tcPr>
                  <w:tcW w:w="347" w:type="pct"/>
                  <w:vAlign w:val="center"/>
                </w:tcPr>
                <w:p w14:paraId="79066474">
                  <w:pPr>
                    <w:snapToGrid w:val="0"/>
                    <w:jc w:val="center"/>
                    <w:rPr>
                      <w:rFonts w:ascii="Times New Roman" w:hAnsi="Times New Roman" w:cs="Times New Roman"/>
                      <w:szCs w:val="21"/>
                    </w:rPr>
                  </w:pPr>
                  <w:r>
                    <w:rPr>
                      <w:rFonts w:ascii="Times New Roman" w:hAnsi="Times New Roman" w:cs="Times New Roman"/>
                      <w:szCs w:val="21"/>
                    </w:rPr>
                    <w:t>资源开发效率要求</w:t>
                  </w:r>
                </w:p>
              </w:tc>
              <w:tc>
                <w:tcPr>
                  <w:tcW w:w="2782" w:type="pct"/>
                  <w:vAlign w:val="center"/>
                </w:tcPr>
                <w:p w14:paraId="0548B7B2">
                  <w:pPr>
                    <w:pStyle w:val="43"/>
                    <w:numPr>
                      <w:ilvl w:val="0"/>
                      <w:numId w:val="4"/>
                    </w:numPr>
                    <w:jc w:val="both"/>
                    <w:rPr>
                      <w:rFonts w:ascii="Times New Roman" w:hAnsi="Times New Roman" w:cs="Times New Roman"/>
                      <w:szCs w:val="21"/>
                    </w:rPr>
                  </w:pPr>
                  <w:r>
                    <w:rPr>
                      <w:rFonts w:ascii="Times New Roman" w:hAnsi="Times New Roman" w:cs="Times New Roman"/>
                      <w:szCs w:val="21"/>
                    </w:rPr>
                    <w:t>禁止新建、扩建燃用煤、重油等高污染燃料的工业项目，重庆和友实业股份有限公司不再新增燃煤总量。</w:t>
                  </w:r>
                </w:p>
                <w:p w14:paraId="51BBDD63">
                  <w:pPr>
                    <w:pStyle w:val="43"/>
                    <w:numPr>
                      <w:ilvl w:val="0"/>
                      <w:numId w:val="4"/>
                    </w:numPr>
                    <w:jc w:val="both"/>
                    <w:rPr>
                      <w:rFonts w:ascii="Times New Roman" w:hAnsi="Times New Roman" w:cs="Times New Roman"/>
                      <w:szCs w:val="21"/>
                    </w:rPr>
                  </w:pPr>
                  <w:r>
                    <w:rPr>
                      <w:rFonts w:ascii="Times New Roman" w:hAnsi="Times New Roman" w:cs="Times New Roman"/>
                      <w:szCs w:val="21"/>
                    </w:rPr>
                    <w:t>新建和改、扩建的工业项目清洁生产水平应达到国内先进水平。</w:t>
                  </w:r>
                </w:p>
                <w:p w14:paraId="2F2901DF">
                  <w:pPr>
                    <w:pStyle w:val="43"/>
                    <w:numPr>
                      <w:ilvl w:val="0"/>
                      <w:numId w:val="4"/>
                    </w:numPr>
                    <w:jc w:val="both"/>
                    <w:rPr>
                      <w:rFonts w:ascii="Times New Roman" w:hAnsi="Times New Roman" w:cs="Times New Roman"/>
                      <w:szCs w:val="21"/>
                    </w:rPr>
                  </w:pPr>
                  <w:r>
                    <w:rPr>
                      <w:rFonts w:ascii="Times New Roman" w:hAnsi="Times New Roman" w:cs="Times New Roman"/>
                      <w:szCs w:val="21"/>
                    </w:rPr>
                    <w:t>提高有色金属冶炼及压延加工业、化学原料及化学制品制造业和汽车制造业等工业企业的节能水平，降低区域的能耗强度。加强重点行业能效管理，升级工艺技术，提高用能设备能效水平。</w:t>
                  </w:r>
                </w:p>
                <w:p w14:paraId="533998DC">
                  <w:pPr>
                    <w:pStyle w:val="43"/>
                    <w:numPr>
                      <w:ilvl w:val="0"/>
                      <w:numId w:val="4"/>
                    </w:numPr>
                    <w:jc w:val="both"/>
                    <w:rPr>
                      <w:rFonts w:ascii="Times New Roman" w:hAnsi="Times New Roman" w:cs="Times New Roman"/>
                      <w:szCs w:val="21"/>
                    </w:rPr>
                  </w:pPr>
                  <w:r>
                    <w:rPr>
                      <w:rFonts w:ascii="Times New Roman" w:hAnsi="Times New Roman" w:cs="Times New Roman"/>
                      <w:szCs w:val="21"/>
                    </w:rPr>
                    <w:t>加强工业节水改造，限制高耗水行业发展，加强重点监控用水单位监管。加强城镇节水，开展公共建筑节水改造、城镇供水管网漏损治理工程。</w:t>
                  </w:r>
                </w:p>
              </w:tc>
              <w:tc>
                <w:tcPr>
                  <w:tcW w:w="1089" w:type="pct"/>
                  <w:vAlign w:val="center"/>
                </w:tcPr>
                <w:p w14:paraId="63AA0962">
                  <w:pPr>
                    <w:pStyle w:val="43"/>
                    <w:jc w:val="both"/>
                    <w:rPr>
                      <w:rFonts w:ascii="Times New Roman" w:hAnsi="Times New Roman" w:cs="Times New Roman"/>
                      <w:szCs w:val="21"/>
                    </w:rPr>
                  </w:pPr>
                  <w:r>
                    <w:rPr>
                      <w:rFonts w:ascii="Times New Roman" w:hAnsi="Times New Roman" w:cs="Times New Roman"/>
                      <w:szCs w:val="21"/>
                    </w:rPr>
                    <w:t>项目不属于燃用高污染燃料的工业项目，项目清洁生产水平达国内先进水平，本项目水资源消耗水平低，符合相关规定要求</w:t>
                  </w:r>
                </w:p>
              </w:tc>
              <w:tc>
                <w:tcPr>
                  <w:tcW w:w="345" w:type="pct"/>
                  <w:vAlign w:val="center"/>
                </w:tcPr>
                <w:p w14:paraId="0D36F029">
                  <w:pPr>
                    <w:pStyle w:val="43"/>
                    <w:rPr>
                      <w:rFonts w:ascii="Times New Roman" w:hAnsi="Times New Roman" w:cs="Times New Roman"/>
                      <w:szCs w:val="21"/>
                    </w:rPr>
                  </w:pPr>
                  <w:r>
                    <w:rPr>
                      <w:rFonts w:ascii="Times New Roman" w:hAnsi="Times New Roman" w:cs="Times New Roman"/>
                      <w:szCs w:val="21"/>
                    </w:rPr>
                    <w:t>符合</w:t>
                  </w:r>
                </w:p>
              </w:tc>
            </w:tr>
          </w:tbl>
          <w:p w14:paraId="3F5B3365">
            <w:pPr>
              <w:spacing w:line="360" w:lineRule="auto"/>
              <w:ind w:firstLine="480" w:firstLineChars="200"/>
              <w:jc w:val="left"/>
              <w:rPr>
                <w:sz w:val="24"/>
                <w:szCs w:val="36"/>
              </w:rPr>
            </w:pPr>
            <w:r>
              <w:rPr>
                <w:rFonts w:ascii="Times New Roman" w:hAnsi="Times New Roman" w:cs="Times New Roman"/>
                <w:sz w:val="24"/>
              </w:rPr>
              <w:t>根据表1.</w:t>
            </w:r>
            <w:r>
              <w:rPr>
                <w:rFonts w:hint="eastAsia" w:ascii="Times New Roman" w:hAnsi="Times New Roman" w:cs="Times New Roman"/>
                <w:sz w:val="24"/>
              </w:rPr>
              <w:t>2</w:t>
            </w:r>
            <w:r>
              <w:rPr>
                <w:rFonts w:ascii="Times New Roman" w:hAnsi="Times New Roman" w:cs="Times New Roman"/>
                <w:sz w:val="24"/>
              </w:rPr>
              <w:t>-1分析可知，本项目符合“三线一单”的管控要求。</w:t>
            </w:r>
          </w:p>
        </w:tc>
      </w:tr>
    </w:tbl>
    <w:p w14:paraId="3C7CE400">
      <w:pPr>
        <w:pStyle w:val="35"/>
        <w:rPr>
          <w:rFonts w:hint="eastAsia"/>
        </w:rPr>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start="1"/>
          <w:cols w:space="0" w:num="1"/>
          <w:docGrid w:type="lines" w:linePitch="312" w:charSpace="0"/>
        </w:sectPr>
      </w:pPr>
    </w:p>
    <w:p w14:paraId="1E43AB85">
      <w:pPr>
        <w:pStyle w:val="7"/>
      </w:pPr>
    </w:p>
    <w:tbl>
      <w:tblPr>
        <w:tblStyle w:val="28"/>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9"/>
        <w:gridCol w:w="8187"/>
      </w:tblGrid>
      <w:tr w14:paraId="591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2517C6CA">
            <w:pPr>
              <w:spacing w:line="360" w:lineRule="auto"/>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其他符合性分析</w:t>
            </w:r>
          </w:p>
        </w:tc>
        <w:tc>
          <w:tcPr>
            <w:tcW w:w="4417" w:type="pct"/>
            <w:tcBorders>
              <w:bottom w:val="single" w:color="auto" w:sz="4" w:space="0"/>
            </w:tcBorders>
            <w:vAlign w:val="center"/>
          </w:tcPr>
          <w:p w14:paraId="1C31F313">
            <w:pPr>
              <w:spacing w:before="24" w:beforeLines="8" w:after="24" w:afterLines="8"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1.2.2、产业政策符合性分析</w:t>
            </w:r>
          </w:p>
          <w:p w14:paraId="4346E284">
            <w:pPr>
              <w:spacing w:before="24" w:beforeLines="8" w:after="24" w:afterLines="8" w:line="360" w:lineRule="auto"/>
              <w:ind w:firstLine="482" w:firstLineChars="200"/>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1）与《产业结构调整指导目录（2024年本）》符合性</w:t>
            </w:r>
          </w:p>
          <w:p w14:paraId="116CA7CA">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w:t>
            </w:r>
            <w:r>
              <w:rPr>
                <w:rFonts w:hint="eastAsia" w:ascii="Times New Roman" w:hAnsi="Times New Roman" w:eastAsia="宋体"/>
                <w:color w:val="000000" w:themeColor="text1"/>
                <w:sz w:val="24"/>
                <w:lang w:eastAsia="zh-CN"/>
                <w14:textFill>
                  <w14:solidFill>
                    <w14:schemeClr w14:val="tx1"/>
                  </w14:solidFill>
                </w14:textFill>
              </w:rPr>
              <w:t>外购成品纤维板及辅料等，将其加工为免漆门面饰板，国</w:t>
            </w:r>
            <w:r>
              <w:rPr>
                <w:rFonts w:hint="eastAsia" w:ascii="Times New Roman" w:hAnsi="Times New Roman" w:eastAsia="宋体"/>
                <w:color w:val="000000" w:themeColor="text1"/>
                <w:sz w:val="24"/>
                <w:szCs w:val="24"/>
                <w:lang w:eastAsia="zh-CN"/>
                <w14:textFill>
                  <w14:solidFill>
                    <w14:schemeClr w14:val="tx1"/>
                  </w14:solidFill>
                </w14:textFill>
              </w:rPr>
              <w:t>民经济行业代码为“</w:t>
            </w:r>
            <w:r>
              <w:rPr>
                <w:rFonts w:hint="eastAsia" w:ascii="Times New Roman" w:hAnsi="Times New Roman" w:cs="Times New Roman"/>
                <w:color w:val="000000" w:themeColor="text1"/>
                <w:sz w:val="24"/>
                <w:szCs w:val="24"/>
                <w14:textFill>
                  <w14:solidFill>
                    <w14:schemeClr w14:val="tx1"/>
                  </w14:solidFill>
                </w14:textFill>
              </w:rPr>
              <w:t>C</w:t>
            </w:r>
            <w:r>
              <w:rPr>
                <w:rFonts w:hint="eastAsia" w:ascii="Times New Roman" w:hAnsi="Times New Roman" w:cs="Times New Roman"/>
                <w:color w:val="000000" w:themeColor="text1"/>
                <w:sz w:val="24"/>
                <w:szCs w:val="24"/>
                <w:lang w:val="en-US" w:eastAsia="zh-CN"/>
                <w14:textFill>
                  <w14:solidFill>
                    <w14:schemeClr w14:val="tx1"/>
                  </w14:solidFill>
                </w14:textFill>
              </w:rPr>
              <w:t>2029</w:t>
            </w:r>
            <w:r>
              <w:rPr>
                <w:rFonts w:hint="eastAsia" w:ascii="Times New Roman" w:hAnsi="Times New Roman" w:eastAsia="宋体"/>
                <w:color w:val="000000" w:themeColor="text1"/>
                <w:sz w:val="24"/>
                <w:lang w:eastAsia="zh-CN"/>
                <w14:textFill>
                  <w14:solidFill>
                    <w14:schemeClr w14:val="tx1"/>
                  </w14:solidFill>
                </w14:textFill>
              </w:rPr>
              <w:t>其他人造板制造</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不属于</w:t>
            </w:r>
            <w:r>
              <w:rPr>
                <w:rFonts w:hint="eastAsia" w:ascii="Times New Roman" w:hAnsi="Times New Roman" w:eastAsia="宋体"/>
                <w:color w:val="000000" w:themeColor="text1"/>
                <w:sz w:val="24"/>
                <w:lang w:eastAsia="zh-CN"/>
                <w14:textFill>
                  <w14:solidFill>
                    <w14:schemeClr w14:val="tx1"/>
                  </w14:solidFill>
                </w14:textFill>
              </w:rPr>
              <w:t>纤维板生产企业。本项目不属于</w:t>
            </w:r>
            <w:r>
              <w:rPr>
                <w:rFonts w:hint="eastAsia" w:ascii="Times New Roman" w:hAnsi="Times New Roman" w:eastAsia="宋体"/>
                <w:color w:val="000000" w:themeColor="text1"/>
                <w:sz w:val="24"/>
                <w14:textFill>
                  <w14:solidFill>
                    <w14:schemeClr w14:val="tx1"/>
                  </w14:solidFill>
                </w14:textFill>
              </w:rPr>
              <w:t>《产业结构调整指导目录（2024年本）》中的鼓励类、限制类和淘汰类建设项目，根据《促进产业结构调整暂行规定》，不属于鼓励类、限制类和淘汰类，且符合国家有关</w:t>
            </w:r>
            <w:r>
              <w:rPr>
                <w:rFonts w:hint="eastAsia" w:ascii="Times New Roman" w:hAnsi="Times New Roman" w:eastAsia="宋体"/>
                <w:color w:val="000000" w:themeColor="text1"/>
                <w:sz w:val="24"/>
                <w:lang w:eastAsia="zh-CN"/>
                <w14:textFill>
                  <w14:solidFill>
                    <w14:schemeClr w14:val="tx1"/>
                  </w14:solidFill>
                </w14:textFill>
              </w:rPr>
              <w:t>法律法规</w:t>
            </w:r>
            <w:r>
              <w:rPr>
                <w:rFonts w:hint="eastAsia" w:ascii="Times New Roman" w:hAnsi="Times New Roman" w:eastAsia="宋体"/>
                <w:color w:val="000000" w:themeColor="text1"/>
                <w:sz w:val="24"/>
                <w14:textFill>
                  <w14:solidFill>
                    <w14:schemeClr w14:val="tx1"/>
                  </w14:solidFill>
                </w14:textFill>
              </w:rPr>
              <w:t>和政策规定的，视为允许类。因此，本项目的建设符合国家产业政策。</w:t>
            </w:r>
          </w:p>
          <w:p w14:paraId="106DAEF3">
            <w:pPr>
              <w:spacing w:line="372" w:lineRule="auto"/>
              <w:ind w:firstLine="480" w:firstLineChars="200"/>
              <w:rPr>
                <w:rFonts w:ascii="Times New Roman" w:hAnsi="Times New Roman" w:eastAsia="宋体"/>
                <w:b w:val="0"/>
                <w:bCs w:val="0"/>
                <w:color w:val="000000" w:themeColor="text1"/>
                <w:sz w:val="24"/>
                <w:highlight w:val="yellow"/>
                <w:u w:val="single"/>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本项目已取得九龙坡区发展和改革委员会下发的“重庆市企业投资项目备案证”</w:t>
            </w:r>
            <w:r>
              <w:rPr>
                <w:rFonts w:hint="eastAsia" w:ascii="Times New Roman" w:hAnsi="Times New Roman" w:eastAsia="宋体"/>
                <w:b w:val="0"/>
                <w:bCs w:val="0"/>
                <w:color w:val="000000" w:themeColor="text1"/>
                <w:sz w:val="24"/>
                <w14:textFill>
                  <w14:solidFill>
                    <w14:schemeClr w14:val="tx1"/>
                  </w14:solidFill>
                </w14:textFill>
              </w:rPr>
              <w:t>（项目</w:t>
            </w:r>
            <w:r>
              <w:rPr>
                <w:rFonts w:hint="eastAsia" w:ascii="Times New Roman" w:hAnsi="Times New Roman" w:eastAsia="宋体"/>
                <w:b w:val="0"/>
                <w:bCs w:val="0"/>
                <w:color w:val="000000" w:themeColor="text1"/>
                <w:sz w:val="24"/>
                <w:lang w:eastAsia="zh-CN"/>
                <w14:textFill>
                  <w14:solidFill>
                    <w14:schemeClr w14:val="tx1"/>
                  </w14:solidFill>
                </w14:textFill>
              </w:rPr>
              <w:t>代码</w:t>
            </w:r>
            <w:r>
              <w:rPr>
                <w:rFonts w:hint="eastAsia" w:ascii="Times New Roman" w:hAnsi="Times New Roman" w:eastAsia="宋体"/>
                <w:b w:val="0"/>
                <w:bCs w:val="0"/>
                <w:color w:val="000000" w:themeColor="text1"/>
                <w:sz w:val="24"/>
                <w14:textFill>
                  <w14:solidFill>
                    <w14:schemeClr w14:val="tx1"/>
                  </w14:solidFill>
                </w14:textFill>
              </w:rPr>
              <w:t>：</w:t>
            </w:r>
            <w:r>
              <w:rPr>
                <w:rFonts w:hint="eastAsia" w:ascii="Times New Roman" w:hAnsi="Times New Roman" w:eastAsia="宋体" w:cs="Times New Roman"/>
                <w:b w:val="0"/>
                <w:bCs w:val="0"/>
                <w:color w:val="000000" w:themeColor="text1"/>
                <w:sz w:val="24"/>
                <w:szCs w:val="36"/>
                <w:u w:val="single"/>
                <w:lang w:val="en-US" w:eastAsia="zh-CN"/>
                <w14:textFill>
                  <w14:solidFill>
                    <w14:schemeClr w14:val="tx1"/>
                  </w14:solidFill>
                </w14:textFill>
              </w:rPr>
              <w:t>25115001070405517432</w:t>
            </w:r>
            <w:r>
              <w:rPr>
                <w:rFonts w:hint="eastAsia" w:ascii="Times New Roman" w:hAnsi="Times New Roman" w:eastAsia="宋体"/>
                <w:b w:val="0"/>
                <w:bCs w:val="0"/>
                <w:color w:val="000000" w:themeColor="text1"/>
                <w:sz w:val="24"/>
                <w:u w:val="single"/>
                <w14:textFill>
                  <w14:solidFill>
                    <w14:schemeClr w14:val="tx1"/>
                  </w14:solidFill>
                </w14:textFill>
              </w:rPr>
              <w:t>）。</w:t>
            </w:r>
          </w:p>
          <w:p w14:paraId="5ADD6D74">
            <w:pPr>
              <w:spacing w:before="24" w:beforeLines="8" w:after="24" w:afterLines="8"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1.2.3与相关生态环境保护法律法</w:t>
            </w:r>
            <w:r>
              <w:rPr>
                <w:rFonts w:hint="eastAsia" w:ascii="Times New Roman" w:hAnsi="Times New Roman" w:eastAsia="宋体"/>
                <w:b/>
                <w:bCs/>
                <w:color w:val="000000" w:themeColor="text1"/>
                <w:sz w:val="24"/>
                <w:lang w:eastAsia="zh-CN"/>
                <w14:textFill>
                  <w14:solidFill>
                    <w14:schemeClr w14:val="tx1"/>
                  </w14:solidFill>
                </w14:textFill>
              </w:rPr>
              <w:t>规和</w:t>
            </w:r>
            <w:r>
              <w:rPr>
                <w:rFonts w:hint="eastAsia" w:ascii="Times New Roman" w:hAnsi="Times New Roman" w:eastAsia="宋体"/>
                <w:b/>
                <w:bCs/>
                <w:color w:val="000000" w:themeColor="text1"/>
                <w:sz w:val="24"/>
                <w14:textFill>
                  <w14:solidFill>
                    <w14:schemeClr w14:val="tx1"/>
                  </w14:solidFill>
                </w14:textFill>
              </w:rPr>
              <w:t>政策、生态环境保护规划等的符合性分析</w:t>
            </w:r>
          </w:p>
          <w:p w14:paraId="7BBCD86C">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1）与《重庆市产业投资准入工作手册》（渝发改投资</w:t>
            </w:r>
            <w:r>
              <w:rPr>
                <w:rFonts w:hint="eastAsia" w:ascii="Times New Roman" w:hAnsi="Times New Roman" w:cs="Times New Roman"/>
                <w:b/>
                <w:color w:val="000000" w:themeColor="text1"/>
                <w:sz w:val="24"/>
                <w:lang w:eastAsia="zh-CN"/>
                <w14:textFill>
                  <w14:solidFill>
                    <w14:schemeClr w14:val="tx1"/>
                  </w14:solidFill>
                </w14:textFill>
              </w:rPr>
              <w:t>〔2022〕1436号</w:t>
            </w:r>
            <w:r>
              <w:rPr>
                <w:rFonts w:ascii="Times New Roman" w:hAnsi="Times New Roman" w:cs="Times New Roman"/>
                <w:b/>
                <w:color w:val="000000" w:themeColor="text1"/>
                <w:sz w:val="24"/>
                <w14:textFill>
                  <w14:solidFill>
                    <w14:schemeClr w14:val="tx1"/>
                  </w14:solidFill>
                </w14:textFill>
              </w:rPr>
              <w:t>）符合性分析</w:t>
            </w:r>
          </w:p>
          <w:p w14:paraId="16C7ACE9">
            <w:pPr>
              <w:pStyle w:val="44"/>
              <w:ind w:firstLine="0" w:firstLineChars="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表1.</w:t>
            </w:r>
            <w:r>
              <w:rPr>
                <w:rFonts w:hint="eastAsia" w:ascii="Times New Roman" w:hAnsi="Times New Roman" w:cs="Times New Roman"/>
                <w:b/>
                <w:color w:val="000000" w:themeColor="text1"/>
                <w:szCs w:val="21"/>
                <w14:textFill>
                  <w14:solidFill>
                    <w14:schemeClr w14:val="tx1"/>
                  </w14:solidFill>
                </w14:textFill>
              </w:rPr>
              <w:t>2</w:t>
            </w:r>
            <w:r>
              <w:rPr>
                <w:rFonts w:ascii="Times New Roman" w:hAnsi="Times New Roman" w:cs="Times New Roman"/>
                <w:b/>
                <w:color w:val="000000" w:themeColor="text1"/>
                <w:szCs w:val="21"/>
                <w14:textFill>
                  <w14:solidFill>
                    <w14:schemeClr w14:val="tx1"/>
                  </w14:solidFill>
                </w14:textFill>
              </w:rPr>
              <w:t>-2  与重庆市产业投资准入工作手册符合性分析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669"/>
              <w:gridCol w:w="2893"/>
              <w:gridCol w:w="803"/>
            </w:tblGrid>
            <w:tr w14:paraId="7671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5411BEC">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275" w:type="pct"/>
                  <w:vAlign w:val="center"/>
                </w:tcPr>
                <w:p w14:paraId="2DD8E5D5">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36"/>
                      <w14:textFill>
                        <w14:solidFill>
                          <w14:schemeClr w14:val="tx1"/>
                        </w14:solidFill>
                      </w14:textFill>
                    </w:rPr>
                    <w:t>渝发改投资</w:t>
                  </w:r>
                  <w:r>
                    <w:rPr>
                      <w:rFonts w:hint="eastAsia" w:ascii="Times New Roman" w:hAnsi="Times New Roman" w:cs="Times New Roman"/>
                      <w:color w:val="000000" w:themeColor="text1"/>
                      <w:sz w:val="21"/>
                      <w:szCs w:val="36"/>
                      <w:lang w:eastAsia="zh-CN"/>
                      <w14:textFill>
                        <w14:solidFill>
                          <w14:schemeClr w14:val="tx1"/>
                        </w14:solidFill>
                      </w14:textFill>
                    </w:rPr>
                    <w:t>〔2022〕1436号</w:t>
                  </w:r>
                  <w:r>
                    <w:rPr>
                      <w:rFonts w:ascii="Times New Roman" w:hAnsi="Times New Roman" w:cs="Times New Roman"/>
                      <w:color w:val="000000" w:themeColor="text1"/>
                      <w:sz w:val="21"/>
                      <w:szCs w:val="36"/>
                      <w14:textFill>
                        <w14:solidFill>
                          <w14:schemeClr w14:val="tx1"/>
                        </w14:solidFill>
                      </w14:textFill>
                    </w:rPr>
                    <w:t>中</w:t>
                  </w:r>
                  <w:r>
                    <w:rPr>
                      <w:rFonts w:ascii="Times New Roman" w:hAnsi="Times New Roman" w:cs="Times New Roman"/>
                      <w:color w:val="000000" w:themeColor="text1"/>
                      <w:sz w:val="21"/>
                      <w14:textFill>
                        <w14:solidFill>
                          <w14:schemeClr w14:val="tx1"/>
                        </w14:solidFill>
                      </w14:textFill>
                    </w:rPr>
                    <w:t>相关规定</w:t>
                  </w:r>
                </w:p>
              </w:tc>
              <w:tc>
                <w:tcPr>
                  <w:tcW w:w="1794" w:type="pct"/>
                  <w:vAlign w:val="center"/>
                </w:tcPr>
                <w:p w14:paraId="74F5DF96">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项目情况</w:t>
                  </w:r>
                </w:p>
              </w:tc>
              <w:tc>
                <w:tcPr>
                  <w:tcW w:w="498" w:type="pct"/>
                  <w:vAlign w:val="center"/>
                </w:tcPr>
                <w:p w14:paraId="178F7B13">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符合性</w:t>
                  </w:r>
                </w:p>
              </w:tc>
            </w:tr>
            <w:tr w14:paraId="6474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3782D75">
                  <w:pPr>
                    <w:pStyle w:val="44"/>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w:t>
                  </w:r>
                  <w:r>
                    <w:rPr>
                      <w:rFonts w:ascii="Times New Roman" w:hAnsi="Times New Roman" w:cs="Times New Roman"/>
                      <w:b/>
                      <w:color w:val="000000" w:themeColor="text1"/>
                      <w:sz w:val="21"/>
                      <w:szCs w:val="21"/>
                      <w14:textFill>
                        <w14:solidFill>
                          <w14:schemeClr w14:val="tx1"/>
                        </w14:solidFill>
                      </w14:textFill>
                    </w:rPr>
                    <w:t>一</w:t>
                  </w:r>
                  <w:r>
                    <w:rPr>
                      <w:rFonts w:ascii="Times New Roman" w:hAnsi="Times New Roman" w:cs="Times New Roman"/>
                      <w:b/>
                      <w:color w:val="000000" w:themeColor="text1"/>
                      <w:sz w:val="21"/>
                      <w14:textFill>
                        <w14:solidFill>
                          <w14:schemeClr w14:val="tx1"/>
                        </w14:solidFill>
                      </w14:textFill>
                    </w:rPr>
                    <w:t>）全市范围内不予准入的产业</w:t>
                  </w:r>
                </w:p>
              </w:tc>
            </w:tr>
            <w:tr w14:paraId="317F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F54D8EB">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275" w:type="pct"/>
                  <w:vAlign w:val="center"/>
                </w:tcPr>
                <w:p w14:paraId="251298B9">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国家产业结构调整指导目录中的淘汰类项目</w:t>
                  </w:r>
                </w:p>
              </w:tc>
              <w:tc>
                <w:tcPr>
                  <w:tcW w:w="1794" w:type="pct"/>
                  <w:vAlign w:val="center"/>
                </w:tcPr>
                <w:p w14:paraId="5579B3AB">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r>
                    <w:rPr>
                      <w:rFonts w:ascii="Times New Roman" w:hAnsi="Times New Roman" w:cs="Times New Roman"/>
                      <w:color w:val="000000" w:themeColor="text1"/>
                      <w:sz w:val="21"/>
                      <w14:textFill>
                        <w14:solidFill>
                          <w14:schemeClr w14:val="tx1"/>
                        </w14:solidFill>
                      </w14:textFill>
                    </w:rPr>
                    <w:t>不属于淘汰类项目</w:t>
                  </w:r>
                </w:p>
              </w:tc>
              <w:tc>
                <w:tcPr>
                  <w:tcW w:w="498" w:type="pct"/>
                  <w:vAlign w:val="center"/>
                </w:tcPr>
                <w:p w14:paraId="38EE8562">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697B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E11D393">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275" w:type="pct"/>
                  <w:vAlign w:val="center"/>
                </w:tcPr>
                <w:p w14:paraId="5CEE6C5E">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天然林商业性采伐</w:t>
                  </w:r>
                </w:p>
              </w:tc>
              <w:tc>
                <w:tcPr>
                  <w:tcW w:w="1794" w:type="pct"/>
                  <w:vAlign w:val="center"/>
                </w:tcPr>
                <w:p w14:paraId="41C0344E">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本项目不涉及</w:t>
                  </w:r>
                  <w:r>
                    <w:rPr>
                      <w:rFonts w:ascii="Times New Roman" w:hAnsi="Times New Roman" w:cs="Times New Roman"/>
                      <w:color w:val="000000" w:themeColor="text1"/>
                      <w:sz w:val="21"/>
                      <w14:textFill>
                        <w14:solidFill>
                          <w14:schemeClr w14:val="tx1"/>
                        </w14:solidFill>
                      </w14:textFill>
                    </w:rPr>
                    <w:t>天然林采伐</w:t>
                  </w:r>
                </w:p>
              </w:tc>
              <w:tc>
                <w:tcPr>
                  <w:tcW w:w="498" w:type="pct"/>
                  <w:vAlign w:val="center"/>
                </w:tcPr>
                <w:p w14:paraId="05A36C3B">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1B92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4CE9860C">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2275" w:type="pct"/>
                  <w:vAlign w:val="center"/>
                </w:tcPr>
                <w:p w14:paraId="35C86535">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法律法规和相关政策明令不予准入的其他项目</w:t>
                  </w:r>
                </w:p>
              </w:tc>
              <w:tc>
                <w:tcPr>
                  <w:tcW w:w="1794" w:type="pct"/>
                  <w:vAlign w:val="center"/>
                </w:tcPr>
                <w:p w14:paraId="63DF7CD7">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本项目不属于</w:t>
                  </w:r>
                  <w:r>
                    <w:rPr>
                      <w:rFonts w:ascii="Times New Roman" w:hAnsi="Times New Roman" w:cs="Times New Roman"/>
                      <w:color w:val="000000" w:themeColor="text1"/>
                      <w:sz w:val="21"/>
                      <w14:textFill>
                        <w14:solidFill>
                          <w14:schemeClr w14:val="tx1"/>
                        </w14:solidFill>
                      </w14:textFill>
                    </w:rPr>
                    <w:t>法律法规和相关政策明令不予准入的项目</w:t>
                  </w:r>
                </w:p>
              </w:tc>
              <w:tc>
                <w:tcPr>
                  <w:tcW w:w="498" w:type="pct"/>
                  <w:vAlign w:val="center"/>
                </w:tcPr>
                <w:p w14:paraId="0FC5351A">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25FE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B408A18">
                  <w:pPr>
                    <w:pStyle w:val="44"/>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w:t>
                  </w:r>
                  <w:r>
                    <w:rPr>
                      <w:rFonts w:ascii="Times New Roman" w:hAnsi="Times New Roman" w:cs="Times New Roman"/>
                      <w:b/>
                      <w:color w:val="000000" w:themeColor="text1"/>
                      <w:sz w:val="21"/>
                      <w:szCs w:val="21"/>
                      <w14:textFill>
                        <w14:solidFill>
                          <w14:schemeClr w14:val="tx1"/>
                        </w14:solidFill>
                      </w14:textFill>
                    </w:rPr>
                    <w:t>二</w:t>
                  </w:r>
                  <w:r>
                    <w:rPr>
                      <w:rFonts w:ascii="Times New Roman" w:hAnsi="Times New Roman" w:cs="Times New Roman"/>
                      <w:b/>
                      <w:color w:val="000000" w:themeColor="text1"/>
                      <w:sz w:val="21"/>
                      <w14:textFill>
                        <w14:solidFill>
                          <w14:schemeClr w14:val="tx1"/>
                        </w14:solidFill>
                      </w14:textFill>
                    </w:rPr>
                    <w:t>）重点区域不予准入的产业</w:t>
                  </w:r>
                </w:p>
              </w:tc>
            </w:tr>
            <w:tr w14:paraId="502B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6B2145D">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275" w:type="pct"/>
                  <w:vAlign w:val="center"/>
                </w:tcPr>
                <w:p w14:paraId="68C40801">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外环绕城高速公路以内长江、嘉陵江水域采砂</w:t>
                  </w:r>
                </w:p>
              </w:tc>
              <w:tc>
                <w:tcPr>
                  <w:tcW w:w="1794" w:type="pct"/>
                  <w:vAlign w:val="center"/>
                </w:tcPr>
                <w:p w14:paraId="4373EE7F">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szCs w:val="20"/>
                      <w:shd w:val="clear" w:color="auto" w:fill="FFFFFF"/>
                      <w14:textFill>
                        <w14:solidFill>
                          <w14:schemeClr w14:val="tx1"/>
                        </w14:solidFill>
                      </w14:textFill>
                    </w:rPr>
                    <w:t>采砂项目</w:t>
                  </w:r>
                </w:p>
              </w:tc>
              <w:tc>
                <w:tcPr>
                  <w:tcW w:w="498" w:type="pct"/>
                  <w:vAlign w:val="center"/>
                </w:tcPr>
                <w:p w14:paraId="519159B3">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363F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CBFB5A7">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275" w:type="pct"/>
                  <w:vAlign w:val="center"/>
                </w:tcPr>
                <w:p w14:paraId="01A87827">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二十五度以上陡坡地开垦种植农作物</w:t>
                  </w:r>
                </w:p>
              </w:tc>
              <w:tc>
                <w:tcPr>
                  <w:tcW w:w="1794" w:type="pct"/>
                  <w:vAlign w:val="center"/>
                </w:tcPr>
                <w:p w14:paraId="3716114A">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不属于</w:t>
                  </w:r>
                  <w:r>
                    <w:rPr>
                      <w:rFonts w:ascii="Times New Roman" w:hAnsi="Times New Roman" w:cs="Times New Roman"/>
                      <w:color w:val="000000" w:themeColor="text1"/>
                      <w:sz w:val="21"/>
                      <w:szCs w:val="20"/>
                      <w:shd w:val="clear" w:color="auto" w:fill="FFFFFF"/>
                      <w14:textFill>
                        <w14:solidFill>
                          <w14:schemeClr w14:val="tx1"/>
                        </w14:solidFill>
                      </w14:textFill>
                    </w:rPr>
                    <w:t>开垦种植农作物</w:t>
                  </w:r>
                </w:p>
              </w:tc>
              <w:tc>
                <w:tcPr>
                  <w:tcW w:w="498" w:type="pct"/>
                  <w:vAlign w:val="center"/>
                </w:tcPr>
                <w:p w14:paraId="64A2024C">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625E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C22E05C">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2275" w:type="pct"/>
                  <w:vAlign w:val="center"/>
                </w:tcPr>
                <w:p w14:paraId="5105F746">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在自然保护区核心区、缓冲区的岸线和河段范围内投资建设旅游和生产经营项目</w:t>
                  </w:r>
                </w:p>
              </w:tc>
              <w:tc>
                <w:tcPr>
                  <w:tcW w:w="1794" w:type="pct"/>
                  <w:vAlign w:val="center"/>
                </w:tcPr>
                <w:p w14:paraId="6CEC07B4">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本项目位于重庆西彭工业园区西彭组团D标准分区，不在该范围内，且不属于</w:t>
                  </w:r>
                  <w:r>
                    <w:rPr>
                      <w:rFonts w:ascii="Times New Roman" w:hAnsi="Times New Roman" w:cs="Times New Roman"/>
                      <w:color w:val="000000" w:themeColor="text1"/>
                      <w:sz w:val="21"/>
                      <w:szCs w:val="20"/>
                      <w:shd w:val="clear" w:color="auto" w:fill="FFFFFF"/>
                      <w14:textFill>
                        <w14:solidFill>
                          <w14:schemeClr w14:val="tx1"/>
                        </w14:solidFill>
                      </w14:textFill>
                    </w:rPr>
                    <w:t>旅游和生产经营项目</w:t>
                  </w:r>
                </w:p>
              </w:tc>
              <w:tc>
                <w:tcPr>
                  <w:tcW w:w="498" w:type="pct"/>
                  <w:vAlign w:val="center"/>
                </w:tcPr>
                <w:p w14:paraId="35F064F9">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4334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5EE9323A">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2275" w:type="pct"/>
                  <w:vAlign w:val="center"/>
                </w:tcPr>
                <w:p w14:paraId="3338C6E5">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794" w:type="pct"/>
                  <w:vAlign w:val="center"/>
                </w:tcPr>
                <w:p w14:paraId="24330148">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shd w:val="clear" w:color="auto" w:fill="FFFFFF"/>
                      <w14:textFill>
                        <w14:solidFill>
                          <w14:schemeClr w14:val="tx1"/>
                        </w14:solidFill>
                      </w14:textFill>
                    </w:rPr>
                    <w:t>饮用水水源保护区</w:t>
                  </w:r>
                </w:p>
              </w:tc>
              <w:tc>
                <w:tcPr>
                  <w:tcW w:w="498" w:type="pct"/>
                  <w:vAlign w:val="center"/>
                </w:tcPr>
                <w:p w14:paraId="53C4E293">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074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2D3A87A">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2275" w:type="pct"/>
                  <w:vAlign w:val="center"/>
                </w:tcPr>
                <w:p w14:paraId="6CF34641">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长江干流岸线3公里范围内和重要支流岸线1公里范围内新建、改建、扩建尾矿库、冶炼渣库和磷石膏库（以提升安全、生态环境保护水平为目的的改建除外）</w:t>
                  </w:r>
                </w:p>
              </w:tc>
              <w:tc>
                <w:tcPr>
                  <w:tcW w:w="1794" w:type="pct"/>
                  <w:vAlign w:val="center"/>
                </w:tcPr>
                <w:p w14:paraId="4BDB2812">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szCs w:val="20"/>
                      <w:shd w:val="clear" w:color="auto" w:fill="FFFFFF"/>
                      <w14:textFill>
                        <w14:solidFill>
                          <w14:schemeClr w14:val="tx1"/>
                        </w14:solidFill>
                      </w14:textFill>
                    </w:rPr>
                    <w:t>尾矿库、冶炼渣库和磷石膏库</w:t>
                  </w:r>
                </w:p>
              </w:tc>
              <w:tc>
                <w:tcPr>
                  <w:tcW w:w="498" w:type="pct"/>
                  <w:vAlign w:val="center"/>
                </w:tcPr>
                <w:p w14:paraId="319D0924">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6C47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E521E6F">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2275" w:type="pct"/>
                  <w:vAlign w:val="center"/>
                </w:tcPr>
                <w:p w14:paraId="6F666B27">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在风景名胜区核心景区的岸线和河段范围内投资建设与风景名胜资源保护无关的项目</w:t>
                  </w:r>
                </w:p>
              </w:tc>
              <w:tc>
                <w:tcPr>
                  <w:tcW w:w="1794" w:type="pct"/>
                  <w:vAlign w:val="center"/>
                </w:tcPr>
                <w:p w14:paraId="4729A769">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shd w:val="clear" w:color="auto" w:fill="FFFFFF"/>
                      <w14:textFill>
                        <w14:solidFill>
                          <w14:schemeClr w14:val="tx1"/>
                        </w14:solidFill>
                      </w14:textFill>
                    </w:rPr>
                    <w:t>风景名胜区</w:t>
                  </w:r>
                </w:p>
              </w:tc>
              <w:tc>
                <w:tcPr>
                  <w:tcW w:w="498" w:type="pct"/>
                  <w:vAlign w:val="center"/>
                </w:tcPr>
                <w:p w14:paraId="240844E2">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BDD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69B210D">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2275" w:type="pct"/>
                  <w:vAlign w:val="center"/>
                </w:tcPr>
                <w:p w14:paraId="084FAB25">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在国家湿地公园的岸线和河段范围内挖沙、采矿，以及任何不符合主体功能定位的投资建设项目</w:t>
                  </w:r>
                </w:p>
              </w:tc>
              <w:tc>
                <w:tcPr>
                  <w:tcW w:w="1794" w:type="pct"/>
                  <w:vAlign w:val="center"/>
                </w:tcPr>
                <w:p w14:paraId="73655F7D">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本项目位于重庆西彭工业园区西彭组团D标准分区，不涉及国家湿地公园的岸线和河段范围</w:t>
                  </w:r>
                </w:p>
              </w:tc>
              <w:tc>
                <w:tcPr>
                  <w:tcW w:w="498" w:type="pct"/>
                  <w:vAlign w:val="center"/>
                </w:tcPr>
                <w:p w14:paraId="130D2F55">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174A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A7E1D51">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2275" w:type="pct"/>
                  <w:vAlign w:val="center"/>
                </w:tcPr>
                <w:p w14:paraId="53379D58">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在《长江岸线保护和开发利用总体规划》划定的岸线保护区和保留区内投资建设除事关公共安全及公众利益的防洪护岸、河道治理、供水、生态环境保护、航道整治、国家重要基础设施以外的项目</w:t>
                  </w:r>
                </w:p>
              </w:tc>
              <w:tc>
                <w:tcPr>
                  <w:tcW w:w="1794" w:type="pct"/>
                  <w:vAlign w:val="center"/>
                </w:tcPr>
                <w:p w14:paraId="179C089F">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shd w:val="clear" w:color="auto" w:fill="FFFFFF"/>
                      <w14:textFill>
                        <w14:solidFill>
                          <w14:schemeClr w14:val="tx1"/>
                        </w14:solidFill>
                      </w14:textFill>
                    </w:rPr>
                    <w:t>长江岸线保护区和保留区</w:t>
                  </w:r>
                </w:p>
              </w:tc>
              <w:tc>
                <w:tcPr>
                  <w:tcW w:w="498" w:type="pct"/>
                  <w:vAlign w:val="center"/>
                </w:tcPr>
                <w:p w14:paraId="58037275">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21B7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EFDB611">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2275" w:type="pct"/>
                  <w:vAlign w:val="center"/>
                </w:tcPr>
                <w:p w14:paraId="563E8882">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0"/>
                      <w:shd w:val="clear" w:color="auto" w:fill="FFFFFF"/>
                      <w14:textFill>
                        <w14:solidFill>
                          <w14:schemeClr w14:val="tx1"/>
                        </w14:solidFill>
                      </w14:textFill>
                    </w:rPr>
                    <w:t>在《全国重要江河湖泊水功能区划》划定的河段及湖泊保护区、保留区内投资建设不利于水资源及自然生态保护的项目</w:t>
                  </w:r>
                </w:p>
              </w:tc>
              <w:tc>
                <w:tcPr>
                  <w:tcW w:w="1794" w:type="pct"/>
                  <w:vAlign w:val="center"/>
                </w:tcPr>
                <w:p w14:paraId="3807D75E">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shd w:val="clear" w:color="auto" w:fill="FFFFFF"/>
                      <w14:textFill>
                        <w14:solidFill>
                          <w14:schemeClr w14:val="tx1"/>
                        </w14:solidFill>
                      </w14:textFill>
                    </w:rPr>
                    <w:t>《全国重要江河湖泊水功能区划》划定的河段及湖泊保护区、保留区</w:t>
                  </w:r>
                </w:p>
              </w:tc>
              <w:tc>
                <w:tcPr>
                  <w:tcW w:w="498" w:type="pct"/>
                  <w:vAlign w:val="center"/>
                </w:tcPr>
                <w:p w14:paraId="1FDDF975">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54D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0AE2C1B">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w:t>
                  </w:r>
                  <w:r>
                    <w:rPr>
                      <w:rFonts w:ascii="Times New Roman" w:hAnsi="Times New Roman" w:cs="Times New Roman"/>
                      <w:b/>
                      <w:color w:val="000000" w:themeColor="text1"/>
                      <w:sz w:val="21"/>
                      <w:szCs w:val="21"/>
                      <w14:textFill>
                        <w14:solidFill>
                          <w14:schemeClr w14:val="tx1"/>
                        </w14:solidFill>
                      </w14:textFill>
                    </w:rPr>
                    <w:t>三</w:t>
                  </w:r>
                  <w:r>
                    <w:rPr>
                      <w:rFonts w:ascii="Times New Roman" w:hAnsi="Times New Roman" w:cs="Times New Roman"/>
                      <w:b/>
                      <w:color w:val="000000" w:themeColor="text1"/>
                      <w:sz w:val="21"/>
                      <w14:textFill>
                        <w14:solidFill>
                          <w14:schemeClr w14:val="tx1"/>
                        </w14:solidFill>
                      </w14:textFill>
                    </w:rPr>
                    <w:t>）全市范围内限制准入的产业</w:t>
                  </w:r>
                </w:p>
              </w:tc>
            </w:tr>
            <w:tr w14:paraId="0572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22235E8">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275" w:type="pct"/>
                  <w:vAlign w:val="center"/>
                </w:tcPr>
                <w:p w14:paraId="757AC51E">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新建、扩建不符合国家产能置换要求的严重过剩产能行业的项目。新建、扩建不符合要求的高耗能高排放项目</w:t>
                  </w:r>
                </w:p>
              </w:tc>
              <w:tc>
                <w:tcPr>
                  <w:tcW w:w="1794" w:type="pct"/>
                  <w:vAlign w:val="center"/>
                </w:tcPr>
                <w:p w14:paraId="01E906D1">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sz w:val="21"/>
                      <w:szCs w:val="21"/>
                      <w:lang w:val="en-US" w:eastAsia="zh-CN"/>
                      <w14:textFill>
                        <w14:solidFill>
                          <w14:schemeClr w14:val="tx1"/>
                        </w14:solidFill>
                      </w14:textFill>
                    </w:rPr>
                    <w:t>C2029</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项目，不属于严重过剩产能行业和高耗能高排放项目</w:t>
                  </w:r>
                </w:p>
              </w:tc>
              <w:tc>
                <w:tcPr>
                  <w:tcW w:w="498" w:type="pct"/>
                  <w:vAlign w:val="center"/>
                </w:tcPr>
                <w:p w14:paraId="63B72E28">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563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7371668">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275" w:type="pct"/>
                  <w:vAlign w:val="center"/>
                </w:tcPr>
                <w:p w14:paraId="37633EB7">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新建、扩建不符合国家石化、现代煤化工等产业布局规划的项目</w:t>
                  </w:r>
                </w:p>
              </w:tc>
              <w:tc>
                <w:tcPr>
                  <w:tcW w:w="1794" w:type="pct"/>
                  <w:vAlign w:val="center"/>
                </w:tcPr>
                <w:p w14:paraId="7569CF63">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本项目不属于</w:t>
                  </w:r>
                  <w:r>
                    <w:rPr>
                      <w:rFonts w:ascii="Times New Roman" w:hAnsi="Times New Roman" w:cs="Times New Roman"/>
                      <w:color w:val="000000" w:themeColor="text1"/>
                      <w:sz w:val="21"/>
                      <w14:textFill>
                        <w14:solidFill>
                          <w14:schemeClr w14:val="tx1"/>
                        </w14:solidFill>
                      </w14:textFill>
                    </w:rPr>
                    <w:t>国家石化、现代煤化工等项目</w:t>
                  </w:r>
                </w:p>
              </w:tc>
              <w:tc>
                <w:tcPr>
                  <w:tcW w:w="498" w:type="pct"/>
                  <w:vAlign w:val="center"/>
                </w:tcPr>
                <w:p w14:paraId="77461228">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4137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FB00177">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2275" w:type="pct"/>
                  <w:vAlign w:val="center"/>
                </w:tcPr>
                <w:p w14:paraId="6E34E388">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在合规园区外新建、扩建钢铁、石化、化工、焦化、建材、有色、制浆造纸等高污染项目</w:t>
                  </w:r>
                </w:p>
              </w:tc>
              <w:tc>
                <w:tcPr>
                  <w:tcW w:w="1794" w:type="pct"/>
                  <w:vAlign w:val="center"/>
                </w:tcPr>
                <w:p w14:paraId="7E09C62C">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14:textFill>
                        <w14:solidFill>
                          <w14:schemeClr w14:val="tx1"/>
                        </w14:solidFill>
                      </w14:textFill>
                    </w:rPr>
                    <w:t>钢铁、石化、化工、焦化、建材、有色、制浆造纸等高污染项目</w:t>
                  </w:r>
                </w:p>
              </w:tc>
              <w:tc>
                <w:tcPr>
                  <w:tcW w:w="498" w:type="pct"/>
                  <w:vAlign w:val="center"/>
                </w:tcPr>
                <w:p w14:paraId="58048A3B">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2701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9208E88">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2275" w:type="pct"/>
                  <w:vAlign w:val="center"/>
                </w:tcPr>
                <w:p w14:paraId="1108AF62">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《汽车产业投资管理规定》（国家发展和改革委员会令第22号）明确禁止建设的汽车投资项目</w:t>
                  </w:r>
                </w:p>
              </w:tc>
              <w:tc>
                <w:tcPr>
                  <w:tcW w:w="1794" w:type="pct"/>
                  <w:vAlign w:val="center"/>
                </w:tcPr>
                <w:p w14:paraId="153CEA04">
                  <w:pPr>
                    <w:pStyle w:val="44"/>
                    <w:spacing w:line="240" w:lineRule="auto"/>
                    <w:ind w:firstLine="0" w:firstLineChars="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本项目不属于</w:t>
                  </w:r>
                  <w:r>
                    <w:rPr>
                      <w:rFonts w:ascii="Times New Roman" w:hAnsi="Times New Roman" w:cs="Times New Roman"/>
                      <w:color w:val="000000" w:themeColor="text1"/>
                      <w:sz w:val="21"/>
                      <w14:textFill>
                        <w14:solidFill>
                          <w14:schemeClr w14:val="tx1"/>
                        </w14:solidFill>
                      </w14:textFill>
                    </w:rPr>
                    <w:t>汽车投资项目</w:t>
                  </w:r>
                </w:p>
              </w:tc>
              <w:tc>
                <w:tcPr>
                  <w:tcW w:w="498" w:type="pct"/>
                  <w:vAlign w:val="center"/>
                </w:tcPr>
                <w:p w14:paraId="5CEA63C2">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F73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01B3959">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w:t>
                  </w:r>
                  <w:r>
                    <w:rPr>
                      <w:rFonts w:ascii="Times New Roman" w:hAnsi="Times New Roman" w:cs="Times New Roman"/>
                      <w:b/>
                      <w:color w:val="000000" w:themeColor="text1"/>
                      <w:sz w:val="21"/>
                      <w:szCs w:val="21"/>
                      <w14:textFill>
                        <w14:solidFill>
                          <w14:schemeClr w14:val="tx1"/>
                        </w14:solidFill>
                      </w14:textFill>
                    </w:rPr>
                    <w:t>四</w:t>
                  </w:r>
                  <w:r>
                    <w:rPr>
                      <w:rFonts w:ascii="Times New Roman" w:hAnsi="Times New Roman" w:cs="Times New Roman"/>
                      <w:b/>
                      <w:color w:val="000000" w:themeColor="text1"/>
                      <w:sz w:val="21"/>
                      <w14:textFill>
                        <w14:solidFill>
                          <w14:schemeClr w14:val="tx1"/>
                        </w14:solidFill>
                      </w14:textFill>
                    </w:rPr>
                    <w:t>）重点区域范围内限制准入的产业</w:t>
                  </w:r>
                </w:p>
              </w:tc>
            </w:tr>
            <w:tr w14:paraId="4AEB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8CA6196">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275" w:type="pct"/>
                  <w:vAlign w:val="center"/>
                </w:tcPr>
                <w:p w14:paraId="270E7768">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长江干支流、重要湖泊岸线1公里范围内新建、扩建化工园区和化工项目，长江、嘉陵江、乌江岸线1公里范围内布局新建纸浆制造、印染等存在环境风险的项目</w:t>
                  </w:r>
                </w:p>
              </w:tc>
              <w:tc>
                <w:tcPr>
                  <w:tcW w:w="1794" w:type="pct"/>
                  <w:vAlign w:val="center"/>
                </w:tcPr>
                <w:p w14:paraId="7107A84B">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本项目位于重庆西彭工业园区西彭组团D标准分区，不属于化工、纸浆制造、印染等项目</w:t>
                  </w:r>
                </w:p>
              </w:tc>
              <w:tc>
                <w:tcPr>
                  <w:tcW w:w="498" w:type="pct"/>
                  <w:vAlign w:val="center"/>
                </w:tcPr>
                <w:p w14:paraId="4DD04B71">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538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771F24B">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275" w:type="pct"/>
                  <w:vAlign w:val="center"/>
                </w:tcPr>
                <w:p w14:paraId="2968E8F6">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在水产种质资源保护区的岸线和河段范围内新建围湖造田等投资建设项目</w:t>
                  </w:r>
                </w:p>
              </w:tc>
              <w:tc>
                <w:tcPr>
                  <w:tcW w:w="1794" w:type="pct"/>
                  <w:vAlign w:val="center"/>
                </w:tcPr>
                <w:p w14:paraId="38BDE44F">
                  <w:pPr>
                    <w:pStyle w:val="44"/>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14:textFill>
                        <w14:solidFill>
                          <w14:schemeClr w14:val="tx1"/>
                        </w14:solidFill>
                      </w14:textFill>
                    </w:rPr>
                    <w:t>围湖造田等投资建设项目</w:t>
                  </w:r>
                </w:p>
              </w:tc>
              <w:tc>
                <w:tcPr>
                  <w:tcW w:w="498" w:type="pct"/>
                  <w:vAlign w:val="center"/>
                </w:tcPr>
                <w:p w14:paraId="67EC745A">
                  <w:pPr>
                    <w:pStyle w:val="44"/>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14:paraId="15EF26D8">
            <w:pPr>
              <w:spacing w:line="360" w:lineRule="auto"/>
              <w:ind w:firstLine="480" w:firstLineChars="20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由表1.2-2分析可知，本项目不属于重庆市不予准入、限制准入产业，符合《重庆市发展和改革委员会关于印发重庆市产业投资准入工作手册的通知》（</w:t>
            </w:r>
            <w:r>
              <w:rPr>
                <w:rFonts w:ascii="Times New Roman" w:hAnsi="Times New Roman" w:cs="Times New Roman"/>
                <w:color w:val="000000" w:themeColor="text1"/>
                <w:sz w:val="24"/>
                <w:szCs w:val="36"/>
                <w14:textFill>
                  <w14:solidFill>
                    <w14:schemeClr w14:val="tx1"/>
                  </w14:solidFill>
                </w14:textFill>
              </w:rPr>
              <w:t>渝发改投资</w:t>
            </w:r>
            <w:r>
              <w:rPr>
                <w:rFonts w:hint="eastAsia" w:ascii="Times New Roman" w:hAnsi="Times New Roman" w:cs="Times New Roman"/>
                <w:color w:val="000000" w:themeColor="text1"/>
                <w:sz w:val="24"/>
                <w:szCs w:val="36"/>
                <w:lang w:eastAsia="zh-CN"/>
                <w14:textFill>
                  <w14:solidFill>
                    <w14:schemeClr w14:val="tx1"/>
                  </w14:solidFill>
                </w14:textFill>
              </w:rPr>
              <w:t>〔2022〕1436号</w:t>
            </w:r>
            <w:r>
              <w:rPr>
                <w:rFonts w:ascii="Times New Roman" w:hAnsi="Times New Roman" w:cs="Times New Roman"/>
                <w:color w:val="000000" w:themeColor="text1"/>
                <w:sz w:val="24"/>
                <w:szCs w:val="21"/>
                <w14:textFill>
                  <w14:solidFill>
                    <w14:schemeClr w14:val="tx1"/>
                  </w14:solidFill>
                </w14:textFill>
              </w:rPr>
              <w:t>）产业投资政策要求。</w:t>
            </w:r>
          </w:p>
          <w:p w14:paraId="12B1F693">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2）</w:t>
            </w:r>
            <w:r>
              <w:rPr>
                <w:rFonts w:ascii="Times New Roman" w:hAnsi="Times New Roman" w:cs="Times New Roman"/>
                <w:b/>
                <w:color w:val="000000" w:themeColor="text1"/>
                <w:sz w:val="24"/>
                <w14:textFill>
                  <w14:solidFill>
                    <w14:schemeClr w14:val="tx1"/>
                  </w14:solidFill>
                </w14:textFill>
              </w:rPr>
              <w:t>与《长江经济带发展负面清单指南（试行，2022年版）》符合性分析</w:t>
            </w:r>
          </w:p>
          <w:p w14:paraId="504D3187">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表1.</w:t>
            </w:r>
            <w:r>
              <w:rPr>
                <w:rFonts w:hint="eastAsia" w:ascii="Times New Roman" w:hAnsi="Times New Roman" w:cs="Times New Roman"/>
                <w:b/>
                <w:color w:val="000000" w:themeColor="text1"/>
                <w:sz w:val="24"/>
                <w14:textFill>
                  <w14:solidFill>
                    <w14:schemeClr w14:val="tx1"/>
                  </w14:solidFill>
                </w14:textFill>
              </w:rPr>
              <w:t>2</w:t>
            </w:r>
            <w:r>
              <w:rPr>
                <w:rFonts w:ascii="Times New Roman" w:hAnsi="Times New Roman"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3</w:t>
            </w:r>
            <w:r>
              <w:rPr>
                <w:rFonts w:ascii="Times New Roman" w:hAnsi="Times New Roman" w:cs="Times New Roman"/>
                <w:b/>
                <w:color w:val="000000" w:themeColor="text1"/>
                <w:sz w:val="24"/>
                <w14:textFill>
                  <w14:solidFill>
                    <w14:schemeClr w14:val="tx1"/>
                  </w14:solidFill>
                </w14:textFill>
              </w:rPr>
              <w:t>与《长江经济带发展负面清单指南（试行，2022年版）》符合性分析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4298"/>
              <w:gridCol w:w="2501"/>
              <w:gridCol w:w="805"/>
            </w:tblGrid>
            <w:tr w14:paraId="685E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3C71F6DD">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2665" w:type="pct"/>
                  <w:vAlign w:val="center"/>
                </w:tcPr>
                <w:p w14:paraId="7B18488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负面清单指南要求</w:t>
                  </w:r>
                </w:p>
              </w:tc>
              <w:tc>
                <w:tcPr>
                  <w:tcW w:w="1551" w:type="pct"/>
                  <w:vAlign w:val="center"/>
                </w:tcPr>
                <w:p w14:paraId="6DA492B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项目情况</w:t>
                  </w:r>
                </w:p>
              </w:tc>
              <w:tc>
                <w:tcPr>
                  <w:tcW w:w="499" w:type="pct"/>
                  <w:vAlign w:val="center"/>
                </w:tcPr>
                <w:p w14:paraId="5D9CEDDD">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14:paraId="2A36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C6A82C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665" w:type="pct"/>
                  <w:vAlign w:val="center"/>
                </w:tcPr>
                <w:p w14:paraId="1D289CA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551" w:type="pct"/>
                  <w:vAlign w:val="center"/>
                </w:tcPr>
                <w:p w14:paraId="3A0EBD1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本项目不属于码头项目和过长江通道项目</w:t>
                  </w:r>
                </w:p>
              </w:tc>
              <w:tc>
                <w:tcPr>
                  <w:tcW w:w="499" w:type="pct"/>
                  <w:vAlign w:val="center"/>
                </w:tcPr>
                <w:p w14:paraId="6277D51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2D2B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168C8D8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665" w:type="pct"/>
                  <w:vAlign w:val="center"/>
                </w:tcPr>
                <w:p w14:paraId="291E79F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禁止在自然保护区</w:t>
                  </w:r>
                  <w:r>
                    <w:rPr>
                      <w:rFonts w:ascii="Times New Roman" w:hAnsi="Times New Roman" w:cs="Times New Roman"/>
                      <w:color w:val="000000" w:themeColor="text1"/>
                      <w14:textFill>
                        <w14:solidFill>
                          <w14:schemeClr w14:val="tx1"/>
                        </w14:solidFill>
                      </w14:textFill>
                    </w:rPr>
                    <w:t>核心区</w:t>
                  </w:r>
                  <w:r>
                    <w:rPr>
                      <w:rFonts w:ascii="Times New Roman" w:hAnsi="Times New Roman" w:cs="Times New Roman"/>
                      <w:color w:val="000000" w:themeColor="text1"/>
                      <w:szCs w:val="21"/>
                      <w14:textFill>
                        <w14:solidFill>
                          <w14:schemeClr w14:val="tx1"/>
                        </w14:solidFill>
                      </w14:textFill>
                    </w:rPr>
                    <w:t>、缓冲区的岸线和河段范围内投资建设旅游和生产经营项目。禁止在风景名胜区核心景区的岸线和河段范围内投资建设与风景名胜资源保护无关的项目</w:t>
                  </w:r>
                </w:p>
              </w:tc>
              <w:tc>
                <w:tcPr>
                  <w:tcW w:w="1551" w:type="pct"/>
                  <w:vAlign w:val="center"/>
                </w:tcPr>
                <w:p w14:paraId="1138DCBC">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不在</w:t>
                  </w:r>
                  <w:r>
                    <w:rPr>
                      <w:rFonts w:ascii="Times New Roman" w:hAnsi="Times New Roman" w:cs="Times New Roman"/>
                      <w:color w:val="000000" w:themeColor="text1"/>
                      <w:szCs w:val="21"/>
                      <w14:textFill>
                        <w14:solidFill>
                          <w14:schemeClr w14:val="tx1"/>
                        </w14:solidFill>
                      </w14:textFill>
                    </w:rPr>
                    <w:t>自然保护区、风景名胜区等范围内</w:t>
                  </w:r>
                </w:p>
              </w:tc>
              <w:tc>
                <w:tcPr>
                  <w:tcW w:w="499" w:type="pct"/>
                  <w:vAlign w:val="center"/>
                </w:tcPr>
                <w:p w14:paraId="4D78C507">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F4F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A167F2C">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665" w:type="pct"/>
                  <w:vAlign w:val="center"/>
                </w:tcPr>
                <w:p w14:paraId="4C19B43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51" w:type="pct"/>
                  <w:vAlign w:val="center"/>
                </w:tcPr>
                <w:p w14:paraId="11239E4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不涉及饮用水水源保护区岸线及河段</w:t>
                  </w:r>
                </w:p>
              </w:tc>
              <w:tc>
                <w:tcPr>
                  <w:tcW w:w="499" w:type="pct"/>
                  <w:vAlign w:val="center"/>
                </w:tcPr>
                <w:p w14:paraId="1E7C3D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2039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37D0D3FA">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665" w:type="pct"/>
                  <w:vAlign w:val="center"/>
                </w:tcPr>
                <w:p w14:paraId="6160E0E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51" w:type="pct"/>
                  <w:vAlign w:val="center"/>
                </w:tcPr>
                <w:p w14:paraId="5CA0076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w:t>
                  </w:r>
                  <w:r>
                    <w:rPr>
                      <w:rFonts w:ascii="Times New Roman" w:hAnsi="Times New Roman" w:cs="Times New Roman"/>
                      <w:color w:val="000000" w:themeColor="text1"/>
                      <w:szCs w:val="21"/>
                      <w14:textFill>
                        <w14:solidFill>
                          <w14:schemeClr w14:val="tx1"/>
                        </w14:solidFill>
                      </w14:textFill>
                    </w:rPr>
                    <w:t>水产种质资源保护区岸线和河段；不涉及国家湿地公园岸线和河段</w:t>
                  </w:r>
                </w:p>
              </w:tc>
              <w:tc>
                <w:tcPr>
                  <w:tcW w:w="499" w:type="pct"/>
                  <w:vAlign w:val="center"/>
                </w:tcPr>
                <w:p w14:paraId="024806C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3F1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66C3BE7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665" w:type="pct"/>
                  <w:vAlign w:val="center"/>
                </w:tcPr>
                <w:p w14:paraId="7E6FFBE7">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51" w:type="pct"/>
                  <w:vAlign w:val="center"/>
                </w:tcPr>
                <w:p w14:paraId="291FD11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w:t>
                  </w:r>
                  <w:r>
                    <w:rPr>
                      <w:rFonts w:ascii="Times New Roman" w:hAnsi="Times New Roman" w:cs="Times New Roman"/>
                      <w:color w:val="000000" w:themeColor="text1"/>
                      <w:szCs w:val="21"/>
                      <w14:textFill>
                        <w14:solidFill>
                          <w14:schemeClr w14:val="tx1"/>
                        </w14:solidFill>
                      </w14:textFill>
                    </w:rPr>
                    <w:t>长江流域河湖岸线</w:t>
                  </w:r>
                </w:p>
              </w:tc>
              <w:tc>
                <w:tcPr>
                  <w:tcW w:w="499" w:type="pct"/>
                  <w:vAlign w:val="center"/>
                </w:tcPr>
                <w:p w14:paraId="44A5491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A9A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F660FF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665" w:type="pct"/>
                  <w:vAlign w:val="center"/>
                </w:tcPr>
                <w:p w14:paraId="797ED48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禁止未经许可在长江干支流及湖泊新设、改设或扩大排污口</w:t>
                  </w:r>
                </w:p>
              </w:tc>
              <w:tc>
                <w:tcPr>
                  <w:tcW w:w="1551" w:type="pct"/>
                  <w:vAlign w:val="center"/>
                </w:tcPr>
                <w:p w14:paraId="11AD78C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本项目废水为间接排放，不涉及</w:t>
                  </w:r>
                  <w:r>
                    <w:rPr>
                      <w:rFonts w:ascii="Times New Roman" w:hAnsi="Times New Roman" w:cs="Times New Roman"/>
                      <w:color w:val="000000" w:themeColor="text1"/>
                      <w:szCs w:val="21"/>
                      <w14:textFill>
                        <w14:solidFill>
                          <w14:schemeClr w14:val="tx1"/>
                        </w14:solidFill>
                      </w14:textFill>
                    </w:rPr>
                    <w:t>排污口设置</w:t>
                  </w:r>
                </w:p>
              </w:tc>
              <w:tc>
                <w:tcPr>
                  <w:tcW w:w="499" w:type="pct"/>
                  <w:vAlign w:val="center"/>
                </w:tcPr>
                <w:p w14:paraId="46FE088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6E5C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A65EA1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665" w:type="pct"/>
                  <w:vAlign w:val="center"/>
                </w:tcPr>
                <w:p w14:paraId="22D28A37">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w:t>
                  </w:r>
                  <w:r>
                    <w:rPr>
                      <w:rFonts w:ascii="Times New Roman" w:hAnsi="Times New Roman" w:cs="Times New Roman"/>
                      <w:color w:val="000000" w:themeColor="text1"/>
                      <w:szCs w:val="21"/>
                      <w14:textFill>
                        <w14:solidFill>
                          <w14:schemeClr w14:val="tx1"/>
                        </w14:solidFill>
                      </w14:textFill>
                    </w:rPr>
                    <w:t>一江一口两湖七河</w:t>
                  </w:r>
                  <w:r>
                    <w:rPr>
                      <w:rFonts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szCs w:val="21"/>
                      <w14:textFill>
                        <w14:solidFill>
                          <w14:schemeClr w14:val="tx1"/>
                        </w14:solidFill>
                      </w14:textFill>
                    </w:rPr>
                    <w:t>332个水生生物保护区开展生产性捕捞</w:t>
                  </w:r>
                </w:p>
              </w:tc>
              <w:tc>
                <w:tcPr>
                  <w:tcW w:w="1551" w:type="pct"/>
                  <w:vAlign w:val="center"/>
                </w:tcPr>
                <w:p w14:paraId="020D1E40">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本项目不涉及</w:t>
                  </w:r>
                </w:p>
              </w:tc>
              <w:tc>
                <w:tcPr>
                  <w:tcW w:w="499" w:type="pct"/>
                  <w:vAlign w:val="center"/>
                </w:tcPr>
                <w:p w14:paraId="4C4E2E8D">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22CD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7FE391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665" w:type="pct"/>
                  <w:vAlign w:val="center"/>
                </w:tcPr>
                <w:p w14:paraId="6EE0E1B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51" w:type="pct"/>
                  <w:vAlign w:val="center"/>
                </w:tcPr>
                <w:p w14:paraId="4440633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不属于化工项目</w:t>
                  </w:r>
                  <w:r>
                    <w:rPr>
                      <w:rFonts w:hint="eastAsia" w:ascii="Times New Roman" w:hAnsi="Times New Roman" w:cs="Times New Roman"/>
                      <w:color w:val="000000" w:themeColor="text1"/>
                      <w:lang w:eastAsia="zh-CN"/>
                      <w14:textFill>
                        <w14:solidFill>
                          <w14:schemeClr w14:val="tx1"/>
                        </w14:solidFill>
                      </w14:textFill>
                    </w:rPr>
                    <w:t>，也</w:t>
                  </w:r>
                  <w:r>
                    <w:rPr>
                      <w:rFonts w:ascii="Times New Roman" w:hAnsi="Times New Roman" w:cs="Times New Roman"/>
                      <w:color w:val="000000" w:themeColor="text1"/>
                      <w14:textFill>
                        <w14:solidFill>
                          <w14:schemeClr w14:val="tx1"/>
                        </w14:solidFill>
                      </w14:textFill>
                    </w:rPr>
                    <w:t>不属于</w:t>
                  </w:r>
                  <w:r>
                    <w:rPr>
                      <w:rFonts w:ascii="Times New Roman" w:hAnsi="Times New Roman" w:cs="Times New Roman"/>
                      <w:color w:val="000000" w:themeColor="text1"/>
                      <w:szCs w:val="21"/>
                      <w14:textFill>
                        <w14:solidFill>
                          <w14:schemeClr w14:val="tx1"/>
                        </w14:solidFill>
                      </w14:textFill>
                    </w:rPr>
                    <w:t>尾矿库、冶炼渣库和磷石膏库项目</w:t>
                  </w:r>
                </w:p>
              </w:tc>
              <w:tc>
                <w:tcPr>
                  <w:tcW w:w="499" w:type="pct"/>
                  <w:vAlign w:val="center"/>
                </w:tcPr>
                <w:p w14:paraId="752B8CF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55ED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E72C9C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665" w:type="pct"/>
                  <w:vAlign w:val="center"/>
                </w:tcPr>
                <w:p w14:paraId="04B3EAE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禁止在合规园区外新建、扩建钢铁、石化、化工、焦化、建材、有色、制浆造纸等高污染项目</w:t>
                  </w:r>
                </w:p>
              </w:tc>
              <w:tc>
                <w:tcPr>
                  <w:tcW w:w="1551" w:type="pct"/>
                  <w:vAlign w:val="center"/>
                </w:tcPr>
                <w:p w14:paraId="0547735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w:t>
                  </w:r>
                  <w:r>
                    <w:rPr>
                      <w:rFonts w:ascii="Times New Roman" w:hAnsi="Times New Roman" w:cs="Times New Roman"/>
                      <w:color w:val="000000" w:themeColor="text1"/>
                      <w:szCs w:val="21"/>
                      <w14:textFill>
                        <w14:solidFill>
                          <w14:schemeClr w14:val="tx1"/>
                        </w14:solidFill>
                      </w14:textFill>
                    </w:rPr>
                    <w:t>钢铁、石化、化工、焦化、建材、有色、制浆造纸等高污染项目</w:t>
                  </w:r>
                </w:p>
              </w:tc>
              <w:tc>
                <w:tcPr>
                  <w:tcW w:w="499" w:type="pct"/>
                  <w:vAlign w:val="center"/>
                </w:tcPr>
                <w:p w14:paraId="211FA446">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31B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1EF53AF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665" w:type="pct"/>
                  <w:vAlign w:val="center"/>
                </w:tcPr>
                <w:p w14:paraId="40E36A5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禁止新建、扩建不符合国家石化、现代煤化工等产业布局规划的项目</w:t>
                  </w:r>
                </w:p>
              </w:tc>
              <w:tc>
                <w:tcPr>
                  <w:tcW w:w="1551" w:type="pct"/>
                  <w:vAlign w:val="center"/>
                </w:tcPr>
                <w:p w14:paraId="6F73ABA6">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w:t>
                  </w:r>
                  <w:r>
                    <w:rPr>
                      <w:rFonts w:ascii="Times New Roman" w:hAnsi="Times New Roman" w:cs="Times New Roman"/>
                      <w:color w:val="000000" w:themeColor="text1"/>
                      <w:szCs w:val="21"/>
                      <w14:textFill>
                        <w14:solidFill>
                          <w14:schemeClr w14:val="tx1"/>
                        </w14:solidFill>
                      </w14:textFill>
                    </w:rPr>
                    <w:t>石化、现代煤化工等项目</w:t>
                  </w:r>
                </w:p>
              </w:tc>
              <w:tc>
                <w:tcPr>
                  <w:tcW w:w="499" w:type="pct"/>
                  <w:vAlign w:val="center"/>
                </w:tcPr>
                <w:p w14:paraId="438CFEE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A7B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31F9B4B1">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2665" w:type="pct"/>
                  <w:vAlign w:val="center"/>
                </w:tcPr>
                <w:p w14:paraId="5395B16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551" w:type="pct"/>
                  <w:vAlign w:val="center"/>
                </w:tcPr>
                <w:p w14:paraId="30C3CB15">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w:t>
                  </w:r>
                  <w:r>
                    <w:rPr>
                      <w:rFonts w:ascii="Times New Roman" w:hAnsi="Times New Roman" w:cs="Times New Roman"/>
                      <w:color w:val="000000" w:themeColor="text1"/>
                      <w:szCs w:val="21"/>
                      <w14:textFill>
                        <w14:solidFill>
                          <w14:schemeClr w14:val="tx1"/>
                        </w14:solidFill>
                      </w14:textFill>
                    </w:rPr>
                    <w:t>落后产能项目、严重过剩产能行业及高耗能高排放项目</w:t>
                  </w:r>
                </w:p>
              </w:tc>
              <w:tc>
                <w:tcPr>
                  <w:tcW w:w="499" w:type="pct"/>
                  <w:vAlign w:val="center"/>
                </w:tcPr>
                <w:p w14:paraId="6252B8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bl>
          <w:p w14:paraId="1CF199D8">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根据表1.</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分析可知，本项目不属于长江经济带发展负面清单中指出的禁止建设类项目，符合《长江经济带发展负面清单指南（试行，2022年版）》中的要求。</w:t>
            </w:r>
          </w:p>
          <w:p w14:paraId="7BA7A3B8">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3）</w:t>
            </w:r>
            <w:r>
              <w:rPr>
                <w:rFonts w:ascii="Times New Roman" w:hAnsi="Times New Roman" w:cs="Times New Roman"/>
                <w:b/>
                <w:color w:val="000000" w:themeColor="text1"/>
                <w:sz w:val="24"/>
                <w14:textFill>
                  <w14:solidFill>
                    <w14:schemeClr w14:val="tx1"/>
                  </w14:solidFill>
                </w14:textFill>
              </w:rPr>
              <w:t>与《四川省、重庆市长江经济带发展负面清单实施细则（试行，2022年版）》的符合性分析</w:t>
            </w:r>
          </w:p>
          <w:p w14:paraId="6940C925">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表1.</w:t>
            </w:r>
            <w:r>
              <w:rPr>
                <w:rFonts w:hint="eastAsia" w:ascii="Times New Roman" w:hAnsi="Times New Roman" w:cs="Times New Roman"/>
                <w:b/>
                <w:color w:val="000000" w:themeColor="text1"/>
                <w:sz w:val="24"/>
                <w14:textFill>
                  <w14:solidFill>
                    <w14:schemeClr w14:val="tx1"/>
                  </w14:solidFill>
                </w14:textFill>
              </w:rPr>
              <w:t>2</w:t>
            </w:r>
            <w:r>
              <w:rPr>
                <w:rFonts w:ascii="Times New Roman" w:hAnsi="Times New Roman"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4</w:t>
            </w:r>
            <w:r>
              <w:rPr>
                <w:rFonts w:ascii="Times New Roman" w:hAnsi="Times New Roman" w:cs="Times New Roman"/>
                <w:b/>
                <w:color w:val="000000" w:themeColor="text1"/>
                <w:sz w:val="24"/>
                <w14:textFill>
                  <w14:solidFill>
                    <w14:schemeClr w14:val="tx1"/>
                  </w14:solidFill>
                </w14:textFill>
              </w:rPr>
              <w:t xml:space="preserve">  与《四川省、重庆市长江经济带发展负面清单实施细则（试行，2022年版）》符合性分析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191"/>
              <w:gridCol w:w="2361"/>
              <w:gridCol w:w="814"/>
            </w:tblGrid>
            <w:tr w14:paraId="4142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57181A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2599" w:type="pct"/>
                  <w:vAlign w:val="center"/>
                </w:tcPr>
                <w:p w14:paraId="1E87F57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管控要求</w:t>
                  </w:r>
                </w:p>
              </w:tc>
              <w:tc>
                <w:tcPr>
                  <w:tcW w:w="1464" w:type="pct"/>
                  <w:vAlign w:val="center"/>
                </w:tcPr>
                <w:p w14:paraId="60E13571">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项目情况</w:t>
                  </w:r>
                </w:p>
              </w:tc>
              <w:tc>
                <w:tcPr>
                  <w:tcW w:w="505" w:type="pct"/>
                  <w:vAlign w:val="center"/>
                </w:tcPr>
                <w:p w14:paraId="3ACC0E03">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14:paraId="76B8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99264E1">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599" w:type="pct"/>
                  <w:vAlign w:val="center"/>
                </w:tcPr>
                <w:p w14:paraId="7034C83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禁止新建、改建和扩建不符合全国港口布局规划，以及《重庆港总体规划（2035年）》等省级港口布局规划及市级港口总体规划的码头项目</w:t>
                  </w:r>
                </w:p>
              </w:tc>
              <w:tc>
                <w:tcPr>
                  <w:tcW w:w="1464" w:type="pct"/>
                  <w:vAlign w:val="center"/>
                </w:tcPr>
                <w:p w14:paraId="33F1632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本项目不属于码头项目</w:t>
                  </w:r>
                </w:p>
              </w:tc>
              <w:tc>
                <w:tcPr>
                  <w:tcW w:w="505" w:type="pct"/>
                  <w:vAlign w:val="center"/>
                </w:tcPr>
                <w:p w14:paraId="4E74ED16">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8AD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6A553AA">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599" w:type="pct"/>
                  <w:vAlign w:val="center"/>
                </w:tcPr>
                <w:p w14:paraId="5F875C2D">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禁止新建、改建和扩建不符合《长江干线过江通道布局规划（2020-2035年）》的过长江通道项目（含桥梁、隧道），国家发展改革委同意过长江通道线位调整的除外</w:t>
                  </w:r>
                </w:p>
              </w:tc>
              <w:tc>
                <w:tcPr>
                  <w:tcW w:w="1464" w:type="pct"/>
                  <w:vAlign w:val="center"/>
                </w:tcPr>
                <w:p w14:paraId="66E805C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本项目不属于过长江通道项目</w:t>
                  </w:r>
                </w:p>
              </w:tc>
              <w:tc>
                <w:tcPr>
                  <w:tcW w:w="505" w:type="pct"/>
                  <w:vAlign w:val="center"/>
                </w:tcPr>
                <w:p w14:paraId="6E31D46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1CE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4CD64F3">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599" w:type="pct"/>
                  <w:vAlign w:val="center"/>
                </w:tcPr>
                <w:p w14:paraId="26A6746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1464" w:type="pct"/>
                  <w:vAlign w:val="center"/>
                </w:tcPr>
                <w:p w14:paraId="5ACB664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不涉及自然保护区</w:t>
                  </w:r>
                </w:p>
              </w:tc>
              <w:tc>
                <w:tcPr>
                  <w:tcW w:w="505" w:type="pct"/>
                  <w:vAlign w:val="center"/>
                </w:tcPr>
                <w:p w14:paraId="481ED495">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C7F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E99462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599" w:type="pct"/>
                  <w:vAlign w:val="center"/>
                </w:tcPr>
                <w:p w14:paraId="1926266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禁止违反风景名胜区规划，在风景名胜区内设立各类开发区。禁止在风景名胜区核心景区的岸线和河段范围内建设宾馆、招待所、培训中心、疗养院以及与风景名胜资源保护无关的项目</w:t>
                  </w:r>
                </w:p>
              </w:tc>
              <w:tc>
                <w:tcPr>
                  <w:tcW w:w="1464" w:type="pct"/>
                  <w:vAlign w:val="center"/>
                </w:tcPr>
                <w:p w14:paraId="679C397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不涉及风景名胜区</w:t>
                  </w:r>
                </w:p>
              </w:tc>
              <w:tc>
                <w:tcPr>
                  <w:tcW w:w="505" w:type="pct"/>
                  <w:vAlign w:val="center"/>
                </w:tcPr>
                <w:p w14:paraId="6F56B58B">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35BB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5066CB3">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599" w:type="pct"/>
                  <w:vAlign w:val="center"/>
                </w:tcPr>
                <w:p w14:paraId="1285110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禁止在饮用水水源准保护区的岸线和河段范围内新建、扩建对水体污染严重的建设项目，禁止改建增加排污量的建设项目</w:t>
                  </w:r>
                </w:p>
              </w:tc>
              <w:tc>
                <w:tcPr>
                  <w:tcW w:w="1464" w:type="pct"/>
                  <w:vMerge w:val="restart"/>
                  <w:vAlign w:val="center"/>
                </w:tcPr>
                <w:p w14:paraId="15EB191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不涉及饮用水水源保护区岸线和河段</w:t>
                  </w:r>
                </w:p>
              </w:tc>
              <w:tc>
                <w:tcPr>
                  <w:tcW w:w="505" w:type="pct"/>
                  <w:vAlign w:val="center"/>
                </w:tcPr>
                <w:p w14:paraId="772DDE71">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37C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756FBF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599" w:type="pct"/>
                  <w:vAlign w:val="center"/>
                </w:tcPr>
                <w:p w14:paraId="5F0E5F9E">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1464" w:type="pct"/>
                  <w:vMerge w:val="continue"/>
                  <w:vAlign w:val="center"/>
                </w:tcPr>
                <w:p w14:paraId="45772583">
                  <w:pPr>
                    <w:rPr>
                      <w:rFonts w:ascii="Times New Roman" w:hAnsi="Times New Roman" w:cs="Times New Roman"/>
                      <w:color w:val="000000" w:themeColor="text1"/>
                      <w14:textFill>
                        <w14:solidFill>
                          <w14:schemeClr w14:val="tx1"/>
                        </w14:solidFill>
                      </w14:textFill>
                    </w:rPr>
                  </w:pPr>
                </w:p>
              </w:tc>
              <w:tc>
                <w:tcPr>
                  <w:tcW w:w="505" w:type="pct"/>
                  <w:vAlign w:val="center"/>
                </w:tcPr>
                <w:p w14:paraId="06E6E8C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6A6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E49209A">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599" w:type="pct"/>
                  <w:vAlign w:val="center"/>
                </w:tcPr>
                <w:p w14:paraId="46746FD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64" w:type="pct"/>
                  <w:vMerge w:val="continue"/>
                  <w:vAlign w:val="center"/>
                </w:tcPr>
                <w:p w14:paraId="7BF25D6B">
                  <w:pPr>
                    <w:rPr>
                      <w:rFonts w:ascii="Times New Roman" w:hAnsi="Times New Roman" w:cs="Times New Roman"/>
                      <w:color w:val="000000" w:themeColor="text1"/>
                      <w14:textFill>
                        <w14:solidFill>
                          <w14:schemeClr w14:val="tx1"/>
                        </w14:solidFill>
                      </w14:textFill>
                    </w:rPr>
                  </w:pPr>
                </w:p>
              </w:tc>
              <w:tc>
                <w:tcPr>
                  <w:tcW w:w="505" w:type="pct"/>
                  <w:vAlign w:val="center"/>
                </w:tcPr>
                <w:p w14:paraId="1BF6D06D">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E19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4DA4B1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599" w:type="pct"/>
                  <w:vAlign w:val="center"/>
                </w:tcPr>
                <w:p w14:paraId="657EB366">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禁止在水产种质资源保护区岸线和河段范围内新建围湖造田、围湖造地或挖沙采石等投资建设项目</w:t>
                  </w:r>
                </w:p>
              </w:tc>
              <w:tc>
                <w:tcPr>
                  <w:tcW w:w="1464" w:type="pct"/>
                  <w:vAlign w:val="center"/>
                </w:tcPr>
                <w:p w14:paraId="48B5434B">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不涉及水产种质资源保护区岸线和河段</w:t>
                  </w:r>
                </w:p>
              </w:tc>
              <w:tc>
                <w:tcPr>
                  <w:tcW w:w="505" w:type="pct"/>
                  <w:vAlign w:val="center"/>
                </w:tcPr>
                <w:p w14:paraId="6CE37C05">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F8E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C3F29CF">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599" w:type="pct"/>
                  <w:vAlign w:val="center"/>
                </w:tcPr>
                <w:p w14:paraId="4E33D7D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464" w:type="pct"/>
                  <w:vAlign w:val="center"/>
                </w:tcPr>
                <w:p w14:paraId="35EB633D">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不涉及国家湿地公园岸线和河段</w:t>
                  </w:r>
                </w:p>
              </w:tc>
              <w:tc>
                <w:tcPr>
                  <w:tcW w:w="505" w:type="pct"/>
                  <w:vAlign w:val="center"/>
                </w:tcPr>
                <w:p w14:paraId="224AEDBC">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1258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BE1CA7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599" w:type="pct"/>
                  <w:vAlign w:val="center"/>
                </w:tcPr>
                <w:p w14:paraId="4021A0E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64" w:type="pct"/>
                  <w:vAlign w:val="center"/>
                </w:tcPr>
                <w:p w14:paraId="6527B8E7">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不利用、占用长江流域河湖岸线</w:t>
                  </w:r>
                </w:p>
              </w:tc>
              <w:tc>
                <w:tcPr>
                  <w:tcW w:w="505" w:type="pct"/>
                  <w:vAlign w:val="center"/>
                </w:tcPr>
                <w:p w14:paraId="3FED6C15">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7F3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5AC0C0DD">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2599" w:type="pct"/>
                  <w:vAlign w:val="center"/>
                </w:tcPr>
                <w:p w14:paraId="2FB3C70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禁止在《全国重要江河湖泊水功能区划》划定的河段及湖泊保护区、保留区内投资建设不利于水资源及自然生态保护的项目</w:t>
                  </w:r>
                </w:p>
              </w:tc>
              <w:tc>
                <w:tcPr>
                  <w:tcW w:w="1464" w:type="pct"/>
                  <w:vAlign w:val="center"/>
                </w:tcPr>
                <w:p w14:paraId="1EE77B9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不涉及《全国重要江河湖泊水功能区划》划定的河段及湖泊保护区、保留区</w:t>
                  </w:r>
                </w:p>
              </w:tc>
              <w:tc>
                <w:tcPr>
                  <w:tcW w:w="505" w:type="pct"/>
                  <w:vAlign w:val="center"/>
                </w:tcPr>
                <w:p w14:paraId="317C0E3E">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B5B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C29EB41">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2599" w:type="pct"/>
                  <w:vAlign w:val="center"/>
                </w:tcPr>
                <w:p w14:paraId="0F32ED2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1464" w:type="pct"/>
                  <w:vAlign w:val="center"/>
                </w:tcPr>
                <w:p w14:paraId="2FC121D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本项目废水为间接排放，不涉及</w:t>
                  </w:r>
                  <w:r>
                    <w:rPr>
                      <w:rFonts w:ascii="Times New Roman" w:hAnsi="Times New Roman" w:cs="Times New Roman"/>
                      <w:color w:val="000000" w:themeColor="text1"/>
                      <w:szCs w:val="21"/>
                      <w14:textFill>
                        <w14:solidFill>
                          <w14:schemeClr w14:val="tx1"/>
                        </w14:solidFill>
                      </w14:textFill>
                    </w:rPr>
                    <w:t>排污口设置</w:t>
                  </w:r>
                </w:p>
              </w:tc>
              <w:tc>
                <w:tcPr>
                  <w:tcW w:w="505" w:type="pct"/>
                  <w:vAlign w:val="center"/>
                </w:tcPr>
                <w:p w14:paraId="1F3C678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DAA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CAFDDA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p>
              </w:tc>
              <w:tc>
                <w:tcPr>
                  <w:tcW w:w="2599" w:type="pct"/>
                  <w:vAlign w:val="center"/>
                </w:tcPr>
                <w:p w14:paraId="41D6E61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禁止在长江干流、大渡河、岷江、赤水河、沱江、嘉陵江、乌江、汉江和51个（四川省45个、重庆市6个）水生生物保护区开展生产性捕捞</w:t>
                  </w:r>
                </w:p>
              </w:tc>
              <w:tc>
                <w:tcPr>
                  <w:tcW w:w="1464" w:type="pct"/>
                  <w:vAlign w:val="center"/>
                </w:tcPr>
                <w:p w14:paraId="6C45264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本项目不涉及</w:t>
                  </w:r>
                  <w:r>
                    <w:rPr>
                      <w:rFonts w:ascii="Times New Roman" w:hAnsi="Times New Roman" w:cs="Times New Roman"/>
                      <w:color w:val="000000" w:themeColor="text1"/>
                      <w:szCs w:val="21"/>
                      <w14:textFill>
                        <w14:solidFill>
                          <w14:schemeClr w14:val="tx1"/>
                        </w14:solidFill>
                      </w14:textFill>
                    </w:rPr>
                    <w:t>生产性捕捞</w:t>
                  </w:r>
                </w:p>
              </w:tc>
              <w:tc>
                <w:tcPr>
                  <w:tcW w:w="505" w:type="pct"/>
                  <w:vAlign w:val="center"/>
                </w:tcPr>
                <w:p w14:paraId="33DAD85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F67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67E379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w:t>
                  </w:r>
                </w:p>
              </w:tc>
              <w:tc>
                <w:tcPr>
                  <w:tcW w:w="2599" w:type="pct"/>
                  <w:vAlign w:val="center"/>
                </w:tcPr>
                <w:p w14:paraId="73280C73">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禁止在长江干支流、重要湖泊岸线一公里范围内新建、扩建化工园区和化工项目</w:t>
                  </w:r>
                </w:p>
              </w:tc>
              <w:tc>
                <w:tcPr>
                  <w:tcW w:w="1464" w:type="pct"/>
                  <w:vAlign w:val="center"/>
                </w:tcPr>
                <w:p w14:paraId="62727B2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不属于化工项目</w:t>
                  </w:r>
                </w:p>
              </w:tc>
              <w:tc>
                <w:tcPr>
                  <w:tcW w:w="505" w:type="pct"/>
                  <w:vAlign w:val="center"/>
                </w:tcPr>
                <w:p w14:paraId="5CEA9BCB">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E53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7CF813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2599" w:type="pct"/>
                  <w:vAlign w:val="center"/>
                </w:tcPr>
                <w:p w14:paraId="2E9D1AF6">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1464" w:type="pct"/>
                  <w:vAlign w:val="center"/>
                </w:tcPr>
                <w:p w14:paraId="5C200C2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w:t>
                  </w:r>
                  <w:r>
                    <w:rPr>
                      <w:rFonts w:ascii="Times New Roman" w:hAnsi="Times New Roman" w:cs="Times New Roman"/>
                      <w:color w:val="000000" w:themeColor="text1"/>
                      <w:szCs w:val="21"/>
                      <w14:textFill>
                        <w14:solidFill>
                          <w14:schemeClr w14:val="tx1"/>
                        </w14:solidFill>
                      </w14:textFill>
                    </w:rPr>
                    <w:t>尾矿库、冶炼渣库和磷石膏库</w:t>
                  </w:r>
                </w:p>
              </w:tc>
              <w:tc>
                <w:tcPr>
                  <w:tcW w:w="505" w:type="pct"/>
                  <w:vAlign w:val="center"/>
                </w:tcPr>
                <w:p w14:paraId="547E5A1A">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90E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604E2F6">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w:t>
                  </w:r>
                </w:p>
              </w:tc>
              <w:tc>
                <w:tcPr>
                  <w:tcW w:w="2599" w:type="pct"/>
                  <w:vAlign w:val="center"/>
                </w:tcPr>
                <w:p w14:paraId="7483DACB">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禁止在生态保护红线区域、永久基本农田集中区域和其他需要特别保护的区域内选址建设尾矿库、冶炼渣库、磷石膏库</w:t>
                  </w:r>
                </w:p>
              </w:tc>
              <w:tc>
                <w:tcPr>
                  <w:tcW w:w="1464" w:type="pct"/>
                  <w:vAlign w:val="center"/>
                </w:tcPr>
                <w:p w14:paraId="016D9F6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不属于</w:t>
                  </w:r>
                  <w:r>
                    <w:rPr>
                      <w:rFonts w:ascii="Times New Roman" w:hAnsi="Times New Roman" w:cs="Times New Roman"/>
                      <w:color w:val="000000" w:themeColor="text1"/>
                      <w:szCs w:val="21"/>
                      <w14:textFill>
                        <w14:solidFill>
                          <w14:schemeClr w14:val="tx1"/>
                        </w14:solidFill>
                      </w14:textFill>
                    </w:rPr>
                    <w:t>尾矿库、冶炼渣库和磷石膏库</w:t>
                  </w:r>
                </w:p>
              </w:tc>
              <w:tc>
                <w:tcPr>
                  <w:tcW w:w="505" w:type="pct"/>
                  <w:vAlign w:val="center"/>
                </w:tcPr>
                <w:p w14:paraId="6587E2A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EA0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F36FC7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2599" w:type="pct"/>
                  <w:vAlign w:val="center"/>
                </w:tcPr>
                <w:p w14:paraId="6B7F6FB6">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禁止在合规园区外新建、扩建钢铁、石化、化工、焦化、建材、有色、制浆造纸等高污染项目</w:t>
                  </w:r>
                </w:p>
              </w:tc>
              <w:tc>
                <w:tcPr>
                  <w:tcW w:w="1464" w:type="pct"/>
                  <w:vAlign w:val="center"/>
                </w:tcPr>
                <w:p w14:paraId="12ED923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不属于钢铁、石化、化工、焦化、建材、有色、制浆造纸等高污染项目</w:t>
                  </w:r>
                </w:p>
              </w:tc>
              <w:tc>
                <w:tcPr>
                  <w:tcW w:w="505" w:type="pct"/>
                  <w:vAlign w:val="center"/>
                </w:tcPr>
                <w:p w14:paraId="3F0E9CBF">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6A0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51DD86F0">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c>
                <w:tcPr>
                  <w:tcW w:w="2599" w:type="pct"/>
                  <w:vAlign w:val="center"/>
                </w:tcPr>
                <w:p w14:paraId="3A8E8C97">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禁止新建、扩建不符合国家石化、现代煤化工等产业布局规划的项目：</w:t>
                  </w:r>
                </w:p>
                <w:p w14:paraId="09B449C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①严格控制新增炼油产能，未列入《石化产业规划布局方案（修订版）》的新增炼油产能一律不得建设。</w:t>
                  </w:r>
                </w:p>
                <w:p w14:paraId="6480529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②新建煤制烯烃、煤制芳烃项目必须列入《现代煤化工产业创新发展布局方案》，必须符合《现代煤化工建设项目环境准入条件（试行）》要求</w:t>
                  </w:r>
                </w:p>
              </w:tc>
              <w:tc>
                <w:tcPr>
                  <w:tcW w:w="1464" w:type="pct"/>
                  <w:vAlign w:val="center"/>
                </w:tcPr>
                <w:p w14:paraId="29ECE37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w:t>
                  </w:r>
                  <w:r>
                    <w:rPr>
                      <w:rFonts w:ascii="Times New Roman" w:hAnsi="Times New Roman" w:cs="Times New Roman"/>
                      <w:color w:val="000000" w:themeColor="text1"/>
                      <w:szCs w:val="21"/>
                      <w14:textFill>
                        <w14:solidFill>
                          <w14:schemeClr w14:val="tx1"/>
                        </w14:solidFill>
                      </w14:textFill>
                    </w:rPr>
                    <w:t>石化、现代煤化工等项目</w:t>
                  </w:r>
                </w:p>
              </w:tc>
              <w:tc>
                <w:tcPr>
                  <w:tcW w:w="505" w:type="pct"/>
                  <w:vAlign w:val="center"/>
                </w:tcPr>
                <w:p w14:paraId="7FDE1A3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4EBF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341FBF6">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19</w:t>
                  </w:r>
                </w:p>
              </w:tc>
              <w:tc>
                <w:tcPr>
                  <w:tcW w:w="2599" w:type="pct"/>
                  <w:vAlign w:val="center"/>
                </w:tcPr>
                <w:p w14:paraId="556BE4EE">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64" w:type="pct"/>
                  <w:vAlign w:val="center"/>
                </w:tcPr>
                <w:p w14:paraId="273A732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本项目不属于落后产能项目</w:t>
                  </w:r>
                </w:p>
              </w:tc>
              <w:tc>
                <w:tcPr>
                  <w:tcW w:w="505" w:type="pct"/>
                  <w:vAlign w:val="center"/>
                </w:tcPr>
                <w:p w14:paraId="085F655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665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F7C45B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2599" w:type="pct"/>
                  <w:vAlign w:val="center"/>
                </w:tcPr>
                <w:p w14:paraId="4D8A8EA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1464" w:type="pct"/>
                  <w:vAlign w:val="center"/>
                </w:tcPr>
                <w:p w14:paraId="578FD0CB">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本项目不属于严重过剩产能行业项目</w:t>
                  </w:r>
                </w:p>
              </w:tc>
              <w:tc>
                <w:tcPr>
                  <w:tcW w:w="505" w:type="pct"/>
                  <w:vAlign w:val="center"/>
                </w:tcPr>
                <w:p w14:paraId="4349EF10">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6EB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BEBA07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w:t>
                  </w:r>
                </w:p>
              </w:tc>
              <w:tc>
                <w:tcPr>
                  <w:tcW w:w="2599" w:type="pct"/>
                  <w:vAlign w:val="center"/>
                </w:tcPr>
                <w:p w14:paraId="49781C7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禁止建设以下燃油汽车投资项目（不在中国境内销售产品的投资项目除外）</w:t>
                  </w:r>
                </w:p>
                <w:p w14:paraId="1FE9119F">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①新建独立燃油汽车企业；</w:t>
                  </w:r>
                </w:p>
                <w:p w14:paraId="4B55B510">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②现有汽车企业跨乘用车、商用车类别建设燃油汽车生产能力；</w:t>
                  </w:r>
                </w:p>
                <w:p w14:paraId="320FF86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③外省现有燃油汽车企业整体搬迁至本省（列入国家级区域发展规划或不改变企业股权结构的项目除外）；</w:t>
                  </w:r>
                </w:p>
                <w:p w14:paraId="29B9A69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④对行业管理部门特别公示的燃油汽车企业进行投资（企业原有股东投资或将该企业转为非独立法人的投资项目除外）</w:t>
                  </w:r>
                </w:p>
              </w:tc>
              <w:tc>
                <w:tcPr>
                  <w:tcW w:w="1464" w:type="pct"/>
                  <w:vAlign w:val="center"/>
                </w:tcPr>
                <w:p w14:paraId="5237DB05">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本项目为</w:t>
                  </w:r>
                  <w:r>
                    <w:rPr>
                      <w:rFonts w:hint="eastAsia" w:ascii="Times New Roman" w:hAnsi="Times New Roman" w:cs="Times New Roman"/>
                      <w:color w:val="000000" w:themeColor="text1"/>
                      <w:sz w:val="21"/>
                      <w:szCs w:val="21"/>
                      <w:lang w:eastAsia="zh-CN"/>
                      <w14:textFill>
                        <w14:solidFill>
                          <w14:schemeClr w14:val="tx1"/>
                        </w14:solidFill>
                      </w14:textFill>
                    </w:rPr>
                    <w:t>其他人造板制造</w:t>
                  </w:r>
                  <w:r>
                    <w:rPr>
                      <w:rFonts w:ascii="Times New Roman" w:hAnsi="Times New Roman" w:cs="Times New Roman"/>
                      <w:color w:val="000000" w:themeColor="text1"/>
                      <w:sz w:val="21"/>
                      <w:szCs w:val="21"/>
                      <w14:textFill>
                        <w14:solidFill>
                          <w14:schemeClr w14:val="tx1"/>
                        </w14:solidFill>
                      </w14:textFill>
                    </w:rPr>
                    <w:t>项目</w:t>
                  </w:r>
                  <w:r>
                    <w:rPr>
                      <w:rFonts w:ascii="Times New Roman" w:hAnsi="Times New Roman" w:cs="Times New Roman"/>
                      <w:color w:val="000000" w:themeColor="text1"/>
                      <w:szCs w:val="18"/>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不属于燃油汽车投资项目</w:t>
                  </w:r>
                </w:p>
              </w:tc>
              <w:tc>
                <w:tcPr>
                  <w:tcW w:w="505" w:type="pct"/>
                  <w:vAlign w:val="center"/>
                </w:tcPr>
                <w:p w14:paraId="43DA408F">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B4C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33873E7">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22</w:t>
                  </w:r>
                </w:p>
              </w:tc>
              <w:tc>
                <w:tcPr>
                  <w:tcW w:w="2599" w:type="pct"/>
                  <w:vAlign w:val="center"/>
                </w:tcPr>
                <w:p w14:paraId="17C3379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禁止新建、扩建不符合要求的高耗能、高排放、低水平项目</w:t>
                  </w:r>
                </w:p>
              </w:tc>
              <w:tc>
                <w:tcPr>
                  <w:tcW w:w="1464" w:type="pct"/>
                  <w:vAlign w:val="center"/>
                </w:tcPr>
                <w:p w14:paraId="37377691">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本项目不属于高耗能、高排放、低水平项目</w:t>
                  </w:r>
                </w:p>
              </w:tc>
              <w:tc>
                <w:tcPr>
                  <w:tcW w:w="505" w:type="pct"/>
                  <w:vAlign w:val="center"/>
                </w:tcPr>
                <w:p w14:paraId="65CC57B0">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bl>
          <w:p w14:paraId="01E9D5A9">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根据表1.</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分析可知，本项目不属于《四川省、重庆市长江经济带发展负面清单实施细则（试行，2022年版）》禁止建设类项目，符合相关要求。</w:t>
            </w:r>
          </w:p>
          <w:p w14:paraId="02B66FAB">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4）</w:t>
            </w:r>
            <w:r>
              <w:rPr>
                <w:rFonts w:ascii="Times New Roman" w:hAnsi="Times New Roman" w:cs="Times New Roman"/>
                <w:b/>
                <w:color w:val="000000" w:themeColor="text1"/>
                <w:sz w:val="24"/>
                <w14:textFill>
                  <w14:solidFill>
                    <w14:schemeClr w14:val="tx1"/>
                  </w14:solidFill>
                </w14:textFill>
              </w:rPr>
              <w:t>与《中华人民共和国长江保护法》的符合性分析</w:t>
            </w:r>
          </w:p>
          <w:p w14:paraId="2BE69A3D">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表1.</w:t>
            </w:r>
            <w:r>
              <w:rPr>
                <w:rFonts w:hint="eastAsia" w:ascii="Times New Roman" w:hAnsi="Times New Roman" w:cs="Times New Roman"/>
                <w:b/>
                <w:color w:val="000000" w:themeColor="text1"/>
                <w:sz w:val="24"/>
                <w14:textFill>
                  <w14:solidFill>
                    <w14:schemeClr w14:val="tx1"/>
                  </w14:solidFill>
                </w14:textFill>
              </w:rPr>
              <w:t>2</w:t>
            </w:r>
            <w:r>
              <w:rPr>
                <w:rFonts w:ascii="Times New Roman" w:hAnsi="Times New Roman"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5</w:t>
            </w:r>
            <w:r>
              <w:rPr>
                <w:rFonts w:ascii="Times New Roman" w:hAnsi="Times New Roman" w:cs="Times New Roman"/>
                <w:b/>
                <w:color w:val="000000" w:themeColor="text1"/>
                <w:sz w:val="24"/>
                <w14:textFill>
                  <w14:solidFill>
                    <w14:schemeClr w14:val="tx1"/>
                  </w14:solidFill>
                </w14:textFill>
              </w:rPr>
              <w:t xml:space="preserve">  与《中华人民共和国长江保护法》符合性分析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4102"/>
              <w:gridCol w:w="2501"/>
              <w:gridCol w:w="805"/>
            </w:tblGrid>
            <w:tr w14:paraId="592B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8B7D997">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2544" w:type="pct"/>
                  <w:vAlign w:val="center"/>
                </w:tcPr>
                <w:p w14:paraId="50235A5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相关要求</w:t>
                  </w:r>
                </w:p>
              </w:tc>
              <w:tc>
                <w:tcPr>
                  <w:tcW w:w="1551" w:type="pct"/>
                  <w:vAlign w:val="center"/>
                </w:tcPr>
                <w:p w14:paraId="774D5EF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项目情况</w:t>
                  </w:r>
                </w:p>
              </w:tc>
              <w:tc>
                <w:tcPr>
                  <w:tcW w:w="499" w:type="pct"/>
                  <w:vAlign w:val="center"/>
                </w:tcPr>
                <w:p w14:paraId="6E41461A">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14:paraId="117E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EB3535C">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544" w:type="pct"/>
                  <w:vAlign w:val="center"/>
                </w:tcPr>
                <w:p w14:paraId="7091DB4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禁止在长江流域重点生态功能区布局对生态系统有严重影响的产业。禁止重污染企业和项目向长江中上游转</w:t>
                  </w:r>
                </w:p>
              </w:tc>
              <w:tc>
                <w:tcPr>
                  <w:tcW w:w="1551" w:type="pct"/>
                  <w:vAlign w:val="center"/>
                </w:tcPr>
                <w:p w14:paraId="2695C0CE">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不在长江流域重点生态功能区内，且不属于对生态系统有严重影响的产业</w:t>
                  </w:r>
                </w:p>
              </w:tc>
              <w:tc>
                <w:tcPr>
                  <w:tcW w:w="499" w:type="pct"/>
                  <w:vAlign w:val="center"/>
                </w:tcPr>
                <w:p w14:paraId="5A12777A">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5642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719677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544" w:type="pct"/>
                  <w:vAlign w:val="center"/>
                </w:tcPr>
                <w:p w14:paraId="64A2BBBC">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禁止在长江干支流岸线一公里范围内新建、扩建化工园区和化工项目</w:t>
                  </w:r>
                </w:p>
              </w:tc>
              <w:tc>
                <w:tcPr>
                  <w:tcW w:w="1551" w:type="pct"/>
                  <w:vAlign w:val="center"/>
                </w:tcPr>
                <w:p w14:paraId="5208F908">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不在长江干支流岸线一公里范围内，不属于化工项目</w:t>
                  </w:r>
                </w:p>
              </w:tc>
              <w:tc>
                <w:tcPr>
                  <w:tcW w:w="499" w:type="pct"/>
                  <w:vAlign w:val="center"/>
                </w:tcPr>
                <w:p w14:paraId="3D468AAA">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4401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B36A7D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544" w:type="pct"/>
                  <w:vAlign w:val="center"/>
                </w:tcPr>
                <w:p w14:paraId="0AD14477">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禁止在长江干流岸线三公里范围内和重要支流岸线一公里范围内新建、改建、扩建尾矿库；但是以提升安全、生态环境保护水平为目的的改建除外</w:t>
                  </w:r>
                </w:p>
              </w:tc>
              <w:tc>
                <w:tcPr>
                  <w:tcW w:w="1551" w:type="pct"/>
                  <w:vAlign w:val="center"/>
                </w:tcPr>
                <w:p w14:paraId="193C318B">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不属于尾矿库项目</w:t>
                  </w:r>
                </w:p>
              </w:tc>
              <w:tc>
                <w:tcPr>
                  <w:tcW w:w="499" w:type="pct"/>
                  <w:vAlign w:val="center"/>
                </w:tcPr>
                <w:p w14:paraId="354570B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68A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D8C24E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544" w:type="pct"/>
                  <w:vAlign w:val="center"/>
                </w:tcPr>
                <w:p w14:paraId="0471577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严格限制在长江流域生态保护红线、自然保护地、水生生物重要栖息地水域实施航道整治工程；确需整治的，应当经科学论证并依法办理相关手续</w:t>
                  </w:r>
                </w:p>
              </w:tc>
              <w:tc>
                <w:tcPr>
                  <w:tcW w:w="1551" w:type="pct"/>
                  <w:vAlign w:val="center"/>
                </w:tcPr>
                <w:p w14:paraId="0B3623A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本项目位于重庆西彭工业园区西彭组团D标准分区，不涉及生态保护红线、自然保护地、水生生物重要栖息地水域等区域，不属于通航等行业</w:t>
                  </w:r>
                </w:p>
              </w:tc>
              <w:tc>
                <w:tcPr>
                  <w:tcW w:w="499" w:type="pct"/>
                  <w:vAlign w:val="center"/>
                </w:tcPr>
                <w:p w14:paraId="3702EEA6">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A42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E998AC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544" w:type="pct"/>
                  <w:vAlign w:val="center"/>
                </w:tcPr>
                <w:p w14:paraId="636E1CF4">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2"/>
                      <w14:textFill>
                        <w14:solidFill>
                          <w14:schemeClr w14:val="tx1"/>
                        </w14:solidFill>
                      </w14:textFill>
                    </w:rPr>
                    <w:t>禁止在长江流域开放水域养殖、投放外来物种或者其他非本地物种种质资源</w:t>
                  </w:r>
                </w:p>
              </w:tc>
              <w:tc>
                <w:tcPr>
                  <w:tcW w:w="1551" w:type="pct"/>
                  <w:vAlign w:val="center"/>
                </w:tcPr>
                <w:p w14:paraId="1259B80D">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不属于养殖行业</w:t>
                  </w:r>
                </w:p>
              </w:tc>
              <w:tc>
                <w:tcPr>
                  <w:tcW w:w="499" w:type="pct"/>
                  <w:vAlign w:val="center"/>
                </w:tcPr>
                <w:p w14:paraId="16F6846C">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4CA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06A9ED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544" w:type="pct"/>
                  <w:vAlign w:val="center"/>
                </w:tcPr>
                <w:p w14:paraId="555C8B6D">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2"/>
                      <w14:textFill>
                        <w14:solidFill>
                          <w14:schemeClr w14:val="tx1"/>
                        </w14:solidFill>
                      </w14:textFill>
                    </w:rPr>
                    <w:t>磷矿开采加工、磷肥和含磷农药制造等企业，应当按照排污许可要求，采取有效措施控制总磷排放浓度和排放总量；对排污口和周边环境进行总磷监测，依法公开监测信息</w:t>
                  </w:r>
                </w:p>
              </w:tc>
              <w:tc>
                <w:tcPr>
                  <w:tcW w:w="1551" w:type="pct"/>
                  <w:vAlign w:val="center"/>
                </w:tcPr>
                <w:p w14:paraId="5A5DAEF6">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本项目不属于</w:t>
                  </w:r>
                  <w:r>
                    <w:rPr>
                      <w:rFonts w:ascii="Times New Roman" w:hAnsi="Times New Roman" w:cs="Times New Roman"/>
                      <w:color w:val="000000" w:themeColor="text1"/>
                      <w:kern w:val="0"/>
                      <w:szCs w:val="22"/>
                      <w14:textFill>
                        <w14:solidFill>
                          <w14:schemeClr w14:val="tx1"/>
                        </w14:solidFill>
                      </w14:textFill>
                    </w:rPr>
                    <w:t>磷矿开采加工、磷肥和含磷农药制造等行业</w:t>
                  </w:r>
                </w:p>
              </w:tc>
              <w:tc>
                <w:tcPr>
                  <w:tcW w:w="499" w:type="pct"/>
                  <w:vAlign w:val="center"/>
                </w:tcPr>
                <w:p w14:paraId="570DEF7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61E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7AF553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544" w:type="pct"/>
                  <w:vAlign w:val="center"/>
                </w:tcPr>
                <w:p w14:paraId="4C64ABB8">
                  <w:pPr>
                    <w:rPr>
                      <w:rFonts w:ascii="Times New Roman" w:hAnsi="Times New Roman" w:cs="Times New Roman"/>
                      <w:color w:val="000000" w:themeColor="text1"/>
                      <w:kern w:val="0"/>
                      <w:szCs w:val="22"/>
                      <w14:textFill>
                        <w14:solidFill>
                          <w14:schemeClr w14:val="tx1"/>
                        </w14:solidFill>
                      </w14:textFill>
                    </w:rPr>
                  </w:pPr>
                  <w:r>
                    <w:rPr>
                      <w:rFonts w:ascii="Times New Roman" w:hAnsi="Times New Roman" w:cs="Times New Roman"/>
                      <w:color w:val="000000" w:themeColor="text1"/>
                      <w:kern w:val="0"/>
                      <w:szCs w:val="22"/>
                      <w14:textFill>
                        <w14:solidFill>
                          <w14:schemeClr w14:val="tx1"/>
                        </w14:solidFill>
                      </w14:textFill>
                    </w:rPr>
                    <w:t>禁止在</w:t>
                  </w:r>
                  <w:r>
                    <w:rPr>
                      <w:rFonts w:ascii="Times New Roman" w:hAnsi="Times New Roman" w:cs="Times New Roman"/>
                      <w:color w:val="000000" w:themeColor="text1"/>
                      <w:szCs w:val="22"/>
                      <w14:textFill>
                        <w14:solidFill>
                          <w14:schemeClr w14:val="tx1"/>
                        </w14:solidFill>
                      </w14:textFill>
                    </w:rPr>
                    <w:t>长江流域水上运输剧毒化学品和国家规定禁止通过内河运输的其他危险化学品</w:t>
                  </w:r>
                </w:p>
              </w:tc>
              <w:tc>
                <w:tcPr>
                  <w:tcW w:w="1551" w:type="pct"/>
                  <w:vAlign w:val="center"/>
                </w:tcPr>
                <w:p w14:paraId="4D1C8709">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本项目不涉及在长江</w:t>
                  </w:r>
                  <w:r>
                    <w:rPr>
                      <w:rFonts w:ascii="Times New Roman" w:hAnsi="Times New Roman" w:cs="Times New Roman"/>
                      <w:color w:val="000000" w:themeColor="text1"/>
                      <w:szCs w:val="22"/>
                      <w14:textFill>
                        <w14:solidFill>
                          <w14:schemeClr w14:val="tx1"/>
                        </w14:solidFill>
                      </w14:textFill>
                    </w:rPr>
                    <w:t>流域水上运输剧毒化学品和国家规定禁止通过内河运输的其他危险化学品</w:t>
                  </w:r>
                </w:p>
              </w:tc>
              <w:tc>
                <w:tcPr>
                  <w:tcW w:w="499" w:type="pct"/>
                  <w:vAlign w:val="center"/>
                </w:tcPr>
                <w:p w14:paraId="5A75524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2D16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D9E4173">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544" w:type="pct"/>
                  <w:vAlign w:val="center"/>
                </w:tcPr>
                <w:p w14:paraId="2B4198B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2"/>
                      <w14:textFill>
                        <w14:solidFill>
                          <w14:schemeClr w14:val="tx1"/>
                        </w14:solidFill>
                      </w14:textFill>
                    </w:rPr>
                    <w:t>禁止违法利用、占用长江流域河湖岸线</w:t>
                  </w:r>
                </w:p>
              </w:tc>
              <w:tc>
                <w:tcPr>
                  <w:tcW w:w="1551" w:type="pct"/>
                  <w:vAlign w:val="center"/>
                </w:tcPr>
                <w:p w14:paraId="0E8B95D2">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不涉及利用</w:t>
                  </w:r>
                  <w:r>
                    <w:rPr>
                      <w:rFonts w:ascii="Times New Roman" w:hAnsi="Times New Roman" w:cs="Times New Roman"/>
                      <w:color w:val="000000" w:themeColor="text1"/>
                      <w:kern w:val="0"/>
                      <w:szCs w:val="22"/>
                      <w14:textFill>
                        <w14:solidFill>
                          <w14:schemeClr w14:val="tx1"/>
                        </w14:solidFill>
                      </w14:textFill>
                    </w:rPr>
                    <w:t>、占用长江流域河湖岸线</w:t>
                  </w:r>
                </w:p>
              </w:tc>
              <w:tc>
                <w:tcPr>
                  <w:tcW w:w="499" w:type="pct"/>
                  <w:vAlign w:val="center"/>
                </w:tcPr>
                <w:p w14:paraId="1BFF52C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5E70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D319E0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544" w:type="pct"/>
                  <w:vAlign w:val="center"/>
                </w:tcPr>
                <w:p w14:paraId="5387EBA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2"/>
                      <w14:textFill>
                        <w14:solidFill>
                          <w14:schemeClr w14:val="tx1"/>
                        </w14:solidFill>
                      </w14:textFill>
                    </w:rPr>
                    <w:t>禁止在长江流域水土流失严重、生态脆弱的区域开展可能造成水土流失的生产建设活动。确因国家发展战略和国计民生需要建设的，应当经科学论证，并依法办理审批手续</w:t>
                  </w:r>
                </w:p>
              </w:tc>
              <w:tc>
                <w:tcPr>
                  <w:tcW w:w="1551" w:type="pct"/>
                  <w:vAlign w:val="center"/>
                </w:tcPr>
                <w:p w14:paraId="2068243C">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szCs w:val="21"/>
                      <w14:textFill>
                        <w14:solidFill>
                          <w14:schemeClr w14:val="tx1"/>
                        </w14:solidFill>
                      </w14:textFill>
                    </w:rPr>
                    <w:t>位于重庆西彭工业园区西彭组团D标准分区，</w:t>
                  </w:r>
                  <w:r>
                    <w:rPr>
                      <w:rFonts w:ascii="Times New Roman" w:hAnsi="Times New Roman" w:cs="Times New Roman"/>
                      <w:color w:val="000000" w:themeColor="text1"/>
                      <w14:textFill>
                        <w14:solidFill>
                          <w14:schemeClr w14:val="tx1"/>
                        </w14:solidFill>
                      </w14:textFill>
                    </w:rPr>
                    <w:t>选址不属于</w:t>
                  </w:r>
                  <w:r>
                    <w:rPr>
                      <w:rFonts w:ascii="Times New Roman" w:hAnsi="Times New Roman" w:cs="Times New Roman"/>
                      <w:color w:val="000000" w:themeColor="text1"/>
                      <w:kern w:val="0"/>
                      <w:szCs w:val="22"/>
                      <w14:textFill>
                        <w14:solidFill>
                          <w14:schemeClr w14:val="tx1"/>
                        </w14:solidFill>
                      </w14:textFill>
                    </w:rPr>
                    <w:t>长江流域水土流失严重、生态脆弱的区域</w:t>
                  </w:r>
                </w:p>
              </w:tc>
              <w:tc>
                <w:tcPr>
                  <w:tcW w:w="499" w:type="pct"/>
                  <w:vAlign w:val="center"/>
                </w:tcPr>
                <w:p w14:paraId="5642DEF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r w14:paraId="06D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977FF5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544" w:type="pct"/>
                  <w:vAlign w:val="center"/>
                </w:tcPr>
                <w:p w14:paraId="7B8B3B8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推动钢铁、石油、化工、有色金属、建材、船舶等产业升级改造，提升技术装备水平；推动造纸、制革、电镀、印染、有色金属、农药、氮肥、焦化、原料药制造等企业实施清洁化改造。企业应当通过技术创新减少资源消耗和污染物排放。采取措施加快重点地区危险化学品生产企业搬迁改造</w:t>
                  </w:r>
                </w:p>
              </w:tc>
              <w:tc>
                <w:tcPr>
                  <w:tcW w:w="1551" w:type="pct"/>
                  <w:vAlign w:val="center"/>
                </w:tcPr>
                <w:p w14:paraId="2777166A">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本项目不涉及</w:t>
                  </w:r>
                  <w:r>
                    <w:rPr>
                      <w:rFonts w:hint="eastAsia" w:ascii="Times New Roman" w:hAnsi="Times New Roman" w:cs="Times New Roman"/>
                      <w:color w:val="000000" w:themeColor="text1"/>
                      <w14:textFill>
                        <w14:solidFill>
                          <w14:schemeClr w14:val="tx1"/>
                        </w14:solidFill>
                      </w14:textFill>
                    </w:rPr>
                    <w:t>限制</w:t>
                  </w:r>
                  <w:r>
                    <w:rPr>
                      <w:rFonts w:ascii="Times New Roman" w:hAnsi="Times New Roman" w:cs="Times New Roman"/>
                      <w:color w:val="000000" w:themeColor="text1"/>
                      <w14:textFill>
                        <w14:solidFill>
                          <w14:schemeClr w14:val="tx1"/>
                        </w14:solidFill>
                      </w14:textFill>
                    </w:rPr>
                    <w:t>类、淘汰类设备使用，不涉及</w:t>
                  </w:r>
                  <w:r>
                    <w:rPr>
                      <w:rFonts w:ascii="Times New Roman" w:hAnsi="Times New Roman" w:cs="Times New Roman"/>
                      <w:color w:val="000000" w:themeColor="text1"/>
                      <w:szCs w:val="21"/>
                      <w14:textFill>
                        <w14:solidFill>
                          <w14:schemeClr w14:val="tx1"/>
                        </w14:solidFill>
                      </w14:textFill>
                    </w:rPr>
                    <w:t>危险化学品生产</w:t>
                  </w:r>
                </w:p>
              </w:tc>
              <w:tc>
                <w:tcPr>
                  <w:tcW w:w="499" w:type="pct"/>
                  <w:vAlign w:val="center"/>
                </w:tcPr>
                <w:p w14:paraId="1EA3A3DF">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w:t>
                  </w:r>
                </w:p>
              </w:tc>
            </w:tr>
          </w:tbl>
          <w:p w14:paraId="4FD87A8E">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根据上表分析可知，本项目满足《中华人民共和国长江保护法》的相关要求。</w:t>
            </w:r>
          </w:p>
          <w:p w14:paraId="3EE26A82">
            <w:pPr>
              <w:spacing w:line="360" w:lineRule="auto"/>
              <w:ind w:firstLine="482" w:firstLineChars="200"/>
              <w:rPr>
                <w:rFonts w:ascii="Times New Roman" w:hAnsi="Times New Roman" w:cs="Times New Roman"/>
                <w:color w:val="000000" w:themeColor="text1"/>
                <w:sz w:val="24"/>
                <w:szCs w:val="32"/>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5）与《重庆市水生态环境保护“十四五”规划（2021~2025 年）》 符合性分析</w:t>
            </w:r>
          </w:p>
          <w:p w14:paraId="0F1CDDAA">
            <w:pPr>
              <w:spacing w:line="360" w:lineRule="auto"/>
              <w:ind w:firstLine="480" w:firstLineChars="200"/>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根据《重庆市生态环境局关于印发《重庆市水生态环境保护“十四五” 规划（2021~2025年）》的函》（渝环函〔2022〕347号），《重庆市水生态环境保护</w:t>
            </w:r>
            <w:r>
              <w:rPr>
                <w:rFonts w:hint="eastAsia" w:ascii="Times New Roman" w:hAnsi="Times New Roman" w:cs="Times New Roman"/>
                <w:color w:val="000000" w:themeColor="text1"/>
                <w:sz w:val="24"/>
                <w:szCs w:val="32"/>
                <w14:textFill>
                  <w14:solidFill>
                    <w14:schemeClr w14:val="tx1"/>
                  </w14:solidFill>
                </w14:textFill>
              </w:rPr>
              <w:t>“</w:t>
            </w:r>
            <w:r>
              <w:rPr>
                <w:rFonts w:ascii="Times New Roman" w:hAnsi="Times New Roman" w:cs="Times New Roman"/>
                <w:color w:val="000000" w:themeColor="text1"/>
                <w:sz w:val="24"/>
                <w:szCs w:val="32"/>
                <w14:textFill>
                  <w14:solidFill>
                    <w14:schemeClr w14:val="tx1"/>
                  </w14:solidFill>
                </w14:textFill>
              </w:rPr>
              <w:t>十四五</w:t>
            </w:r>
            <w:r>
              <w:rPr>
                <w:rFonts w:hint="eastAsia" w:ascii="Times New Roman" w:hAnsi="Times New Roman" w:cs="Times New Roman"/>
                <w:color w:val="000000" w:themeColor="text1"/>
                <w:sz w:val="24"/>
                <w:szCs w:val="32"/>
                <w14:textFill>
                  <w14:solidFill>
                    <w14:schemeClr w14:val="tx1"/>
                  </w14:solidFill>
                </w14:textFill>
              </w:rPr>
              <w:t>”</w:t>
            </w:r>
            <w:r>
              <w:rPr>
                <w:rFonts w:ascii="Times New Roman" w:hAnsi="Times New Roman" w:cs="Times New Roman"/>
                <w:color w:val="000000" w:themeColor="text1"/>
                <w:sz w:val="24"/>
                <w:szCs w:val="32"/>
                <w14:textFill>
                  <w14:solidFill>
                    <w14:schemeClr w14:val="tx1"/>
                  </w14:solidFill>
                </w14:textFill>
              </w:rPr>
              <w:t>规划（2021~2025年）》提出：</w:t>
            </w:r>
          </w:p>
          <w:p w14:paraId="61706D77">
            <w:pPr>
              <w:spacing w:line="360" w:lineRule="auto"/>
              <w:ind w:firstLine="480" w:firstLineChars="200"/>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强化生态空间管控。严格落实岸线空间管控，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禁止在长江流域重点生态功能区布局对生态系统有严重影响的产业。禁止市外重污染企业和项目向我市转移。除在安全或者产业布局等方面有特殊要求的项目外，新建有污染物排放的工业项目应当进入工业集聚区，新建化工项目应当进入全市统一布局的化工产业集聚区。</w:t>
            </w:r>
          </w:p>
          <w:p w14:paraId="31245C9A">
            <w:pPr>
              <w:spacing w:line="360" w:lineRule="auto"/>
              <w:ind w:firstLine="480" w:firstLineChars="200"/>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符合性分析：项目位于重庆市西彭工业园区</w:t>
            </w:r>
            <w:r>
              <w:rPr>
                <w:rFonts w:hint="eastAsia" w:ascii="Times New Roman" w:hAnsi="Times New Roman" w:cs="Times New Roman"/>
                <w:color w:val="000000" w:themeColor="text1"/>
                <w:sz w:val="24"/>
                <w:szCs w:val="32"/>
                <w14:textFill>
                  <w14:solidFill>
                    <w14:schemeClr w14:val="tx1"/>
                  </w14:solidFill>
                </w14:textFill>
              </w:rPr>
              <w:t>D</w:t>
            </w:r>
            <w:r>
              <w:rPr>
                <w:rFonts w:ascii="Times New Roman" w:hAnsi="Times New Roman" w:cs="Times New Roman"/>
                <w:color w:val="000000" w:themeColor="text1"/>
                <w:sz w:val="24"/>
                <w:szCs w:val="32"/>
                <w14:textFill>
                  <w14:solidFill>
                    <w14:schemeClr w14:val="tx1"/>
                  </w14:solidFill>
                </w14:textFill>
              </w:rPr>
              <w:t>标准分区，不属于化工、尾矿库项目，占地不涉及重点生态功能区。符合规划要求。</w:t>
            </w:r>
          </w:p>
          <w:p w14:paraId="5B0148C6">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6）</w:t>
            </w:r>
            <w:r>
              <w:rPr>
                <w:rFonts w:ascii="Times New Roman" w:hAnsi="Times New Roman" w:cs="Times New Roman"/>
                <w:b/>
                <w:color w:val="000000" w:themeColor="text1"/>
                <w:sz w:val="24"/>
                <w14:textFill>
                  <w14:solidFill>
                    <w14:schemeClr w14:val="tx1"/>
                  </w14:solidFill>
                </w14:textFill>
              </w:rPr>
              <w:t>与《重庆市生态环境保护</w:t>
            </w:r>
            <w:r>
              <w:rPr>
                <w:rFonts w:hint="eastAsia" w:ascii="Times New Roman" w:hAnsi="Times New Roman" w:cs="Times New Roman"/>
                <w:b/>
                <w:color w:val="000000" w:themeColor="text1"/>
                <w:sz w:val="24"/>
                <w14:textFill>
                  <w14:solidFill>
                    <w14:schemeClr w14:val="tx1"/>
                  </w14:solidFill>
                </w14:textFill>
              </w:rPr>
              <w:t>“</w:t>
            </w:r>
            <w:r>
              <w:rPr>
                <w:rFonts w:ascii="Times New Roman" w:hAnsi="Times New Roman" w:cs="Times New Roman"/>
                <w:b/>
                <w:color w:val="000000" w:themeColor="text1"/>
                <w:sz w:val="24"/>
                <w14:textFill>
                  <w14:solidFill>
                    <w14:schemeClr w14:val="tx1"/>
                  </w14:solidFill>
                </w14:textFill>
              </w:rPr>
              <w:t>十四五</w:t>
            </w:r>
            <w:r>
              <w:rPr>
                <w:rFonts w:hint="eastAsia" w:ascii="Times New Roman" w:hAnsi="Times New Roman" w:cs="Times New Roman"/>
                <w:b/>
                <w:color w:val="000000" w:themeColor="text1"/>
                <w:sz w:val="24"/>
                <w14:textFill>
                  <w14:solidFill>
                    <w14:schemeClr w14:val="tx1"/>
                  </w14:solidFill>
                </w14:textFill>
              </w:rPr>
              <w:t>”</w:t>
            </w:r>
            <w:r>
              <w:rPr>
                <w:rFonts w:ascii="Times New Roman" w:hAnsi="Times New Roman" w:cs="Times New Roman"/>
                <w:b/>
                <w:color w:val="000000" w:themeColor="text1"/>
                <w:sz w:val="24"/>
                <w14:textFill>
                  <w14:solidFill>
                    <w14:schemeClr w14:val="tx1"/>
                  </w14:solidFill>
                </w14:textFill>
              </w:rPr>
              <w:t>规划（2021~2025年）》（渝府发〔2022〕11号）符合性分析</w:t>
            </w:r>
          </w:p>
          <w:p w14:paraId="5B51C30C">
            <w:pPr>
              <w:spacing w:line="460" w:lineRule="exact"/>
              <w:ind w:firstLine="480" w:firstLineChars="200"/>
              <w:jc w:val="center"/>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《重庆市生态环境保护</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十四五</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规划（2021~2025年）》（渝府发〔2022〕</w:t>
            </w:r>
          </w:p>
          <w:p w14:paraId="6AB48B82">
            <w:pPr>
              <w:spacing w:line="460" w:lineRule="exact"/>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11号）于2022年1月7日开始执行，对比该文件，本项目符合性分析如下：</w:t>
            </w:r>
          </w:p>
          <w:p w14:paraId="2B58E680">
            <w:pPr>
              <w:spacing w:line="460" w:lineRule="exact"/>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表1</w:t>
            </w:r>
            <w:r>
              <w:rPr>
                <w:rFonts w:hint="eastAsia" w:ascii="Times New Roman" w:hAnsi="Times New Roman" w:cs="Times New Roman"/>
                <w:b/>
                <w:color w:val="000000" w:themeColor="text1"/>
                <w:sz w:val="24"/>
                <w14:textFill>
                  <w14:solidFill>
                    <w14:schemeClr w14:val="tx1"/>
                  </w14:solidFill>
                </w14:textFill>
              </w:rPr>
              <w:t>.2-6项目</w:t>
            </w:r>
            <w:r>
              <w:rPr>
                <w:rFonts w:ascii="Times New Roman" w:hAnsi="Times New Roman" w:cs="Times New Roman"/>
                <w:b/>
                <w:color w:val="000000" w:themeColor="text1"/>
                <w:sz w:val="24"/>
                <w14:textFill>
                  <w14:solidFill>
                    <w14:schemeClr w14:val="tx1"/>
                  </w14:solidFill>
                </w14:textFill>
              </w:rPr>
              <w:t>与（渝府发〔2022〕11号）符合性分析</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1"/>
              <w:gridCol w:w="2459"/>
              <w:gridCol w:w="720"/>
            </w:tblGrid>
            <w:tr w14:paraId="425B3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0C8F8209">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要求</w:t>
                  </w:r>
                </w:p>
              </w:tc>
              <w:tc>
                <w:tcPr>
                  <w:tcW w:w="1526" w:type="pct"/>
                  <w:tcBorders>
                    <w:tl2br w:val="nil"/>
                    <w:tr2bl w:val="nil"/>
                  </w:tcBorders>
                  <w:vAlign w:val="center"/>
                </w:tcPr>
                <w:p w14:paraId="787C5C52">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本项目情况</w:t>
                  </w:r>
                </w:p>
              </w:tc>
              <w:tc>
                <w:tcPr>
                  <w:tcW w:w="447" w:type="pct"/>
                  <w:tcBorders>
                    <w:tl2br w:val="nil"/>
                    <w:tr2bl w:val="nil"/>
                  </w:tcBorders>
                  <w:vAlign w:val="center"/>
                </w:tcPr>
                <w:p w14:paraId="55EEB9D0">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符合性</w:t>
                  </w:r>
                </w:p>
              </w:tc>
            </w:tr>
            <w:tr w14:paraId="6345F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412CCF78">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改善水环境质量</w:t>
                  </w:r>
                  <w:r>
                    <w:rPr>
                      <w:rFonts w:hint="eastAsia" w:ascii="Times New Roman" w:hAnsi="Times New Roman" w:eastAsia="宋体" w:cs="Times New Roman"/>
                      <w:color w:val="000000" w:themeColor="text1"/>
                      <w:spacing w:val="-2"/>
                      <w:szCs w:val="21"/>
                      <w14:textFill>
                        <w14:solidFill>
                          <w14:schemeClr w14:val="tx1"/>
                        </w14:solidFill>
                      </w14:textFill>
                    </w:rPr>
                    <w:t>：加强河流水质目标管理，加强重点水环境综合治理，修复水生态扩大水环境容量，严格保护饮用水水源地水质安全</w:t>
                  </w:r>
                </w:p>
              </w:tc>
              <w:tc>
                <w:tcPr>
                  <w:tcW w:w="1526" w:type="pct"/>
                  <w:tcBorders>
                    <w:tl2br w:val="nil"/>
                    <w:tr2bl w:val="nil"/>
                  </w:tcBorders>
                  <w:vAlign w:val="center"/>
                </w:tcPr>
                <w:p w14:paraId="6F2007AE">
                  <w:pPr>
                    <w:adjustRightInd w:val="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本项目用水来源于市政自来水管网，运营期产生的生活污水依托</w:t>
                  </w:r>
                  <w:r>
                    <w:rPr>
                      <w:rFonts w:hint="eastAsia" w:ascii="Times New Roman" w:hAnsi="Times New Roman" w:eastAsia="宋体" w:cs="Times New Roman"/>
                      <w:color w:val="000000" w:themeColor="text1"/>
                      <w:spacing w:val="-2"/>
                      <w:szCs w:val="21"/>
                      <w:lang w:eastAsia="zh-CN"/>
                      <w14:textFill>
                        <w14:solidFill>
                          <w14:schemeClr w14:val="tx1"/>
                        </w14:solidFill>
                      </w14:textFill>
                    </w:rPr>
                    <w:t>盛德佳</w:t>
                  </w:r>
                  <w:r>
                    <w:rPr>
                      <w:rFonts w:hint="eastAsia" w:ascii="Times New Roman" w:hAnsi="Times New Roman" w:eastAsia="宋体" w:cs="Times New Roman"/>
                      <w:color w:val="000000" w:themeColor="text1"/>
                      <w:spacing w:val="-2"/>
                      <w:szCs w:val="21"/>
                      <w14:textFill>
                        <w14:solidFill>
                          <w14:schemeClr w14:val="tx1"/>
                        </w14:solidFill>
                      </w14:textFill>
                    </w:rPr>
                    <w:t>公司生化池处理达标后排入西彭工业园区污水处理厂。</w:t>
                  </w:r>
                </w:p>
              </w:tc>
              <w:tc>
                <w:tcPr>
                  <w:tcW w:w="447" w:type="pct"/>
                  <w:tcBorders>
                    <w:tl2br w:val="nil"/>
                    <w:tr2bl w:val="nil"/>
                  </w:tcBorders>
                  <w:vAlign w:val="center"/>
                </w:tcPr>
                <w:p w14:paraId="3AD39D4A">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13A98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0EE5FBBE">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提升大气环境质量</w:t>
                  </w:r>
                  <w:r>
                    <w:rPr>
                      <w:rFonts w:hint="eastAsia" w:ascii="Times New Roman" w:hAnsi="Times New Roman" w:eastAsia="宋体" w:cs="Times New Roman"/>
                      <w:color w:val="000000" w:themeColor="text1"/>
                      <w:spacing w:val="-2"/>
                      <w:szCs w:val="21"/>
                      <w14:textFill>
                        <w14:solidFill>
                          <w14:schemeClr w14:val="tx1"/>
                        </w14:solidFill>
                      </w14:textFill>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526" w:type="pct"/>
                  <w:tcBorders>
                    <w:tl2br w:val="nil"/>
                    <w:tr2bl w:val="nil"/>
                  </w:tcBorders>
                  <w:vAlign w:val="center"/>
                </w:tcPr>
                <w:p w14:paraId="27F770A1">
                  <w:pPr>
                    <w:adjustRightInd w:val="0"/>
                    <w:jc w:val="center"/>
                    <w:rPr>
                      <w:rFonts w:hint="eastAsia" w:ascii="Times New Roman" w:hAnsi="Times New Roman" w:eastAsia="宋体" w:cs="Times New Roman"/>
                      <w:color w:val="000000" w:themeColor="text1"/>
                      <w:spacing w:val="-2"/>
                      <w:szCs w:val="21"/>
                      <w:lang w:eastAsia="zh-CN"/>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本项目</w:t>
                  </w:r>
                  <w:r>
                    <w:rPr>
                      <w:rFonts w:hint="eastAsia" w:ascii="Times New Roman" w:hAnsi="Times New Roman" w:eastAsia="宋体" w:cs="Times New Roman"/>
                      <w:color w:val="000000" w:themeColor="text1"/>
                      <w:spacing w:val="-2"/>
                      <w:szCs w:val="21"/>
                      <w14:textFill>
                        <w14:solidFill>
                          <w14:schemeClr w14:val="tx1"/>
                        </w14:solidFill>
                      </w14:textFill>
                    </w:rPr>
                    <w:t>不涉及高VOCs含量产品及原辅料的使用，生产</w:t>
                  </w:r>
                  <w:r>
                    <w:rPr>
                      <w:rFonts w:hint="eastAsia" w:ascii="Times New Roman" w:hAnsi="Times New Roman" w:eastAsia="宋体" w:cs="Times New Roman"/>
                      <w:color w:val="000000" w:themeColor="text1"/>
                      <w:spacing w:val="-2"/>
                      <w:szCs w:val="21"/>
                      <w:lang w:eastAsia="zh-CN"/>
                      <w14:textFill>
                        <w14:solidFill>
                          <w14:schemeClr w14:val="tx1"/>
                        </w14:solidFill>
                      </w14:textFill>
                    </w:rPr>
                    <w:t>过程中</w:t>
                  </w:r>
                  <w:r>
                    <w:rPr>
                      <w:rFonts w:hint="eastAsia" w:ascii="Times New Roman" w:hAnsi="Times New Roman" w:eastAsia="宋体" w:cs="Times New Roman"/>
                      <w:color w:val="000000" w:themeColor="text1"/>
                      <w:spacing w:val="-2"/>
                      <w:szCs w:val="21"/>
                      <w14:textFill>
                        <w14:solidFill>
                          <w14:schemeClr w14:val="tx1"/>
                        </w14:solidFill>
                      </w14:textFill>
                    </w:rPr>
                    <w:t>产生的少量有机废气经收集处理后达标排放，无组织排放量较少</w:t>
                  </w:r>
                  <w:r>
                    <w:rPr>
                      <w:rFonts w:hint="eastAsia" w:ascii="Times New Roman" w:hAnsi="Times New Roman" w:eastAsia="宋体" w:cs="Times New Roman"/>
                      <w:color w:val="000000" w:themeColor="text1"/>
                      <w:spacing w:val="-2"/>
                      <w:szCs w:val="21"/>
                      <w:lang w:eastAsia="zh-CN"/>
                      <w14:textFill>
                        <w14:solidFill>
                          <w14:schemeClr w14:val="tx1"/>
                        </w14:solidFill>
                      </w14:textFill>
                    </w:rPr>
                    <w:t>。</w:t>
                  </w:r>
                </w:p>
              </w:tc>
              <w:tc>
                <w:tcPr>
                  <w:tcW w:w="447" w:type="pct"/>
                  <w:tcBorders>
                    <w:tl2br w:val="nil"/>
                    <w:tr2bl w:val="nil"/>
                  </w:tcBorders>
                  <w:vAlign w:val="center"/>
                </w:tcPr>
                <w:p w14:paraId="5AA8AAB3">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2BAEA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6A0E5E47">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协同防治土壤和地下水污染</w:t>
                  </w:r>
                  <w:r>
                    <w:rPr>
                      <w:rFonts w:hint="eastAsia" w:ascii="Times New Roman" w:hAnsi="Times New Roman" w:eastAsia="宋体" w:cs="Times New Roman"/>
                      <w:color w:val="000000" w:themeColor="text1"/>
                      <w:spacing w:val="-2"/>
                      <w:szCs w:val="21"/>
                      <w14:textFill>
                        <w14:solidFill>
                          <w14:schemeClr w14:val="tx1"/>
                        </w14:solidFill>
                      </w14:textFill>
                    </w:rPr>
                    <w:t>：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实施重点区域土壤污染综合防控。选择典型行业和企业，开展企业用地及周边农用地土壤污染状况调查，掌握典型行业企业生产经营活动对企业用地及周边农用地土壤生态环境的影响。根据土壤污染状况详查结果，识别土壤环境问题突出的重点区域、重点行业和优先管控污染物。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物处置场、垃圾填埋场等为重点，开展防渗情况检测评估，统筹推进地下水安全源头预防和风险管控。建立地下水监测网络，开展地下水污染防治分区划分，公布地下水污染地块清单。开展地下水污染修复试点，实施地表水—地下水、土壤—地下水、区域—地块地下水污染协同防治。探索地下水污染防治的管理模式和技术路径，保持地下水环境质量总体稳定。</w:t>
                  </w:r>
                </w:p>
              </w:tc>
              <w:tc>
                <w:tcPr>
                  <w:tcW w:w="1526" w:type="pct"/>
                  <w:tcBorders>
                    <w:tl2br w:val="nil"/>
                    <w:tr2bl w:val="nil"/>
                  </w:tcBorders>
                  <w:vAlign w:val="center"/>
                </w:tcPr>
                <w:p w14:paraId="4443C041">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vAlign w:val="center"/>
                </w:tcPr>
                <w:p w14:paraId="76335E1E">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12CEA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65BBAB4B">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管控噪声环境影响</w:t>
                  </w:r>
                  <w:r>
                    <w:rPr>
                      <w:rFonts w:hint="eastAsia" w:ascii="Times New Roman" w:hAnsi="Times New Roman" w:eastAsia="宋体" w:cs="Times New Roman"/>
                      <w:color w:val="000000" w:themeColor="text1"/>
                      <w:spacing w:val="-2"/>
                      <w:szCs w:val="21"/>
                      <w14:textFill>
                        <w14:solidFill>
                          <w14:schemeClr w14:val="tx1"/>
                        </w14:solidFill>
                      </w14:textFill>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526" w:type="pct"/>
                  <w:tcBorders>
                    <w:tl2br w:val="nil"/>
                    <w:tr2bl w:val="nil"/>
                  </w:tcBorders>
                  <w:vAlign w:val="center"/>
                </w:tcPr>
                <w:p w14:paraId="6BA752C8">
                  <w:pPr>
                    <w:adjustRightIn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本项目将严格落实施工期噪声监管措施；主要生产设备布局远离噪声敏感点，并采取相应的降噪措施，避免出现噪声扰民事件。本项目所在地属于3类声功能区</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447" w:type="pct"/>
                  <w:tcBorders>
                    <w:tl2br w:val="nil"/>
                    <w:tr2bl w:val="nil"/>
                  </w:tcBorders>
                  <w:vAlign w:val="center"/>
                </w:tcPr>
                <w:p w14:paraId="0D1FAA23">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5D6E1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1E035790">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健全环境风险防控体系</w:t>
                  </w:r>
                  <w:r>
                    <w:rPr>
                      <w:rFonts w:hint="eastAsia" w:ascii="Times New Roman" w:hAnsi="Times New Roman" w:eastAsia="宋体" w:cs="Times New Roman"/>
                      <w:color w:val="000000" w:themeColor="text1"/>
                      <w:spacing w:val="-2"/>
                      <w:szCs w:val="21"/>
                      <w14:textFill>
                        <w14:solidFill>
                          <w14:schemeClr w14:val="tx1"/>
                        </w14:solidFill>
                      </w14:textFill>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p w14:paraId="0142F0E1">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完善环境风险预警体系。加强环境风险隐患排查整治，定期开展环境安全排查整治专项行动，建立环境风险隐患排查档案，实行销号制度。强化区域环境风险防范预警体系建设，完善部门协同和信息共享机制。强化化工园区涉水突发环境事件四级环境风险防范体系建设。持续推进重点化工园区（化工集中区）建设有毒有害气体监测预警体系和水质生物毒性预警体系。</w:t>
                  </w:r>
                </w:p>
                <w:p w14:paraId="001F98BF">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强化应急响应管理。按照政府主导、企业主体、部门联动、专家支持、社会救援的突发环境事件应急处置机制，积极推动企业环境应急专业救援队伍参与全市环境应急抢险救援工作。重点企业和乡镇级以上人民政府应当制定突发环境事件应急预案。定期组织开展突发环境事件应急演练，妥善处置突发环境事件。推进基层环境应急能力建设，推动环境应急信息化、智慧化管理，完善环境风险管理应急指挥体系。完善环境应急物资储备网络，加强特征污染物应急物资储备。</w:t>
                  </w:r>
                </w:p>
                <w:p w14:paraId="573382EC">
                  <w:pPr>
                    <w:adjustRightInd w:val="0"/>
                    <w:snapToGrid w:val="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加强生态环境与健康风险管理。以在校青少年和农村居民等人群为重点，向公众、家庭、单位（企业）普及生态环境与健康相关的防护和应对知识，提升生态环境与健康素养。开展重点区域、流域、行业生态环境与健康风险调查监测，建立完善生态环境与健康风险监测网络。</w:t>
                  </w:r>
                </w:p>
              </w:tc>
              <w:tc>
                <w:tcPr>
                  <w:tcW w:w="1526" w:type="pct"/>
                  <w:tcBorders>
                    <w:tl2br w:val="nil"/>
                    <w:tr2bl w:val="nil"/>
                  </w:tcBorders>
                  <w:vAlign w:val="center"/>
                </w:tcPr>
                <w:p w14:paraId="6E326B2A">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本项目无重大风险，评价要求企业应自主组织开展应急预案培训、宣传及演练。</w:t>
                  </w:r>
                </w:p>
              </w:tc>
              <w:tc>
                <w:tcPr>
                  <w:tcW w:w="447" w:type="pct"/>
                  <w:tcBorders>
                    <w:tl2br w:val="nil"/>
                    <w:tr2bl w:val="nil"/>
                  </w:tcBorders>
                  <w:vAlign w:val="center"/>
                </w:tcPr>
                <w:p w14:paraId="1F460D04">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bl>
          <w:p w14:paraId="633C323B">
            <w:pPr>
              <w:keepNext/>
              <w:overflowPunct w:val="0"/>
              <w:adjustRightInd w:val="0"/>
              <w:snapToGrid w:val="0"/>
              <w:spacing w:line="46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由上表分析可知，本项目建设符合《重庆市生态环境保护“十四五”规划</w:t>
            </w:r>
          </w:p>
          <w:p w14:paraId="175FF400">
            <w:pPr>
              <w:keepNext/>
              <w:overflowPunct w:val="0"/>
              <w:adjustRightInd w:val="0"/>
              <w:snapToGrid w:val="0"/>
              <w:spacing w:line="460" w:lineRule="exac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（2021~2025年）》（渝府发〔2022〕11号）。</w:t>
            </w:r>
          </w:p>
          <w:p w14:paraId="5720736C">
            <w:pPr>
              <w:keepNext/>
              <w:overflowPunct w:val="0"/>
              <w:adjustRightInd w:val="0"/>
              <w:snapToGrid w:val="0"/>
              <w:spacing w:line="460" w:lineRule="exact"/>
              <w:ind w:firstLine="482" w:firstLineChars="200"/>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7）</w:t>
            </w:r>
            <w:r>
              <w:rPr>
                <w:rFonts w:ascii="Times New Roman" w:hAnsi="Times New Roman" w:cs="Times New Roman"/>
                <w:b/>
                <w:bCs/>
                <w:color w:val="000000" w:themeColor="text1"/>
                <w:sz w:val="24"/>
                <w14:textFill>
                  <w14:solidFill>
                    <w14:schemeClr w14:val="tx1"/>
                  </w14:solidFill>
                </w14:textFill>
              </w:rPr>
              <w:t>与《重庆市九龙坡区生态环境保护“十四五”规划》（九龙坡府办发〔2022〕1号）符合性分析</w:t>
            </w:r>
          </w:p>
          <w:p w14:paraId="12F8E4C2">
            <w:pPr>
              <w:spacing w:line="460" w:lineRule="exact"/>
              <w:ind w:firstLine="480" w:firstLineChars="200"/>
              <w:jc w:val="center"/>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《重庆市九龙坡区生态环境保护</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十四五</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规划》（九龙坡府办发〔2022〕</w:t>
            </w:r>
          </w:p>
          <w:p w14:paraId="716C96E1">
            <w:pPr>
              <w:spacing w:line="460" w:lineRule="exact"/>
              <w:jc w:val="left"/>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1号）于2022年1月7日开始执行，对比该文件，本项目符合性分析如下：</w:t>
            </w:r>
          </w:p>
          <w:p w14:paraId="6DE51C9D">
            <w:pPr>
              <w:spacing w:line="460" w:lineRule="exac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表1</w:t>
            </w:r>
            <w:r>
              <w:rPr>
                <w:rFonts w:hint="eastAsia" w:ascii="Times New Roman" w:hAnsi="Times New Roman" w:cs="Times New Roman"/>
                <w:b/>
                <w:color w:val="000000" w:themeColor="text1"/>
                <w:sz w:val="24"/>
                <w14:textFill>
                  <w14:solidFill>
                    <w14:schemeClr w14:val="tx1"/>
                  </w14:solidFill>
                </w14:textFill>
              </w:rPr>
              <w:t>.2</w:t>
            </w:r>
            <w:r>
              <w:rPr>
                <w:rFonts w:ascii="Times New Roman" w:hAnsi="Times New Roman"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7</w:t>
            </w:r>
            <w:r>
              <w:rPr>
                <w:rFonts w:ascii="Times New Roman" w:hAnsi="Times New Roman" w:cs="Times New Roman"/>
                <w:b/>
                <w:color w:val="000000" w:themeColor="text1"/>
                <w:sz w:val="24"/>
                <w14:textFill>
                  <w14:solidFill>
                    <w14:schemeClr w14:val="tx1"/>
                  </w14:solidFill>
                </w14:textFill>
              </w:rPr>
              <w:t>与（九龙坡府办发〔2022〕1号）符合性分析（摘录）</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20"/>
              <w:gridCol w:w="2210"/>
              <w:gridCol w:w="720"/>
            </w:tblGrid>
            <w:tr w14:paraId="10FFA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09879C03">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要求</w:t>
                  </w:r>
                </w:p>
              </w:tc>
              <w:tc>
                <w:tcPr>
                  <w:tcW w:w="1373" w:type="pct"/>
                  <w:tcBorders>
                    <w:tl2br w:val="nil"/>
                    <w:tr2bl w:val="nil"/>
                  </w:tcBorders>
                  <w:vAlign w:val="center"/>
                </w:tcPr>
                <w:p w14:paraId="3278E500">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本项目情况</w:t>
                  </w:r>
                </w:p>
              </w:tc>
              <w:tc>
                <w:tcPr>
                  <w:tcW w:w="447" w:type="pct"/>
                  <w:tcBorders>
                    <w:tl2br w:val="nil"/>
                    <w:tr2bl w:val="nil"/>
                  </w:tcBorders>
                  <w:vAlign w:val="center"/>
                </w:tcPr>
                <w:p w14:paraId="62F5F688">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符合性</w:t>
                  </w:r>
                </w:p>
              </w:tc>
            </w:tr>
            <w:tr w14:paraId="7BFB0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3BE2B250">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改善水环境质量</w:t>
                  </w:r>
                  <w:r>
                    <w:rPr>
                      <w:rFonts w:hint="eastAsia" w:ascii="Times New Roman" w:hAnsi="Times New Roman" w:eastAsia="宋体" w:cs="Times New Roman"/>
                      <w:color w:val="000000" w:themeColor="text1"/>
                      <w:spacing w:val="-2"/>
                      <w:szCs w:val="21"/>
                      <w14:textFill>
                        <w14:solidFill>
                          <w14:schemeClr w14:val="tx1"/>
                        </w14:solidFill>
                      </w14:textFill>
                    </w:rPr>
                    <w:t>：整治污水偷排直排乱排问题；完善污水收集和处理措施；修复水生态扩大水环境容量；持续改善河流湖库水环境质量；保障集中式饮用水水源水质安全。</w:t>
                  </w:r>
                </w:p>
              </w:tc>
              <w:tc>
                <w:tcPr>
                  <w:tcW w:w="1373" w:type="pct"/>
                  <w:tcBorders>
                    <w:tl2br w:val="nil"/>
                    <w:tr2bl w:val="nil"/>
                  </w:tcBorders>
                  <w:vAlign w:val="center"/>
                </w:tcPr>
                <w:p w14:paraId="02DF82DB">
                  <w:pPr>
                    <w:adjustRightInd w:val="0"/>
                    <w:jc w:val="center"/>
                    <w:rPr>
                      <w:rFonts w:ascii="Times New Roman" w:hAnsi="Times New Roman"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本项目用水来源于市政自来水管网，运营期产生的生活污水依托</w:t>
                  </w:r>
                  <w:r>
                    <w:rPr>
                      <w:rFonts w:hint="eastAsia" w:ascii="Times New Roman" w:hAnsi="Times New Roman" w:eastAsia="宋体" w:cs="Times New Roman"/>
                      <w:color w:val="000000" w:themeColor="text1"/>
                      <w:spacing w:val="-2"/>
                      <w:szCs w:val="21"/>
                      <w:lang w:eastAsia="zh-CN"/>
                      <w14:textFill>
                        <w14:solidFill>
                          <w14:schemeClr w14:val="tx1"/>
                        </w14:solidFill>
                      </w14:textFill>
                    </w:rPr>
                    <w:t>盛德佳</w:t>
                  </w:r>
                  <w:r>
                    <w:rPr>
                      <w:rFonts w:hint="eastAsia" w:ascii="Times New Roman" w:hAnsi="Times New Roman" w:eastAsia="宋体" w:cs="Times New Roman"/>
                      <w:color w:val="000000" w:themeColor="text1"/>
                      <w:spacing w:val="-2"/>
                      <w:szCs w:val="21"/>
                      <w14:textFill>
                        <w14:solidFill>
                          <w14:schemeClr w14:val="tx1"/>
                        </w14:solidFill>
                      </w14:textFill>
                    </w:rPr>
                    <w:t>公司生化池处理达标后排入市政污水管网</w:t>
                  </w:r>
                  <w:r>
                    <w:rPr>
                      <w:rFonts w:hint="eastAsia"/>
                      <w:color w:val="000000" w:themeColor="text1"/>
                      <w14:textFill>
                        <w14:solidFill>
                          <w14:schemeClr w14:val="tx1"/>
                        </w14:solidFill>
                      </w14:textFill>
                    </w:rPr>
                    <w:t>接入西彭工业园区污水处理厂处置。</w:t>
                  </w:r>
                </w:p>
              </w:tc>
              <w:tc>
                <w:tcPr>
                  <w:tcW w:w="447" w:type="pct"/>
                  <w:tcBorders>
                    <w:tl2br w:val="nil"/>
                    <w:tr2bl w:val="nil"/>
                  </w:tcBorders>
                  <w:vAlign w:val="center"/>
                </w:tcPr>
                <w:p w14:paraId="53ABAC3A">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7B4B6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69647462">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改善</w:t>
                  </w:r>
                  <w:r>
                    <w:rPr>
                      <w:rFonts w:ascii="Times New Roman" w:hAnsi="Times New Roman" w:eastAsia="宋体" w:cs="Times New Roman"/>
                      <w:color w:val="000000" w:themeColor="text1"/>
                      <w:spacing w:val="-2"/>
                      <w:szCs w:val="21"/>
                      <w14:textFill>
                        <w14:solidFill>
                          <w14:schemeClr w14:val="tx1"/>
                        </w14:solidFill>
                      </w14:textFill>
                    </w:rPr>
                    <w:t>大气环境质量</w:t>
                  </w:r>
                  <w:r>
                    <w:rPr>
                      <w:rFonts w:hint="eastAsia" w:ascii="Times New Roman" w:hAnsi="Times New Roman" w:eastAsia="宋体" w:cs="Times New Roman"/>
                      <w:color w:val="000000" w:themeColor="text1"/>
                      <w:spacing w:val="-2"/>
                      <w:szCs w:val="21"/>
                      <w14:textFill>
                        <w14:solidFill>
                          <w14:schemeClr w14:val="tx1"/>
                        </w14:solidFill>
                      </w14:textFill>
                    </w:rPr>
                    <w:t>：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x综合整治，完成重点监管企业VOCx销号式综合整治。严格落实VOCx含量限值标准，大力推进低（无VOCx含量原辅料替代，将生产和使用高VOCx含量产品的企业列入强制性清洁生产审核名单。将VOCx纳入大气环境监测指标体系和污染物减排总量控制体系。</w:t>
                  </w:r>
                </w:p>
              </w:tc>
              <w:tc>
                <w:tcPr>
                  <w:tcW w:w="1373" w:type="pct"/>
                  <w:tcBorders>
                    <w:tl2br w:val="nil"/>
                    <w:tr2bl w:val="nil"/>
                  </w:tcBorders>
                  <w:vAlign w:val="center"/>
                </w:tcPr>
                <w:p w14:paraId="4DD1D441">
                  <w:pPr>
                    <w:adjustRightInd w:val="0"/>
                    <w:jc w:val="center"/>
                    <w:rPr>
                      <w:rFonts w:hint="eastAsia" w:ascii="Times New Roman" w:hAnsi="Times New Roman" w:eastAsia="宋体" w:cs="Times New Roman"/>
                      <w:color w:val="000000" w:themeColor="text1"/>
                      <w:spacing w:val="-2"/>
                      <w:szCs w:val="21"/>
                      <w:lang w:eastAsia="zh-CN"/>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本项目</w:t>
                  </w:r>
                  <w:r>
                    <w:rPr>
                      <w:rFonts w:hint="eastAsia" w:ascii="Times New Roman" w:hAnsi="Times New Roman" w:eastAsia="宋体" w:cs="Times New Roman"/>
                      <w:color w:val="000000" w:themeColor="text1"/>
                      <w:spacing w:val="-2"/>
                      <w:szCs w:val="21"/>
                      <w14:textFill>
                        <w14:solidFill>
                          <w14:schemeClr w14:val="tx1"/>
                        </w14:solidFill>
                      </w14:textFill>
                    </w:rPr>
                    <w:t>不涉及高VOCs含量产品及原辅料的使用，生产产生的少量有机废气经收集处理后达标排放</w:t>
                  </w:r>
                  <w:r>
                    <w:rPr>
                      <w:rFonts w:hint="eastAsia" w:ascii="Times New Roman" w:hAnsi="Times New Roman" w:eastAsia="宋体" w:cs="Times New Roman"/>
                      <w:color w:val="000000" w:themeColor="text1"/>
                      <w:spacing w:val="-2"/>
                      <w:szCs w:val="21"/>
                      <w:lang w:eastAsia="zh-CN"/>
                      <w14:textFill>
                        <w14:solidFill>
                          <w14:schemeClr w14:val="tx1"/>
                        </w14:solidFill>
                      </w14:textFill>
                    </w:rPr>
                    <w:t>。</w:t>
                  </w:r>
                </w:p>
              </w:tc>
              <w:tc>
                <w:tcPr>
                  <w:tcW w:w="447" w:type="pct"/>
                  <w:tcBorders>
                    <w:tl2br w:val="nil"/>
                    <w:tr2bl w:val="nil"/>
                  </w:tcBorders>
                  <w:vAlign w:val="center"/>
                </w:tcPr>
                <w:p w14:paraId="05C896BC">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2A7F8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17532FD8">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协同防治土壤和地下水污染</w:t>
                  </w:r>
                  <w:r>
                    <w:rPr>
                      <w:rFonts w:hint="eastAsia" w:ascii="Times New Roman" w:hAnsi="Times New Roman" w:eastAsia="宋体" w:cs="Times New Roman"/>
                      <w:color w:val="000000" w:themeColor="text1"/>
                      <w:spacing w:val="-2"/>
                      <w:szCs w:val="21"/>
                      <w14:textFill>
                        <w14:solidFill>
                          <w14:schemeClr w14:val="tx1"/>
                        </w14:solidFill>
                      </w14:textFill>
                    </w:rPr>
                    <w:t>：1）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2）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3）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4）推进固体废弃物减量化、无害化、资源化处置和利用。</w:t>
                  </w:r>
                </w:p>
                <w:p w14:paraId="6D5F283D">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开展一般工业固体废物和非正规固体废物堆存场所排查整治，有效防控环境风险。5）防控危险废物污染环境风险。支持大型企业自行利用处置危险废物，支持工业园区配套建设危险废物末段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权过程信息追踪。</w:t>
                  </w:r>
                </w:p>
              </w:tc>
              <w:tc>
                <w:tcPr>
                  <w:tcW w:w="1373" w:type="pct"/>
                  <w:tcBorders>
                    <w:tl2br w:val="nil"/>
                    <w:tr2bl w:val="nil"/>
                  </w:tcBorders>
                  <w:vAlign w:val="center"/>
                </w:tcPr>
                <w:p w14:paraId="7697A3E4">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vAlign w:val="center"/>
                </w:tcPr>
                <w:p w14:paraId="32776C39">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6846D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7A538E27">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ascii="Times New Roman" w:hAnsi="Times New Roman" w:eastAsia="宋体" w:cs="Times New Roman"/>
                      <w:color w:val="000000" w:themeColor="text1"/>
                      <w:spacing w:val="-2"/>
                      <w:szCs w:val="21"/>
                      <w14:textFill>
                        <w14:solidFill>
                          <w14:schemeClr w14:val="tx1"/>
                        </w14:solidFill>
                      </w14:textFill>
                    </w:rPr>
                    <w:t>管控噪声环境影响</w:t>
                  </w:r>
                  <w:r>
                    <w:rPr>
                      <w:rFonts w:hint="eastAsia" w:ascii="Times New Roman" w:hAnsi="Times New Roman" w:eastAsia="宋体" w:cs="Times New Roman"/>
                      <w:color w:val="000000" w:themeColor="text1"/>
                      <w:spacing w:val="-2"/>
                      <w:szCs w:val="21"/>
                      <w14:textFill>
                        <w14:solidFill>
                          <w14:schemeClr w14:val="tx1"/>
                        </w14:solidFill>
                      </w14:textFill>
                    </w:rPr>
                    <w:t>：1）加强建筑施工噪监管。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2）强化工业企业噪声监管。工业企业合理布局生产设施、改进生产工艺、使用低噪声设备，采取消声、隔声、减振等措施，消除或减轻噪声对周围生活环境的影响，确保厂界噪声达标。新建、扩建、改建的项目严格将防治噪声污染入环境影响评价和“三同时”内容。</w:t>
                  </w:r>
                </w:p>
              </w:tc>
              <w:tc>
                <w:tcPr>
                  <w:tcW w:w="1373" w:type="pct"/>
                  <w:tcBorders>
                    <w:tl2br w:val="nil"/>
                    <w:tr2bl w:val="nil"/>
                  </w:tcBorders>
                  <w:vAlign w:val="center"/>
                </w:tcPr>
                <w:p w14:paraId="72816B38">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本项目将严格落实施工期噪声监管措施；主要生产设备布局远离噪声敏感点，并采取相应的降噪措施，避免出现噪声扰民事件。本项目所在地属于3类声功能区</w:t>
                  </w:r>
                </w:p>
              </w:tc>
              <w:tc>
                <w:tcPr>
                  <w:tcW w:w="447" w:type="pct"/>
                  <w:tcBorders>
                    <w:tl2br w:val="nil"/>
                    <w:tr2bl w:val="nil"/>
                  </w:tcBorders>
                  <w:vAlign w:val="center"/>
                </w:tcPr>
                <w:p w14:paraId="69FB49B0">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r w14:paraId="2D1E9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00FFBCB4">
                  <w:pPr>
                    <w:adjustRightInd w:val="0"/>
                    <w:snapToGrid w:val="0"/>
                    <w:ind w:firstLine="412" w:firstLineChars="200"/>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加强环境风险防控与管理：1）加强环境风险评估。落实企业突发环境事件风险评估制度，实现重点企业突发环境事件应急预案备案全覆盖，推进突发环境事件风险分类分级管理，严格监管较大及以上环境风险。2）细化风险防范主体责任。全免推进环境风险企业“一源一事一案”及风险信息登记制度，督促企业落实环境应急管理规定、完善环境应急设备、开展应急岗位培训和应急演练，细化企业环境风险防范主体责任，推进境风险防控应急体系建设。3）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公园区环境风险防控和突发环境事件的应对能力。4）强化应急响应管理。建立政府主导、企业主体、部门联动、专家支持、社会救援的突发环境事件应急处置机制。积极推进企业环境应急专业救援队伍参与全区环境应急抢险救援工作。</w:t>
                  </w:r>
                </w:p>
              </w:tc>
              <w:tc>
                <w:tcPr>
                  <w:tcW w:w="1373" w:type="pct"/>
                  <w:tcBorders>
                    <w:tl2br w:val="nil"/>
                    <w:tr2bl w:val="nil"/>
                  </w:tcBorders>
                  <w:vAlign w:val="center"/>
                </w:tcPr>
                <w:p w14:paraId="6DF707D9">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本项目无重大风险，评价要求企业应自主组织开展应急预案培训、宣传及演练。</w:t>
                  </w:r>
                </w:p>
              </w:tc>
              <w:tc>
                <w:tcPr>
                  <w:tcW w:w="447" w:type="pct"/>
                  <w:tcBorders>
                    <w:tl2br w:val="nil"/>
                    <w:tr2bl w:val="nil"/>
                  </w:tcBorders>
                  <w:vAlign w:val="center"/>
                </w:tcPr>
                <w:p w14:paraId="38F51475">
                  <w:pPr>
                    <w:adjustRightInd w:val="0"/>
                    <w:jc w:val="center"/>
                    <w:rPr>
                      <w:rFonts w:ascii="Times New Roman" w:hAnsi="Times New Roman" w:eastAsia="宋体" w:cs="Times New Roman"/>
                      <w:color w:val="000000" w:themeColor="text1"/>
                      <w:spacing w:val="-2"/>
                      <w:szCs w:val="21"/>
                      <w14:textFill>
                        <w14:solidFill>
                          <w14:schemeClr w14:val="tx1"/>
                        </w14:solidFill>
                      </w14:textFill>
                    </w:rPr>
                  </w:pPr>
                  <w:r>
                    <w:rPr>
                      <w:rFonts w:hint="eastAsia" w:ascii="Times New Roman" w:hAnsi="Times New Roman" w:eastAsia="宋体" w:cs="Times New Roman"/>
                      <w:color w:val="000000" w:themeColor="text1"/>
                      <w:spacing w:val="-2"/>
                      <w:szCs w:val="21"/>
                      <w14:textFill>
                        <w14:solidFill>
                          <w14:schemeClr w14:val="tx1"/>
                        </w14:solidFill>
                      </w14:textFill>
                    </w:rPr>
                    <w:t>符合</w:t>
                  </w:r>
                </w:p>
              </w:tc>
            </w:tr>
          </w:tbl>
          <w:p w14:paraId="0AC0DC94">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由上表分析可知，本项目建设符合《重庆市九龙坡区生态环境保护“十四五”规划》（九龙坡府办发〔2022〕1号）。</w:t>
            </w:r>
          </w:p>
          <w:p w14:paraId="23DAC2E7">
            <w:p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8）与《挥发性有机物（VOC</w:t>
            </w:r>
            <w:r>
              <w:rPr>
                <w:rFonts w:hint="eastAsia" w:ascii="Times New Roman" w:hAnsi="Times New Roman" w:cs="Times New Roman"/>
                <w:b/>
                <w:bCs/>
                <w:color w:val="000000" w:themeColor="text1"/>
                <w:sz w:val="24"/>
                <w:vertAlign w:val="subscript"/>
                <w14:textFill>
                  <w14:solidFill>
                    <w14:schemeClr w14:val="tx1"/>
                  </w14:solidFill>
                </w14:textFill>
              </w:rPr>
              <w:t>S</w:t>
            </w:r>
            <w:r>
              <w:rPr>
                <w:rFonts w:hint="eastAsia" w:ascii="Times New Roman" w:hAnsi="Times New Roman" w:cs="Times New Roman"/>
                <w:b/>
                <w:bCs/>
                <w:color w:val="000000" w:themeColor="text1"/>
                <w:sz w:val="24"/>
                <w14:textFill>
                  <w14:solidFill>
                    <w14:schemeClr w14:val="tx1"/>
                  </w14:solidFill>
                </w14:textFill>
              </w:rPr>
              <w:t>）污染防治技术政策》的符合性分析</w:t>
            </w:r>
          </w:p>
          <w:p w14:paraId="1A73E70B">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项目与《挥发性有机物（VOC</w:t>
            </w:r>
            <w:r>
              <w:rPr>
                <w:rFonts w:hint="eastAsia" w:ascii="Times New Roman" w:hAnsi="Times New Roman" w:cs="Times New Roman"/>
                <w:color w:val="000000" w:themeColor="text1"/>
                <w:sz w:val="24"/>
                <w:vertAlign w:val="subscript"/>
                <w14:textFill>
                  <w14:solidFill>
                    <w14:schemeClr w14:val="tx1"/>
                  </w14:solidFill>
                </w14:textFill>
              </w:rPr>
              <w:t>S</w:t>
            </w:r>
            <w:r>
              <w:rPr>
                <w:rFonts w:hint="eastAsia" w:ascii="Times New Roman" w:hAnsi="Times New Roman" w:cs="Times New Roman"/>
                <w:color w:val="000000" w:themeColor="text1"/>
                <w:sz w:val="24"/>
                <w14:textFill>
                  <w14:solidFill>
                    <w14:schemeClr w14:val="tx1"/>
                  </w14:solidFill>
                </w14:textFill>
              </w:rPr>
              <w:t>）污染防治技术政策》的符合性分析见表1.2-8。</w:t>
            </w:r>
          </w:p>
          <w:p w14:paraId="6B7363A4">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2" w:name="_Ref17685"/>
            <w:r>
              <w:rPr>
                <w:rFonts w:ascii="Times New Roman" w:hAnsi="Times New Roman" w:cs="Times New Roman"/>
                <w:color w:val="000000" w:themeColor="text1"/>
                <w:sz w:val="24"/>
                <w14:textFill>
                  <w14:solidFill>
                    <w14:schemeClr w14:val="tx1"/>
                  </w14:solidFill>
                </w14:textFill>
              </w:rPr>
              <w:t>表</w:t>
            </w:r>
            <w:bookmarkEnd w:id="2"/>
            <w:r>
              <w:rPr>
                <w:rFonts w:hint="eastAsia" w:ascii="Times New Roman" w:hAnsi="Times New Roman" w:cs="Times New Roman"/>
                <w:color w:val="000000" w:themeColor="text1"/>
                <w:sz w:val="24"/>
                <w14:textFill>
                  <w14:solidFill>
                    <w14:schemeClr w14:val="tx1"/>
                  </w14:solidFill>
                </w14:textFill>
              </w:rPr>
              <w:t>1.2-8  与《挥发性有机物（VOC</w:t>
            </w:r>
            <w:r>
              <w:rPr>
                <w:rFonts w:hint="eastAsia" w:ascii="Times New Roman" w:hAnsi="Times New Roman" w:cs="Times New Roman"/>
                <w:color w:val="000000" w:themeColor="text1"/>
                <w:sz w:val="24"/>
                <w:vertAlign w:val="subscript"/>
                <w14:textFill>
                  <w14:solidFill>
                    <w14:schemeClr w14:val="tx1"/>
                  </w14:solidFill>
                </w14:textFill>
              </w:rPr>
              <w:t>S</w:t>
            </w:r>
            <w:r>
              <w:rPr>
                <w:rFonts w:hint="eastAsia" w:ascii="Times New Roman" w:hAnsi="Times New Roman" w:cs="Times New Roman"/>
                <w:color w:val="000000" w:themeColor="text1"/>
                <w:sz w:val="24"/>
                <w14:textFill>
                  <w14:solidFill>
                    <w14:schemeClr w14:val="tx1"/>
                  </w14:solidFill>
                </w14:textFill>
              </w:rPr>
              <w:t>）污染防治技术政策》符合性</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14"/>
              <w:gridCol w:w="5328"/>
              <w:gridCol w:w="1184"/>
              <w:gridCol w:w="537"/>
            </w:tblGrid>
            <w:tr w14:paraId="6D64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628" w:type="pct"/>
                  <w:vAlign w:val="center"/>
                </w:tcPr>
                <w:p w14:paraId="44C271D4">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类别</w:t>
                  </w:r>
                </w:p>
              </w:tc>
              <w:tc>
                <w:tcPr>
                  <w:tcW w:w="3303" w:type="pct"/>
                  <w:vAlign w:val="center"/>
                </w:tcPr>
                <w:p w14:paraId="7295B78A">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与项目相关要求</w:t>
                  </w:r>
                </w:p>
              </w:tc>
              <w:tc>
                <w:tcPr>
                  <w:tcW w:w="734" w:type="pct"/>
                  <w:vAlign w:val="center"/>
                </w:tcPr>
                <w:p w14:paraId="74AF2E0D">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本项目</w:t>
                  </w:r>
                </w:p>
              </w:tc>
              <w:tc>
                <w:tcPr>
                  <w:tcW w:w="333" w:type="pct"/>
                  <w:vAlign w:val="center"/>
                </w:tcPr>
                <w:p w14:paraId="7F86B1EA">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符合性</w:t>
                  </w:r>
                </w:p>
              </w:tc>
            </w:tr>
            <w:tr w14:paraId="6535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Align w:val="center"/>
                </w:tcPr>
                <w:p w14:paraId="3C1DAAC8">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源头和过程控制</w:t>
                  </w:r>
                </w:p>
              </w:tc>
              <w:tc>
                <w:tcPr>
                  <w:tcW w:w="3303" w:type="pct"/>
                  <w:vAlign w:val="center"/>
                </w:tcPr>
                <w:p w14:paraId="592D9265">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在涂装、印刷、粘合、工业清洗等含VOC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产品的使用过程中的VOC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污染防治技术措施包括：</w:t>
                  </w:r>
                </w:p>
                <w:p w14:paraId="4456216E">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1.鼓励使用通过环境标志产品认证的环保型涂料、油墨、胶粘剂和清洗剂；</w:t>
                  </w:r>
                </w:p>
                <w:p w14:paraId="374D52A7">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净化、回收措施的露天喷涂作业；</w:t>
                  </w:r>
                </w:p>
                <w:p w14:paraId="2C689468">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3.在印刷工艺中推广使用水性油墨，印铁制罐行业鼓励使用紫外光固化（UV）油墨，书刊印刷行业鼓励使用预涂膜技术；</w:t>
                  </w:r>
                </w:p>
                <w:p w14:paraId="4312150D">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4.鼓励在人造板、制鞋、皮革制品、包装材料等粘合过程中使用水基型、热熔型等环保型胶粘剂，在复合膜的生产中推广无溶剂复合及共挤出复合技术；</w:t>
                  </w:r>
                </w:p>
                <w:p w14:paraId="27BE6133">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5.淘汰以三氟三氯乙烷、甲基氯仿和四氯化碳为清洗剂或溶剂的生产工艺。清洗过程中产生的废溶剂宜密闭收集，有回收价值的废溶剂经处理后回用，其他废溶剂应妥善处置；</w:t>
                  </w:r>
                </w:p>
                <w:p w14:paraId="4DA3B453">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6.含VOC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产品的使用过程中，应采取废气收集措施，提高废气收集效率，减少废气的无组织排放与逸散，并对收集后的废气进行回收或处理后达标排放。</w:t>
                  </w:r>
                </w:p>
              </w:tc>
              <w:tc>
                <w:tcPr>
                  <w:tcW w:w="734" w:type="pct"/>
                  <w:vAlign w:val="center"/>
                </w:tcPr>
                <w:p w14:paraId="1C49A2FB">
                  <w:pPr>
                    <w:pStyle w:val="42"/>
                    <w:spacing w:before="31"/>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项目属于“人造板”行业，粘合工序使用的胶黏剂为热熔胶；</w:t>
                  </w:r>
                  <w:r>
                    <w:rPr>
                      <w:rFonts w:hint="eastAsia" w:ascii="Times New Roman" w:hAnsi="Times New Roman" w:cs="Times New Roman"/>
                      <w:color w:val="000000" w:themeColor="text1"/>
                      <w14:textFill>
                        <w14:solidFill>
                          <w14:schemeClr w14:val="tx1"/>
                        </w14:solidFill>
                      </w14:textFill>
                    </w:rPr>
                    <w:t>生产过程中产生的VOCs废气收集后进入“干式过滤+</w:t>
                  </w:r>
                  <w:r>
                    <w:rPr>
                      <w:rFonts w:hint="eastAsia" w:ascii="Times New Roman" w:hAnsi="Times New Roman" w:cs="Times New Roman"/>
                      <w:color w:val="000000" w:themeColor="text1"/>
                      <w:lang w:eastAsia="zh-CN"/>
                      <w14:textFill>
                        <w14:solidFill>
                          <w14:schemeClr w14:val="tx1"/>
                        </w14:solidFill>
                      </w14:textFill>
                    </w:rPr>
                    <w:t>两级</w:t>
                  </w:r>
                  <w:r>
                    <w:rPr>
                      <w:rFonts w:hint="eastAsia" w:ascii="Times New Roman" w:hAnsi="Times New Roman" w:cs="Times New Roman"/>
                      <w:color w:val="000000" w:themeColor="text1"/>
                      <w14:textFill>
                        <w14:solidFill>
                          <w14:schemeClr w14:val="tx1"/>
                        </w14:solidFill>
                      </w14:textFill>
                    </w:rPr>
                    <w:t>活性炭”装置处置后排放。</w:t>
                  </w:r>
                </w:p>
              </w:tc>
              <w:tc>
                <w:tcPr>
                  <w:tcW w:w="333" w:type="pct"/>
                  <w:vAlign w:val="center"/>
                </w:tcPr>
                <w:p w14:paraId="4FFE2DF5">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252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32" w:hRule="atLeast"/>
              </w:trPr>
              <w:tc>
                <w:tcPr>
                  <w:tcW w:w="628" w:type="pct"/>
                  <w:vMerge w:val="restart"/>
                  <w:vAlign w:val="center"/>
                </w:tcPr>
                <w:p w14:paraId="5F1403C1">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末端治理与综合利用</w:t>
                  </w:r>
                </w:p>
              </w:tc>
              <w:tc>
                <w:tcPr>
                  <w:tcW w:w="3303" w:type="pct"/>
                  <w:vAlign w:val="center"/>
                </w:tcPr>
                <w:p w14:paraId="1DE0E1D3">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在工业生产过程中鼓励VOC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的回收利用，并优先鼓励在生产系统内回用。对于含高浓度VOC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的废气，宜优先采用冷凝回收、吸附回收技术进行回收利用，并辅助以其他治理技术实现达标排放。对于含中等浓度VOC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的废气，可采用吸附技术回收有机溶剂，或采用催化燃烧和热力焚烧技术净化后达标排放。当采用催化燃烧和热力焚烧技术进行净化时，应进行余热回收利用。对于含低浓度VOC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的废气，有回收价值时可采用吸附技术、吸收技术对有机溶剂回收后达标排放；不宜回收时，可采用吸附浓缩燃烧技术、生物技术、吸收技术、等离子体技术或紫外光高级氧化技术等净化后达标排放。</w:t>
                  </w:r>
                </w:p>
                <w:p w14:paraId="574425E8">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含有有机卤素成分VOC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734" w:type="pct"/>
                  <w:vAlign w:val="center"/>
                </w:tcPr>
                <w:p w14:paraId="6C6F0F58">
                  <w:pPr>
                    <w:pStyle w:val="42"/>
                    <w:spacing w:before="31"/>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项目排放低浓度有机废气，</w:t>
                  </w:r>
                  <w:r>
                    <w:rPr>
                      <w:rFonts w:hint="eastAsia" w:ascii="Times New Roman" w:hAnsi="Times New Roman" w:cs="Times New Roman"/>
                      <w:color w:val="000000" w:themeColor="text1"/>
                      <w:lang w:eastAsia="zh-CN"/>
                      <w14:textFill>
                        <w14:solidFill>
                          <w14:schemeClr w14:val="tx1"/>
                        </w14:solidFill>
                      </w14:textFill>
                    </w:rPr>
                    <w:t>采用</w:t>
                  </w:r>
                  <w:r>
                    <w:rPr>
                      <w:rFonts w:ascii="Times New Roman" w:hAnsi="Times New Roman" w:cs="Times New Roman"/>
                      <w:color w:val="000000" w:themeColor="text1"/>
                      <w14:textFill>
                        <w14:solidFill>
                          <w14:schemeClr w14:val="tx1"/>
                        </w14:solidFill>
                      </w14:textFill>
                    </w:rPr>
                    <w:t>吸附技术</w:t>
                  </w:r>
                  <w:r>
                    <w:rPr>
                      <w:rFonts w:hint="eastAsia" w:ascii="Times New Roman" w:hAnsi="Times New Roman" w:cs="Times New Roman"/>
                      <w:color w:val="000000" w:themeColor="text1"/>
                      <w:lang w:eastAsia="zh-CN"/>
                      <w14:textFill>
                        <w14:solidFill>
                          <w14:schemeClr w14:val="tx1"/>
                        </w14:solidFill>
                      </w14:textFill>
                    </w:rPr>
                    <w:t>，满足相关要求</w:t>
                  </w:r>
                  <w:r>
                    <w:rPr>
                      <w:rFonts w:ascii="Times New Roman" w:hAnsi="Times New Roman" w:cs="Times New Roman"/>
                      <w:color w:val="000000" w:themeColor="text1"/>
                      <w14:textFill>
                        <w14:solidFill>
                          <w14:schemeClr w14:val="tx1"/>
                        </w14:solidFill>
                      </w14:textFill>
                    </w:rPr>
                    <w:t>。</w:t>
                  </w:r>
                </w:p>
              </w:tc>
              <w:tc>
                <w:tcPr>
                  <w:tcW w:w="333" w:type="pct"/>
                  <w:vAlign w:val="center"/>
                </w:tcPr>
                <w:p w14:paraId="7BAC898B">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3B6D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2C9D8FC3">
                  <w:pPr>
                    <w:pStyle w:val="42"/>
                    <w:spacing w:before="31"/>
                    <w:jc w:val="both"/>
                    <w:rPr>
                      <w:rFonts w:ascii="Times New Roman" w:hAnsi="Times New Roman" w:cs="Times New Roman"/>
                      <w:color w:val="000000" w:themeColor="text1"/>
                      <w14:textFill>
                        <w14:solidFill>
                          <w14:schemeClr w14:val="tx1"/>
                        </w14:solidFill>
                      </w14:textFill>
                    </w:rPr>
                  </w:pPr>
                </w:p>
              </w:tc>
              <w:tc>
                <w:tcPr>
                  <w:tcW w:w="3303" w:type="pct"/>
                  <w:vAlign w:val="center"/>
                </w:tcPr>
                <w:p w14:paraId="33A0EFE0">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严格控制VOC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处理过程中产生的二次污染，对于催化燃烧和热力焚烧过程中产生的含硫、氮、氯等无机废气，以及吸附、吸收、冷凝、生物等治理过程中所产生的含有机物废水，应处理后达标排放。</w:t>
                  </w:r>
                </w:p>
              </w:tc>
              <w:tc>
                <w:tcPr>
                  <w:tcW w:w="734" w:type="pct"/>
                  <w:vAlign w:val="center"/>
                </w:tcPr>
                <w:p w14:paraId="401F3B84">
                  <w:pPr>
                    <w:pStyle w:val="42"/>
                    <w:spacing w:before="31"/>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不涉及</w:t>
                  </w:r>
                </w:p>
              </w:tc>
              <w:tc>
                <w:tcPr>
                  <w:tcW w:w="333" w:type="pct"/>
                  <w:vAlign w:val="center"/>
                </w:tcPr>
                <w:p w14:paraId="093B1A50">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1CFE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63FE235F">
                  <w:pPr>
                    <w:pStyle w:val="42"/>
                    <w:spacing w:before="31"/>
                    <w:jc w:val="both"/>
                    <w:rPr>
                      <w:rFonts w:ascii="Times New Roman" w:hAnsi="Times New Roman" w:cs="Times New Roman"/>
                      <w:color w:val="000000" w:themeColor="text1"/>
                      <w14:textFill>
                        <w14:solidFill>
                          <w14:schemeClr w14:val="tx1"/>
                        </w14:solidFill>
                      </w14:textFill>
                    </w:rPr>
                  </w:pPr>
                </w:p>
              </w:tc>
              <w:tc>
                <w:tcPr>
                  <w:tcW w:w="3303" w:type="pct"/>
                  <w:vAlign w:val="center"/>
                </w:tcPr>
                <w:p w14:paraId="279FF151">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对于不能再生的过滤材料、吸附剂及催化剂等净化材料，应按照国家固体废物管理的相关规定处理处置。</w:t>
                  </w:r>
                </w:p>
              </w:tc>
              <w:tc>
                <w:tcPr>
                  <w:tcW w:w="734" w:type="pct"/>
                  <w:vAlign w:val="center"/>
                </w:tcPr>
                <w:p w14:paraId="3DF9894B">
                  <w:pPr>
                    <w:pStyle w:val="42"/>
                    <w:spacing w:before="31"/>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项目更换的活性炭交危废单位处置。</w:t>
                  </w:r>
                </w:p>
              </w:tc>
              <w:tc>
                <w:tcPr>
                  <w:tcW w:w="333" w:type="pct"/>
                  <w:vAlign w:val="center"/>
                </w:tcPr>
                <w:p w14:paraId="2914C60F">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03D4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restart"/>
                  <w:vAlign w:val="center"/>
                </w:tcPr>
                <w:p w14:paraId="7B3DFC4A">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运行与监测</w:t>
                  </w:r>
                </w:p>
              </w:tc>
              <w:tc>
                <w:tcPr>
                  <w:tcW w:w="3303" w:type="pct"/>
                  <w:vAlign w:val="center"/>
                </w:tcPr>
                <w:p w14:paraId="14049C6B">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鼓励企业自行开展VOC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监测，并及时主动向当地环保行政主管部门报送监测结果。</w:t>
                  </w:r>
                </w:p>
              </w:tc>
              <w:tc>
                <w:tcPr>
                  <w:tcW w:w="734" w:type="pct"/>
                  <w:vAlign w:val="center"/>
                </w:tcPr>
                <w:p w14:paraId="0FF18054">
                  <w:pPr>
                    <w:pStyle w:val="42"/>
                    <w:spacing w:before="31"/>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严格按照监测要求执行自行监测。</w:t>
                  </w:r>
                </w:p>
              </w:tc>
              <w:tc>
                <w:tcPr>
                  <w:tcW w:w="333" w:type="pct"/>
                  <w:vAlign w:val="center"/>
                </w:tcPr>
                <w:p w14:paraId="3ED4C69F">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6909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0C290E3A">
                  <w:pPr>
                    <w:pStyle w:val="42"/>
                    <w:spacing w:before="31"/>
                    <w:jc w:val="both"/>
                    <w:rPr>
                      <w:rFonts w:ascii="Times New Roman" w:hAnsi="Times New Roman" w:cs="Times New Roman"/>
                      <w:color w:val="000000" w:themeColor="text1"/>
                      <w14:textFill>
                        <w14:solidFill>
                          <w14:schemeClr w14:val="tx1"/>
                        </w14:solidFill>
                      </w14:textFill>
                    </w:rPr>
                  </w:pPr>
                </w:p>
              </w:tc>
              <w:tc>
                <w:tcPr>
                  <w:tcW w:w="3303" w:type="pct"/>
                  <w:vAlign w:val="center"/>
                </w:tcPr>
                <w:p w14:paraId="1E138470">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企业应建立健全VOC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治理设施的运行维护规程和台帐等日常管理制度，并根据工艺要求定期对各类设备、电气、自控仪表等进行检修维护，确保设施的稳定运行。</w:t>
                  </w:r>
                </w:p>
              </w:tc>
              <w:tc>
                <w:tcPr>
                  <w:tcW w:w="734" w:type="pct"/>
                  <w:vAlign w:val="center"/>
                </w:tcPr>
                <w:p w14:paraId="6DCC8D75">
                  <w:pPr>
                    <w:pStyle w:val="42"/>
                    <w:spacing w:before="31"/>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企业加强废气治理设备运行管理，建立健全VOC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治理设施的运行维护规程</w:t>
                  </w:r>
                  <w:r>
                    <w:rPr>
                      <w:rFonts w:hint="eastAsia" w:ascii="Times New Roman" w:hAnsi="Times New Roman" w:cs="Times New Roman"/>
                      <w:color w:val="000000" w:themeColor="text1"/>
                      <w:lang w:eastAsia="zh-CN"/>
                      <w14:textFill>
                        <w14:solidFill>
                          <w14:schemeClr w14:val="tx1"/>
                        </w14:solidFill>
                      </w14:textFill>
                    </w:rPr>
                    <w:t>和台账</w:t>
                  </w:r>
                  <w:r>
                    <w:rPr>
                      <w:rFonts w:ascii="Times New Roman" w:hAnsi="Times New Roman" w:cs="Times New Roman"/>
                      <w:color w:val="000000" w:themeColor="text1"/>
                      <w14:textFill>
                        <w14:solidFill>
                          <w14:schemeClr w14:val="tx1"/>
                        </w14:solidFill>
                      </w14:textFill>
                    </w:rPr>
                    <w:t>。</w:t>
                  </w:r>
                </w:p>
              </w:tc>
              <w:tc>
                <w:tcPr>
                  <w:tcW w:w="333" w:type="pct"/>
                  <w:vAlign w:val="center"/>
                </w:tcPr>
                <w:p w14:paraId="5B5BBA5D">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2EA9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26FB9B93">
                  <w:pPr>
                    <w:pStyle w:val="42"/>
                    <w:spacing w:before="31"/>
                    <w:jc w:val="both"/>
                    <w:rPr>
                      <w:rFonts w:ascii="Times New Roman" w:hAnsi="Times New Roman" w:cs="Times New Roman"/>
                      <w:color w:val="000000" w:themeColor="text1"/>
                      <w14:textFill>
                        <w14:solidFill>
                          <w14:schemeClr w14:val="tx1"/>
                        </w14:solidFill>
                      </w14:textFill>
                    </w:rPr>
                  </w:pPr>
                </w:p>
              </w:tc>
              <w:tc>
                <w:tcPr>
                  <w:tcW w:w="3303" w:type="pct"/>
                  <w:vAlign w:val="center"/>
                </w:tcPr>
                <w:p w14:paraId="1D8C2228">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p>
              </w:tc>
              <w:tc>
                <w:tcPr>
                  <w:tcW w:w="734" w:type="pct"/>
                  <w:vAlign w:val="center"/>
                </w:tcPr>
                <w:p w14:paraId="24072483">
                  <w:pPr>
                    <w:pStyle w:val="42"/>
                    <w:spacing w:before="31"/>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不涉及</w:t>
                  </w:r>
                </w:p>
              </w:tc>
              <w:tc>
                <w:tcPr>
                  <w:tcW w:w="333" w:type="pct"/>
                  <w:vAlign w:val="center"/>
                </w:tcPr>
                <w:p w14:paraId="4110701C">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bl>
          <w:p w14:paraId="3FD279F2">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由上表，项目符合《挥发性有机物（VOC</w:t>
            </w:r>
            <w:r>
              <w:rPr>
                <w:rFonts w:hint="eastAsia" w:ascii="Times New Roman" w:hAnsi="Times New Roman" w:cs="Times New Roman"/>
                <w:color w:val="000000" w:themeColor="text1"/>
                <w:sz w:val="24"/>
                <w:vertAlign w:val="subscript"/>
                <w14:textFill>
                  <w14:solidFill>
                    <w14:schemeClr w14:val="tx1"/>
                  </w14:solidFill>
                </w14:textFill>
              </w:rPr>
              <w:t>S</w:t>
            </w:r>
            <w:r>
              <w:rPr>
                <w:rFonts w:hint="eastAsia" w:ascii="Times New Roman" w:hAnsi="Times New Roman" w:cs="Times New Roman"/>
                <w:color w:val="000000" w:themeColor="text1"/>
                <w:sz w:val="24"/>
                <w14:textFill>
                  <w14:solidFill>
                    <w14:schemeClr w14:val="tx1"/>
                  </w14:solidFill>
                </w14:textFill>
              </w:rPr>
              <w:t>）污染防治技术政策》文件要求。</w:t>
            </w:r>
          </w:p>
          <w:p w14:paraId="089D03FF">
            <w:p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9）与《挥发性有机物无组织排放控制标准》（GB37822-2019）的符合性</w:t>
            </w:r>
          </w:p>
          <w:p w14:paraId="0AAF0144">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项目与《挥发性有机物无组织排放控制标准》（GB37822-2019）的符合性分析见1.2-9。</w:t>
            </w:r>
          </w:p>
          <w:p w14:paraId="76D046F2">
            <w:pPr>
              <w:spacing w:line="360" w:lineRule="auto"/>
              <w:jc w:val="center"/>
              <w:rPr>
                <w:rFonts w:ascii="Times New Roman" w:hAnsi="Times New Roman" w:cs="Times New Roman"/>
                <w:color w:val="000000" w:themeColor="text1"/>
                <w:sz w:val="24"/>
                <w14:textFill>
                  <w14:solidFill>
                    <w14:schemeClr w14:val="tx1"/>
                  </w14:solidFill>
                </w14:textFill>
              </w:rPr>
            </w:pPr>
            <w:bookmarkStart w:id="3" w:name="_Ref17397"/>
            <w:r>
              <w:rPr>
                <w:rFonts w:hint="eastAsia" w:ascii="Times New Roman" w:hAnsi="Times New Roman" w:cs="Times New Roman"/>
                <w:b/>
                <w:bCs/>
                <w:color w:val="000000" w:themeColor="text1"/>
                <w:sz w:val="24"/>
                <w14:textFill>
                  <w14:solidFill>
                    <w14:schemeClr w14:val="tx1"/>
                  </w14:solidFill>
                </w14:textFill>
              </w:rPr>
              <w:t>表</w:t>
            </w:r>
            <w:bookmarkEnd w:id="3"/>
            <w:r>
              <w:rPr>
                <w:rFonts w:hint="eastAsia" w:ascii="Times New Roman" w:hAnsi="Times New Roman" w:cs="Times New Roman"/>
                <w:b/>
                <w:bCs/>
                <w:color w:val="000000" w:themeColor="text1"/>
                <w:sz w:val="24"/>
                <w14:textFill>
                  <w14:solidFill>
                    <w14:schemeClr w14:val="tx1"/>
                  </w14:solidFill>
                </w14:textFill>
              </w:rPr>
              <w:t>1.2-9 与《挥发性有机物无组织排放控制标准》（GB37822-2019）符合性</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7"/>
              <w:gridCol w:w="5633"/>
              <w:gridCol w:w="936"/>
              <w:gridCol w:w="537"/>
            </w:tblGrid>
            <w:tr w14:paraId="115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593" w:type="pct"/>
                  <w:vAlign w:val="center"/>
                </w:tcPr>
                <w:p w14:paraId="2F3EA96D">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类别</w:t>
                  </w:r>
                </w:p>
              </w:tc>
              <w:tc>
                <w:tcPr>
                  <w:tcW w:w="3493" w:type="pct"/>
                  <w:vAlign w:val="center"/>
                </w:tcPr>
                <w:p w14:paraId="11F689A6">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与项目相关要求</w:t>
                  </w:r>
                </w:p>
              </w:tc>
              <w:tc>
                <w:tcPr>
                  <w:tcW w:w="580" w:type="pct"/>
                  <w:vAlign w:val="center"/>
                </w:tcPr>
                <w:p w14:paraId="3A0B70FC">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本项目</w:t>
                  </w:r>
                </w:p>
              </w:tc>
              <w:tc>
                <w:tcPr>
                  <w:tcW w:w="333" w:type="pct"/>
                  <w:vAlign w:val="center"/>
                </w:tcPr>
                <w:p w14:paraId="63FA388E">
                  <w:pPr>
                    <w:pStyle w:val="42"/>
                    <w:spacing w:before="31"/>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符合性</w:t>
                  </w:r>
                </w:p>
              </w:tc>
            </w:tr>
            <w:tr w14:paraId="3E0B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0BE36901">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物料储存无组织排放控制要求</w:t>
                  </w:r>
                </w:p>
              </w:tc>
              <w:tc>
                <w:tcPr>
                  <w:tcW w:w="3493" w:type="pct"/>
                  <w:vAlign w:val="center"/>
                </w:tcPr>
                <w:p w14:paraId="2E3FFE2B">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物料应储存于密闭的容器、包装袋、储罐、储库、料仓中。2.盛装VOC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物料的容器或包装袋应存放于室内，或存放于设置有雨棚、遮阳和防渗设施的专用场地。3.盛装VOC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物料的容器或包装袋在非取用状态时应加盖、封口，保持密闭。VOC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物料储罐应密封良好，其中挥发性有机液体储罐应符合挥发性有机液体储罐规定。4.VOC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物料储库、料仓应满足对密闭空间的要求。</w:t>
                  </w:r>
                </w:p>
              </w:tc>
              <w:tc>
                <w:tcPr>
                  <w:tcW w:w="580" w:type="pct"/>
                  <w:vMerge w:val="restart"/>
                  <w:vAlign w:val="center"/>
                </w:tcPr>
                <w:p w14:paraId="680670F0">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eastAsia="zh-CN"/>
                      <w14:textFill>
                        <w14:solidFill>
                          <w14:schemeClr w14:val="tx1"/>
                        </w14:solidFill>
                      </w14:textFill>
                    </w:rPr>
                    <w:t>使用含有</w:t>
                  </w:r>
                  <w:r>
                    <w:rPr>
                      <w:rFonts w:hint="eastAsia" w:ascii="Times New Roman" w:hAnsi="Times New Roman" w:cs="Times New Roman"/>
                      <w:color w:val="000000" w:themeColor="text1"/>
                      <w:lang w:val="en-US" w:eastAsia="zh-CN"/>
                      <w14:textFill>
                        <w14:solidFill>
                          <w14:schemeClr w14:val="tx1"/>
                        </w14:solidFill>
                      </w14:textFill>
                    </w:rPr>
                    <w:t>VOCs的物料（无粉料）</w:t>
                  </w:r>
                  <w:r>
                    <w:rPr>
                      <w:rFonts w:hint="eastAsia" w:ascii="Times New Roman" w:hAnsi="Times New Roman" w:cs="Times New Roman"/>
                      <w:color w:val="000000" w:themeColor="text1"/>
                      <w14:textFill>
                        <w14:solidFill>
                          <w14:schemeClr w14:val="tx1"/>
                        </w14:solidFill>
                      </w14:textFill>
                    </w:rPr>
                    <w:t>，采用</w:t>
                  </w:r>
                  <w:r>
                    <w:rPr>
                      <w:rFonts w:hint="eastAsia" w:ascii="Times New Roman" w:hAnsi="Times New Roman" w:cs="Times New Roman"/>
                      <w:color w:val="000000" w:themeColor="text1"/>
                      <w:lang w:eastAsia="zh-CN"/>
                      <w14:textFill>
                        <w14:solidFill>
                          <w14:schemeClr w14:val="tx1"/>
                        </w14:solidFill>
                      </w14:textFill>
                    </w:rPr>
                    <w:t>密闭包装袋包装，存放于室内</w:t>
                  </w:r>
                  <w:r>
                    <w:rPr>
                      <w:rFonts w:hint="eastAsia" w:ascii="Times New Roman" w:hAnsi="Times New Roman" w:cs="Times New Roman"/>
                      <w:color w:val="000000" w:themeColor="text1"/>
                      <w14:textFill>
                        <w14:solidFill>
                          <w14:schemeClr w14:val="tx1"/>
                        </w14:solidFill>
                      </w14:textFill>
                    </w:rPr>
                    <w:t>。</w:t>
                  </w:r>
                </w:p>
              </w:tc>
              <w:tc>
                <w:tcPr>
                  <w:tcW w:w="333" w:type="pct"/>
                  <w:vMerge w:val="restart"/>
                  <w:vAlign w:val="center"/>
                </w:tcPr>
                <w:p w14:paraId="5A27A5AA">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r w14:paraId="49CA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54D44AE7">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物料转移和输送无组织排放控制要求</w:t>
                  </w:r>
                </w:p>
              </w:tc>
              <w:tc>
                <w:tcPr>
                  <w:tcW w:w="3493" w:type="pct"/>
                  <w:vAlign w:val="center"/>
                </w:tcPr>
                <w:p w14:paraId="6F4A6BE3">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1.液态VOC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物料应采用密闭管道输送。采用非管道输送方式转移液态VOC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物料时，应采用密闭容器、罐车；2.粉状、粒状VOC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物料应采用气力输送设备、管状带式输送机、螺旋输送机等密闭输送方式，或者采用密闭的包装袋、容器或罐车进行物料转移。</w:t>
                  </w:r>
                </w:p>
              </w:tc>
              <w:tc>
                <w:tcPr>
                  <w:tcW w:w="580" w:type="pct"/>
                  <w:vMerge w:val="continue"/>
                  <w:vAlign w:val="center"/>
                </w:tcPr>
                <w:p w14:paraId="1519D9DB">
                  <w:pPr>
                    <w:pStyle w:val="42"/>
                    <w:spacing w:before="31"/>
                    <w:jc w:val="both"/>
                    <w:rPr>
                      <w:rFonts w:ascii="Times New Roman" w:hAnsi="Times New Roman" w:cs="Times New Roman"/>
                      <w:color w:val="000000" w:themeColor="text1"/>
                      <w14:textFill>
                        <w14:solidFill>
                          <w14:schemeClr w14:val="tx1"/>
                        </w14:solidFill>
                      </w14:textFill>
                    </w:rPr>
                  </w:pPr>
                </w:p>
              </w:tc>
              <w:tc>
                <w:tcPr>
                  <w:tcW w:w="333" w:type="pct"/>
                  <w:vMerge w:val="continue"/>
                  <w:vAlign w:val="center"/>
                </w:tcPr>
                <w:p w14:paraId="1BC759BD">
                  <w:pPr>
                    <w:pStyle w:val="42"/>
                    <w:spacing w:before="31"/>
                    <w:rPr>
                      <w:rFonts w:ascii="Times New Roman" w:hAnsi="Times New Roman" w:cs="Times New Roman"/>
                      <w:color w:val="000000" w:themeColor="text1"/>
                      <w14:textFill>
                        <w14:solidFill>
                          <w14:schemeClr w14:val="tx1"/>
                        </w14:solidFill>
                      </w14:textFill>
                    </w:rPr>
                  </w:pPr>
                </w:p>
              </w:tc>
            </w:tr>
            <w:tr w14:paraId="61CC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73703B60">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工艺过程VOC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无组织排放控制要求</w:t>
                  </w:r>
                </w:p>
              </w:tc>
              <w:tc>
                <w:tcPr>
                  <w:tcW w:w="3493" w:type="pct"/>
                  <w:vAlign w:val="center"/>
                </w:tcPr>
                <w:p w14:paraId="33A2C4F7">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1.含VOC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产品的使用过程：VOC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质量占比大于等于10%的含VOC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产品，其使用过程应采用密闭设备或在密闭空间内操作，废气应排至VOC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废气收集处理系统；无法密闭的，应采取局部气体收集措施，废气应排至VOC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废气收集处理系统。2.有机聚合物产品用于制品生产的过程：在混合/混炼、塑炼/塑化/熔化、加工成型（挤出、注射、压制、压延、发泡、纺丝等）等作业中应采用密闭设备或在密闭空间内操作，废气应排至VOC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废气收集处理系统；无法密闭的，应采取局部气体收集措施，废气应排至VOC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废气收集处理系统。</w:t>
                  </w:r>
                </w:p>
              </w:tc>
              <w:tc>
                <w:tcPr>
                  <w:tcW w:w="580" w:type="pct"/>
                  <w:vMerge w:val="restart"/>
                  <w:vAlign w:val="center"/>
                </w:tcPr>
                <w:p w14:paraId="066B1193">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eastAsia="zh-CN"/>
                      <w14:textFill>
                        <w14:solidFill>
                          <w14:schemeClr w14:val="tx1"/>
                        </w14:solidFill>
                      </w14:textFill>
                    </w:rPr>
                    <w:t>使用原料</w:t>
                  </w: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质量</w:t>
                  </w:r>
                  <w:r>
                    <w:rPr>
                      <w:rFonts w:hint="eastAsia" w:ascii="Times New Roman" w:hAnsi="Times New Roman" w:cs="Times New Roman"/>
                      <w:color w:val="000000" w:themeColor="text1"/>
                      <w:lang w:eastAsia="zh-CN"/>
                      <w14:textFill>
                        <w14:solidFill>
                          <w14:schemeClr w14:val="tx1"/>
                        </w14:solidFill>
                      </w14:textFill>
                    </w:rPr>
                    <w:t>占比均小于</w:t>
                  </w:r>
                  <w:r>
                    <w:rPr>
                      <w:rFonts w:hint="eastAsia" w:ascii="Times New Roman" w:hAnsi="Times New Roman" w:cs="Times New Roman"/>
                      <w:color w:val="000000" w:themeColor="text1"/>
                      <w:lang w:val="en-US" w:eastAsia="zh-CN"/>
                      <w14:textFill>
                        <w14:solidFill>
                          <w14:schemeClr w14:val="tx1"/>
                        </w14:solidFill>
                      </w14:textFill>
                    </w:rPr>
                    <w:t>10%</w:t>
                  </w:r>
                  <w:r>
                    <w:rPr>
                      <w:rFonts w:hint="eastAsia" w:ascii="Times New Roman" w:hAnsi="Times New Roman" w:cs="Times New Roman"/>
                      <w:color w:val="000000" w:themeColor="text1"/>
                      <w:lang w:eastAsia="zh-CN"/>
                      <w14:textFill>
                        <w14:solidFill>
                          <w14:schemeClr w14:val="tx1"/>
                        </w14:solidFill>
                      </w14:textFill>
                    </w:rPr>
                    <w:t>；生产过程中产生的有机废气采用有效措施收集，</w:t>
                  </w:r>
                  <w:r>
                    <w:rPr>
                      <w:rFonts w:ascii="Times New Roman" w:hAnsi="Times New Roman" w:cs="Times New Roman"/>
                      <w:color w:val="000000" w:themeColor="text1"/>
                      <w14:textFill>
                        <w14:solidFill>
                          <w14:schemeClr w14:val="tx1"/>
                        </w14:solidFill>
                      </w14:textFill>
                    </w:rPr>
                    <w:t>控制风速不低于0.3m/s</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NMHC初始排放速率远低于2kg/h，无须设置处置效率大于80%</w:t>
                  </w:r>
                  <w:r>
                    <w:rPr>
                      <w:rFonts w:hint="eastAsia" w:ascii="Times New Roman" w:hAnsi="Times New Roman" w:cs="Times New Roman"/>
                      <w:color w:val="000000" w:themeColor="text1"/>
                      <w14:textFill>
                        <w14:solidFill>
                          <w14:schemeClr w14:val="tx1"/>
                        </w14:solidFill>
                      </w14:textFill>
                    </w:rPr>
                    <w:t>的处理设施</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14:textFill>
                        <w14:solidFill>
                          <w14:schemeClr w14:val="tx1"/>
                        </w14:solidFill>
                      </w14:textFill>
                    </w:rPr>
                    <w:t>采用活性炭吸附装置处置可行。</w:t>
                  </w:r>
                </w:p>
              </w:tc>
              <w:tc>
                <w:tcPr>
                  <w:tcW w:w="333" w:type="pct"/>
                  <w:vMerge w:val="continue"/>
                  <w:vAlign w:val="center"/>
                </w:tcPr>
                <w:p w14:paraId="548DDFB6">
                  <w:pPr>
                    <w:pStyle w:val="42"/>
                    <w:spacing w:before="31"/>
                    <w:rPr>
                      <w:rFonts w:ascii="Times New Roman" w:hAnsi="Times New Roman" w:cs="Times New Roman"/>
                      <w:color w:val="000000" w:themeColor="text1"/>
                      <w14:textFill>
                        <w14:solidFill>
                          <w14:schemeClr w14:val="tx1"/>
                        </w14:solidFill>
                      </w14:textFill>
                    </w:rPr>
                  </w:pPr>
                </w:p>
              </w:tc>
            </w:tr>
            <w:tr w14:paraId="046B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6F54A373">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废气收集系统要求</w:t>
                  </w:r>
                </w:p>
              </w:tc>
              <w:tc>
                <w:tcPr>
                  <w:tcW w:w="3493" w:type="pct"/>
                  <w:vAlign w:val="center"/>
                </w:tcPr>
                <w:p w14:paraId="1D0F64E5">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1.企业应考虑生产工艺、操作方式、废气性质、处理方法等因素，对VOC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废气进行分类收集。2.废气收集系统排风罩（集气罩）的设置应符合GB/T 16758的规定。采用外部排风罩的，应按GB/T 16758、AQ/T 4274—2016 规定的方法测量控制风速，测量点应选取在距排风罩开口面最远处的VOC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无组织排放位置，控制风速不应低于0.3m/s（行业相关规范有具体规定的，按相关规定执行）</w:t>
                  </w:r>
                </w:p>
              </w:tc>
              <w:tc>
                <w:tcPr>
                  <w:tcW w:w="580" w:type="pct"/>
                  <w:vMerge w:val="continue"/>
                  <w:vAlign w:val="center"/>
                </w:tcPr>
                <w:p w14:paraId="729E713E">
                  <w:pPr>
                    <w:pStyle w:val="42"/>
                    <w:spacing w:before="31"/>
                    <w:jc w:val="both"/>
                    <w:rPr>
                      <w:rFonts w:ascii="Times New Roman" w:hAnsi="Times New Roman" w:cs="Times New Roman"/>
                      <w:color w:val="000000" w:themeColor="text1"/>
                      <w14:textFill>
                        <w14:solidFill>
                          <w14:schemeClr w14:val="tx1"/>
                        </w14:solidFill>
                      </w14:textFill>
                    </w:rPr>
                  </w:pPr>
                </w:p>
              </w:tc>
              <w:tc>
                <w:tcPr>
                  <w:tcW w:w="333" w:type="pct"/>
                  <w:vMerge w:val="continue"/>
                  <w:vAlign w:val="center"/>
                </w:tcPr>
                <w:p w14:paraId="436B3F60">
                  <w:pPr>
                    <w:pStyle w:val="42"/>
                    <w:spacing w:before="31"/>
                    <w:rPr>
                      <w:rFonts w:ascii="Times New Roman" w:hAnsi="Times New Roman" w:cs="Times New Roman"/>
                      <w:color w:val="000000" w:themeColor="text1"/>
                      <w14:textFill>
                        <w14:solidFill>
                          <w14:schemeClr w14:val="tx1"/>
                        </w14:solidFill>
                      </w14:textFill>
                    </w:rPr>
                  </w:pPr>
                </w:p>
              </w:tc>
            </w:tr>
            <w:tr w14:paraId="13AC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1B481131">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排放控制要求</w:t>
                  </w:r>
                </w:p>
              </w:tc>
              <w:tc>
                <w:tcPr>
                  <w:tcW w:w="3493" w:type="pct"/>
                  <w:vAlign w:val="center"/>
                </w:tcPr>
                <w:p w14:paraId="36C8441E">
                  <w:pPr>
                    <w:pStyle w:val="42"/>
                    <w:spacing w:before="31"/>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废气收集处理系统污染物排放应符合GB 16297或相关行业排放标准的规定。收集的废气中NMHC初始排放速率≥3kg/h时，应配置VOC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处理设施，处理效率不应低于80%；对于重点地区，收集的废气中NMHC初始排放速率≥2kg/h时，应配置VOC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处理设施，处理效率不应低于80%；采用的原辅材料符合国家有关低VOC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含量产品规定的除外。排气筒高度不低于15m（因安全考虑或有特殊工艺要求的除外），具体高度以及与周围建筑物的相对高度关系应根据环境影响评价文件确定。</w:t>
                  </w:r>
                </w:p>
              </w:tc>
              <w:tc>
                <w:tcPr>
                  <w:tcW w:w="580" w:type="pct"/>
                  <w:vMerge w:val="continue"/>
                  <w:vAlign w:val="center"/>
                </w:tcPr>
                <w:p w14:paraId="3BE9F908">
                  <w:pPr>
                    <w:pStyle w:val="42"/>
                    <w:spacing w:before="31"/>
                    <w:jc w:val="both"/>
                    <w:rPr>
                      <w:rFonts w:ascii="Times New Roman" w:hAnsi="Times New Roman" w:cs="Times New Roman"/>
                      <w:color w:val="000000" w:themeColor="text1"/>
                      <w14:textFill>
                        <w14:solidFill>
                          <w14:schemeClr w14:val="tx1"/>
                        </w14:solidFill>
                      </w14:textFill>
                    </w:rPr>
                  </w:pPr>
                </w:p>
              </w:tc>
              <w:tc>
                <w:tcPr>
                  <w:tcW w:w="333" w:type="pct"/>
                  <w:vMerge w:val="continue"/>
                  <w:vAlign w:val="center"/>
                </w:tcPr>
                <w:p w14:paraId="1A038259">
                  <w:pPr>
                    <w:pStyle w:val="42"/>
                    <w:spacing w:before="31"/>
                    <w:rPr>
                      <w:rFonts w:ascii="Times New Roman" w:hAnsi="Times New Roman" w:cs="Times New Roman"/>
                      <w:color w:val="000000" w:themeColor="text1"/>
                      <w14:textFill>
                        <w14:solidFill>
                          <w14:schemeClr w14:val="tx1"/>
                        </w14:solidFill>
                      </w14:textFill>
                    </w:rPr>
                  </w:pPr>
                </w:p>
              </w:tc>
            </w:tr>
            <w:tr w14:paraId="0476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5413BDF7">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记录要求</w:t>
                  </w:r>
                </w:p>
              </w:tc>
              <w:tc>
                <w:tcPr>
                  <w:tcW w:w="3493" w:type="pct"/>
                  <w:vAlign w:val="center"/>
                </w:tcPr>
                <w:p w14:paraId="146B7DF5">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企业应建立台账，记录废气收集系统、VOC</w:t>
                  </w:r>
                  <w:r>
                    <w:rPr>
                      <w:rFonts w:ascii="Times New Roman" w:hAnsi="Times New Roman" w:cs="Times New Roman"/>
                      <w:color w:val="000000" w:themeColor="text1"/>
                      <w:vertAlign w:val="subscript"/>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处理设施的主要运行和维护信息，如运行时间、废气处理量、操作温度、停留时间、吸附剂再生/更换周期和更换量、催化剂更换周期和更换量、吸收液pH值等关键运行参数。台账保存期限不少于3年。</w:t>
                  </w:r>
                </w:p>
              </w:tc>
              <w:tc>
                <w:tcPr>
                  <w:tcW w:w="580" w:type="pct"/>
                  <w:vAlign w:val="center"/>
                </w:tcPr>
                <w:p w14:paraId="7ACBCF95">
                  <w:pPr>
                    <w:pStyle w:val="42"/>
                    <w:spacing w:before="31"/>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企业应严格执行台账管理。</w:t>
                  </w:r>
                </w:p>
              </w:tc>
              <w:tc>
                <w:tcPr>
                  <w:tcW w:w="333" w:type="pct"/>
                  <w:vAlign w:val="center"/>
                </w:tcPr>
                <w:p w14:paraId="77E76E14">
                  <w:pPr>
                    <w:pStyle w:val="42"/>
                    <w:spacing w:before="3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符合</w:t>
                  </w:r>
                </w:p>
              </w:tc>
            </w:tr>
          </w:tbl>
          <w:p w14:paraId="6046EA46">
            <w:pPr>
              <w:pStyle w:val="45"/>
              <w:spacing w:line="360" w:lineRule="auto"/>
              <w:rPr>
                <w:rFonts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由上表，</w:t>
            </w:r>
            <w:r>
              <w:rPr>
                <w:rFonts w:hint="eastAsia" w:ascii="Times New Roman" w:hAnsi="Times New Roman" w:cs="Times New Roman"/>
                <w:color w:val="000000" w:themeColor="text1"/>
                <w:kern w:val="2"/>
                <w:sz w:val="24"/>
                <w:lang w:eastAsia="zh-CN"/>
                <w14:textFill>
                  <w14:solidFill>
                    <w14:schemeClr w14:val="tx1"/>
                  </w14:solidFill>
                </w14:textFill>
              </w:rPr>
              <w:t>本</w:t>
            </w:r>
            <w:r>
              <w:rPr>
                <w:rFonts w:hint="eastAsia" w:ascii="Times New Roman" w:hAnsi="Times New Roman" w:cs="Times New Roman"/>
                <w:color w:val="000000" w:themeColor="text1"/>
                <w:kern w:val="2"/>
                <w:sz w:val="24"/>
                <w14:textFill>
                  <w14:solidFill>
                    <w14:schemeClr w14:val="tx1"/>
                  </w14:solidFill>
                </w14:textFill>
              </w:rPr>
              <w:t>项目符合《挥发性有机物无组织排放控制标准》（GB37822-2019）文件要求。</w:t>
            </w:r>
          </w:p>
          <w:p w14:paraId="1B966795">
            <w:pPr>
              <w:spacing w:before="31" w:beforeLines="10" w:line="372"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综上分析，本项目不属于淘汰类、禁止新建、扩建类及限制类项目，故本项目符合产业政策及相关环保政策要求。</w:t>
            </w:r>
          </w:p>
          <w:p w14:paraId="5CDB2B0D">
            <w:pPr>
              <w:spacing w:before="31" w:beforeLines="10" w:line="372" w:lineRule="auto"/>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1.2.3</w:t>
            </w:r>
            <w:r>
              <w:rPr>
                <w:rFonts w:hint="eastAsia" w:ascii="Times New Roman" w:hAnsi="Times New Roman" w:eastAsia="宋体"/>
                <w:b/>
                <w:bCs/>
                <w:color w:val="000000" w:themeColor="text1"/>
                <w:sz w:val="24"/>
                <w:lang w:eastAsia="zh-CN"/>
                <w14:textFill>
                  <w14:solidFill>
                    <w14:schemeClr w14:val="tx1"/>
                  </w14:solidFill>
                </w14:textFill>
              </w:rPr>
              <w:t>选址合理性</w:t>
            </w:r>
          </w:p>
          <w:p w14:paraId="182FD892">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1）用地规划符合性分析</w:t>
            </w:r>
          </w:p>
          <w:p w14:paraId="56DBC033">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本项目为新建项目，位于重庆市九龙坡区</w:t>
            </w:r>
            <w:r>
              <w:rPr>
                <w:rFonts w:hint="eastAsia" w:ascii="Times New Roman" w:hAnsi="Times New Roman" w:cs="Times New Roman"/>
                <w:color w:val="000000" w:themeColor="text1"/>
                <w:kern w:val="2"/>
                <w:sz w:val="24"/>
                <w:lang w:eastAsia="zh-CN"/>
                <w14:textFill>
                  <w14:solidFill>
                    <w14:schemeClr w14:val="tx1"/>
                  </w14:solidFill>
                </w14:textFill>
              </w:rPr>
              <w:t>西彭工业园区西彭组团</w:t>
            </w:r>
            <w:r>
              <w:rPr>
                <w:rFonts w:hint="eastAsia" w:ascii="Times New Roman" w:hAnsi="Times New Roman" w:cs="Times New Roman"/>
                <w:color w:val="000000" w:themeColor="text1"/>
                <w:kern w:val="2"/>
                <w:sz w:val="24"/>
                <w:lang w:val="en-US" w:eastAsia="zh-CN"/>
                <w14:textFill>
                  <w14:solidFill>
                    <w14:schemeClr w14:val="tx1"/>
                  </w14:solidFill>
                </w14:textFill>
              </w:rPr>
              <w:t>D标准分区</w:t>
            </w:r>
            <w:r>
              <w:rPr>
                <w:rFonts w:hint="eastAsia" w:ascii="Times New Roman" w:hAnsi="Times New Roman" w:cs="Times New Roman"/>
                <w:color w:val="000000" w:themeColor="text1"/>
                <w:sz w:val="24"/>
                <w:szCs w:val="36"/>
                <w:lang w:val="en-US" w:eastAsia="zh-CN"/>
                <w14:textFill>
                  <w14:solidFill>
                    <w14:schemeClr w14:val="tx1"/>
                  </w14:solidFill>
                </w14:textFill>
              </w:rPr>
              <w:t>D52-2/07</w:t>
            </w:r>
            <w:r>
              <w:rPr>
                <w:rFonts w:hint="eastAsia" w:ascii="Times New Roman" w:hAnsi="Times New Roman" w:cs="Times New Roman"/>
                <w:color w:val="000000" w:themeColor="text1"/>
                <w:sz w:val="24"/>
                <w:szCs w:val="36"/>
                <w:lang w:eastAsia="zh-CN"/>
                <w14:textFill>
                  <w14:solidFill>
                    <w14:schemeClr w14:val="tx1"/>
                  </w14:solidFill>
                </w14:textFill>
              </w:rPr>
              <w:t>地块</w:t>
            </w:r>
            <w:r>
              <w:rPr>
                <w:rFonts w:hint="eastAsia" w:ascii="Times New Roman" w:hAnsi="Times New Roman" w:cs="Times New Roman"/>
                <w:color w:val="000000" w:themeColor="text1"/>
                <w:kern w:val="2"/>
                <w:sz w:val="24"/>
                <w14:textFill>
                  <w14:solidFill>
                    <w14:schemeClr w14:val="tx1"/>
                  </w14:solidFill>
                </w14:textFill>
              </w:rPr>
              <w:t>，</w:t>
            </w:r>
            <w:r>
              <w:rPr>
                <w:rFonts w:hint="eastAsia" w:ascii="Times New Roman" w:hAnsi="Times New Roman" w:cs="Times New Roman"/>
                <w:color w:val="000000" w:themeColor="text1"/>
                <w:kern w:val="2"/>
                <w:sz w:val="24"/>
                <w:lang w:eastAsia="zh-CN"/>
                <w14:textFill>
                  <w14:solidFill>
                    <w14:schemeClr w14:val="tx1"/>
                  </w14:solidFill>
                </w14:textFill>
              </w:rPr>
              <w:t>该地块用地性质为</w:t>
            </w:r>
            <w:r>
              <w:rPr>
                <w:rFonts w:hint="eastAsia" w:ascii="Times New Roman" w:hAnsi="Times New Roman" w:cs="Times New Roman"/>
                <w:color w:val="000000" w:themeColor="text1"/>
                <w:kern w:val="2"/>
                <w:sz w:val="24"/>
                <w:lang w:val="en-US" w:eastAsia="zh-CN"/>
                <w14:textFill>
                  <w14:solidFill>
                    <w14:schemeClr w14:val="tx1"/>
                  </w14:solidFill>
                </w14:textFill>
              </w:rPr>
              <w:t>W1/W2/M1</w:t>
            </w:r>
            <w:r>
              <w:rPr>
                <w:rFonts w:hint="eastAsia" w:ascii="Times New Roman" w:hAnsi="Times New Roman" w:cs="Times New Roman"/>
                <w:color w:val="000000" w:themeColor="text1"/>
                <w:kern w:val="2"/>
                <w:sz w:val="24"/>
                <w:lang w:eastAsia="zh-CN"/>
                <w14:textFill>
                  <w14:solidFill>
                    <w14:schemeClr w14:val="tx1"/>
                  </w14:solidFill>
                </w14:textFill>
              </w:rPr>
              <w:t>（仓储物料工业混合用地）</w:t>
            </w:r>
            <w:r>
              <w:rPr>
                <w:rFonts w:hint="eastAsia" w:ascii="Times New Roman" w:hAnsi="Times New Roman" w:cs="Times New Roman"/>
                <w:color w:val="000000" w:themeColor="text1"/>
                <w:kern w:val="2"/>
                <w:sz w:val="24"/>
                <w14:textFill>
                  <w14:solidFill>
                    <w14:schemeClr w14:val="tx1"/>
                  </w14:solidFill>
                </w14:textFill>
              </w:rPr>
              <w:t>，</w:t>
            </w:r>
            <w:r>
              <w:rPr>
                <w:rFonts w:hint="eastAsia" w:ascii="Times New Roman" w:hAnsi="Times New Roman" w:cs="Times New Roman"/>
                <w:color w:val="000000" w:themeColor="text1"/>
                <w:kern w:val="2"/>
                <w:sz w:val="24"/>
                <w:lang w:eastAsia="zh-CN"/>
                <w14:textFill>
                  <w14:solidFill>
                    <w14:schemeClr w14:val="tx1"/>
                  </w14:solidFill>
                </w14:textFill>
              </w:rPr>
              <w:t>项目为工业项目，</w:t>
            </w:r>
            <w:r>
              <w:rPr>
                <w:rFonts w:hint="eastAsia" w:ascii="Times New Roman" w:hAnsi="Times New Roman" w:cs="Times New Roman"/>
                <w:color w:val="000000" w:themeColor="text1"/>
                <w:kern w:val="2"/>
                <w:sz w:val="24"/>
                <w14:textFill>
                  <w14:solidFill>
                    <w14:schemeClr w14:val="tx1"/>
                  </w14:solidFill>
                </w14:textFill>
              </w:rPr>
              <w:t>符合</w:t>
            </w:r>
            <w:r>
              <w:rPr>
                <w:rFonts w:hint="eastAsia" w:ascii="Times New Roman" w:hAnsi="Times New Roman" w:cs="Times New Roman"/>
                <w:color w:val="000000" w:themeColor="text1"/>
                <w:kern w:val="2"/>
                <w:sz w:val="24"/>
                <w:lang w:eastAsia="zh-CN"/>
                <w14:textFill>
                  <w14:solidFill>
                    <w14:schemeClr w14:val="tx1"/>
                  </w14:solidFill>
                </w14:textFill>
              </w:rPr>
              <w:t>用地</w:t>
            </w:r>
            <w:r>
              <w:rPr>
                <w:rFonts w:hint="eastAsia" w:ascii="Times New Roman" w:hAnsi="Times New Roman" w:cs="Times New Roman"/>
                <w:color w:val="000000" w:themeColor="text1"/>
                <w:kern w:val="2"/>
                <w:sz w:val="24"/>
                <w14:textFill>
                  <w14:solidFill>
                    <w14:schemeClr w14:val="tx1"/>
                  </w14:solidFill>
                </w14:textFill>
              </w:rPr>
              <w:t>规划。</w:t>
            </w:r>
          </w:p>
          <w:p w14:paraId="72BFBD22">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2）周围环境敏感程度分析</w:t>
            </w:r>
          </w:p>
          <w:p w14:paraId="39613FE1">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周边500m内无珍稀濒危保护植物、野生珍稀动物、特别生态系统或生境等生态敏感保护目标，属于非生态敏感区，无重点文物保护单位、名胜古迹、自然保护区、风景名胜区、饮用水源地、文物保护单位等重大环境保护目标分布。</w:t>
            </w:r>
          </w:p>
          <w:p w14:paraId="707A919E">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3）从环境容量分析</w:t>
            </w:r>
          </w:p>
          <w:p w14:paraId="7BB7073E">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本项目所在区域属于环境空气质量功能二类区，项目所在区域环境空气较好。地表水监测断面水质现状较好。</w:t>
            </w:r>
            <w:r>
              <w:rPr>
                <w:rFonts w:hint="eastAsia" w:ascii="Times New Roman" w:hAnsi="Times New Roman" w:cs="Times New Roman"/>
                <w:color w:val="000000" w:themeColor="text1"/>
                <w:kern w:val="2"/>
                <w:sz w:val="24"/>
                <w:lang w:eastAsia="zh-CN"/>
                <w14:textFill>
                  <w14:solidFill>
                    <w14:schemeClr w14:val="tx1"/>
                  </w14:solidFill>
                </w14:textFill>
              </w:rPr>
              <w:t>项目周边</w:t>
            </w:r>
            <w:r>
              <w:rPr>
                <w:rFonts w:hint="eastAsia" w:ascii="Times New Roman" w:hAnsi="Times New Roman" w:cs="Times New Roman"/>
                <w:color w:val="000000" w:themeColor="text1"/>
                <w:kern w:val="2"/>
                <w:sz w:val="24"/>
                <w:lang w:val="en-US" w:eastAsia="zh-CN"/>
                <w14:textFill>
                  <w14:solidFill>
                    <w14:schemeClr w14:val="tx1"/>
                  </w14:solidFill>
                </w14:textFill>
              </w:rPr>
              <w:t>50m范围内无声环境保护目标，</w:t>
            </w:r>
            <w:r>
              <w:rPr>
                <w:rFonts w:hint="eastAsia" w:ascii="Times New Roman" w:hAnsi="Times New Roman" w:cs="Times New Roman"/>
                <w:color w:val="000000" w:themeColor="text1"/>
                <w:kern w:val="2"/>
                <w:sz w:val="24"/>
                <w14:textFill>
                  <w14:solidFill>
                    <w14:schemeClr w14:val="tx1"/>
                  </w14:solidFill>
                </w14:textFill>
              </w:rPr>
              <w:t>不会制约项目的建设。</w:t>
            </w:r>
          </w:p>
          <w:p w14:paraId="2B9C11C6">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本项目所在地大气环境、地表水环境、声环境能基本满足相应的环境功能，未突破环境质量底线。</w:t>
            </w:r>
          </w:p>
          <w:p w14:paraId="7FBB422A">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4）从项目对外环境影响角度分析</w:t>
            </w:r>
          </w:p>
          <w:p w14:paraId="02A46C17">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项目在采取有效防治措施，确保污染物达标排放的前提下，不会改变区域功能区划。本项目对外环境影响小。</w:t>
            </w:r>
          </w:p>
          <w:p w14:paraId="70068648">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5）从外环境角度分析</w:t>
            </w:r>
          </w:p>
          <w:p w14:paraId="2A1B919A">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本项目区域自然环境简单，项目周围主要为工业企业，200m范围内无医院、学校、自然保护区、风景名胜区、文物古迹和珍稀动植物等。</w:t>
            </w:r>
          </w:p>
          <w:p w14:paraId="7FDB3638">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6）综合结论</w:t>
            </w:r>
          </w:p>
          <w:p w14:paraId="7E36D50B">
            <w:pPr>
              <w:pStyle w:val="45"/>
              <w:spacing w:line="360" w:lineRule="auto"/>
              <w:rPr>
                <w:rFonts w:hint="eastAsia" w:ascii="Times New Roman" w:hAnsi="Times New Roman" w:cs="Times New Roman"/>
                <w:color w:val="000000" w:themeColor="text1"/>
                <w:kern w:val="2"/>
                <w:sz w:val="24"/>
                <w14:textFill>
                  <w14:solidFill>
                    <w14:schemeClr w14:val="tx1"/>
                  </w14:solidFill>
                </w14:textFill>
              </w:rPr>
            </w:pPr>
            <w:r>
              <w:rPr>
                <w:rFonts w:hint="eastAsia" w:ascii="Times New Roman" w:hAnsi="Times New Roman" w:cs="Times New Roman"/>
                <w:color w:val="000000" w:themeColor="text1"/>
                <w:kern w:val="2"/>
                <w:sz w:val="24"/>
                <w14:textFill>
                  <w14:solidFill>
                    <w14:schemeClr w14:val="tx1"/>
                  </w14:solidFill>
                </w14:textFill>
              </w:rPr>
              <w:t>本项目位于九龙坡区西彭工业园区</w:t>
            </w:r>
            <w:r>
              <w:rPr>
                <w:rFonts w:hint="eastAsia" w:ascii="Times New Roman" w:hAnsi="Times New Roman" w:cs="Times New Roman"/>
                <w:color w:val="000000" w:themeColor="text1"/>
                <w:kern w:val="2"/>
                <w:sz w:val="24"/>
                <w:lang w:eastAsia="zh-CN"/>
                <w14:textFill>
                  <w14:solidFill>
                    <w14:schemeClr w14:val="tx1"/>
                  </w14:solidFill>
                </w14:textFill>
              </w:rPr>
              <w:t>西彭</w:t>
            </w:r>
            <w:r>
              <w:rPr>
                <w:rFonts w:hint="eastAsia" w:ascii="Times New Roman" w:hAnsi="Times New Roman" w:cs="Times New Roman"/>
                <w:color w:val="000000" w:themeColor="text1"/>
                <w:kern w:val="2"/>
                <w:sz w:val="24"/>
                <w14:textFill>
                  <w14:solidFill>
                    <w14:schemeClr w14:val="tx1"/>
                  </w14:solidFill>
                </w14:textFill>
              </w:rPr>
              <w:t>组团内，符合重庆西彭工业园区规划及其规划环评的要求。所在区域环境空气、地表水环境和声环境有环境容量，项目污染物达标排放。项目建成投产后，评价区域环境质量基本维持现状，仍能满足环境质量标准及功能区划要求。评价认为，本项目选址可行。</w:t>
            </w:r>
          </w:p>
          <w:p w14:paraId="4E1C6C59">
            <w:pPr>
              <w:spacing w:line="368" w:lineRule="auto"/>
              <w:ind w:firstLine="420" w:firstLineChars="200"/>
              <w:rPr>
                <w:color w:val="000000" w:themeColor="text1"/>
                <w14:textFill>
                  <w14:solidFill>
                    <w14:schemeClr w14:val="tx1"/>
                  </w14:solidFill>
                </w14:textFill>
              </w:rPr>
            </w:pPr>
          </w:p>
          <w:p w14:paraId="3DA291A0">
            <w:pPr>
              <w:spacing w:line="368" w:lineRule="auto"/>
              <w:ind w:firstLine="420" w:firstLineChars="200"/>
              <w:rPr>
                <w:color w:val="000000" w:themeColor="text1"/>
                <w14:textFill>
                  <w14:solidFill>
                    <w14:schemeClr w14:val="tx1"/>
                  </w14:solidFill>
                </w14:textFill>
              </w:rPr>
            </w:pPr>
          </w:p>
          <w:p w14:paraId="38CC962B">
            <w:pPr>
              <w:spacing w:line="368" w:lineRule="auto"/>
              <w:ind w:firstLine="480" w:firstLineChars="200"/>
              <w:rPr>
                <w:rFonts w:ascii="Times New Roman" w:hAnsi="Times New Roman" w:eastAsia="宋体"/>
                <w:color w:val="000000" w:themeColor="text1"/>
                <w:sz w:val="24"/>
                <w14:textFill>
                  <w14:solidFill>
                    <w14:schemeClr w14:val="tx1"/>
                  </w14:solidFill>
                </w14:textFill>
              </w:rPr>
            </w:pPr>
          </w:p>
          <w:p w14:paraId="1BA9B8AE">
            <w:pPr>
              <w:spacing w:line="372" w:lineRule="auto"/>
              <w:ind w:firstLine="482" w:firstLineChars="200"/>
              <w:rPr>
                <w:rFonts w:ascii="Times New Roman" w:hAnsi="Times New Roman" w:eastAsia="宋体"/>
                <w:b/>
                <w:bCs/>
                <w:color w:val="000000" w:themeColor="text1"/>
                <w:sz w:val="24"/>
                <w14:textFill>
                  <w14:solidFill>
                    <w14:schemeClr w14:val="tx1"/>
                  </w14:solidFill>
                </w14:textFill>
              </w:rPr>
            </w:pPr>
          </w:p>
        </w:tc>
      </w:tr>
    </w:tbl>
    <w:p w14:paraId="074D3104">
      <w:pPr>
        <w:pStyle w:val="7"/>
        <w:rPr>
          <w:color w:val="000000" w:themeColor="text1"/>
          <w14:textFill>
            <w14:solidFill>
              <w14:schemeClr w14:val="tx1"/>
            </w14:solidFill>
          </w14:textFill>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75E2D7C">
      <w:pPr>
        <w:jc w:val="center"/>
        <w:outlineLvl w:val="0"/>
        <w:rPr>
          <w:rFonts w:ascii="Times New Roman" w:hAnsi="Times New Roman" w:eastAsia="黑体"/>
          <w:color w:val="000000" w:themeColor="text1"/>
          <w:sz w:val="30"/>
          <w:szCs w:val="30"/>
          <w14:textFill>
            <w14:solidFill>
              <w14:schemeClr w14:val="tx1"/>
            </w14:solidFill>
          </w14:textFill>
        </w:rPr>
      </w:pPr>
      <w:bookmarkStart w:id="4" w:name="_Toc13467"/>
      <w:r>
        <w:rPr>
          <w:rFonts w:hint="eastAsia" w:ascii="Times New Roman" w:hAnsi="Times New Roman" w:eastAsia="黑体"/>
          <w:color w:val="000000" w:themeColor="text1"/>
          <w:sz w:val="30"/>
          <w:szCs w:val="30"/>
          <w14:textFill>
            <w14:solidFill>
              <w14:schemeClr w14:val="tx1"/>
            </w14:solidFill>
          </w14:textFill>
        </w:rPr>
        <w:t>二、建设项目工程分析</w:t>
      </w:r>
      <w:bookmarkEnd w:id="4"/>
    </w:p>
    <w:tbl>
      <w:tblPr>
        <w:tblStyle w:val="28"/>
        <w:tblW w:w="50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58"/>
        <w:gridCol w:w="8561"/>
      </w:tblGrid>
      <w:tr w14:paraId="78B3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57" w:type="pct"/>
            <w:vAlign w:val="center"/>
          </w:tcPr>
          <w:p w14:paraId="3303CF61">
            <w:pPr>
              <w:spacing w:line="360" w:lineRule="auto"/>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建设</w:t>
            </w:r>
          </w:p>
          <w:p w14:paraId="34379435">
            <w:pPr>
              <w:spacing w:line="360" w:lineRule="auto"/>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内容</w:t>
            </w:r>
          </w:p>
        </w:tc>
        <w:tc>
          <w:tcPr>
            <w:tcW w:w="4642" w:type="pct"/>
            <w:vAlign w:val="center"/>
          </w:tcPr>
          <w:p w14:paraId="533D722B">
            <w:pPr>
              <w:spacing w:before="31" w:beforeLines="10" w:after="31" w:afterLines="10" w:line="372"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2.1项目由来</w:t>
            </w:r>
          </w:p>
          <w:p w14:paraId="7751CF4F">
            <w:pPr>
              <w:spacing w:line="372" w:lineRule="auto"/>
              <w:ind w:firstLine="480" w:firstLineChars="200"/>
              <w:rPr>
                <w:rFonts w:ascii="Times New Roman" w:hAnsi="Times New Roman" w:cs="Times New Roman"/>
                <w:color w:val="000000" w:themeColor="text1"/>
                <w:sz w:val="24"/>
                <w:szCs w:val="36"/>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重庆惠才板材有限公司</w:t>
            </w:r>
            <w:r>
              <w:rPr>
                <w:rFonts w:hint="eastAsia" w:ascii="Times New Roman" w:hAnsi="Times New Roman" w:eastAsia="宋体"/>
                <w:color w:val="000000" w:themeColor="text1"/>
                <w:sz w:val="24"/>
                <w14:textFill>
                  <w14:solidFill>
                    <w14:schemeClr w14:val="tx1"/>
                  </w14:solidFill>
                </w14:textFill>
              </w:rPr>
              <w:t>（以下简称“建设单位”）成立于20</w:t>
            </w:r>
            <w:r>
              <w:rPr>
                <w:rFonts w:hint="eastAsia" w:ascii="Times New Roman" w:hAnsi="Times New Roman" w:eastAsia="宋体"/>
                <w:color w:val="000000" w:themeColor="text1"/>
                <w:sz w:val="24"/>
                <w:lang w:val="en-US" w:eastAsia="zh-CN"/>
                <w14:textFill>
                  <w14:solidFill>
                    <w14:schemeClr w14:val="tx1"/>
                  </w14:solidFill>
                </w14:textFill>
              </w:rPr>
              <w:t>20</w:t>
            </w:r>
            <w:r>
              <w:rPr>
                <w:rFonts w:hint="eastAsia" w:ascii="Times New Roman" w:hAnsi="Times New Roman" w:eastAsia="宋体"/>
                <w:color w:val="000000" w:themeColor="text1"/>
                <w:sz w:val="24"/>
                <w14:textFill>
                  <w14:solidFill>
                    <w14:schemeClr w14:val="tx1"/>
                  </w14:solidFill>
                </w14:textFill>
              </w:rPr>
              <w:t>年，是一家从事</w:t>
            </w:r>
            <w:r>
              <w:rPr>
                <w:rFonts w:hint="eastAsia" w:ascii="Times New Roman" w:hAnsi="Times New Roman" w:eastAsia="宋体"/>
                <w:color w:val="000000" w:themeColor="text1"/>
                <w:sz w:val="24"/>
                <w:lang w:eastAsia="zh-CN"/>
                <w14:textFill>
                  <w14:solidFill>
                    <w14:schemeClr w14:val="tx1"/>
                  </w14:solidFill>
                </w14:textFill>
              </w:rPr>
              <w:t>人造板制造、人造板销售</w:t>
            </w:r>
            <w:r>
              <w:rPr>
                <w:rFonts w:hint="eastAsia" w:ascii="Times New Roman" w:hAnsi="Times New Roman" w:eastAsia="宋体"/>
                <w:color w:val="000000" w:themeColor="text1"/>
                <w:sz w:val="24"/>
                <w14:textFill>
                  <w14:solidFill>
                    <w14:schemeClr w14:val="tx1"/>
                  </w14:solidFill>
                </w14:textFill>
              </w:rPr>
              <w:t>企业。根据市场发展需求</w:t>
            </w:r>
            <w:r>
              <w:rPr>
                <w:rFonts w:hint="eastAsia" w:ascii="Times New Roman" w:hAnsi="Times New Roman" w:cs="宋体"/>
                <w:color w:val="000000" w:themeColor="text1"/>
                <w:sz w:val="24"/>
                <w14:textFill>
                  <w14:solidFill>
                    <w14:schemeClr w14:val="tx1"/>
                  </w14:solidFill>
                </w14:textFill>
              </w:rPr>
              <w:t>，建设单位租用重庆</w:t>
            </w:r>
            <w:r>
              <w:rPr>
                <w:rFonts w:hint="eastAsia" w:ascii="Times New Roman" w:hAnsi="Times New Roman" w:cs="宋体"/>
                <w:color w:val="000000" w:themeColor="text1"/>
                <w:sz w:val="24"/>
                <w:lang w:eastAsia="zh-CN"/>
                <w14:textFill>
                  <w14:solidFill>
                    <w14:schemeClr w14:val="tx1"/>
                  </w14:solidFill>
                </w14:textFill>
              </w:rPr>
              <w:t>盛德佳工贸</w:t>
            </w:r>
            <w:r>
              <w:rPr>
                <w:rFonts w:hint="eastAsia" w:ascii="Times New Roman" w:hAnsi="Times New Roman" w:cs="宋体"/>
                <w:color w:val="000000" w:themeColor="text1"/>
                <w:sz w:val="24"/>
                <w14:textFill>
                  <w14:solidFill>
                    <w14:schemeClr w14:val="tx1"/>
                  </w14:solidFill>
                </w14:textFill>
              </w:rPr>
              <w:t>有限公司</w:t>
            </w:r>
            <w:r>
              <w:rPr>
                <w:rFonts w:hint="eastAsia" w:ascii="Times New Roman" w:hAnsi="Times New Roman" w:cs="宋体"/>
                <w:color w:val="000000" w:themeColor="text1"/>
                <w:sz w:val="24"/>
                <w:lang w:eastAsia="zh-CN"/>
                <w14:textFill>
                  <w14:solidFill>
                    <w14:schemeClr w14:val="tx1"/>
                  </w14:solidFill>
                </w14:textFill>
              </w:rPr>
              <w:t>（位于</w:t>
            </w:r>
            <w:r>
              <w:rPr>
                <w:rFonts w:hint="eastAsia" w:ascii="Times New Roman" w:hAnsi="Times New Roman"/>
                <w:color w:val="000000" w:themeColor="text1"/>
                <w:sz w:val="24"/>
                <w:lang w:val="en-US" w:eastAsia="zh-CN"/>
                <w14:textFill>
                  <w14:solidFill>
                    <w14:schemeClr w14:val="tx1"/>
                  </w14:solidFill>
                </w14:textFill>
              </w:rPr>
              <w:t>重庆市九龙坡区西彭镇森</w:t>
            </w:r>
            <w:r>
              <w:rPr>
                <w:rFonts w:hint="eastAsia" w:ascii="Times New Roman" w:hAnsi="Times New Roman"/>
                <w:color w:val="000000" w:themeColor="text1"/>
                <w:sz w:val="24"/>
                <w:highlight w:val="none"/>
                <w:lang w:val="en-US" w:eastAsia="zh-CN"/>
                <w14:textFill>
                  <w14:solidFill>
                    <w14:schemeClr w14:val="tx1"/>
                  </w14:solidFill>
                </w14:textFill>
              </w:rPr>
              <w:t>迪大道139号</w:t>
            </w:r>
            <w:r>
              <w:rPr>
                <w:rFonts w:hint="eastAsia" w:ascii="Times New Roman" w:hAnsi="Times New Roman" w:cs="宋体"/>
                <w:color w:val="000000" w:themeColor="text1"/>
                <w:sz w:val="24"/>
                <w:highlight w:val="none"/>
                <w:lang w:eastAsia="zh-CN"/>
                <w14:textFill>
                  <w14:solidFill>
                    <w14:schemeClr w14:val="tx1"/>
                  </w14:solidFill>
                </w14:textFill>
              </w:rPr>
              <w:t>）</w:t>
            </w:r>
            <w:r>
              <w:rPr>
                <w:rFonts w:hint="eastAsia" w:ascii="Times New Roman" w:hAnsi="Times New Roman" w:cs="宋体"/>
                <w:color w:val="000000" w:themeColor="text1"/>
                <w:sz w:val="24"/>
                <w14:textFill>
                  <w14:solidFill>
                    <w14:schemeClr w14:val="tx1"/>
                  </w14:solidFill>
                </w14:textFill>
              </w:rPr>
              <w:t>已建</w:t>
            </w:r>
            <w:r>
              <w:rPr>
                <w:rFonts w:hint="eastAsia" w:ascii="Times New Roman" w:hAnsi="Times New Roman" w:cs="宋体"/>
                <w:color w:val="000000" w:themeColor="text1"/>
                <w:sz w:val="24"/>
                <w:lang w:val="en-US" w:eastAsia="zh-CN"/>
                <w14:textFill>
                  <w14:solidFill>
                    <w14:schemeClr w14:val="tx1"/>
                  </w14:solidFill>
                </w14:textFill>
              </w:rPr>
              <w:t>16#</w:t>
            </w:r>
            <w:r>
              <w:rPr>
                <w:rFonts w:hint="eastAsia" w:ascii="Times New Roman" w:hAnsi="Times New Roman" w:cs="宋体"/>
                <w:color w:val="000000" w:themeColor="text1"/>
                <w:sz w:val="24"/>
                <w14:textFill>
                  <w14:solidFill>
                    <w14:schemeClr w14:val="tx1"/>
                  </w14:solidFill>
                </w14:textFill>
              </w:rPr>
              <w:t>厂房</w:t>
            </w:r>
            <w:r>
              <w:rPr>
                <w:rFonts w:hint="eastAsia" w:ascii="Times New Roman" w:hAnsi="Times New Roman" w:cs="宋体"/>
                <w:color w:val="000000" w:themeColor="text1"/>
                <w:sz w:val="24"/>
                <w:lang w:eastAsia="zh-CN"/>
                <w14:textFill>
                  <w14:solidFill>
                    <w14:schemeClr w14:val="tx1"/>
                  </w14:solidFill>
                </w14:textFill>
              </w:rPr>
              <w:t>的</w:t>
            </w:r>
            <w:r>
              <w:rPr>
                <w:rFonts w:hint="eastAsia" w:ascii="Times New Roman" w:hAnsi="Times New Roman" w:cs="宋体"/>
                <w:color w:val="000000" w:themeColor="text1"/>
                <w:sz w:val="24"/>
                <w:lang w:val="en-US" w:eastAsia="zh-CN"/>
                <w14:textFill>
                  <w14:solidFill>
                    <w14:schemeClr w14:val="tx1"/>
                  </w14:solidFill>
                </w14:textFill>
              </w:rPr>
              <w:t>1F</w:t>
            </w:r>
            <w:r>
              <w:rPr>
                <w:rFonts w:hint="eastAsia" w:ascii="Times New Roman" w:hAnsi="Times New Roman" w:cs="宋体"/>
                <w:color w:val="000000" w:themeColor="text1"/>
                <w:sz w:val="24"/>
                <w14:textFill>
                  <w14:solidFill>
                    <w14:schemeClr w14:val="tx1"/>
                  </w14:solidFill>
                </w14:textFill>
              </w:rPr>
              <w:t>，拟用于建设“</w:t>
            </w:r>
            <w:r>
              <w:rPr>
                <w:rFonts w:hint="eastAsia" w:ascii="Times New Roman" w:hAnsi="Times New Roman" w:eastAsia="宋体"/>
                <w:color w:val="000000" w:themeColor="text1"/>
                <w:sz w:val="24"/>
                <w:lang w:eastAsia="zh-CN"/>
                <w14:textFill>
                  <w14:solidFill>
                    <w14:schemeClr w14:val="tx1"/>
                  </w14:solidFill>
                </w14:textFill>
              </w:rPr>
              <w:t>人造板材（免漆门面饰板）生产项目</w:t>
            </w:r>
            <w:r>
              <w:rPr>
                <w:rFonts w:hint="eastAsia" w:ascii="Times New Roman" w:hAnsi="Times New Roman" w:cs="宋体"/>
                <w:color w:val="000000" w:themeColor="text1"/>
                <w:sz w:val="24"/>
                <w14:textFill>
                  <w14:solidFill>
                    <w14:schemeClr w14:val="tx1"/>
                  </w14:solidFill>
                </w14:textFill>
              </w:rPr>
              <w:t>”（以下称“本项目”</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，厂房租用面积共</w:t>
            </w:r>
            <w:r>
              <w:rPr>
                <w:rFonts w:hint="eastAsia" w:ascii="Times New Roman" w:hAnsi="Times New Roman" w:cs="宋体"/>
                <w:color w:val="000000" w:themeColor="text1"/>
                <w:sz w:val="24"/>
                <w:lang w:val="en-US" w:eastAsia="zh-CN"/>
                <w14:textFill>
                  <w14:solidFill>
                    <w14:schemeClr w14:val="tx1"/>
                  </w14:solidFill>
                </w14:textFill>
              </w:rPr>
              <w:t>3000</w:t>
            </w:r>
            <w:r>
              <w:rPr>
                <w:rFonts w:hint="eastAsia" w:ascii="Times New Roman" w:hAnsi="Times New Roman" w:cs="宋体"/>
                <w:color w:val="000000" w:themeColor="text1"/>
                <w:sz w:val="24"/>
                <w14:textFill>
                  <w14:solidFill>
                    <w14:schemeClr w14:val="tx1"/>
                  </w14:solidFill>
                </w14:textFill>
              </w:rPr>
              <w:t>m</w:t>
            </w:r>
            <w:r>
              <w:rPr>
                <w:rFonts w:hint="eastAsia" w:ascii="Times New Roman" w:hAnsi="Times New Roman" w:cs="宋体"/>
                <w:color w:val="000000" w:themeColor="text1"/>
                <w:sz w:val="24"/>
                <w:vertAlign w:val="superscript"/>
                <w14:textFill>
                  <w14:solidFill>
                    <w14:schemeClr w14:val="tx1"/>
                  </w14:solidFill>
                </w14:textFill>
              </w:rPr>
              <w:t>2</w:t>
            </w:r>
            <w:r>
              <w:rPr>
                <w:rFonts w:hint="eastAsia" w:ascii="Times New Roman" w:hAnsi="Times New Roman" w:cs="宋体"/>
                <w:color w:val="000000" w:themeColor="text1"/>
                <w:sz w:val="24"/>
                <w14:textFill>
                  <w14:solidFill>
                    <w14:schemeClr w14:val="tx1"/>
                  </w14:solidFill>
                </w14:textFill>
              </w:rPr>
              <w:t>，厂房内</w:t>
            </w:r>
            <w:r>
              <w:rPr>
                <w:rFonts w:hint="eastAsia" w:ascii="Times New Roman" w:hAnsi="Times New Roman" w:cs="宋体"/>
                <w:color w:val="000000" w:themeColor="text1"/>
                <w:sz w:val="24"/>
                <w:lang w:eastAsia="zh-CN"/>
                <w14:textFill>
                  <w14:solidFill>
                    <w14:schemeClr w14:val="tx1"/>
                  </w14:solidFill>
                </w14:textFill>
              </w:rPr>
              <w:t>购置热压机、模温机、包覆机、圆锯等设备</w:t>
            </w:r>
            <w:r>
              <w:rPr>
                <w:rFonts w:hint="eastAsia" w:ascii="Times New Roman" w:hAnsi="Times New Roman" w:cs="宋体"/>
                <w:color w:val="000000" w:themeColor="text1"/>
                <w:sz w:val="24"/>
                <w14:textFill>
                  <w14:solidFill>
                    <w14:schemeClr w14:val="tx1"/>
                  </w14:solidFill>
                </w14:textFill>
              </w:rPr>
              <w:t>，</w:t>
            </w:r>
            <w:r>
              <w:rPr>
                <w:rFonts w:hint="eastAsia" w:ascii="Times New Roman" w:hAnsi="Times New Roman" w:cs="宋体"/>
                <w:color w:val="000000" w:themeColor="text1"/>
                <w:sz w:val="24"/>
                <w:lang w:eastAsia="zh-CN"/>
                <w14:textFill>
                  <w14:solidFill>
                    <w14:schemeClr w14:val="tx1"/>
                  </w14:solidFill>
                </w14:textFill>
              </w:rPr>
              <w:t>年产</w:t>
            </w:r>
            <w:r>
              <w:rPr>
                <w:rFonts w:hint="eastAsia" w:ascii="Times New Roman" w:hAnsi="Times New Roman" w:cs="Times New Roman"/>
                <w:color w:val="000000" w:themeColor="text1"/>
                <w:sz w:val="24"/>
                <w:lang w:eastAsia="zh-CN"/>
                <w14:textFill>
                  <w14:solidFill>
                    <w14:schemeClr w14:val="tx1"/>
                  </w14:solidFill>
                </w14:textFill>
              </w:rPr>
              <w:t>免漆门板</w:t>
            </w:r>
            <w:r>
              <w:rPr>
                <w:rFonts w:hint="eastAsia" w:ascii="Times New Roman" w:hAnsi="Times New Roman" w:cs="Times New Roman"/>
                <w:color w:val="000000" w:themeColor="text1"/>
                <w:sz w:val="24"/>
                <w:lang w:val="en-US" w:eastAsia="zh-CN"/>
                <w14:textFill>
                  <w14:solidFill>
                    <w14:schemeClr w14:val="tx1"/>
                  </w14:solidFill>
                </w14:textFill>
              </w:rPr>
              <w:t>35万张、免漆门线条70万支</w:t>
            </w:r>
            <w:r>
              <w:rPr>
                <w:rFonts w:ascii="Times New Roman" w:hAnsi="Times New Roman" w:cs="Times New Roman"/>
                <w:color w:val="000000" w:themeColor="text1"/>
                <w:sz w:val="24"/>
                <w14:textFill>
                  <w14:solidFill>
                    <w14:schemeClr w14:val="tx1"/>
                  </w14:solidFill>
                </w14:textFill>
              </w:rPr>
              <w:t>。项目已取得重庆市九龙坡区发展和改革委员会下发的</w:t>
            </w:r>
            <w:r>
              <w:rPr>
                <w:rFonts w:ascii="Times New Roman" w:hAnsi="Times New Roman" w:cs="Times New Roman"/>
                <w:color w:val="000000" w:themeColor="text1"/>
                <w:spacing w:val="6"/>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重庆市企业投资项目备案证</w:t>
            </w:r>
            <w:r>
              <w:rPr>
                <w:rFonts w:ascii="Times New Roman" w:hAnsi="Times New Roman" w:cs="Times New Roman"/>
                <w:color w:val="000000" w:themeColor="text1"/>
                <w:spacing w:val="6"/>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代码：</w:t>
            </w:r>
            <w:r>
              <w:rPr>
                <w:rFonts w:hint="eastAsia" w:ascii="Times New Roman" w:hAnsi="Times New Roman" w:eastAsia="宋体" w:cs="Times New Roman"/>
                <w:color w:val="000000" w:themeColor="text1"/>
                <w:sz w:val="24"/>
                <w:szCs w:val="36"/>
                <w:lang w:val="en-US" w:eastAsia="zh-CN"/>
                <w14:textFill>
                  <w14:solidFill>
                    <w14:schemeClr w14:val="tx1"/>
                  </w14:solidFill>
                </w14:textFill>
              </w:rPr>
              <w:t>2511-500107-04-05-517432</w:t>
            </w:r>
            <w:r>
              <w:rPr>
                <w:rFonts w:ascii="Times New Roman" w:hAnsi="Times New Roman" w:cs="Times New Roman"/>
                <w:color w:val="000000" w:themeColor="text1"/>
                <w:spacing w:val="6"/>
                <w:sz w:val="24"/>
                <w14:textFill>
                  <w14:solidFill>
                    <w14:schemeClr w14:val="tx1"/>
                  </w14:solidFill>
                </w14:textFill>
              </w:rPr>
              <w:t>）。</w:t>
            </w:r>
          </w:p>
          <w:p w14:paraId="188AF4ED">
            <w:pPr>
              <w:spacing w:line="372"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中华人民共和国环境保护法》、《中华人民共和国环境影响评价法》、《建设项目环境保护管理条例》、《建设项目环境影响评价分类管理名录》等规定，本项目应进行环境影响评价。同时，根据《建设项目环境影响评价分类管理名录》（2021年版）</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本项目属于</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十七</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木材加工和木、竹、藤、棕、草制品业</w:t>
            </w:r>
            <w:r>
              <w:rPr>
                <w:rFonts w:hint="eastAsia"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val="en-US" w:eastAsia="zh-CN"/>
                <w14:textFill>
                  <w14:solidFill>
                    <w14:schemeClr w14:val="tx1"/>
                  </w14:solidFill>
                </w14:textFill>
              </w:rPr>
              <w:t>34</w:t>
            </w:r>
            <w:r>
              <w:rPr>
                <w:rFonts w:hint="eastAsia"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eastAsia="zh-CN"/>
                <w14:textFill>
                  <w14:solidFill>
                    <w14:schemeClr w14:val="tx1"/>
                  </w14:solidFill>
                </w14:textFill>
              </w:rPr>
              <w:t>人造板制造</w:t>
            </w:r>
            <w:r>
              <w:rPr>
                <w:rFonts w:hint="eastAsia" w:ascii="Times New Roman" w:hAnsi="Times New Roman" w:eastAsia="宋体"/>
                <w:color w:val="000000" w:themeColor="text1"/>
                <w:sz w:val="24"/>
                <w:lang w:val="en-US" w:eastAsia="zh-CN"/>
                <w14:textFill>
                  <w14:solidFill>
                    <w14:schemeClr w14:val="tx1"/>
                  </w14:solidFill>
                </w14:textFill>
              </w:rPr>
              <w:t>-其他</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cs="Times New Roman"/>
                <w:color w:val="000000" w:themeColor="text1"/>
                <w:spacing w:val="6"/>
                <w:sz w:val="24"/>
                <w14:textFill>
                  <w14:solidFill>
                    <w14:schemeClr w14:val="tx1"/>
                  </w14:solidFill>
                </w14:textFill>
              </w:rPr>
              <w:t>应编制</w:t>
            </w:r>
            <w:r>
              <w:rPr>
                <w:rFonts w:ascii="Times New Roman" w:hAnsi="Times New Roman" w:cs="Times New Roman"/>
                <w:b/>
                <w:bCs/>
                <w:color w:val="000000" w:themeColor="text1"/>
                <w:sz w:val="24"/>
                <w14:textFill>
                  <w14:solidFill>
                    <w14:schemeClr w14:val="tx1"/>
                  </w14:solidFill>
                </w14:textFill>
              </w:rPr>
              <w:t>环境影响报告表。</w:t>
            </w:r>
          </w:p>
          <w:p w14:paraId="25E2D8E1">
            <w:pPr>
              <w:spacing w:line="372" w:lineRule="auto"/>
              <w:ind w:firstLine="480" w:firstLineChars="20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受</w:t>
            </w:r>
            <w:r>
              <w:rPr>
                <w:rFonts w:hint="eastAsia" w:ascii="Times New Roman" w:hAnsi="Times New Roman" w:eastAsia="宋体"/>
                <w:color w:val="000000" w:themeColor="text1"/>
                <w:sz w:val="24"/>
                <w:lang w:eastAsia="zh-CN"/>
                <w14:textFill>
                  <w14:solidFill>
                    <w14:schemeClr w14:val="tx1"/>
                  </w14:solidFill>
                </w14:textFill>
              </w:rPr>
              <w:t>重庆惠才板材有限公司</w:t>
            </w:r>
            <w:r>
              <w:rPr>
                <w:rFonts w:ascii="Times New Roman" w:hAnsi="Times New Roman" w:cs="Times New Roman"/>
                <w:color w:val="000000" w:themeColor="text1"/>
                <w:sz w:val="24"/>
                <w14:textFill>
                  <w14:solidFill>
                    <w14:schemeClr w14:val="tx1"/>
                  </w14:solidFill>
                </w14:textFill>
              </w:rPr>
              <w:t>委托，重庆</w:t>
            </w:r>
            <w:r>
              <w:rPr>
                <w:rFonts w:hint="eastAsia" w:ascii="Times New Roman" w:hAnsi="Times New Roman" w:cs="Times New Roman"/>
                <w:b w:val="0"/>
                <w:bCs w:val="0"/>
                <w:color w:val="000000" w:themeColor="text1"/>
                <w:sz w:val="24"/>
                <w:lang w:eastAsia="zh-CN"/>
                <w14:textFill>
                  <w14:solidFill>
                    <w14:schemeClr w14:val="tx1"/>
                  </w14:solidFill>
                </w14:textFill>
              </w:rPr>
              <w:t>昌步</w:t>
            </w:r>
            <w:r>
              <w:rPr>
                <w:rFonts w:ascii="Times New Roman" w:hAnsi="Times New Roman" w:cs="Times New Roman"/>
                <w:b w:val="0"/>
                <w:bCs w:val="0"/>
                <w:color w:val="000000" w:themeColor="text1"/>
                <w:sz w:val="24"/>
                <w14:textFill>
                  <w14:solidFill>
                    <w14:schemeClr w14:val="tx1"/>
                  </w14:solidFill>
                </w14:textFill>
              </w:rPr>
              <w:t>环保科技有限公司承担该</w:t>
            </w:r>
            <w:r>
              <w:rPr>
                <w:rFonts w:ascii="Times New Roman" w:hAnsi="Times New Roman" w:cs="Times New Roman"/>
                <w:color w:val="000000" w:themeColor="text1"/>
                <w:sz w:val="24"/>
                <w14:textFill>
                  <w14:solidFill>
                    <w14:schemeClr w14:val="tx1"/>
                  </w14:solidFill>
                </w14:textFill>
              </w:rPr>
              <w:t>建设项目的环境影响评价工作，编制了</w:t>
            </w:r>
            <w:r>
              <w:rPr>
                <w:rFonts w:ascii="Times New Roman" w:hAnsi="Times New Roman" w:cs="Times New Roman"/>
                <w:color w:val="000000" w:themeColor="text1"/>
                <w:sz w:val="24"/>
                <w:szCs w:val="21"/>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重庆惠才板材有限公司人造板材（免漆门面饰板）生产项目</w:t>
            </w:r>
            <w:r>
              <w:rPr>
                <w:rFonts w:ascii="Times New Roman" w:hAnsi="Times New Roman" w:cs="Times New Roman"/>
                <w:color w:val="000000" w:themeColor="text1"/>
                <w:sz w:val="24"/>
                <w:szCs w:val="21"/>
                <w14:textFill>
                  <w14:solidFill>
                    <w14:schemeClr w14:val="tx1"/>
                  </w14:solidFill>
                </w14:textFill>
              </w:rPr>
              <w:t>环境影响报告表》。</w:t>
            </w:r>
          </w:p>
          <w:p w14:paraId="0AA6ECBC">
            <w:pPr>
              <w:spacing w:line="360" w:lineRule="auto"/>
              <w:rPr>
                <w:color w:val="000000" w:themeColor="text1"/>
                <w:sz w:val="24"/>
                <w:szCs w:val="21"/>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2.2、</w:t>
            </w:r>
            <w:r>
              <w:rPr>
                <w:rFonts w:hint="eastAsia"/>
                <w:b/>
                <w:color w:val="000000" w:themeColor="text1"/>
                <w:sz w:val="24"/>
                <w14:textFill>
                  <w14:solidFill>
                    <w14:schemeClr w14:val="tx1"/>
                  </w14:solidFill>
                </w14:textFill>
              </w:rPr>
              <w:t>项目基本情况</w:t>
            </w:r>
          </w:p>
          <w:p w14:paraId="40D4963A">
            <w:pPr>
              <w:spacing w:line="360" w:lineRule="auto"/>
              <w:ind w:firstLine="480" w:firstLineChars="200"/>
              <w:rPr>
                <w:rFonts w:ascii="Times New Roman" w:hAnsi="Times New Roman" w:cs="宋体"/>
                <w:color w:val="000000" w:themeColor="text1"/>
                <w:sz w:val="24"/>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（1）项目名称：</w:t>
            </w:r>
            <w:r>
              <w:rPr>
                <w:rFonts w:hint="eastAsia" w:ascii="Times New Roman" w:hAnsi="Times New Roman" w:eastAsia="宋体"/>
                <w:color w:val="000000" w:themeColor="text1"/>
                <w:sz w:val="24"/>
                <w:lang w:eastAsia="zh-CN"/>
                <w14:textFill>
                  <w14:solidFill>
                    <w14:schemeClr w14:val="tx1"/>
                  </w14:solidFill>
                </w14:textFill>
              </w:rPr>
              <w:t>人造板材（免漆门面饰板）生产项目</w:t>
            </w:r>
          </w:p>
          <w:p w14:paraId="3694162C">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（2）建设单位：</w:t>
            </w:r>
            <w:r>
              <w:rPr>
                <w:rFonts w:hint="eastAsia" w:ascii="Times New Roman" w:hAnsi="Times New Roman" w:eastAsia="宋体"/>
                <w:color w:val="000000" w:themeColor="text1"/>
                <w:sz w:val="24"/>
                <w:lang w:eastAsia="zh-CN"/>
                <w14:textFill>
                  <w14:solidFill>
                    <w14:schemeClr w14:val="tx1"/>
                  </w14:solidFill>
                </w14:textFill>
              </w:rPr>
              <w:t>重庆惠才板材有限公司</w:t>
            </w:r>
          </w:p>
          <w:p w14:paraId="6A236D6C">
            <w:pPr>
              <w:spacing w:line="360" w:lineRule="auto"/>
              <w:ind w:firstLine="480" w:firstLineChars="200"/>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（3）建设地点：</w:t>
            </w:r>
            <w:r>
              <w:rPr>
                <w:rFonts w:ascii="Times New Roman" w:hAnsi="Times New Roman" w:cs="Times New Roman"/>
                <w:color w:val="000000" w:themeColor="text1"/>
                <w:sz w:val="24"/>
                <w:szCs w:val="36"/>
                <w14:textFill>
                  <w14:solidFill>
                    <w14:schemeClr w14:val="tx1"/>
                  </w14:solidFill>
                </w14:textFill>
              </w:rPr>
              <w:t>重庆市九龙坡区西彭镇森迪大道</w:t>
            </w:r>
            <w:r>
              <w:rPr>
                <w:rFonts w:hint="eastAsia" w:ascii="Times New Roman" w:hAnsi="Times New Roman" w:cs="Times New Roman"/>
                <w:color w:val="000000" w:themeColor="text1"/>
                <w:sz w:val="24"/>
                <w:szCs w:val="36"/>
                <w:lang w:val="en-US" w:eastAsia="zh-CN"/>
                <w14:textFill>
                  <w14:solidFill>
                    <w14:schemeClr w14:val="tx1"/>
                  </w14:solidFill>
                </w14:textFill>
              </w:rPr>
              <w:t>139</w:t>
            </w:r>
            <w:r>
              <w:rPr>
                <w:rFonts w:ascii="Times New Roman" w:hAnsi="Times New Roman" w:cs="Times New Roman"/>
                <w:color w:val="000000" w:themeColor="text1"/>
                <w:sz w:val="24"/>
                <w:szCs w:val="36"/>
                <w14:textFill>
                  <w14:solidFill>
                    <w14:schemeClr w14:val="tx1"/>
                  </w14:solidFill>
                </w14:textFill>
              </w:rPr>
              <w:t>号</w:t>
            </w:r>
            <w:r>
              <w:rPr>
                <w:rFonts w:hint="eastAsia" w:ascii="Times New Roman" w:hAnsi="Times New Roman" w:cs="Times New Roman"/>
                <w:color w:val="000000" w:themeColor="text1"/>
                <w:sz w:val="24"/>
                <w:szCs w:val="36"/>
                <w:lang w:val="en-US" w:eastAsia="zh-CN"/>
                <w14:textFill>
                  <w14:solidFill>
                    <w14:schemeClr w14:val="tx1"/>
                  </w14:solidFill>
                </w14:textFill>
              </w:rPr>
              <w:t>1层第16号</w:t>
            </w:r>
          </w:p>
          <w:p w14:paraId="6C29C776">
            <w:pPr>
              <w:spacing w:line="360" w:lineRule="auto"/>
              <w:ind w:firstLine="480" w:firstLineChars="20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（4）建设性质：</w:t>
            </w:r>
            <w:r>
              <w:rPr>
                <w:rFonts w:hint="eastAsia" w:ascii="Times New Roman" w:hAnsi="Times New Roman" w:cs="Times New Roman"/>
                <w:color w:val="000000" w:themeColor="text1"/>
                <w:sz w:val="24"/>
                <w:szCs w:val="21"/>
                <w14:textFill>
                  <w14:solidFill>
                    <w14:schemeClr w14:val="tx1"/>
                  </w14:solidFill>
                </w14:textFill>
              </w:rPr>
              <w:t>新建</w:t>
            </w:r>
            <w:bookmarkStart w:id="17" w:name="_GoBack"/>
            <w:bookmarkEnd w:id="17"/>
          </w:p>
          <w:p w14:paraId="19D5E40B">
            <w:pPr>
              <w:spacing w:line="360" w:lineRule="auto"/>
              <w:ind w:firstLine="480" w:firstLineChars="20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（5）建筑面积</w:t>
            </w:r>
            <w:r>
              <w:rPr>
                <w:rFonts w:hint="eastAsia" w:ascii="Times New Roman" w:hAnsi="Times New Roman" w:cs="Times New Roman"/>
                <w:color w:val="000000" w:themeColor="text1"/>
                <w:sz w:val="24"/>
                <w:szCs w:val="21"/>
                <w14:textFill>
                  <w14:solidFill>
                    <w14:schemeClr w14:val="tx1"/>
                  </w14:solidFill>
                </w14:textFill>
              </w:rPr>
              <w:t>：</w:t>
            </w:r>
            <w:r>
              <w:rPr>
                <w:rFonts w:hint="eastAsia" w:ascii="Times New Roman" w:hAnsi="Times New Roman" w:cs="Times New Roman"/>
                <w:color w:val="000000" w:themeColor="text1"/>
                <w:sz w:val="24"/>
                <w:szCs w:val="21"/>
                <w:lang w:val="en-US" w:eastAsia="zh-CN"/>
                <w14:textFill>
                  <w14:solidFill>
                    <w14:schemeClr w14:val="tx1"/>
                  </w14:solidFill>
                </w14:textFill>
              </w:rPr>
              <w:t>3000</w:t>
            </w:r>
            <w:r>
              <w:rPr>
                <w:rFonts w:ascii="Times New Roman" w:hAnsi="Times New Roman" w:cs="Times New Roman"/>
                <w:color w:val="000000" w:themeColor="text1"/>
                <w:sz w:val="24"/>
                <w:lang w:bidi="en-US"/>
                <w14:textFill>
                  <w14:solidFill>
                    <w14:schemeClr w14:val="tx1"/>
                  </w14:solidFill>
                </w14:textFill>
              </w:rPr>
              <w:t>m</w:t>
            </w:r>
            <w:r>
              <w:rPr>
                <w:rFonts w:ascii="Times New Roman" w:hAnsi="Times New Roman" w:cs="Times New Roman"/>
                <w:color w:val="000000" w:themeColor="text1"/>
                <w:sz w:val="24"/>
                <w:vertAlign w:val="superscript"/>
                <w:lang w:bidi="en-US"/>
                <w14:textFill>
                  <w14:solidFill>
                    <w14:schemeClr w14:val="tx1"/>
                  </w14:solidFill>
                </w14:textFill>
              </w:rPr>
              <w:t>2</w:t>
            </w:r>
          </w:p>
          <w:p w14:paraId="3D9A3C4F">
            <w:pPr>
              <w:spacing w:line="360" w:lineRule="auto"/>
              <w:ind w:firstLine="480" w:firstLineChars="20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（6）项目投资：总投资</w:t>
            </w:r>
            <w:r>
              <w:rPr>
                <w:rFonts w:hint="eastAsia" w:ascii="Times New Roman" w:hAnsi="Times New Roman" w:cs="Times New Roman"/>
                <w:color w:val="000000" w:themeColor="text1"/>
                <w:sz w:val="24"/>
                <w:szCs w:val="36"/>
                <w:lang w:val="en-US" w:eastAsia="zh-CN"/>
                <w14:textFill>
                  <w14:solidFill>
                    <w14:schemeClr w14:val="tx1"/>
                  </w14:solidFill>
                </w14:textFill>
              </w:rPr>
              <w:t>500</w:t>
            </w:r>
            <w:r>
              <w:rPr>
                <w:rFonts w:ascii="Times New Roman" w:hAnsi="Times New Roman" w:cs="Times New Roman"/>
                <w:color w:val="000000" w:themeColor="text1"/>
                <w:sz w:val="24"/>
                <w:szCs w:val="21"/>
                <w14:textFill>
                  <w14:solidFill>
                    <w14:schemeClr w14:val="tx1"/>
                  </w14:solidFill>
                </w14:textFill>
              </w:rPr>
              <w:t>万元，其中环保投资</w:t>
            </w:r>
            <w:r>
              <w:rPr>
                <w:rFonts w:hint="eastAsia" w:ascii="Times New Roman" w:hAnsi="Times New Roman" w:cs="Times New Roman"/>
                <w:color w:val="000000" w:themeColor="text1"/>
                <w:sz w:val="24"/>
                <w:szCs w:val="36"/>
                <w:lang w:val="en-US" w:eastAsia="zh-CN"/>
                <w14:textFill>
                  <w14:solidFill>
                    <w14:schemeClr w14:val="tx1"/>
                  </w14:solidFill>
                </w14:textFill>
              </w:rPr>
              <w:t>30</w:t>
            </w:r>
            <w:r>
              <w:rPr>
                <w:rFonts w:ascii="Times New Roman" w:hAnsi="Times New Roman" w:cs="Times New Roman"/>
                <w:color w:val="000000" w:themeColor="text1"/>
                <w:sz w:val="24"/>
                <w:szCs w:val="21"/>
                <w14:textFill>
                  <w14:solidFill>
                    <w14:schemeClr w14:val="tx1"/>
                  </w14:solidFill>
                </w14:textFill>
              </w:rPr>
              <w:t>万元，占总投资的</w:t>
            </w:r>
            <w:r>
              <w:rPr>
                <w:rFonts w:hint="eastAsia" w:ascii="Times New Roman" w:hAnsi="Times New Roman" w:cs="Times New Roman"/>
                <w:color w:val="000000" w:themeColor="text1"/>
                <w:sz w:val="24"/>
                <w:szCs w:val="21"/>
                <w:lang w:val="en-US" w:eastAsia="zh-CN"/>
                <w14:textFill>
                  <w14:solidFill>
                    <w14:schemeClr w14:val="tx1"/>
                  </w14:solidFill>
                </w14:textFill>
              </w:rPr>
              <w:t>6</w:t>
            </w:r>
            <w:r>
              <w:rPr>
                <w:rFonts w:ascii="Times New Roman" w:hAnsi="Times New Roman" w:cs="Times New Roman"/>
                <w:color w:val="000000" w:themeColor="text1"/>
                <w:sz w:val="24"/>
                <w:szCs w:val="21"/>
                <w14:textFill>
                  <w14:solidFill>
                    <w14:schemeClr w14:val="tx1"/>
                  </w14:solidFill>
                </w14:textFill>
              </w:rPr>
              <w:t>%</w:t>
            </w:r>
          </w:p>
          <w:p w14:paraId="61087305">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（7）建设内容及规模：</w:t>
            </w:r>
            <w:r>
              <w:rPr>
                <w:rFonts w:ascii="Times New Roman" w:hAnsi="Times New Roman" w:cs="Times New Roman"/>
                <w:color w:val="000000" w:themeColor="text1"/>
                <w:sz w:val="24"/>
                <w14:textFill>
                  <w14:solidFill>
                    <w14:schemeClr w14:val="tx1"/>
                  </w14:solidFill>
                </w14:textFill>
              </w:rPr>
              <w:t>拟</w:t>
            </w:r>
            <w:r>
              <w:rPr>
                <w:rFonts w:hint="eastAsia" w:ascii="Times New Roman" w:hAnsi="Times New Roman" w:cs="宋体"/>
                <w:color w:val="000000" w:themeColor="text1"/>
                <w:sz w:val="24"/>
                <w14:textFill>
                  <w14:solidFill>
                    <w14:schemeClr w14:val="tx1"/>
                  </w14:solidFill>
                </w14:textFill>
              </w:rPr>
              <w:t>租用重庆</w:t>
            </w:r>
            <w:r>
              <w:rPr>
                <w:rFonts w:hint="eastAsia" w:ascii="Times New Roman" w:hAnsi="Times New Roman" w:cs="宋体"/>
                <w:color w:val="000000" w:themeColor="text1"/>
                <w:sz w:val="24"/>
                <w:lang w:eastAsia="zh-CN"/>
                <w14:textFill>
                  <w14:solidFill>
                    <w14:schemeClr w14:val="tx1"/>
                  </w14:solidFill>
                </w14:textFill>
              </w:rPr>
              <w:t>盛德佳工贸</w:t>
            </w:r>
            <w:r>
              <w:rPr>
                <w:rFonts w:hint="eastAsia" w:ascii="Times New Roman" w:hAnsi="Times New Roman" w:cs="宋体"/>
                <w:color w:val="000000" w:themeColor="text1"/>
                <w:sz w:val="24"/>
                <w14:textFill>
                  <w14:solidFill>
                    <w14:schemeClr w14:val="tx1"/>
                  </w14:solidFill>
                </w14:textFill>
              </w:rPr>
              <w:t>有限公司已建</w:t>
            </w:r>
            <w:r>
              <w:rPr>
                <w:rFonts w:hint="eastAsia" w:ascii="Times New Roman" w:hAnsi="Times New Roman" w:cs="宋体"/>
                <w:color w:val="000000" w:themeColor="text1"/>
                <w:sz w:val="24"/>
                <w:lang w:val="en-US" w:eastAsia="zh-CN"/>
                <w14:textFill>
                  <w14:solidFill>
                    <w14:schemeClr w14:val="tx1"/>
                  </w14:solidFill>
                </w14:textFill>
              </w:rPr>
              <w:t>16#</w:t>
            </w:r>
            <w:r>
              <w:rPr>
                <w:rFonts w:hint="eastAsia" w:ascii="Times New Roman" w:hAnsi="Times New Roman" w:cs="宋体"/>
                <w:color w:val="000000" w:themeColor="text1"/>
                <w:sz w:val="24"/>
                <w14:textFill>
                  <w14:solidFill>
                    <w14:schemeClr w14:val="tx1"/>
                  </w14:solidFill>
                </w14:textFill>
              </w:rPr>
              <w:t>厂房</w:t>
            </w:r>
            <w:r>
              <w:rPr>
                <w:rFonts w:hint="eastAsia" w:ascii="Times New Roman" w:hAnsi="Times New Roman" w:cs="宋体"/>
                <w:color w:val="000000" w:themeColor="text1"/>
                <w:sz w:val="24"/>
                <w:lang w:eastAsia="zh-CN"/>
                <w14:textFill>
                  <w14:solidFill>
                    <w14:schemeClr w14:val="tx1"/>
                  </w14:solidFill>
                </w14:textFill>
              </w:rPr>
              <w:t>（</w:t>
            </w:r>
            <w:r>
              <w:rPr>
                <w:rFonts w:hint="eastAsia" w:ascii="Times New Roman" w:hAnsi="Times New Roman" w:cs="宋体"/>
                <w:color w:val="000000" w:themeColor="text1"/>
                <w:sz w:val="24"/>
                <w:lang w:val="en-US" w:eastAsia="zh-CN"/>
                <w14:textFill>
                  <w14:solidFill>
                    <w14:schemeClr w14:val="tx1"/>
                  </w14:solidFill>
                </w14:textFill>
              </w:rPr>
              <w:t>1F</w:t>
            </w:r>
            <w:r>
              <w:rPr>
                <w:rFonts w:hint="eastAsia" w:ascii="Times New Roman" w:hAnsi="Times New Roman" w:cs="宋体"/>
                <w:color w:val="000000" w:themeColor="text1"/>
                <w:sz w:val="24"/>
                <w:lang w:eastAsia="zh-CN"/>
                <w14:textFill>
                  <w14:solidFill>
                    <w14:schemeClr w14:val="tx1"/>
                  </w14:solidFill>
                </w14:textFill>
              </w:rPr>
              <w:t>）</w:t>
            </w:r>
            <w:r>
              <w:rPr>
                <w:rFonts w:hint="eastAsia" w:ascii="Times New Roman" w:hAnsi="Times New Roman" w:cs="宋体"/>
                <w:color w:val="000000" w:themeColor="text1"/>
                <w:sz w:val="24"/>
                <w14:textFill>
                  <w14:solidFill>
                    <w14:schemeClr w14:val="tx1"/>
                  </w14:solidFill>
                </w14:textFill>
              </w:rPr>
              <w:t>，用于建设“</w:t>
            </w:r>
            <w:r>
              <w:rPr>
                <w:rFonts w:hint="eastAsia" w:ascii="Times New Roman" w:hAnsi="Times New Roman" w:eastAsia="宋体"/>
                <w:color w:val="000000" w:themeColor="text1"/>
                <w:sz w:val="24"/>
                <w:lang w:eastAsia="zh-CN"/>
                <w14:textFill>
                  <w14:solidFill>
                    <w14:schemeClr w14:val="tx1"/>
                  </w14:solidFill>
                </w14:textFill>
              </w:rPr>
              <w:t>人造板材（免漆门面饰板）生产项目</w:t>
            </w:r>
            <w:r>
              <w:rPr>
                <w:rFonts w:hint="eastAsia" w:ascii="Times New Roman" w:hAnsi="Times New Roman" w:cs="宋体"/>
                <w:color w:val="000000" w:themeColor="text1"/>
                <w:sz w:val="24"/>
                <w14:textFill>
                  <w14:solidFill>
                    <w14:schemeClr w14:val="tx1"/>
                  </w14:solidFill>
                </w14:textFill>
              </w:rPr>
              <w:t>”（以下称“本项目”</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，厂房租用面积共</w:t>
            </w:r>
            <w:r>
              <w:rPr>
                <w:rFonts w:hint="eastAsia" w:ascii="Times New Roman" w:hAnsi="Times New Roman" w:cs="宋体"/>
                <w:color w:val="000000" w:themeColor="text1"/>
                <w:sz w:val="24"/>
                <w:lang w:val="en-US" w:eastAsia="zh-CN"/>
                <w14:textFill>
                  <w14:solidFill>
                    <w14:schemeClr w14:val="tx1"/>
                  </w14:solidFill>
                </w14:textFill>
              </w:rPr>
              <w:t>3000</w:t>
            </w:r>
            <w:r>
              <w:rPr>
                <w:rFonts w:hint="eastAsia" w:ascii="Times New Roman" w:hAnsi="Times New Roman" w:cs="宋体"/>
                <w:color w:val="000000" w:themeColor="text1"/>
                <w:sz w:val="24"/>
                <w14:textFill>
                  <w14:solidFill>
                    <w14:schemeClr w14:val="tx1"/>
                  </w14:solidFill>
                </w14:textFill>
              </w:rPr>
              <w:t>m</w:t>
            </w:r>
            <w:r>
              <w:rPr>
                <w:rFonts w:hint="eastAsia" w:ascii="Times New Roman" w:hAnsi="Times New Roman" w:cs="宋体"/>
                <w:color w:val="000000" w:themeColor="text1"/>
                <w:sz w:val="24"/>
                <w:vertAlign w:val="superscript"/>
                <w14:textFill>
                  <w14:solidFill>
                    <w14:schemeClr w14:val="tx1"/>
                  </w14:solidFill>
                </w14:textFill>
              </w:rPr>
              <w:t>2</w:t>
            </w:r>
            <w:r>
              <w:rPr>
                <w:rFonts w:hint="eastAsia" w:ascii="Times New Roman" w:hAnsi="Times New Roman" w:cs="宋体"/>
                <w:color w:val="000000" w:themeColor="text1"/>
                <w:sz w:val="24"/>
                <w14:textFill>
                  <w14:solidFill>
                    <w14:schemeClr w14:val="tx1"/>
                  </w14:solidFill>
                </w14:textFill>
              </w:rPr>
              <w:t>，厂房内</w:t>
            </w:r>
            <w:r>
              <w:rPr>
                <w:rFonts w:hint="eastAsia" w:ascii="Times New Roman" w:hAnsi="Times New Roman" w:cs="宋体"/>
                <w:color w:val="000000" w:themeColor="text1"/>
                <w:sz w:val="24"/>
                <w:lang w:eastAsia="zh-CN"/>
                <w14:textFill>
                  <w14:solidFill>
                    <w14:schemeClr w14:val="tx1"/>
                  </w14:solidFill>
                </w14:textFill>
              </w:rPr>
              <w:t>购置热压机、模温机、包覆机、圆锯等设备</w:t>
            </w:r>
            <w:r>
              <w:rPr>
                <w:rFonts w:hint="eastAsia" w:ascii="Times New Roman" w:hAnsi="Times New Roman" w:cs="宋体"/>
                <w:color w:val="000000" w:themeColor="text1"/>
                <w:sz w:val="24"/>
                <w14:textFill>
                  <w14:solidFill>
                    <w14:schemeClr w14:val="tx1"/>
                  </w14:solidFill>
                </w14:textFill>
              </w:rPr>
              <w:t>，</w:t>
            </w:r>
            <w:r>
              <w:rPr>
                <w:rFonts w:hint="eastAsia" w:ascii="Times New Roman" w:hAnsi="Times New Roman" w:cs="宋体"/>
                <w:color w:val="000000" w:themeColor="text1"/>
                <w:sz w:val="24"/>
                <w:lang w:eastAsia="zh-CN"/>
                <w14:textFill>
                  <w14:solidFill>
                    <w14:schemeClr w14:val="tx1"/>
                  </w14:solidFill>
                </w14:textFill>
              </w:rPr>
              <w:t>年产</w:t>
            </w:r>
            <w:r>
              <w:rPr>
                <w:rFonts w:hint="eastAsia" w:ascii="Times New Roman" w:hAnsi="Times New Roman" w:cs="Times New Roman"/>
                <w:color w:val="000000" w:themeColor="text1"/>
                <w:sz w:val="24"/>
                <w:lang w:eastAsia="zh-CN"/>
                <w14:textFill>
                  <w14:solidFill>
                    <w14:schemeClr w14:val="tx1"/>
                  </w14:solidFill>
                </w14:textFill>
              </w:rPr>
              <w:t>免漆门板</w:t>
            </w:r>
            <w:r>
              <w:rPr>
                <w:rFonts w:hint="eastAsia" w:ascii="Times New Roman" w:hAnsi="Times New Roman" w:cs="Times New Roman"/>
                <w:color w:val="000000" w:themeColor="text1"/>
                <w:sz w:val="24"/>
                <w:lang w:val="en-US" w:eastAsia="zh-CN"/>
                <w14:textFill>
                  <w14:solidFill>
                    <w14:schemeClr w14:val="tx1"/>
                  </w14:solidFill>
                </w14:textFill>
              </w:rPr>
              <w:t>35万张、免漆门边条70万支</w:t>
            </w:r>
            <w:r>
              <w:rPr>
                <w:rFonts w:ascii="Times New Roman" w:hAnsi="Times New Roman" w:cs="Times New Roman"/>
                <w:color w:val="000000" w:themeColor="text1"/>
                <w:sz w:val="24"/>
                <w14:textFill>
                  <w14:solidFill>
                    <w14:schemeClr w14:val="tx1"/>
                  </w14:solidFill>
                </w14:textFill>
              </w:rPr>
              <w:t>。</w:t>
            </w:r>
          </w:p>
          <w:p w14:paraId="1C317C3B">
            <w:pPr>
              <w:spacing w:line="360" w:lineRule="auto"/>
              <w:ind w:firstLine="480" w:firstLineChars="200"/>
              <w:rPr>
                <w:rFonts w:ascii="Times New Roman" w:hAnsi="Times New Roman" w:eastAsia="宋体"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劳动定员及工作制度：劳动定员</w:t>
            </w:r>
            <w:r>
              <w:rPr>
                <w:rFonts w:hint="eastAsia" w:ascii="Times New Roman" w:hAnsi="Times New Roman" w:cs="Times New Roman"/>
                <w:color w:val="000000" w:themeColor="text1"/>
                <w:sz w:val="24"/>
                <w:szCs w:val="21"/>
                <w:lang w:val="en-US" w:eastAsia="zh-CN"/>
                <w14:textFill>
                  <w14:solidFill>
                    <w14:schemeClr w14:val="tx1"/>
                  </w14:solidFill>
                </w14:textFill>
              </w:rPr>
              <w:t>20</w:t>
            </w:r>
            <w:r>
              <w:rPr>
                <w:rFonts w:ascii="Times New Roman" w:hAnsi="Times New Roman" w:cs="Times New Roman"/>
                <w:color w:val="000000" w:themeColor="text1"/>
                <w:sz w:val="24"/>
                <w:szCs w:val="21"/>
                <w14:textFill>
                  <w14:solidFill>
                    <w14:schemeClr w14:val="tx1"/>
                  </w14:solidFill>
                </w14:textFill>
              </w:rPr>
              <w:t>人，全年生产</w:t>
            </w:r>
            <w:r>
              <w:rPr>
                <w:rFonts w:hint="eastAsia" w:ascii="Times New Roman" w:hAnsi="Times New Roman" w:cs="Times New Roman"/>
                <w:color w:val="000000" w:themeColor="text1"/>
                <w:sz w:val="24"/>
                <w:szCs w:val="21"/>
                <w14:textFill>
                  <w14:solidFill>
                    <w14:schemeClr w14:val="tx1"/>
                  </w14:solidFill>
                </w14:textFill>
              </w:rPr>
              <w:t>250</w:t>
            </w:r>
            <w:r>
              <w:rPr>
                <w:rFonts w:ascii="Times New Roman" w:hAnsi="Times New Roman" w:cs="Times New Roman"/>
                <w:color w:val="000000" w:themeColor="text1"/>
                <w:sz w:val="24"/>
                <w:szCs w:val="21"/>
                <w14:textFill>
                  <w14:solidFill>
                    <w14:schemeClr w14:val="tx1"/>
                  </w14:solidFill>
                </w14:textFill>
              </w:rPr>
              <w:t>天，</w:t>
            </w:r>
            <w:r>
              <w:rPr>
                <w:rFonts w:hint="eastAsia" w:ascii="Times New Roman" w:hAnsi="Times New Roman" w:cs="Times New Roman"/>
                <w:color w:val="000000" w:themeColor="text1"/>
                <w:sz w:val="24"/>
                <w:szCs w:val="21"/>
                <w14:textFill>
                  <w14:solidFill>
                    <w14:schemeClr w14:val="tx1"/>
                  </w14:solidFill>
                </w14:textFill>
              </w:rPr>
              <w:t>1</w:t>
            </w:r>
            <w:r>
              <w:rPr>
                <w:rFonts w:ascii="Times New Roman" w:hAnsi="Times New Roman" w:cs="Times New Roman"/>
                <w:color w:val="000000" w:themeColor="text1"/>
                <w:sz w:val="24"/>
                <w:szCs w:val="21"/>
                <w14:textFill>
                  <w14:solidFill>
                    <w14:schemeClr w14:val="tx1"/>
                  </w14:solidFill>
                </w14:textFill>
              </w:rPr>
              <w:t>班制，8小时/班，不在厂区食宿。</w:t>
            </w:r>
          </w:p>
          <w:p w14:paraId="3177AF1D">
            <w:pPr>
              <w:spacing w:before="31" w:beforeLines="10" w:after="31" w:afterLines="10" w:line="372"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2.3项目组成及内容</w:t>
            </w:r>
          </w:p>
          <w:p w14:paraId="5785B08B">
            <w:pPr>
              <w:spacing w:line="375" w:lineRule="auto"/>
              <w:ind w:firstLine="482" w:firstLineChars="200"/>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2.3.1项目组成</w:t>
            </w:r>
          </w:p>
          <w:p w14:paraId="3ED2A980">
            <w:pPr>
              <w:spacing w:line="375"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本项目具体工程内容及规模见下表：</w:t>
            </w:r>
          </w:p>
          <w:p w14:paraId="32BD67A5">
            <w:pPr>
              <w:spacing w:line="36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表2-1  项目工程组成一览表</w:t>
            </w:r>
          </w:p>
          <w:tbl>
            <w:tblPr>
              <w:tblStyle w:val="28"/>
              <w:tblW w:w="49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07"/>
              <w:gridCol w:w="1201"/>
              <w:gridCol w:w="5437"/>
              <w:gridCol w:w="657"/>
            </w:tblGrid>
            <w:tr w14:paraId="5CCC3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273DFE1C">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项目类别</w:t>
                  </w:r>
                </w:p>
              </w:tc>
              <w:tc>
                <w:tcPr>
                  <w:tcW w:w="723" w:type="pct"/>
                  <w:tcBorders>
                    <w:tl2br w:val="nil"/>
                    <w:tr2bl w:val="nil"/>
                  </w:tcBorders>
                  <w:vAlign w:val="center"/>
                </w:tcPr>
                <w:p w14:paraId="104A317F">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建设内容</w:t>
                  </w:r>
                </w:p>
              </w:tc>
              <w:tc>
                <w:tcPr>
                  <w:tcW w:w="3274" w:type="pct"/>
                  <w:tcBorders>
                    <w:tl2br w:val="nil"/>
                    <w:tr2bl w:val="nil"/>
                  </w:tcBorders>
                  <w:vAlign w:val="center"/>
                </w:tcPr>
                <w:p w14:paraId="095986E5">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规模及内容</w:t>
                  </w:r>
                </w:p>
              </w:tc>
              <w:tc>
                <w:tcPr>
                  <w:tcW w:w="395" w:type="pct"/>
                  <w:tcBorders>
                    <w:tl2br w:val="nil"/>
                    <w:tr2bl w:val="nil"/>
                  </w:tcBorders>
                  <w:vAlign w:val="center"/>
                </w:tcPr>
                <w:p w14:paraId="4A98A3AE">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备注</w:t>
                  </w:r>
                </w:p>
              </w:tc>
            </w:tr>
            <w:tr w14:paraId="74884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21335A01">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主体工程</w:t>
                  </w:r>
                </w:p>
              </w:tc>
              <w:tc>
                <w:tcPr>
                  <w:tcW w:w="723" w:type="pct"/>
                  <w:tcBorders>
                    <w:tl2br w:val="nil"/>
                    <w:tr2bl w:val="nil"/>
                  </w:tcBorders>
                  <w:vAlign w:val="center"/>
                </w:tcPr>
                <w:p w14:paraId="4A10A863">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热压</w:t>
                  </w:r>
                  <w:r>
                    <w:rPr>
                      <w:rFonts w:hint="eastAsia" w:ascii="Times New Roman" w:hAnsi="Times New Roman" w:eastAsia="宋体"/>
                      <w:color w:val="000000" w:themeColor="text1"/>
                      <w:szCs w:val="21"/>
                      <w14:textFill>
                        <w14:solidFill>
                          <w14:schemeClr w14:val="tx1"/>
                        </w14:solidFill>
                      </w14:textFill>
                    </w:rPr>
                    <w:t>区</w:t>
                  </w:r>
                </w:p>
              </w:tc>
              <w:tc>
                <w:tcPr>
                  <w:tcW w:w="3274" w:type="pct"/>
                  <w:tcBorders>
                    <w:tl2br w:val="nil"/>
                    <w:tr2bl w:val="nil"/>
                  </w:tcBorders>
                  <w:vAlign w:val="center"/>
                </w:tcPr>
                <w:p w14:paraId="7C18B780">
                  <w:pPr>
                    <w:spacing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位于厂区</w:t>
                  </w:r>
                  <w:r>
                    <w:rPr>
                      <w:rFonts w:hint="eastAsia" w:ascii="Times New Roman" w:hAnsi="Times New Roman" w:eastAsia="宋体"/>
                      <w:color w:val="000000" w:themeColor="text1"/>
                      <w:szCs w:val="21"/>
                      <w:lang w:eastAsia="zh-CN"/>
                      <w14:textFill>
                        <w14:solidFill>
                          <w14:schemeClr w14:val="tx1"/>
                        </w14:solidFill>
                      </w14:textFill>
                    </w:rPr>
                    <w:t>南侧</w:t>
                  </w:r>
                  <w:r>
                    <w:rPr>
                      <w:rFonts w:hint="eastAsia"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lang w:eastAsia="zh-CN"/>
                      <w14:textFill>
                        <w14:solidFill>
                          <w14:schemeClr w14:val="tx1"/>
                        </w14:solidFill>
                      </w14:textFill>
                    </w:rPr>
                    <w:t>布置</w:t>
                  </w:r>
                  <w:r>
                    <w:rPr>
                      <w:rFonts w:hint="eastAsia" w:ascii="Times New Roman" w:hAnsi="Times New Roman" w:eastAsia="宋体"/>
                      <w:color w:val="000000" w:themeColor="text1"/>
                      <w:szCs w:val="21"/>
                      <w:lang w:val="en-US" w:eastAsia="zh-CN"/>
                      <w14:textFill>
                        <w14:solidFill>
                          <w14:schemeClr w14:val="tx1"/>
                        </w14:solidFill>
                      </w14:textFill>
                    </w:rPr>
                    <w:t>6台压机、3台模温机，生产免漆门面板35万张/a，加工免漆门边条用包覆纸7万张/a（1张包覆纸可用于生产10支边条）。</w:t>
                  </w:r>
                </w:p>
              </w:tc>
              <w:tc>
                <w:tcPr>
                  <w:tcW w:w="395" w:type="pct"/>
                  <w:vMerge w:val="restart"/>
                  <w:tcBorders>
                    <w:tl2br w:val="nil"/>
                    <w:tr2bl w:val="nil"/>
                  </w:tcBorders>
                  <w:vAlign w:val="center"/>
                </w:tcPr>
                <w:p w14:paraId="5B44AC06">
                  <w:pPr>
                    <w:spacing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厂房已建，新增设备</w:t>
                  </w:r>
                </w:p>
              </w:tc>
            </w:tr>
            <w:tr w14:paraId="4F41C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2BE0418E">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553FB655">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覆膜</w:t>
                  </w:r>
                  <w:r>
                    <w:rPr>
                      <w:rFonts w:hint="eastAsia" w:ascii="Times New Roman" w:hAnsi="Times New Roman" w:eastAsia="宋体"/>
                      <w:color w:val="000000" w:themeColor="text1"/>
                      <w:szCs w:val="21"/>
                      <w14:textFill>
                        <w14:solidFill>
                          <w14:schemeClr w14:val="tx1"/>
                        </w14:solidFill>
                      </w14:textFill>
                    </w:rPr>
                    <w:t>区</w:t>
                  </w:r>
                </w:p>
              </w:tc>
              <w:tc>
                <w:tcPr>
                  <w:tcW w:w="3274" w:type="pct"/>
                  <w:tcBorders>
                    <w:tl2br w:val="nil"/>
                    <w:tr2bl w:val="nil"/>
                  </w:tcBorders>
                  <w:vAlign w:val="center"/>
                </w:tcPr>
                <w:p w14:paraId="0315DD45">
                  <w:pPr>
                    <w:spacing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位于厂区北侧</w:t>
                  </w:r>
                  <w:r>
                    <w:rPr>
                      <w:rFonts w:hint="eastAsia" w:ascii="Times New Roman" w:hAnsi="Times New Roman" w:eastAsia="宋体"/>
                      <w:color w:val="000000" w:themeColor="text1"/>
                      <w:szCs w:val="21"/>
                      <w14:textFill>
                        <w14:solidFill>
                          <w14:schemeClr w14:val="tx1"/>
                        </w14:solidFill>
                      </w14:textFill>
                    </w:rPr>
                    <w:t>，布置</w:t>
                  </w:r>
                  <w:r>
                    <w:rPr>
                      <w:rFonts w:hint="eastAsia" w:ascii="Times New Roman" w:hAnsi="Times New Roman" w:eastAsia="宋体"/>
                      <w:color w:val="000000" w:themeColor="text1"/>
                      <w:szCs w:val="21"/>
                      <w:lang w:val="en-US" w:eastAsia="zh-CN"/>
                      <w14:textFill>
                        <w14:solidFill>
                          <w14:schemeClr w14:val="tx1"/>
                        </w14:solidFill>
                      </w14:textFill>
                    </w:rPr>
                    <w:t>1台裁断机、1台缝纫机、2台覆膜机、1台双头圆锯，将包覆纸裁切后成卷，对免漆门边条</w:t>
                  </w:r>
                  <w:r>
                    <w:rPr>
                      <w:rFonts w:hint="eastAsia" w:ascii="Times New Roman" w:hAnsi="Times New Roman" w:eastAsia="宋体"/>
                      <w:color w:val="000000" w:themeColor="text1"/>
                      <w:szCs w:val="21"/>
                      <w:lang w:eastAsia="zh-CN"/>
                      <w14:textFill>
                        <w14:solidFill>
                          <w14:schemeClr w14:val="tx1"/>
                        </w14:solidFill>
                      </w14:textFill>
                    </w:rPr>
                    <w:t>进行覆膜，年产免漆门边条</w:t>
                  </w:r>
                  <w:r>
                    <w:rPr>
                      <w:rFonts w:hint="eastAsia" w:ascii="Times New Roman" w:hAnsi="Times New Roman" w:eastAsia="宋体"/>
                      <w:color w:val="000000" w:themeColor="text1"/>
                      <w:szCs w:val="21"/>
                      <w:lang w:val="en-US" w:eastAsia="zh-CN"/>
                      <w14:textFill>
                        <w14:solidFill>
                          <w14:schemeClr w14:val="tx1"/>
                        </w14:solidFill>
                      </w14:textFill>
                    </w:rPr>
                    <w:t>70万支</w:t>
                  </w:r>
                  <w:r>
                    <w:rPr>
                      <w:rFonts w:hint="eastAsia" w:ascii="Times New Roman" w:hAnsi="Times New Roman" w:eastAsia="宋体"/>
                      <w:color w:val="000000" w:themeColor="text1"/>
                      <w:szCs w:val="21"/>
                      <w14:textFill>
                        <w14:solidFill>
                          <w14:schemeClr w14:val="tx1"/>
                        </w14:solidFill>
                      </w14:textFill>
                    </w:rPr>
                    <w:t>。</w:t>
                  </w:r>
                </w:p>
              </w:tc>
              <w:tc>
                <w:tcPr>
                  <w:tcW w:w="395" w:type="pct"/>
                  <w:vMerge w:val="continue"/>
                  <w:tcBorders>
                    <w:tl2br w:val="nil"/>
                    <w:tr2bl w:val="nil"/>
                  </w:tcBorders>
                  <w:vAlign w:val="center"/>
                </w:tcPr>
                <w:p w14:paraId="78D645D4">
                  <w:pPr>
                    <w:spacing w:line="300" w:lineRule="auto"/>
                    <w:jc w:val="center"/>
                    <w:rPr>
                      <w:rFonts w:ascii="Times New Roman" w:hAnsi="Times New Roman" w:eastAsia="宋体"/>
                      <w:color w:val="000000" w:themeColor="text1"/>
                      <w:szCs w:val="21"/>
                      <w14:textFill>
                        <w14:solidFill>
                          <w14:schemeClr w14:val="tx1"/>
                        </w14:solidFill>
                      </w14:textFill>
                    </w:rPr>
                  </w:pPr>
                </w:p>
              </w:tc>
            </w:tr>
            <w:tr w14:paraId="3EE60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29292906">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辅助工程</w:t>
                  </w:r>
                </w:p>
              </w:tc>
              <w:tc>
                <w:tcPr>
                  <w:tcW w:w="723" w:type="pct"/>
                  <w:tcBorders>
                    <w:tl2br w:val="nil"/>
                    <w:tr2bl w:val="nil"/>
                  </w:tcBorders>
                  <w:vAlign w:val="center"/>
                </w:tcPr>
                <w:p w14:paraId="2B179882">
                  <w:pPr>
                    <w:spacing w:before="68" w:beforeLines="22" w:after="68" w:afterLines="22"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办公区</w:t>
                  </w:r>
                </w:p>
              </w:tc>
              <w:tc>
                <w:tcPr>
                  <w:tcW w:w="3274" w:type="pct"/>
                  <w:tcBorders>
                    <w:tl2br w:val="nil"/>
                    <w:tr2bl w:val="nil"/>
                  </w:tcBorders>
                  <w:vAlign w:val="center"/>
                </w:tcPr>
                <w:p w14:paraId="43427816">
                  <w:pPr>
                    <w:spacing w:before="78" w:beforeLines="25" w:after="78" w:afterLines="25"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办公区位于</w:t>
                  </w:r>
                  <w:r>
                    <w:rPr>
                      <w:rFonts w:hint="eastAsia" w:ascii="Times New Roman" w:hAnsi="Times New Roman" w:eastAsia="宋体"/>
                      <w:color w:val="000000" w:themeColor="text1"/>
                      <w:szCs w:val="21"/>
                      <w:lang w:eastAsia="zh-CN"/>
                      <w14:textFill>
                        <w14:solidFill>
                          <w14:schemeClr w14:val="tx1"/>
                        </w14:solidFill>
                      </w14:textFill>
                    </w:rPr>
                    <w:t>厂区东侧</w:t>
                  </w:r>
                  <w:r>
                    <w:rPr>
                      <w:rFonts w:hint="eastAsia" w:ascii="Times New Roman" w:hAnsi="Times New Roman" w:eastAsia="宋体"/>
                      <w:color w:val="000000" w:themeColor="text1"/>
                      <w:szCs w:val="21"/>
                      <w14:textFill>
                        <w14:solidFill>
                          <w14:schemeClr w14:val="tx1"/>
                        </w14:solidFill>
                      </w14:textFill>
                    </w:rPr>
                    <w:t>，建筑面积约</w:t>
                  </w:r>
                  <w:r>
                    <w:rPr>
                      <w:rFonts w:hint="eastAsia" w:ascii="Times New Roman" w:hAnsi="Times New Roman" w:eastAsia="宋体"/>
                      <w:color w:val="000000" w:themeColor="text1"/>
                      <w:szCs w:val="21"/>
                      <w:lang w:val="en-US" w:eastAsia="zh-CN"/>
                      <w14:textFill>
                        <w14:solidFill>
                          <w14:schemeClr w14:val="tx1"/>
                        </w14:solidFill>
                      </w14:textFill>
                    </w:rPr>
                    <w:t>6</w:t>
                  </w:r>
                  <w:r>
                    <w:rPr>
                      <w:rFonts w:hint="eastAsia" w:ascii="Times New Roman" w:hAnsi="Times New Roman" w:eastAsia="宋体"/>
                      <w:color w:val="000000" w:themeColor="text1"/>
                      <w:szCs w:val="21"/>
                      <w14:textFill>
                        <w14:solidFill>
                          <w14:schemeClr w14:val="tx1"/>
                        </w14:solidFill>
                      </w14:textFill>
                    </w:rPr>
                    <w:t>0m</w:t>
                  </w:r>
                  <w:r>
                    <w:rPr>
                      <w:rFonts w:hint="eastAsia" w:ascii="Times New Roman" w:hAnsi="Times New Roman" w:eastAsia="宋体"/>
                      <w:color w:val="000000" w:themeColor="text1"/>
                      <w:szCs w:val="21"/>
                      <w:vertAlign w:val="superscript"/>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，主要</w:t>
                  </w:r>
                  <w:r>
                    <w:rPr>
                      <w:rFonts w:hint="eastAsia" w:ascii="Times New Roman" w:hAnsi="Times New Roman" w:eastAsia="宋体"/>
                      <w:color w:val="000000" w:themeColor="text1"/>
                      <w:szCs w:val="21"/>
                      <w:lang w:eastAsia="zh-CN"/>
                      <w14:textFill>
                        <w14:solidFill>
                          <w14:schemeClr w14:val="tx1"/>
                        </w14:solidFill>
                      </w14:textFill>
                    </w:rPr>
                    <w:t>进行</w:t>
                  </w:r>
                  <w:r>
                    <w:rPr>
                      <w:rFonts w:hint="eastAsia" w:ascii="Times New Roman" w:hAnsi="Times New Roman" w:eastAsia="宋体"/>
                      <w:color w:val="000000" w:themeColor="text1"/>
                      <w:szCs w:val="21"/>
                      <w14:textFill>
                        <w14:solidFill>
                          <w14:schemeClr w14:val="tx1"/>
                        </w14:solidFill>
                      </w14:textFill>
                    </w:rPr>
                    <w:t>日常办公、生产调度等。</w:t>
                  </w:r>
                </w:p>
              </w:tc>
              <w:tc>
                <w:tcPr>
                  <w:tcW w:w="395" w:type="pct"/>
                  <w:tcBorders>
                    <w:tl2br w:val="nil"/>
                    <w:tr2bl w:val="nil"/>
                  </w:tcBorders>
                  <w:vAlign w:val="center"/>
                </w:tcPr>
                <w:p w14:paraId="6805BB0F">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1048D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1A3A8C2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储运工程</w:t>
                  </w:r>
                </w:p>
              </w:tc>
              <w:tc>
                <w:tcPr>
                  <w:tcW w:w="723" w:type="pct"/>
                  <w:tcBorders>
                    <w:tl2br w:val="nil"/>
                    <w:tr2bl w:val="nil"/>
                  </w:tcBorders>
                  <w:vAlign w:val="center"/>
                </w:tcPr>
                <w:p w14:paraId="531FC142">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原料区</w:t>
                  </w:r>
                </w:p>
              </w:tc>
              <w:tc>
                <w:tcPr>
                  <w:tcW w:w="3274" w:type="pct"/>
                  <w:tcBorders>
                    <w:tl2br w:val="nil"/>
                    <w:tr2bl w:val="nil"/>
                  </w:tcBorders>
                  <w:vAlign w:val="center"/>
                </w:tcPr>
                <w:p w14:paraId="0445DBF2">
                  <w:pPr>
                    <w:spacing w:before="78" w:beforeLines="25" w:after="78" w:afterLines="25" w:line="300" w:lineRule="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olor w:val="000000" w:themeColor="text1"/>
                      <w:szCs w:val="21"/>
                      <w:lang w:eastAsia="zh-CN"/>
                      <w14:textFill>
                        <w14:solidFill>
                          <w14:schemeClr w14:val="tx1"/>
                        </w14:solidFill>
                      </w14:textFill>
                    </w:rPr>
                    <w:t>厂区中部</w:t>
                  </w:r>
                  <w:r>
                    <w:rPr>
                      <w:rFonts w:hint="eastAsia"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lang w:eastAsia="zh-CN"/>
                      <w14:textFill>
                        <w14:solidFill>
                          <w14:schemeClr w14:val="tx1"/>
                        </w14:solidFill>
                      </w14:textFill>
                    </w:rPr>
                    <w:t>建筑面积约</w:t>
                  </w:r>
                  <w:r>
                    <w:rPr>
                      <w:rFonts w:hint="eastAsia" w:ascii="Times New Roman" w:hAnsi="Times New Roman" w:eastAsia="宋体"/>
                      <w:color w:val="000000" w:themeColor="text1"/>
                      <w:szCs w:val="21"/>
                      <w:lang w:val="en-US" w:eastAsia="zh-CN"/>
                      <w14:textFill>
                        <w14:solidFill>
                          <w14:schemeClr w14:val="tx1"/>
                        </w14:solidFill>
                      </w14:textFill>
                    </w:rPr>
                    <w:t>600</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2</w:t>
                  </w:r>
                  <w:r>
                    <w:rPr>
                      <w:rFonts w:hint="eastAsia" w:ascii="Times New Roman" w:hAnsi="Times New Roman" w:eastAsia="宋体"/>
                      <w:color w:val="000000" w:themeColor="text1"/>
                      <w:szCs w:val="21"/>
                      <w:vertAlign w:val="baseline"/>
                      <w:lang w:eastAsia="zh-CN"/>
                      <w14:textFill>
                        <w14:solidFill>
                          <w14:schemeClr w14:val="tx1"/>
                        </w14:solidFill>
                      </w14:textFill>
                    </w:rPr>
                    <w:t>，主要存放生产用板材。</w:t>
                  </w:r>
                </w:p>
              </w:tc>
              <w:tc>
                <w:tcPr>
                  <w:tcW w:w="395" w:type="pct"/>
                  <w:tcBorders>
                    <w:tl2br w:val="nil"/>
                    <w:tr2bl w:val="nil"/>
                  </w:tcBorders>
                  <w:vAlign w:val="center"/>
                </w:tcPr>
                <w:p w14:paraId="071373A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28485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5FB32AA1">
                  <w:pPr>
                    <w:spacing w:before="78" w:beforeLines="25" w:after="78" w:afterLines="25" w:line="300" w:lineRule="auto"/>
                    <w:jc w:val="center"/>
                    <w:rPr>
                      <w:rFonts w:hint="eastAsia"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1D6FA97C">
                  <w:pPr>
                    <w:spacing w:before="78" w:beforeLines="25" w:after="78" w:afterLines="25" w:line="300" w:lineRule="auto"/>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包覆纸库房</w:t>
                  </w:r>
                </w:p>
              </w:tc>
              <w:tc>
                <w:tcPr>
                  <w:tcW w:w="3274" w:type="pct"/>
                  <w:tcBorders>
                    <w:tl2br w:val="nil"/>
                    <w:tr2bl w:val="nil"/>
                  </w:tcBorders>
                  <w:vAlign w:val="center"/>
                </w:tcPr>
                <w:p w14:paraId="07CBA57E">
                  <w:pPr>
                    <w:spacing w:before="78" w:beforeLines="25" w:after="78" w:afterLines="25" w:line="300" w:lineRule="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位于厂区西北侧，建筑面积约</w:t>
                  </w:r>
                  <w:r>
                    <w:rPr>
                      <w:rFonts w:hint="eastAsia" w:ascii="Times New Roman" w:hAnsi="Times New Roman" w:eastAsia="宋体"/>
                      <w:color w:val="000000" w:themeColor="text1"/>
                      <w:szCs w:val="21"/>
                      <w:lang w:val="en-US" w:eastAsia="zh-CN"/>
                      <w14:textFill>
                        <w14:solidFill>
                          <w14:schemeClr w14:val="tx1"/>
                        </w14:solidFill>
                      </w14:textFill>
                    </w:rPr>
                    <w:t>50</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2</w:t>
                  </w:r>
                  <w:r>
                    <w:rPr>
                      <w:rFonts w:hint="eastAsia" w:ascii="Times New Roman" w:hAnsi="Times New Roman" w:eastAsia="宋体"/>
                      <w:color w:val="000000" w:themeColor="text1"/>
                      <w:szCs w:val="21"/>
                      <w:vertAlign w:val="baseline"/>
                      <w:lang w:eastAsia="zh-CN"/>
                      <w14:textFill>
                        <w14:solidFill>
                          <w14:schemeClr w14:val="tx1"/>
                        </w14:solidFill>
                      </w14:textFill>
                    </w:rPr>
                    <w:t>，用于存放厂区加工的包覆纸。</w:t>
                  </w:r>
                </w:p>
              </w:tc>
              <w:tc>
                <w:tcPr>
                  <w:tcW w:w="395" w:type="pct"/>
                  <w:tcBorders>
                    <w:tl2br w:val="nil"/>
                    <w:tr2bl w:val="nil"/>
                  </w:tcBorders>
                  <w:vAlign w:val="center"/>
                </w:tcPr>
                <w:p w14:paraId="77C06AD7">
                  <w:pPr>
                    <w:spacing w:before="78" w:beforeLines="25" w:after="78" w:afterLines="25" w:line="300" w:lineRule="auto"/>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新建</w:t>
                  </w:r>
                </w:p>
              </w:tc>
            </w:tr>
            <w:tr w14:paraId="67AD6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06" w:type="pct"/>
                  <w:vMerge w:val="continue"/>
                  <w:tcBorders>
                    <w:tl2br w:val="nil"/>
                    <w:tr2bl w:val="nil"/>
                  </w:tcBorders>
                  <w:vAlign w:val="center"/>
                </w:tcPr>
                <w:p w14:paraId="3F865F73">
                  <w:pPr>
                    <w:spacing w:before="78" w:beforeLines="25" w:after="78" w:afterLines="25" w:line="300" w:lineRule="auto"/>
                    <w:jc w:val="center"/>
                    <w:rPr>
                      <w:rFonts w:hint="eastAsia"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0FC6E616">
                  <w:pPr>
                    <w:spacing w:before="78" w:beforeLines="25" w:after="78" w:afterLines="25" w:line="300" w:lineRule="auto"/>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浸胶纸库房</w:t>
                  </w:r>
                </w:p>
              </w:tc>
              <w:tc>
                <w:tcPr>
                  <w:tcW w:w="3274" w:type="pct"/>
                  <w:tcBorders>
                    <w:tl2br w:val="nil"/>
                    <w:tr2bl w:val="nil"/>
                  </w:tcBorders>
                  <w:vAlign w:val="center"/>
                </w:tcPr>
                <w:p w14:paraId="6FC823F3">
                  <w:pPr>
                    <w:spacing w:before="78" w:beforeLines="25" w:after="78" w:afterLines="25" w:line="30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位于厂区西侧，建筑面积约</w:t>
                  </w:r>
                  <w:r>
                    <w:rPr>
                      <w:rFonts w:hint="eastAsia" w:ascii="Times New Roman" w:hAnsi="Times New Roman" w:eastAsia="宋体"/>
                      <w:color w:val="000000" w:themeColor="text1"/>
                      <w:szCs w:val="21"/>
                      <w:lang w:val="en-US" w:eastAsia="zh-CN"/>
                      <w14:textFill>
                        <w14:solidFill>
                          <w14:schemeClr w14:val="tx1"/>
                        </w14:solidFill>
                      </w14:textFill>
                    </w:rPr>
                    <w:t>80</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2</w:t>
                  </w:r>
                  <w:r>
                    <w:rPr>
                      <w:rFonts w:hint="eastAsia" w:ascii="Times New Roman" w:hAnsi="Times New Roman" w:eastAsia="宋体"/>
                      <w:color w:val="000000" w:themeColor="text1"/>
                      <w:szCs w:val="21"/>
                      <w:vertAlign w:val="baseline"/>
                      <w:lang w:eastAsia="zh-CN"/>
                      <w14:textFill>
                        <w14:solidFill>
                          <w14:schemeClr w14:val="tx1"/>
                        </w14:solidFill>
                      </w14:textFill>
                    </w:rPr>
                    <w:t>，用于存放厂区加工的三聚氰胺浸胶纸。</w:t>
                  </w:r>
                </w:p>
              </w:tc>
              <w:tc>
                <w:tcPr>
                  <w:tcW w:w="395" w:type="pct"/>
                  <w:tcBorders>
                    <w:tl2br w:val="nil"/>
                    <w:tr2bl w:val="nil"/>
                  </w:tcBorders>
                  <w:vAlign w:val="center"/>
                </w:tcPr>
                <w:p w14:paraId="74EC6D14">
                  <w:pPr>
                    <w:spacing w:before="78" w:beforeLines="25" w:after="78" w:afterLines="25" w:line="300" w:lineRule="auto"/>
                    <w:jc w:val="center"/>
                    <w:rPr>
                      <w:rFonts w:hint="eastAsia" w:ascii="Times New Roman" w:hAnsi="Times New Roman" w:eastAsia="宋体"/>
                      <w:color w:val="000000" w:themeColor="text1"/>
                      <w:szCs w:val="21"/>
                      <w:lang w:eastAsia="zh-CN"/>
                      <w14:textFill>
                        <w14:solidFill>
                          <w14:schemeClr w14:val="tx1"/>
                        </w14:solidFill>
                      </w14:textFill>
                    </w:rPr>
                  </w:pPr>
                </w:p>
              </w:tc>
            </w:tr>
            <w:tr w14:paraId="099F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606" w:type="pct"/>
                  <w:vMerge w:val="continue"/>
                  <w:tcBorders>
                    <w:tl2br w:val="nil"/>
                    <w:tr2bl w:val="nil"/>
                  </w:tcBorders>
                  <w:vAlign w:val="center"/>
                </w:tcPr>
                <w:p w14:paraId="1F0FCE13">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7672A8DC">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成品库房</w:t>
                  </w:r>
                </w:p>
              </w:tc>
              <w:tc>
                <w:tcPr>
                  <w:tcW w:w="3274" w:type="pct"/>
                  <w:tcBorders>
                    <w:tl2br w:val="nil"/>
                    <w:tr2bl w:val="nil"/>
                  </w:tcBorders>
                  <w:vAlign w:val="center"/>
                </w:tcPr>
                <w:p w14:paraId="27C4F017">
                  <w:pPr>
                    <w:spacing w:before="78" w:beforeLines="25" w:after="78" w:afterLines="25" w:line="30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位于厂房北侧，建筑面积约</w:t>
                  </w:r>
                  <w:r>
                    <w:rPr>
                      <w:rFonts w:hint="eastAsia" w:ascii="Times New Roman" w:hAnsi="Times New Roman" w:eastAsia="宋体"/>
                      <w:color w:val="000000" w:themeColor="text1"/>
                      <w:szCs w:val="21"/>
                      <w:lang w:val="en-US" w:eastAsia="zh-CN"/>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00m</w:t>
                  </w:r>
                  <w:r>
                    <w:rPr>
                      <w:rFonts w:hint="eastAsia" w:ascii="Times New Roman" w:hAnsi="Times New Roman" w:eastAsia="宋体"/>
                      <w:color w:val="000000" w:themeColor="text1"/>
                      <w:szCs w:val="21"/>
                      <w:vertAlign w:val="superscript"/>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，用于成品存放</w:t>
                  </w:r>
                  <w:r>
                    <w:rPr>
                      <w:rFonts w:hint="eastAsia" w:ascii="Times New Roman" w:hAnsi="Times New Roman" w:eastAsia="宋体"/>
                      <w:color w:val="000000" w:themeColor="text1"/>
                      <w:szCs w:val="21"/>
                      <w:lang w:eastAsia="zh-CN"/>
                      <w14:textFill>
                        <w14:solidFill>
                          <w14:schemeClr w14:val="tx1"/>
                        </w14:solidFill>
                      </w14:textFill>
                    </w:rPr>
                    <w:t>。</w:t>
                  </w:r>
                </w:p>
              </w:tc>
              <w:tc>
                <w:tcPr>
                  <w:tcW w:w="395" w:type="pct"/>
                  <w:tcBorders>
                    <w:tl2br w:val="nil"/>
                    <w:tr2bl w:val="nil"/>
                  </w:tcBorders>
                  <w:vAlign w:val="center"/>
                </w:tcPr>
                <w:p w14:paraId="493B790C">
                  <w:pPr>
                    <w:spacing w:before="78" w:beforeLines="25" w:after="78" w:afterLines="25" w:line="300" w:lineRule="auto"/>
                    <w:jc w:val="center"/>
                    <w:rPr>
                      <w:rFonts w:ascii="Times New Roman" w:hAnsi="Times New Roman" w:eastAsia="宋体" w:cs="Times New Roman"/>
                      <w:bCs/>
                      <w:iCs/>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541D4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4BFA9AB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公用工程</w:t>
                  </w:r>
                </w:p>
              </w:tc>
              <w:tc>
                <w:tcPr>
                  <w:tcW w:w="723" w:type="pct"/>
                  <w:tcBorders>
                    <w:tl2br w:val="nil"/>
                    <w:tr2bl w:val="nil"/>
                  </w:tcBorders>
                  <w:vAlign w:val="center"/>
                </w:tcPr>
                <w:p w14:paraId="680E900F">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给水</w:t>
                  </w:r>
                </w:p>
              </w:tc>
              <w:tc>
                <w:tcPr>
                  <w:tcW w:w="3274" w:type="pct"/>
                  <w:tcBorders>
                    <w:tl2br w:val="nil"/>
                    <w:tr2bl w:val="nil"/>
                  </w:tcBorders>
                  <w:vAlign w:val="center"/>
                </w:tcPr>
                <w:p w14:paraId="11B97C06">
                  <w:pPr>
                    <w:spacing w:before="78" w:beforeLines="25" w:after="78" w:afterLines="25" w:line="30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kern w:val="44"/>
                      <w:szCs w:val="21"/>
                      <w14:textFill>
                        <w14:solidFill>
                          <w14:schemeClr w14:val="tx1"/>
                        </w14:solidFill>
                      </w14:textFill>
                    </w:rPr>
                    <w:t>依托</w:t>
                  </w:r>
                  <w:r>
                    <w:rPr>
                      <w:rFonts w:hint="eastAsia" w:ascii="Times New Roman" w:hAnsi="Times New Roman" w:eastAsia="宋体"/>
                      <w:color w:val="000000" w:themeColor="text1"/>
                      <w:kern w:val="44"/>
                      <w:szCs w:val="21"/>
                      <w:lang w:eastAsia="zh-CN"/>
                      <w14:textFill>
                        <w14:solidFill>
                          <w14:schemeClr w14:val="tx1"/>
                        </w14:solidFill>
                      </w14:textFill>
                    </w:rPr>
                    <w:t>盛德佳公司</w:t>
                  </w:r>
                  <w:r>
                    <w:rPr>
                      <w:rFonts w:hint="eastAsia" w:ascii="Times New Roman" w:hAnsi="Times New Roman" w:eastAsia="宋体"/>
                      <w:color w:val="000000" w:themeColor="text1"/>
                      <w:kern w:val="44"/>
                      <w:szCs w:val="21"/>
                      <w14:textFill>
                        <w14:solidFill>
                          <w14:schemeClr w14:val="tx1"/>
                        </w14:solidFill>
                      </w14:textFill>
                    </w:rPr>
                    <w:t>现有供水系统（</w:t>
                  </w:r>
                  <w:r>
                    <w:rPr>
                      <w:rFonts w:ascii="Times New Roman" w:hAnsi="Times New Roman" w:eastAsia="宋体"/>
                      <w:color w:val="000000" w:themeColor="text1"/>
                      <w:kern w:val="44"/>
                      <w:szCs w:val="21"/>
                      <w14:textFill>
                        <w14:solidFill>
                          <w14:schemeClr w14:val="tx1"/>
                        </w14:solidFill>
                      </w14:textFill>
                    </w:rPr>
                    <w:t>市政给水管网接入</w:t>
                  </w:r>
                  <w:r>
                    <w:rPr>
                      <w:rFonts w:hint="eastAsia" w:ascii="Times New Roman" w:hAnsi="Times New Roman" w:eastAsia="宋体"/>
                      <w:color w:val="000000" w:themeColor="text1"/>
                      <w:kern w:val="44"/>
                      <w:szCs w:val="21"/>
                      <w14:textFill>
                        <w14:solidFill>
                          <w14:schemeClr w14:val="tx1"/>
                        </w14:solidFill>
                      </w14:textFill>
                    </w:rPr>
                    <w:t>）</w:t>
                  </w:r>
                  <w:r>
                    <w:rPr>
                      <w:rFonts w:hint="eastAsia" w:ascii="Times New Roman" w:hAnsi="Times New Roman" w:eastAsia="宋体"/>
                      <w:color w:val="000000" w:themeColor="text1"/>
                      <w:kern w:val="44"/>
                      <w:szCs w:val="21"/>
                      <w:lang w:eastAsia="zh-CN"/>
                      <w14:textFill>
                        <w14:solidFill>
                          <w14:schemeClr w14:val="tx1"/>
                        </w14:solidFill>
                      </w14:textFill>
                    </w:rPr>
                    <w:t>。</w:t>
                  </w:r>
                </w:p>
              </w:tc>
              <w:tc>
                <w:tcPr>
                  <w:tcW w:w="395" w:type="pct"/>
                  <w:tcBorders>
                    <w:tl2br w:val="nil"/>
                    <w:tr2bl w:val="nil"/>
                  </w:tcBorders>
                  <w:vAlign w:val="center"/>
                </w:tcPr>
                <w:p w14:paraId="13D7AD3A">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bCs/>
                      <w:iCs/>
                      <w:color w:val="000000" w:themeColor="text1"/>
                      <w:szCs w:val="21"/>
                      <w14:textFill>
                        <w14:solidFill>
                          <w14:schemeClr w14:val="tx1"/>
                        </w14:solidFill>
                      </w14:textFill>
                    </w:rPr>
                    <w:t>依托</w:t>
                  </w:r>
                </w:p>
              </w:tc>
            </w:tr>
            <w:tr w14:paraId="53AA5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1926CBE">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69625C5C">
                  <w:pPr>
                    <w:spacing w:before="68" w:beforeLines="22" w:after="68" w:afterLines="22" w:line="293"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排水</w:t>
                  </w:r>
                </w:p>
              </w:tc>
              <w:tc>
                <w:tcPr>
                  <w:tcW w:w="3274" w:type="pct"/>
                  <w:tcBorders>
                    <w:tl2br w:val="nil"/>
                    <w:tr2bl w:val="nil"/>
                  </w:tcBorders>
                  <w:vAlign w:val="center"/>
                </w:tcPr>
                <w:p w14:paraId="7D7E1D1F">
                  <w:pPr>
                    <w:spacing w:before="68" w:beforeLines="22" w:after="68" w:afterLines="22" w:line="30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kern w:val="44"/>
                      <w:szCs w:val="21"/>
                      <w14:textFill>
                        <w14:solidFill>
                          <w14:schemeClr w14:val="tx1"/>
                        </w14:solidFill>
                      </w14:textFill>
                    </w:rPr>
                    <w:t>采取雨污分流制。雨水由现有收集系统进入</w:t>
                  </w:r>
                  <w:r>
                    <w:rPr>
                      <w:rFonts w:hint="eastAsia" w:ascii="Times New Roman" w:hAnsi="Times New Roman" w:eastAsia="宋体"/>
                      <w:color w:val="000000" w:themeColor="text1"/>
                      <w:kern w:val="44"/>
                      <w:szCs w:val="21"/>
                      <w:lang w:eastAsia="zh-CN"/>
                      <w14:textFill>
                        <w14:solidFill>
                          <w14:schemeClr w14:val="tx1"/>
                        </w14:solidFill>
                      </w14:textFill>
                    </w:rPr>
                    <w:t>盛德佳公司</w:t>
                  </w:r>
                  <w:r>
                    <w:rPr>
                      <w:rFonts w:hint="eastAsia" w:ascii="Times New Roman" w:hAnsi="Times New Roman" w:eastAsia="宋体"/>
                      <w:color w:val="000000" w:themeColor="text1"/>
                      <w:kern w:val="44"/>
                      <w:szCs w:val="21"/>
                      <w14:textFill>
                        <w14:solidFill>
                          <w14:schemeClr w14:val="tx1"/>
                        </w14:solidFill>
                      </w14:textFill>
                    </w:rPr>
                    <w:t>现有雨水管网；运营期生活污水依托</w:t>
                  </w:r>
                  <w:r>
                    <w:rPr>
                      <w:rFonts w:hint="eastAsia" w:ascii="Times New Roman" w:hAnsi="Times New Roman" w:eastAsia="宋体"/>
                      <w:color w:val="000000" w:themeColor="text1"/>
                      <w:kern w:val="44"/>
                      <w:szCs w:val="21"/>
                      <w:lang w:eastAsia="zh-CN"/>
                      <w14:textFill>
                        <w14:solidFill>
                          <w14:schemeClr w14:val="tx1"/>
                        </w14:solidFill>
                      </w14:textFill>
                    </w:rPr>
                    <w:t>盛德佳公司</w:t>
                  </w:r>
                  <w:r>
                    <w:rPr>
                      <w:rFonts w:hint="eastAsia" w:ascii="Times New Roman" w:hAnsi="Times New Roman" w:eastAsia="宋体"/>
                      <w:color w:val="000000" w:themeColor="text1"/>
                      <w:kern w:val="44"/>
                      <w:szCs w:val="21"/>
                      <w14:textFill>
                        <w14:solidFill>
                          <w14:schemeClr w14:val="tx1"/>
                        </w14:solidFill>
                      </w14:textFill>
                    </w:rPr>
                    <w:t>已建生化池进行预处理达标后，经园区市政污水管网排入西彭工业园区污水处理厂</w:t>
                  </w:r>
                  <w:r>
                    <w:rPr>
                      <w:rFonts w:hint="eastAsia" w:ascii="Times New Roman" w:hAnsi="Times New Roman" w:eastAsia="宋体"/>
                      <w:color w:val="000000" w:themeColor="text1"/>
                      <w:kern w:val="44"/>
                      <w:szCs w:val="21"/>
                      <w:lang w:eastAsia="zh-CN"/>
                      <w14:textFill>
                        <w14:solidFill>
                          <w14:schemeClr w14:val="tx1"/>
                        </w14:solidFill>
                      </w14:textFill>
                    </w:rPr>
                    <w:t>进一步</w:t>
                  </w:r>
                  <w:r>
                    <w:rPr>
                      <w:rFonts w:hint="eastAsia" w:ascii="Times New Roman" w:hAnsi="Times New Roman" w:eastAsia="宋体"/>
                      <w:color w:val="000000" w:themeColor="text1"/>
                      <w:kern w:val="44"/>
                      <w:szCs w:val="21"/>
                      <w14:textFill>
                        <w14:solidFill>
                          <w14:schemeClr w14:val="tx1"/>
                        </w14:solidFill>
                      </w14:textFill>
                    </w:rPr>
                    <w:t>处理达标后排入桥头河，最终汇入长江</w:t>
                  </w:r>
                  <w:r>
                    <w:rPr>
                      <w:rFonts w:hint="eastAsia" w:ascii="Times New Roman" w:hAnsi="Times New Roman" w:eastAsia="宋体"/>
                      <w:color w:val="000000" w:themeColor="text1"/>
                      <w:kern w:val="44"/>
                      <w:szCs w:val="21"/>
                      <w:lang w:eastAsia="zh-CN"/>
                      <w14:textFill>
                        <w14:solidFill>
                          <w14:schemeClr w14:val="tx1"/>
                        </w14:solidFill>
                      </w14:textFill>
                    </w:rPr>
                    <w:t>。</w:t>
                  </w:r>
                </w:p>
              </w:tc>
              <w:tc>
                <w:tcPr>
                  <w:tcW w:w="395" w:type="pct"/>
                  <w:tcBorders>
                    <w:tl2br w:val="nil"/>
                    <w:tr2bl w:val="nil"/>
                  </w:tcBorders>
                  <w:vAlign w:val="center"/>
                </w:tcPr>
                <w:p w14:paraId="6A30228C">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bCs/>
                      <w:iCs/>
                      <w:color w:val="000000" w:themeColor="text1"/>
                      <w:szCs w:val="21"/>
                      <w14:textFill>
                        <w14:solidFill>
                          <w14:schemeClr w14:val="tx1"/>
                        </w14:solidFill>
                      </w14:textFill>
                    </w:rPr>
                    <w:t>依托</w:t>
                  </w:r>
                </w:p>
              </w:tc>
            </w:tr>
            <w:tr w14:paraId="3637E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48041EB1">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611A4BAF">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供电</w:t>
                  </w:r>
                </w:p>
              </w:tc>
              <w:tc>
                <w:tcPr>
                  <w:tcW w:w="3274" w:type="pct"/>
                  <w:tcBorders>
                    <w:tl2br w:val="nil"/>
                    <w:tr2bl w:val="nil"/>
                  </w:tcBorders>
                  <w:vAlign w:val="center"/>
                </w:tcPr>
                <w:p w14:paraId="48D65B2E">
                  <w:pPr>
                    <w:spacing w:before="78" w:beforeLines="25" w:after="78" w:afterLines="25"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kern w:val="44"/>
                      <w:szCs w:val="21"/>
                      <w14:textFill>
                        <w14:solidFill>
                          <w14:schemeClr w14:val="tx1"/>
                        </w14:solidFill>
                      </w14:textFill>
                    </w:rPr>
                    <w:t>依</w:t>
                  </w:r>
                  <w:r>
                    <w:rPr>
                      <w:rFonts w:hint="eastAsia" w:ascii="Times New Roman" w:hAnsi="Times New Roman" w:eastAsia="宋体"/>
                      <w:color w:val="000000" w:themeColor="text1"/>
                      <w:kern w:val="44"/>
                      <w:szCs w:val="21"/>
                      <w:lang w:eastAsia="zh-CN"/>
                      <w14:textFill>
                        <w14:solidFill>
                          <w14:schemeClr w14:val="tx1"/>
                        </w14:solidFill>
                      </w14:textFill>
                    </w:rPr>
                    <w:t>盛德佳公司</w:t>
                  </w:r>
                  <w:r>
                    <w:rPr>
                      <w:rFonts w:hint="eastAsia" w:ascii="Times New Roman" w:hAnsi="Times New Roman" w:eastAsia="宋体"/>
                      <w:color w:val="000000" w:themeColor="text1"/>
                      <w:kern w:val="44"/>
                      <w:szCs w:val="21"/>
                      <w14:textFill>
                        <w14:solidFill>
                          <w14:schemeClr w14:val="tx1"/>
                        </w14:solidFill>
                      </w14:textFill>
                    </w:rPr>
                    <w:t>现有供电系统（</w:t>
                  </w:r>
                  <w:r>
                    <w:rPr>
                      <w:rFonts w:ascii="Times New Roman" w:hAnsi="Times New Roman" w:eastAsia="宋体"/>
                      <w:color w:val="000000" w:themeColor="text1"/>
                      <w:kern w:val="44"/>
                      <w:szCs w:val="21"/>
                      <w14:textFill>
                        <w14:solidFill>
                          <w14:schemeClr w14:val="tx1"/>
                        </w14:solidFill>
                      </w14:textFill>
                    </w:rPr>
                    <w:t>市政</w:t>
                  </w:r>
                  <w:r>
                    <w:rPr>
                      <w:rFonts w:hint="eastAsia" w:ascii="Times New Roman" w:hAnsi="Times New Roman" w:eastAsia="宋体"/>
                      <w:color w:val="000000" w:themeColor="text1"/>
                      <w:kern w:val="44"/>
                      <w:szCs w:val="21"/>
                      <w14:textFill>
                        <w14:solidFill>
                          <w14:schemeClr w14:val="tx1"/>
                        </w14:solidFill>
                      </w14:textFill>
                    </w:rPr>
                    <w:t>电网</w:t>
                  </w:r>
                  <w:r>
                    <w:rPr>
                      <w:rFonts w:ascii="Times New Roman" w:hAnsi="Times New Roman" w:eastAsia="宋体"/>
                      <w:color w:val="000000" w:themeColor="text1"/>
                      <w:kern w:val="44"/>
                      <w:szCs w:val="21"/>
                      <w14:textFill>
                        <w14:solidFill>
                          <w14:schemeClr w14:val="tx1"/>
                        </w14:solidFill>
                      </w14:textFill>
                    </w:rPr>
                    <w:t>接入</w:t>
                  </w:r>
                  <w:r>
                    <w:rPr>
                      <w:rFonts w:hint="eastAsia" w:ascii="Times New Roman" w:hAnsi="Times New Roman" w:eastAsia="宋体"/>
                      <w:color w:val="000000" w:themeColor="text1"/>
                      <w:kern w:val="44"/>
                      <w:szCs w:val="21"/>
                      <w14:textFill>
                        <w14:solidFill>
                          <w14:schemeClr w14:val="tx1"/>
                        </w14:solidFill>
                      </w14:textFill>
                    </w:rPr>
                    <w:t>）。</w:t>
                  </w:r>
                </w:p>
              </w:tc>
              <w:tc>
                <w:tcPr>
                  <w:tcW w:w="395" w:type="pct"/>
                  <w:tcBorders>
                    <w:tl2br w:val="nil"/>
                    <w:tr2bl w:val="nil"/>
                  </w:tcBorders>
                  <w:vAlign w:val="center"/>
                </w:tcPr>
                <w:p w14:paraId="6274CF0C">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bCs/>
                      <w:iCs/>
                      <w:color w:val="000000" w:themeColor="text1"/>
                      <w:szCs w:val="21"/>
                      <w14:textFill>
                        <w14:solidFill>
                          <w14:schemeClr w14:val="tx1"/>
                        </w14:solidFill>
                      </w14:textFill>
                    </w:rPr>
                    <w:t>依托</w:t>
                  </w:r>
                </w:p>
              </w:tc>
            </w:tr>
            <w:tr w14:paraId="741DA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06" w:type="pct"/>
                  <w:vMerge w:val="restart"/>
                  <w:tcBorders>
                    <w:tl2br w:val="nil"/>
                    <w:tr2bl w:val="nil"/>
                  </w:tcBorders>
                  <w:vAlign w:val="center"/>
                </w:tcPr>
                <w:p w14:paraId="19FE4F66">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环保工程</w:t>
                  </w:r>
                </w:p>
              </w:tc>
              <w:tc>
                <w:tcPr>
                  <w:tcW w:w="723" w:type="pct"/>
                  <w:vMerge w:val="restart"/>
                  <w:tcBorders>
                    <w:tl2br w:val="nil"/>
                    <w:tr2bl w:val="nil"/>
                  </w:tcBorders>
                  <w:vAlign w:val="center"/>
                </w:tcPr>
                <w:p w14:paraId="4C38AB6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废气</w:t>
                  </w:r>
                </w:p>
              </w:tc>
              <w:tc>
                <w:tcPr>
                  <w:tcW w:w="3274" w:type="pct"/>
                  <w:tcBorders>
                    <w:tl2br w:val="nil"/>
                    <w:tr2bl w:val="nil"/>
                  </w:tcBorders>
                  <w:vAlign w:val="center"/>
                </w:tcPr>
                <w:p w14:paraId="3514AD31">
                  <w:pPr>
                    <w:spacing w:before="78" w:beforeLines="25" w:after="78" w:afterLines="25"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b/>
                      <w:bCs/>
                      <w:color w:val="000000" w:themeColor="text1"/>
                      <w:kern w:val="44"/>
                      <w:szCs w:val="21"/>
                      <w:lang w:eastAsia="zh-CN"/>
                      <w14:textFill>
                        <w14:solidFill>
                          <w14:schemeClr w14:val="tx1"/>
                        </w14:solidFill>
                      </w14:textFill>
                    </w:rPr>
                    <w:t>天然气燃烧</w:t>
                  </w:r>
                  <w:r>
                    <w:rPr>
                      <w:rFonts w:hint="eastAsia" w:ascii="Times New Roman" w:hAnsi="Times New Roman" w:eastAsia="宋体"/>
                      <w:b/>
                      <w:bCs/>
                      <w:color w:val="000000" w:themeColor="text1"/>
                      <w:kern w:val="44"/>
                      <w:szCs w:val="21"/>
                      <w14:textFill>
                        <w14:solidFill>
                          <w14:schemeClr w14:val="tx1"/>
                        </w14:solidFill>
                      </w14:textFill>
                    </w:rPr>
                    <w:t>废气：</w:t>
                  </w:r>
                  <w:r>
                    <w:rPr>
                      <w:rFonts w:hint="eastAsia" w:ascii="Times New Roman" w:hAnsi="Times New Roman" w:eastAsia="宋体"/>
                      <w:color w:val="000000" w:themeColor="text1"/>
                      <w:kern w:val="44"/>
                      <w:szCs w:val="21"/>
                      <w14:textFill>
                        <w14:solidFill>
                          <w14:schemeClr w14:val="tx1"/>
                        </w14:solidFill>
                      </w14:textFill>
                    </w:rPr>
                    <w:t>项目</w:t>
                  </w:r>
                  <w:r>
                    <w:rPr>
                      <w:rFonts w:hint="eastAsia" w:ascii="Times New Roman" w:hAnsi="Times New Roman" w:eastAsia="宋体"/>
                      <w:color w:val="000000" w:themeColor="text1"/>
                      <w:kern w:val="44"/>
                      <w:szCs w:val="21"/>
                      <w:lang w:eastAsia="zh-CN"/>
                      <w14:textFill>
                        <w14:solidFill>
                          <w14:schemeClr w14:val="tx1"/>
                        </w14:solidFill>
                      </w14:textFill>
                    </w:rPr>
                    <w:t>模温机加热系统产生的天然气燃烧废气经</w:t>
                  </w:r>
                  <w:r>
                    <w:rPr>
                      <w:rFonts w:hint="eastAsia" w:ascii="Times New Roman" w:hAnsi="Times New Roman" w:eastAsia="宋体"/>
                      <w:color w:val="000000" w:themeColor="text1"/>
                      <w:kern w:val="44"/>
                      <w:szCs w:val="21"/>
                      <w14:textFill>
                        <w14:solidFill>
                          <w14:schemeClr w14:val="tx1"/>
                        </w14:solidFill>
                      </w14:textFill>
                    </w:rPr>
                    <w:t>1根</w:t>
                  </w:r>
                  <w:r>
                    <w:rPr>
                      <w:rFonts w:hint="eastAsia" w:ascii="Times New Roman" w:hAnsi="Times New Roman" w:eastAsia="宋体"/>
                      <w:color w:val="000000" w:themeColor="text1"/>
                      <w:kern w:val="44"/>
                      <w:szCs w:val="21"/>
                      <w:lang w:val="en-US" w:eastAsia="zh-CN"/>
                      <w14:textFill>
                        <w14:solidFill>
                          <w14:schemeClr w14:val="tx1"/>
                        </w14:solidFill>
                      </w14:textFill>
                    </w:rPr>
                    <w:t>15</w:t>
                  </w:r>
                  <w:r>
                    <w:rPr>
                      <w:rFonts w:hint="eastAsia" w:ascii="Times New Roman" w:hAnsi="Times New Roman" w:eastAsia="宋体"/>
                      <w:color w:val="000000" w:themeColor="text1"/>
                      <w:kern w:val="44"/>
                      <w:szCs w:val="21"/>
                      <w14:textFill>
                        <w14:solidFill>
                          <w14:schemeClr w14:val="tx1"/>
                        </w14:solidFill>
                      </w14:textFill>
                    </w:rPr>
                    <w:t>m高</w:t>
                  </w:r>
                  <w:r>
                    <w:rPr>
                      <w:rFonts w:hint="eastAsia" w:ascii="Times New Roman" w:hAnsi="Times New Roman" w:eastAsia="宋体"/>
                      <w:b/>
                      <w:bCs/>
                      <w:color w:val="000000" w:themeColor="text1"/>
                      <w:kern w:val="44"/>
                      <w:szCs w:val="21"/>
                      <w14:textFill>
                        <w14:solidFill>
                          <w14:schemeClr w14:val="tx1"/>
                        </w14:solidFill>
                      </w14:textFill>
                    </w:rPr>
                    <w:t>DA00</w:t>
                  </w:r>
                  <w:r>
                    <w:rPr>
                      <w:rFonts w:hint="eastAsia" w:ascii="Times New Roman" w:hAnsi="Times New Roman" w:eastAsia="宋体"/>
                      <w:b/>
                      <w:bCs/>
                      <w:color w:val="000000" w:themeColor="text1"/>
                      <w:kern w:val="44"/>
                      <w:szCs w:val="21"/>
                      <w:lang w:val="en-US" w:eastAsia="zh-CN"/>
                      <w14:textFill>
                        <w14:solidFill>
                          <w14:schemeClr w14:val="tx1"/>
                        </w14:solidFill>
                      </w14:textFill>
                    </w:rPr>
                    <w:t>1</w:t>
                  </w:r>
                  <w:r>
                    <w:rPr>
                      <w:rFonts w:hint="eastAsia" w:ascii="Times New Roman" w:hAnsi="Times New Roman" w:eastAsia="宋体"/>
                      <w:color w:val="000000" w:themeColor="text1"/>
                      <w:kern w:val="44"/>
                      <w:szCs w:val="21"/>
                      <w14:textFill>
                        <w14:solidFill>
                          <w14:schemeClr w14:val="tx1"/>
                        </w14:solidFill>
                      </w14:textFill>
                    </w:rPr>
                    <w:t>排气筒排放。</w:t>
                  </w:r>
                </w:p>
              </w:tc>
              <w:tc>
                <w:tcPr>
                  <w:tcW w:w="395" w:type="pct"/>
                  <w:tcBorders>
                    <w:tl2br w:val="nil"/>
                    <w:tr2bl w:val="nil"/>
                  </w:tcBorders>
                  <w:vAlign w:val="center"/>
                </w:tcPr>
                <w:p w14:paraId="754506AA">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23A8C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5E20B9D2">
                  <w:pPr>
                    <w:spacing w:before="78" w:beforeLines="25" w:after="78" w:afterLines="25" w:line="300" w:lineRule="auto"/>
                    <w:jc w:val="center"/>
                    <w:rPr>
                      <w:rFonts w:ascii="Times New Roman" w:hAnsi="Times New Roman" w:eastAsia="宋体" w:cs="Times New Roman"/>
                      <w:color w:val="000000" w:themeColor="text1"/>
                      <w:szCs w:val="21"/>
                      <w14:textFill>
                        <w14:solidFill>
                          <w14:schemeClr w14:val="tx1"/>
                        </w14:solidFill>
                      </w14:textFill>
                    </w:rPr>
                  </w:pPr>
                </w:p>
              </w:tc>
              <w:tc>
                <w:tcPr>
                  <w:tcW w:w="723" w:type="pct"/>
                  <w:vMerge w:val="continue"/>
                  <w:tcBorders>
                    <w:tl2br w:val="nil"/>
                    <w:tr2bl w:val="nil"/>
                  </w:tcBorders>
                  <w:vAlign w:val="center"/>
                </w:tcPr>
                <w:p w14:paraId="58E27EE5">
                  <w:pPr>
                    <w:spacing w:before="78" w:beforeLines="25" w:after="78" w:afterLines="25" w:line="300" w:lineRule="auto"/>
                    <w:jc w:val="center"/>
                    <w:rPr>
                      <w:rFonts w:hint="eastAsia" w:ascii="Times New Roman" w:hAnsi="Times New Roman" w:eastAsia="宋体" w:cs="Times New Roman"/>
                      <w:color w:val="000000" w:themeColor="text1"/>
                      <w:szCs w:val="21"/>
                      <w14:textFill>
                        <w14:solidFill>
                          <w14:schemeClr w14:val="tx1"/>
                        </w14:solidFill>
                      </w14:textFill>
                    </w:rPr>
                  </w:pPr>
                </w:p>
              </w:tc>
              <w:tc>
                <w:tcPr>
                  <w:tcW w:w="3274" w:type="pct"/>
                  <w:tcBorders>
                    <w:tl2br w:val="nil"/>
                    <w:tr2bl w:val="nil"/>
                  </w:tcBorders>
                  <w:vAlign w:val="center"/>
                </w:tcPr>
                <w:p w14:paraId="5EFF2F2F">
                  <w:pPr>
                    <w:spacing w:before="78" w:beforeLines="25" w:after="78" w:afterLines="25" w:line="300" w:lineRule="auto"/>
                    <w:rPr>
                      <w:rFonts w:hint="eastAsia" w:ascii="Times New Roman" w:hAnsi="Times New Roman" w:eastAsia="宋体"/>
                      <w:b/>
                      <w:bCs/>
                      <w:color w:val="000000" w:themeColor="text1"/>
                      <w:kern w:val="44"/>
                      <w:szCs w:val="21"/>
                      <w:lang w:eastAsia="zh-CN"/>
                      <w14:textFill>
                        <w14:solidFill>
                          <w14:schemeClr w14:val="tx1"/>
                        </w14:solidFill>
                      </w14:textFill>
                    </w:rPr>
                  </w:pPr>
                  <w:r>
                    <w:rPr>
                      <w:rFonts w:hint="eastAsia" w:ascii="Times New Roman" w:hAnsi="Times New Roman" w:eastAsia="宋体"/>
                      <w:b/>
                      <w:bCs/>
                      <w:color w:val="000000" w:themeColor="text1"/>
                      <w:kern w:val="44"/>
                      <w:szCs w:val="21"/>
                      <w:lang w:eastAsia="zh-CN"/>
                      <w14:textFill>
                        <w14:solidFill>
                          <w14:schemeClr w14:val="tx1"/>
                        </w14:solidFill>
                      </w14:textFill>
                    </w:rPr>
                    <w:t>热压</w:t>
                  </w:r>
                  <w:r>
                    <w:rPr>
                      <w:rFonts w:hint="eastAsia" w:ascii="Times New Roman" w:hAnsi="Times New Roman" w:eastAsia="宋体"/>
                      <w:b/>
                      <w:bCs/>
                      <w:color w:val="000000" w:themeColor="text1"/>
                      <w:kern w:val="44"/>
                      <w:szCs w:val="21"/>
                      <w14:textFill>
                        <w14:solidFill>
                          <w14:schemeClr w14:val="tx1"/>
                        </w14:solidFill>
                      </w14:textFill>
                    </w:rPr>
                    <w:t>废气</w:t>
                  </w:r>
                  <w:r>
                    <w:rPr>
                      <w:rFonts w:hint="eastAsia" w:ascii="Times New Roman" w:hAnsi="Times New Roman" w:eastAsia="宋体"/>
                      <w:color w:val="000000" w:themeColor="text1"/>
                      <w:kern w:val="44"/>
                      <w:szCs w:val="21"/>
                      <w14:textFill>
                        <w14:solidFill>
                          <w14:schemeClr w14:val="tx1"/>
                        </w14:solidFill>
                      </w14:textFill>
                    </w:rPr>
                    <w:t>：项目</w:t>
                  </w:r>
                  <w:r>
                    <w:rPr>
                      <w:rFonts w:hint="eastAsia" w:ascii="Times New Roman" w:hAnsi="Times New Roman" w:eastAsia="宋体"/>
                      <w:color w:val="000000" w:themeColor="text1"/>
                      <w:kern w:val="44"/>
                      <w:szCs w:val="21"/>
                      <w:lang w:eastAsia="zh-CN"/>
                      <w14:textFill>
                        <w14:solidFill>
                          <w14:schemeClr w14:val="tx1"/>
                        </w14:solidFill>
                      </w14:textFill>
                    </w:rPr>
                    <w:t>热压</w:t>
                  </w:r>
                  <w:r>
                    <w:rPr>
                      <w:rFonts w:hint="eastAsia" w:ascii="Times New Roman" w:hAnsi="Times New Roman" w:eastAsia="宋体"/>
                      <w:color w:val="000000" w:themeColor="text1"/>
                      <w:kern w:val="44"/>
                      <w:szCs w:val="21"/>
                      <w14:textFill>
                        <w14:solidFill>
                          <w14:schemeClr w14:val="tx1"/>
                        </w14:solidFill>
                      </w14:textFill>
                    </w:rPr>
                    <w:t>工序产生的废气经“干式过滤+</w:t>
                  </w:r>
                  <w:r>
                    <w:rPr>
                      <w:rFonts w:hint="eastAsia" w:ascii="Times New Roman" w:hAnsi="Times New Roman" w:eastAsia="宋体"/>
                      <w:color w:val="000000" w:themeColor="text1"/>
                      <w:kern w:val="44"/>
                      <w:szCs w:val="21"/>
                      <w:lang w:eastAsia="zh-CN"/>
                      <w14:textFill>
                        <w14:solidFill>
                          <w14:schemeClr w14:val="tx1"/>
                        </w14:solidFill>
                      </w14:textFill>
                    </w:rPr>
                    <w:t>两级</w:t>
                  </w:r>
                  <w:r>
                    <w:rPr>
                      <w:rFonts w:hint="eastAsia" w:ascii="Times New Roman" w:hAnsi="Times New Roman" w:eastAsia="宋体"/>
                      <w:color w:val="000000" w:themeColor="text1"/>
                      <w:kern w:val="44"/>
                      <w:szCs w:val="21"/>
                      <w14:textFill>
                        <w14:solidFill>
                          <w14:schemeClr w14:val="tx1"/>
                        </w14:solidFill>
                      </w14:textFill>
                    </w:rPr>
                    <w:t>活性炭”</w:t>
                  </w:r>
                  <w:r>
                    <w:rPr>
                      <w:rFonts w:hint="eastAsia" w:ascii="Times New Roman" w:hAnsi="Times New Roman" w:eastAsia="宋体"/>
                      <w:color w:val="000000" w:themeColor="text1"/>
                      <w:kern w:val="44"/>
                      <w:szCs w:val="21"/>
                      <w:lang w:eastAsia="zh-CN"/>
                      <w14:textFill>
                        <w14:solidFill>
                          <w14:schemeClr w14:val="tx1"/>
                        </w14:solidFill>
                      </w14:textFill>
                    </w:rPr>
                    <w:t>装置</w:t>
                  </w:r>
                  <w:r>
                    <w:rPr>
                      <w:rFonts w:hint="eastAsia" w:ascii="Times New Roman" w:hAnsi="Times New Roman" w:eastAsia="宋体"/>
                      <w:color w:val="000000" w:themeColor="text1"/>
                      <w:kern w:val="44"/>
                      <w:szCs w:val="21"/>
                      <w14:textFill>
                        <w14:solidFill>
                          <w14:schemeClr w14:val="tx1"/>
                        </w14:solidFill>
                      </w14:textFill>
                    </w:rPr>
                    <w:t>处置后引入1根15m高</w:t>
                  </w:r>
                  <w:r>
                    <w:rPr>
                      <w:rFonts w:hint="eastAsia" w:ascii="Times New Roman" w:hAnsi="Times New Roman" w:eastAsia="宋体"/>
                      <w:b/>
                      <w:bCs/>
                      <w:color w:val="000000" w:themeColor="text1"/>
                      <w:kern w:val="44"/>
                      <w:szCs w:val="21"/>
                      <w14:textFill>
                        <w14:solidFill>
                          <w14:schemeClr w14:val="tx1"/>
                        </w14:solidFill>
                      </w14:textFill>
                    </w:rPr>
                    <w:t>DA00</w:t>
                  </w:r>
                  <w:r>
                    <w:rPr>
                      <w:rFonts w:hint="eastAsia" w:ascii="Times New Roman" w:hAnsi="Times New Roman" w:eastAsia="宋体"/>
                      <w:b/>
                      <w:bCs/>
                      <w:color w:val="000000" w:themeColor="text1"/>
                      <w:kern w:val="44"/>
                      <w:szCs w:val="21"/>
                      <w:lang w:val="en-US" w:eastAsia="zh-CN"/>
                      <w14:textFill>
                        <w14:solidFill>
                          <w14:schemeClr w14:val="tx1"/>
                        </w14:solidFill>
                      </w14:textFill>
                    </w:rPr>
                    <w:t>2</w:t>
                  </w:r>
                  <w:r>
                    <w:rPr>
                      <w:rFonts w:hint="eastAsia" w:ascii="Times New Roman" w:hAnsi="Times New Roman" w:eastAsia="宋体"/>
                      <w:color w:val="000000" w:themeColor="text1"/>
                      <w:kern w:val="44"/>
                      <w:szCs w:val="21"/>
                      <w14:textFill>
                        <w14:solidFill>
                          <w14:schemeClr w14:val="tx1"/>
                        </w14:solidFill>
                      </w14:textFill>
                    </w:rPr>
                    <w:t>排气筒排放。</w:t>
                  </w:r>
                </w:p>
              </w:tc>
              <w:tc>
                <w:tcPr>
                  <w:tcW w:w="395" w:type="pct"/>
                  <w:tcBorders>
                    <w:tl2br w:val="nil"/>
                    <w:tr2bl w:val="nil"/>
                  </w:tcBorders>
                  <w:shd w:val="clear" w:color="auto" w:fill="auto"/>
                  <w:vAlign w:val="center"/>
                </w:tcPr>
                <w:p w14:paraId="5507C725">
                  <w:pPr>
                    <w:spacing w:before="78" w:beforeLines="25" w:after="78" w:afterLines="25" w:line="300" w:lineRule="auto"/>
                    <w:jc w:val="center"/>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4A3FC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F3D0A97">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33CBEB2B">
                  <w:pPr>
                    <w:spacing w:before="68" w:beforeLines="22" w:after="68" w:afterLines="22"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废水</w:t>
                  </w:r>
                </w:p>
              </w:tc>
              <w:tc>
                <w:tcPr>
                  <w:tcW w:w="3274" w:type="pct"/>
                  <w:tcBorders>
                    <w:tl2br w:val="nil"/>
                    <w:tr2bl w:val="nil"/>
                  </w:tcBorders>
                  <w:vAlign w:val="center"/>
                </w:tcPr>
                <w:p w14:paraId="31099FD2">
                  <w:pPr>
                    <w:spacing w:before="68" w:beforeLines="22" w:after="68" w:afterLines="22" w:line="300" w:lineRule="auto"/>
                    <w:rPr>
                      <w:rFonts w:ascii="Times New Roman" w:hAnsi="Times New Roman" w:eastAsia="宋体"/>
                      <w:color w:val="000000" w:themeColor="text1"/>
                      <w:kern w:val="44"/>
                      <w:szCs w:val="21"/>
                      <w14:textFill>
                        <w14:solidFill>
                          <w14:schemeClr w14:val="tx1"/>
                        </w14:solidFill>
                      </w14:textFill>
                    </w:rPr>
                  </w:pPr>
                  <w:r>
                    <w:rPr>
                      <w:rFonts w:hint="eastAsia" w:ascii="Times New Roman" w:hAnsi="Times New Roman" w:eastAsia="宋体"/>
                      <w:color w:val="000000" w:themeColor="text1"/>
                      <w:kern w:val="44"/>
                      <w:szCs w:val="21"/>
                      <w14:textFill>
                        <w14:solidFill>
                          <w14:schemeClr w14:val="tx1"/>
                        </w14:solidFill>
                      </w14:textFill>
                    </w:rPr>
                    <w:t>运营期外排污废水主要为员工办公生活污水，依托</w:t>
                  </w:r>
                  <w:r>
                    <w:rPr>
                      <w:rFonts w:hint="eastAsia" w:ascii="Times New Roman" w:hAnsi="Times New Roman" w:eastAsia="宋体"/>
                      <w:color w:val="000000" w:themeColor="text1"/>
                      <w:kern w:val="44"/>
                      <w:szCs w:val="21"/>
                      <w:lang w:eastAsia="zh-CN"/>
                      <w14:textFill>
                        <w14:solidFill>
                          <w14:schemeClr w14:val="tx1"/>
                        </w14:solidFill>
                      </w14:textFill>
                    </w:rPr>
                    <w:t>盛德佳公司</w:t>
                  </w:r>
                  <w:r>
                    <w:rPr>
                      <w:rFonts w:hint="eastAsia" w:ascii="Times New Roman" w:hAnsi="Times New Roman" w:eastAsia="宋体"/>
                      <w:b/>
                      <w:bCs/>
                      <w:color w:val="000000" w:themeColor="text1"/>
                      <w:kern w:val="44"/>
                      <w:szCs w:val="21"/>
                      <w14:textFill>
                        <w14:solidFill>
                          <w14:schemeClr w14:val="tx1"/>
                        </w14:solidFill>
                      </w14:textFill>
                    </w:rPr>
                    <w:t>现有生化池</w:t>
                  </w:r>
                  <w:r>
                    <w:rPr>
                      <w:rFonts w:hint="eastAsia" w:ascii="Times New Roman" w:hAnsi="Times New Roman" w:eastAsia="宋体"/>
                      <w:color w:val="000000" w:themeColor="text1"/>
                      <w:kern w:val="44"/>
                      <w:szCs w:val="21"/>
                      <w14:textFill>
                        <w14:solidFill>
                          <w14:schemeClr w14:val="tx1"/>
                        </w14:solidFill>
                      </w14:textFill>
                    </w:rPr>
                    <w:t>预处理达《污水综合排放标准》（GB 8978-1996）三级标准，经市政污水管网，排入西彭工业园区污水处理厂</w:t>
                  </w:r>
                  <w:r>
                    <w:rPr>
                      <w:rFonts w:hint="eastAsia" w:ascii="Times New Roman" w:hAnsi="Times New Roman" w:eastAsia="宋体"/>
                      <w:color w:val="000000" w:themeColor="text1"/>
                      <w:kern w:val="44"/>
                      <w:szCs w:val="21"/>
                      <w:lang w:eastAsia="zh-CN"/>
                      <w14:textFill>
                        <w14:solidFill>
                          <w14:schemeClr w14:val="tx1"/>
                        </w14:solidFill>
                      </w14:textFill>
                    </w:rPr>
                    <w:t>进一步</w:t>
                  </w:r>
                  <w:r>
                    <w:rPr>
                      <w:rFonts w:hint="eastAsia" w:ascii="Times New Roman" w:hAnsi="Times New Roman" w:eastAsia="宋体"/>
                      <w:color w:val="000000" w:themeColor="text1"/>
                      <w:kern w:val="44"/>
                      <w:szCs w:val="21"/>
                      <w14:textFill>
                        <w14:solidFill>
                          <w14:schemeClr w14:val="tx1"/>
                        </w14:solidFill>
                      </w14:textFill>
                    </w:rPr>
                    <w:t>处理达标后，排入桥头河，最终汇入长江。</w:t>
                  </w:r>
                </w:p>
              </w:tc>
              <w:tc>
                <w:tcPr>
                  <w:tcW w:w="395" w:type="pct"/>
                  <w:tcBorders>
                    <w:tl2br w:val="nil"/>
                    <w:tr2bl w:val="nil"/>
                  </w:tcBorders>
                  <w:vAlign w:val="center"/>
                </w:tcPr>
                <w:p w14:paraId="594514E7">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依托</w:t>
                  </w:r>
                </w:p>
              </w:tc>
            </w:tr>
            <w:tr w14:paraId="59A3A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B77431E">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tcBorders>
                    <w:tl2br w:val="nil"/>
                    <w:tr2bl w:val="nil"/>
                  </w:tcBorders>
                  <w:vAlign w:val="center"/>
                </w:tcPr>
                <w:p w14:paraId="79567CA2">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r>
                    <w:rPr>
                      <w:rFonts w:hint="eastAsia" w:ascii="Times New Roman" w:hAnsi="Times New Roman" w:eastAsia="宋体" w:cs="Times New Roman"/>
                      <w:color w:val="000000" w:themeColor="text1"/>
                      <w:szCs w:val="21"/>
                      <w14:textFill>
                        <w14:solidFill>
                          <w14:schemeClr w14:val="tx1"/>
                        </w14:solidFill>
                      </w14:textFill>
                    </w:rPr>
                    <w:t>治理</w:t>
                  </w:r>
                </w:p>
              </w:tc>
              <w:tc>
                <w:tcPr>
                  <w:tcW w:w="3274" w:type="pct"/>
                  <w:tcBorders>
                    <w:tl2br w:val="nil"/>
                    <w:tr2bl w:val="nil"/>
                  </w:tcBorders>
                  <w:vAlign w:val="center"/>
                </w:tcPr>
                <w:p w14:paraId="05F84F89">
                  <w:pPr>
                    <w:spacing w:before="78" w:beforeLines="25" w:after="78" w:afterLines="25"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kern w:val="44"/>
                      <w:szCs w:val="21"/>
                      <w14:textFill>
                        <w14:solidFill>
                          <w14:schemeClr w14:val="tx1"/>
                        </w14:solidFill>
                      </w14:textFill>
                    </w:rPr>
                    <w:t>高噪声设备应采取减振基础、隔声等措施</w:t>
                  </w:r>
                  <w:r>
                    <w:rPr>
                      <w:rFonts w:hint="eastAsia" w:ascii="Times New Roman" w:hAnsi="Times New Roman" w:eastAsia="宋体"/>
                      <w:color w:val="000000" w:themeColor="text1"/>
                      <w:szCs w:val="21"/>
                      <w14:textFill>
                        <w14:solidFill>
                          <w14:schemeClr w14:val="tx1"/>
                        </w14:solidFill>
                      </w14:textFill>
                    </w:rPr>
                    <w:t>；</w:t>
                  </w:r>
                </w:p>
              </w:tc>
              <w:tc>
                <w:tcPr>
                  <w:tcW w:w="395" w:type="pct"/>
                  <w:tcBorders>
                    <w:tl2br w:val="nil"/>
                    <w:tr2bl w:val="nil"/>
                  </w:tcBorders>
                  <w:vAlign w:val="center"/>
                </w:tcPr>
                <w:p w14:paraId="220FF7D7">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760F9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76711157">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vMerge w:val="restart"/>
                  <w:tcBorders>
                    <w:tl2br w:val="nil"/>
                    <w:tr2bl w:val="nil"/>
                  </w:tcBorders>
                  <w:vAlign w:val="center"/>
                </w:tcPr>
                <w:p w14:paraId="6AB334C8">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固废处理</w:t>
                  </w:r>
                </w:p>
              </w:tc>
              <w:tc>
                <w:tcPr>
                  <w:tcW w:w="3274" w:type="pct"/>
                  <w:tcBorders>
                    <w:tl2br w:val="nil"/>
                    <w:tr2bl w:val="nil"/>
                  </w:tcBorders>
                  <w:vAlign w:val="center"/>
                </w:tcPr>
                <w:p w14:paraId="77FCD85C">
                  <w:pPr>
                    <w:spacing w:before="68" w:beforeLines="22" w:after="68" w:afterLines="22" w:line="300" w:lineRule="auto"/>
                    <w:rPr>
                      <w:rFonts w:ascii="Times New Roman" w:hAnsi="Times New Roman" w:eastAsia="宋体"/>
                      <w:color w:val="000000" w:themeColor="text1"/>
                      <w:kern w:val="44"/>
                      <w:szCs w:val="21"/>
                      <w14:textFill>
                        <w14:solidFill>
                          <w14:schemeClr w14:val="tx1"/>
                        </w14:solidFill>
                      </w14:textFill>
                    </w:rPr>
                  </w:pPr>
                  <w:r>
                    <w:rPr>
                      <w:rFonts w:hint="eastAsia" w:ascii="Times New Roman" w:hAnsi="Times New Roman" w:eastAsia="宋体"/>
                      <w:b/>
                      <w:bCs/>
                      <w:color w:val="000000" w:themeColor="text1"/>
                      <w:kern w:val="44"/>
                      <w:szCs w:val="21"/>
                      <w14:textFill>
                        <w14:solidFill>
                          <w14:schemeClr w14:val="tx1"/>
                        </w14:solidFill>
                      </w14:textFill>
                    </w:rPr>
                    <w:t>一般固废</w:t>
                  </w:r>
                  <w:r>
                    <w:rPr>
                      <w:rFonts w:hint="eastAsia" w:ascii="Times New Roman" w:hAnsi="Times New Roman" w:eastAsia="宋体"/>
                      <w:color w:val="000000" w:themeColor="text1"/>
                      <w:kern w:val="44"/>
                      <w:szCs w:val="21"/>
                      <w14:textFill>
                        <w14:solidFill>
                          <w14:schemeClr w14:val="tx1"/>
                        </w14:solidFill>
                      </w14:textFill>
                    </w:rPr>
                    <w:t>：厂房设置1处一般固废暂存区，面积约10m</w:t>
                  </w:r>
                  <w:r>
                    <w:rPr>
                      <w:rFonts w:hint="eastAsia" w:ascii="Times New Roman" w:hAnsi="Times New Roman" w:eastAsia="宋体"/>
                      <w:color w:val="000000" w:themeColor="text1"/>
                      <w:kern w:val="44"/>
                      <w:szCs w:val="21"/>
                      <w:vertAlign w:val="superscript"/>
                      <w14:textFill>
                        <w14:solidFill>
                          <w14:schemeClr w14:val="tx1"/>
                        </w14:solidFill>
                      </w14:textFill>
                    </w:rPr>
                    <w:t>2</w:t>
                  </w:r>
                  <w:r>
                    <w:rPr>
                      <w:rFonts w:hint="eastAsia" w:ascii="Times New Roman" w:hAnsi="Times New Roman" w:eastAsia="宋体"/>
                      <w:color w:val="000000" w:themeColor="text1"/>
                      <w:kern w:val="44"/>
                      <w:szCs w:val="21"/>
                      <w14:textFill>
                        <w14:solidFill>
                          <w14:schemeClr w14:val="tx1"/>
                        </w14:solidFill>
                      </w14:textFill>
                    </w:rPr>
                    <w:t>，定期外售综合利用；一般固废贮存过程应满足相应防渗漏、防雨淋、防扬尘等环境保护要求。</w:t>
                  </w:r>
                </w:p>
              </w:tc>
              <w:tc>
                <w:tcPr>
                  <w:tcW w:w="395" w:type="pct"/>
                  <w:tcBorders>
                    <w:tl2br w:val="nil"/>
                    <w:tr2bl w:val="nil"/>
                  </w:tcBorders>
                  <w:vAlign w:val="center"/>
                </w:tcPr>
                <w:p w14:paraId="3A053D5B">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638EC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4E205F7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vMerge w:val="continue"/>
                  <w:tcBorders>
                    <w:tl2br w:val="nil"/>
                    <w:tr2bl w:val="nil"/>
                  </w:tcBorders>
                  <w:vAlign w:val="center"/>
                </w:tcPr>
                <w:p w14:paraId="4AFB7C19">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3274" w:type="pct"/>
                  <w:tcBorders>
                    <w:tl2br w:val="nil"/>
                    <w:tr2bl w:val="nil"/>
                  </w:tcBorders>
                  <w:vAlign w:val="center"/>
                </w:tcPr>
                <w:p w14:paraId="2CD4AE70">
                  <w:pPr>
                    <w:spacing w:before="68" w:beforeLines="22" w:after="68" w:afterLines="22" w:line="300" w:lineRule="auto"/>
                    <w:rPr>
                      <w:rFonts w:ascii="Times New Roman" w:hAnsi="Times New Roman" w:eastAsia="宋体"/>
                      <w:color w:val="000000" w:themeColor="text1"/>
                      <w:kern w:val="44"/>
                      <w:szCs w:val="21"/>
                      <w14:textFill>
                        <w14:solidFill>
                          <w14:schemeClr w14:val="tx1"/>
                        </w14:solidFill>
                      </w14:textFill>
                    </w:rPr>
                  </w:pPr>
                  <w:r>
                    <w:rPr>
                      <w:rFonts w:hint="eastAsia" w:ascii="Times New Roman" w:hAnsi="Times New Roman" w:eastAsia="宋体"/>
                      <w:b/>
                      <w:bCs/>
                      <w:color w:val="000000" w:themeColor="text1"/>
                      <w:kern w:val="44"/>
                      <w:szCs w:val="21"/>
                      <w14:textFill>
                        <w14:solidFill>
                          <w14:schemeClr w14:val="tx1"/>
                        </w14:solidFill>
                      </w14:textFill>
                    </w:rPr>
                    <w:t>危险废物</w:t>
                  </w:r>
                  <w:r>
                    <w:rPr>
                      <w:rFonts w:hint="eastAsia" w:ascii="Times New Roman" w:hAnsi="Times New Roman" w:eastAsia="宋体"/>
                      <w:color w:val="000000" w:themeColor="text1"/>
                      <w:kern w:val="44"/>
                      <w:szCs w:val="21"/>
                      <w14:textFill>
                        <w14:solidFill>
                          <w14:schemeClr w14:val="tx1"/>
                        </w14:solidFill>
                      </w14:textFill>
                    </w:rPr>
                    <w:t>：厂房设置1处危废贮存点，面积约5m</w:t>
                  </w:r>
                  <w:r>
                    <w:rPr>
                      <w:rFonts w:hint="eastAsia" w:ascii="Times New Roman" w:hAnsi="Times New Roman" w:eastAsia="宋体"/>
                      <w:color w:val="000000" w:themeColor="text1"/>
                      <w:kern w:val="44"/>
                      <w:szCs w:val="21"/>
                      <w:vertAlign w:val="superscript"/>
                      <w14:textFill>
                        <w14:solidFill>
                          <w14:schemeClr w14:val="tx1"/>
                        </w14:solidFill>
                      </w14:textFill>
                    </w:rPr>
                    <w:t>2</w:t>
                  </w:r>
                  <w:r>
                    <w:rPr>
                      <w:rFonts w:hint="eastAsia" w:ascii="Times New Roman" w:hAnsi="Times New Roman" w:eastAsia="宋体"/>
                      <w:color w:val="000000" w:themeColor="text1"/>
                      <w:kern w:val="44"/>
                      <w:szCs w:val="21"/>
                      <w14:textFill>
                        <w14:solidFill>
                          <w14:schemeClr w14:val="tx1"/>
                        </w14:solidFill>
                      </w14:textFill>
                    </w:rPr>
                    <w:t>。用于存放</w:t>
                  </w:r>
                  <w:r>
                    <w:rPr>
                      <w:rFonts w:hint="eastAsia" w:ascii="Times New Roman" w:hAnsi="Times New Roman" w:eastAsia="宋体"/>
                      <w:color w:val="000000" w:themeColor="text1"/>
                      <w:kern w:val="44"/>
                      <w:szCs w:val="21"/>
                      <w:lang w:eastAsia="zh-CN"/>
                      <w14:textFill>
                        <w14:solidFill>
                          <w14:schemeClr w14:val="tx1"/>
                        </w14:solidFill>
                      </w14:textFill>
                    </w:rPr>
                    <w:t>废液压油、废导热油、</w:t>
                  </w:r>
                  <w:r>
                    <w:rPr>
                      <w:rFonts w:hint="eastAsia" w:ascii="Times New Roman" w:hAnsi="Times New Roman" w:eastAsia="宋体"/>
                      <w:color w:val="000000" w:themeColor="text1"/>
                      <w:kern w:val="44"/>
                      <w:szCs w:val="21"/>
                      <w14:textFill>
                        <w14:solidFill>
                          <w14:schemeClr w14:val="tx1"/>
                        </w14:solidFill>
                      </w14:textFill>
                    </w:rPr>
                    <w:t>废油桶、空压机含油废液、含油废棉纱手套、废活性炭等危险废物，危险废物应分类存储，定期交有相应危险废物处置资质的单位转运处置。危废贮存点应满足《危险废物贮存污染控制标准》（GB18597-2023）要求。</w:t>
                  </w:r>
                </w:p>
              </w:tc>
              <w:tc>
                <w:tcPr>
                  <w:tcW w:w="395" w:type="pct"/>
                  <w:tcBorders>
                    <w:tl2br w:val="nil"/>
                    <w:tr2bl w:val="nil"/>
                  </w:tcBorders>
                  <w:vAlign w:val="center"/>
                </w:tcPr>
                <w:p w14:paraId="7634D2FB">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新建</w:t>
                  </w:r>
                </w:p>
              </w:tc>
            </w:tr>
            <w:tr w14:paraId="019A2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788C9DF5">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723" w:type="pct"/>
                  <w:vMerge w:val="continue"/>
                  <w:tcBorders>
                    <w:tl2br w:val="nil"/>
                    <w:tr2bl w:val="nil"/>
                  </w:tcBorders>
                  <w:vAlign w:val="center"/>
                </w:tcPr>
                <w:p w14:paraId="4594BF3B">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p>
              </w:tc>
              <w:tc>
                <w:tcPr>
                  <w:tcW w:w="3274" w:type="pct"/>
                  <w:tcBorders>
                    <w:tl2br w:val="nil"/>
                    <w:tr2bl w:val="nil"/>
                  </w:tcBorders>
                  <w:vAlign w:val="center"/>
                </w:tcPr>
                <w:p w14:paraId="767924C1">
                  <w:pPr>
                    <w:spacing w:before="78" w:beforeLines="25" w:after="78" w:afterLines="25" w:line="30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生活垃圾</w:t>
                  </w:r>
                  <w:r>
                    <w:rPr>
                      <w:rFonts w:hint="eastAsia" w:ascii="Times New Roman" w:hAnsi="Times New Roman" w:eastAsia="宋体"/>
                      <w:color w:val="000000" w:themeColor="text1"/>
                      <w:szCs w:val="21"/>
                      <w14:textFill>
                        <w14:solidFill>
                          <w14:schemeClr w14:val="tx1"/>
                        </w14:solidFill>
                      </w14:textFill>
                    </w:rPr>
                    <w:t>：集中收集交环卫部门统一清运处理。</w:t>
                  </w:r>
                </w:p>
              </w:tc>
              <w:tc>
                <w:tcPr>
                  <w:tcW w:w="395" w:type="pct"/>
                  <w:tcBorders>
                    <w:tl2br w:val="nil"/>
                    <w:tr2bl w:val="nil"/>
                  </w:tcBorders>
                  <w:vAlign w:val="center"/>
                </w:tcPr>
                <w:p w14:paraId="2083F6A7">
                  <w:pPr>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依托</w:t>
                  </w:r>
                </w:p>
              </w:tc>
            </w:tr>
          </w:tbl>
          <w:p w14:paraId="42654D22">
            <w:pPr>
              <w:spacing w:line="360" w:lineRule="auto"/>
              <w:ind w:firstLine="482" w:firstLineChars="200"/>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2.3.2依托工程可行性</w:t>
            </w:r>
          </w:p>
          <w:p w14:paraId="434CEFE9">
            <w:pPr>
              <w:pStyle w:val="21"/>
              <w:spacing w:after="0" w:line="360" w:lineRule="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依托设施可行性分析见表2-2。</w:t>
            </w:r>
          </w:p>
          <w:p w14:paraId="799CA052">
            <w:pPr>
              <w:tabs>
                <w:tab w:val="center" w:pos="3929"/>
              </w:tabs>
              <w:adjustRightInd w:val="0"/>
              <w:snapToGrid w:val="0"/>
              <w:spacing w:line="360" w:lineRule="auto"/>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表2-2  依托设施可行性分析一览表</w:t>
            </w:r>
          </w:p>
          <w:tbl>
            <w:tblPr>
              <w:tblStyle w:val="27"/>
              <w:tblW w:w="82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00"/>
              <w:gridCol w:w="5134"/>
              <w:gridCol w:w="1158"/>
            </w:tblGrid>
            <w:tr w14:paraId="43FE1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08BF7276">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序号</w:t>
                  </w:r>
                </w:p>
              </w:tc>
              <w:tc>
                <w:tcPr>
                  <w:tcW w:w="1100" w:type="dxa"/>
                  <w:tcBorders>
                    <w:tl2br w:val="nil"/>
                    <w:tr2bl w:val="nil"/>
                  </w:tcBorders>
                  <w:noWrap/>
                  <w:vAlign w:val="center"/>
                </w:tcPr>
                <w:p w14:paraId="3396D855">
                  <w:pPr>
                    <w:adjustRightInd w:val="0"/>
                    <w:snapToGrid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依托内容</w:t>
                  </w:r>
                </w:p>
              </w:tc>
              <w:tc>
                <w:tcPr>
                  <w:tcW w:w="5134" w:type="dxa"/>
                  <w:tcBorders>
                    <w:tl2br w:val="nil"/>
                    <w:tr2bl w:val="nil"/>
                  </w:tcBorders>
                  <w:noWrap/>
                  <w:vAlign w:val="center"/>
                </w:tcPr>
                <w:p w14:paraId="3CF608F3">
                  <w:pPr>
                    <w:pStyle w:val="22"/>
                    <w:adjustRightInd w:val="0"/>
                    <w:snapToGrid w:val="0"/>
                    <w:spacing w:before="0" w:beforeAutospacing="0" w:after="0" w:afterAutospacing="0"/>
                    <w:jc w:val="center"/>
                    <w:rPr>
                      <w:rFonts w:ascii="Times New Roman" w:hAnsi="Times New Roman" w:eastAsia="宋体" w:cs="Times New Roman"/>
                      <w:bCs/>
                      <w:color w:val="000000" w:themeColor="text1"/>
                      <w:kern w:val="2"/>
                      <w:sz w:val="21"/>
                      <w:szCs w:val="21"/>
                      <w14:textFill>
                        <w14:solidFill>
                          <w14:schemeClr w14:val="tx1"/>
                        </w14:solidFill>
                      </w14:textFill>
                    </w:rPr>
                  </w:pPr>
                  <w:r>
                    <w:rPr>
                      <w:rFonts w:ascii="Times New Roman" w:hAnsi="Times New Roman" w:cs="Times New Roman"/>
                      <w:bCs/>
                      <w:color w:val="000000" w:themeColor="text1"/>
                      <w:kern w:val="2"/>
                      <w:sz w:val="21"/>
                      <w:szCs w:val="21"/>
                      <w14:textFill>
                        <w14:solidFill>
                          <w14:schemeClr w14:val="tx1"/>
                        </w14:solidFill>
                      </w14:textFill>
                    </w:rPr>
                    <w:t>依托来源及能力</w:t>
                  </w:r>
                </w:p>
              </w:tc>
              <w:tc>
                <w:tcPr>
                  <w:tcW w:w="1158" w:type="dxa"/>
                  <w:tcBorders>
                    <w:tl2br w:val="nil"/>
                    <w:tr2bl w:val="nil"/>
                  </w:tcBorders>
                  <w:noWrap/>
                  <w:vAlign w:val="center"/>
                </w:tcPr>
                <w:p w14:paraId="45C22479">
                  <w:pPr>
                    <w:pStyle w:val="22"/>
                    <w:adjustRightInd w:val="0"/>
                    <w:snapToGrid w:val="0"/>
                    <w:spacing w:before="0" w:beforeAutospacing="0" w:after="0" w:afterAutospacing="0"/>
                    <w:jc w:val="center"/>
                    <w:rPr>
                      <w:rFonts w:ascii="Times New Roman" w:hAnsi="Times New Roman" w:eastAsia="宋体" w:cs="Times New Roman"/>
                      <w:bCs/>
                      <w:color w:val="000000" w:themeColor="text1"/>
                      <w:kern w:val="2"/>
                      <w:sz w:val="21"/>
                      <w:szCs w:val="21"/>
                      <w14:textFill>
                        <w14:solidFill>
                          <w14:schemeClr w14:val="tx1"/>
                        </w14:solidFill>
                      </w14:textFill>
                    </w:rPr>
                  </w:pPr>
                  <w:r>
                    <w:rPr>
                      <w:rFonts w:ascii="Times New Roman" w:hAnsi="Times New Roman" w:cs="Times New Roman"/>
                      <w:bCs/>
                      <w:color w:val="000000" w:themeColor="text1"/>
                      <w:kern w:val="2"/>
                      <w:sz w:val="21"/>
                      <w:szCs w:val="21"/>
                      <w14:textFill>
                        <w14:solidFill>
                          <w14:schemeClr w14:val="tx1"/>
                        </w14:solidFill>
                      </w14:textFill>
                    </w:rPr>
                    <w:t>依托可行性</w:t>
                  </w:r>
                </w:p>
              </w:tc>
            </w:tr>
            <w:tr w14:paraId="08F32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062F2596">
                  <w:pPr>
                    <w:pStyle w:val="51"/>
                    <w:spacing w:line="240" w:lineRule="auto"/>
                    <w:ind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w:t>
                  </w:r>
                </w:p>
              </w:tc>
              <w:tc>
                <w:tcPr>
                  <w:tcW w:w="1100" w:type="dxa"/>
                  <w:tcBorders>
                    <w:tl2br w:val="nil"/>
                    <w:tr2bl w:val="nil"/>
                  </w:tcBorders>
                  <w:noWrap/>
                  <w:vAlign w:val="center"/>
                </w:tcPr>
                <w:p w14:paraId="59C19381">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供电</w:t>
                  </w:r>
                </w:p>
              </w:tc>
              <w:tc>
                <w:tcPr>
                  <w:tcW w:w="5134" w:type="dxa"/>
                  <w:tcBorders>
                    <w:tl2br w:val="nil"/>
                    <w:tr2bl w:val="nil"/>
                  </w:tcBorders>
                  <w:noWrap/>
                  <w:vAlign w:val="center"/>
                </w:tcPr>
                <w:p w14:paraId="7244958D">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重庆</w:t>
                  </w:r>
                  <w:r>
                    <w:rPr>
                      <w:rFonts w:hint="eastAsia" w:ascii="Times New Roman" w:hAnsi="Times New Roman" w:cs="Times New Roman"/>
                      <w:bCs/>
                      <w:color w:val="000000" w:themeColor="text1"/>
                      <w:sz w:val="21"/>
                      <w:szCs w:val="21"/>
                      <w:lang w:eastAsia="zh-CN"/>
                      <w14:textFill>
                        <w14:solidFill>
                          <w14:schemeClr w14:val="tx1"/>
                        </w14:solidFill>
                      </w14:textFill>
                    </w:rPr>
                    <w:t>盛德佳工贸</w:t>
                  </w:r>
                  <w:r>
                    <w:rPr>
                      <w:rFonts w:hint="eastAsia" w:ascii="Times New Roman" w:hAnsi="Times New Roman" w:cs="Times New Roman"/>
                      <w:bCs/>
                      <w:color w:val="000000" w:themeColor="text1"/>
                      <w:sz w:val="21"/>
                      <w:szCs w:val="21"/>
                      <w14:textFill>
                        <w14:solidFill>
                          <w14:schemeClr w14:val="tx1"/>
                        </w14:solidFill>
                      </w14:textFill>
                    </w:rPr>
                    <w:t>有限公司</w:t>
                  </w:r>
                  <w:r>
                    <w:rPr>
                      <w:rFonts w:ascii="Times New Roman" w:hAnsi="Times New Roman" w:cs="Times New Roman"/>
                      <w:bCs/>
                      <w:color w:val="000000" w:themeColor="text1"/>
                      <w:sz w:val="21"/>
                      <w:szCs w:val="21"/>
                      <w14:textFill>
                        <w14:solidFill>
                          <w14:schemeClr w14:val="tx1"/>
                        </w14:solidFill>
                      </w14:textFill>
                    </w:rPr>
                    <w:t>现有</w:t>
                  </w:r>
                  <w:r>
                    <w:rPr>
                      <w:rFonts w:hint="eastAsia" w:ascii="Times New Roman" w:hAnsi="Times New Roman" w:cs="Times New Roman"/>
                      <w:bCs/>
                      <w:color w:val="000000" w:themeColor="text1"/>
                      <w:sz w:val="21"/>
                      <w:szCs w:val="21"/>
                      <w14:textFill>
                        <w14:solidFill>
                          <w14:schemeClr w14:val="tx1"/>
                        </w14:solidFill>
                      </w14:textFill>
                    </w:rPr>
                    <w:t>配套设施</w:t>
                  </w:r>
                  <w:r>
                    <w:rPr>
                      <w:rFonts w:ascii="Times New Roman" w:hAnsi="Times New Roman" w:cs="Times New Roman"/>
                      <w:bCs/>
                      <w:color w:val="000000" w:themeColor="text1"/>
                      <w:sz w:val="21"/>
                      <w:szCs w:val="21"/>
                      <w14:textFill>
                        <w14:solidFill>
                          <w14:schemeClr w14:val="tx1"/>
                        </w14:solidFill>
                      </w14:textFill>
                    </w:rPr>
                    <w:t>供电系统接入</w:t>
                  </w:r>
                </w:p>
              </w:tc>
              <w:tc>
                <w:tcPr>
                  <w:tcW w:w="1158" w:type="dxa"/>
                  <w:tcBorders>
                    <w:tl2br w:val="nil"/>
                    <w:tr2bl w:val="nil"/>
                  </w:tcBorders>
                  <w:noWrap/>
                  <w:vAlign w:val="center"/>
                </w:tcPr>
                <w:p w14:paraId="4C2A2C52">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可行</w:t>
                  </w:r>
                </w:p>
              </w:tc>
            </w:tr>
            <w:tr w14:paraId="69EA1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733C27B5">
                  <w:pPr>
                    <w:pStyle w:val="51"/>
                    <w:spacing w:line="240" w:lineRule="auto"/>
                    <w:ind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w:t>
                  </w:r>
                </w:p>
              </w:tc>
              <w:tc>
                <w:tcPr>
                  <w:tcW w:w="1100" w:type="dxa"/>
                  <w:tcBorders>
                    <w:tl2br w:val="nil"/>
                    <w:tr2bl w:val="nil"/>
                  </w:tcBorders>
                  <w:noWrap/>
                  <w:vAlign w:val="center"/>
                </w:tcPr>
                <w:p w14:paraId="65CC43E9">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供水</w:t>
                  </w:r>
                </w:p>
              </w:tc>
              <w:tc>
                <w:tcPr>
                  <w:tcW w:w="5134" w:type="dxa"/>
                  <w:tcBorders>
                    <w:tl2br w:val="nil"/>
                    <w:tr2bl w:val="nil"/>
                  </w:tcBorders>
                  <w:noWrap/>
                  <w:vAlign w:val="center"/>
                </w:tcPr>
                <w:p w14:paraId="685636E8">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重庆</w:t>
                  </w:r>
                  <w:r>
                    <w:rPr>
                      <w:rFonts w:hint="eastAsia" w:ascii="Times New Roman" w:hAnsi="Times New Roman" w:cs="Times New Roman"/>
                      <w:bCs/>
                      <w:color w:val="000000" w:themeColor="text1"/>
                      <w:sz w:val="21"/>
                      <w:szCs w:val="21"/>
                      <w:lang w:eastAsia="zh-CN"/>
                      <w14:textFill>
                        <w14:solidFill>
                          <w14:schemeClr w14:val="tx1"/>
                        </w14:solidFill>
                      </w14:textFill>
                    </w:rPr>
                    <w:t>盛德佳工贸</w:t>
                  </w:r>
                  <w:r>
                    <w:rPr>
                      <w:rFonts w:hint="eastAsia" w:ascii="Times New Roman" w:hAnsi="Times New Roman" w:cs="Times New Roman"/>
                      <w:bCs/>
                      <w:color w:val="000000" w:themeColor="text1"/>
                      <w:sz w:val="21"/>
                      <w:szCs w:val="21"/>
                      <w14:textFill>
                        <w14:solidFill>
                          <w14:schemeClr w14:val="tx1"/>
                        </w14:solidFill>
                      </w14:textFill>
                    </w:rPr>
                    <w:t>有限公司</w:t>
                  </w:r>
                  <w:r>
                    <w:rPr>
                      <w:rFonts w:ascii="Times New Roman" w:hAnsi="Times New Roman" w:cs="Times New Roman"/>
                      <w:bCs/>
                      <w:color w:val="000000" w:themeColor="text1"/>
                      <w:sz w:val="21"/>
                      <w:szCs w:val="21"/>
                      <w14:textFill>
                        <w14:solidFill>
                          <w14:schemeClr w14:val="tx1"/>
                        </w14:solidFill>
                      </w14:textFill>
                    </w:rPr>
                    <w:t>现有</w:t>
                  </w:r>
                  <w:r>
                    <w:rPr>
                      <w:rFonts w:hint="eastAsia" w:ascii="Times New Roman" w:hAnsi="Times New Roman" w:cs="Times New Roman"/>
                      <w:bCs/>
                      <w:color w:val="000000" w:themeColor="text1"/>
                      <w:sz w:val="21"/>
                      <w:szCs w:val="21"/>
                      <w14:textFill>
                        <w14:solidFill>
                          <w14:schemeClr w14:val="tx1"/>
                        </w14:solidFill>
                      </w14:textFill>
                    </w:rPr>
                    <w:t>配套设施</w:t>
                  </w:r>
                  <w:r>
                    <w:rPr>
                      <w:rFonts w:ascii="Times New Roman" w:hAnsi="Times New Roman" w:cs="Times New Roman"/>
                      <w:bCs/>
                      <w:color w:val="000000" w:themeColor="text1"/>
                      <w:sz w:val="21"/>
                      <w:szCs w:val="21"/>
                      <w14:textFill>
                        <w14:solidFill>
                          <w14:schemeClr w14:val="tx1"/>
                        </w14:solidFill>
                      </w14:textFill>
                    </w:rPr>
                    <w:t>供水系统接入</w:t>
                  </w:r>
                </w:p>
              </w:tc>
              <w:tc>
                <w:tcPr>
                  <w:tcW w:w="1158" w:type="dxa"/>
                  <w:tcBorders>
                    <w:tl2br w:val="nil"/>
                    <w:tr2bl w:val="nil"/>
                  </w:tcBorders>
                  <w:noWrap/>
                  <w:vAlign w:val="center"/>
                </w:tcPr>
                <w:p w14:paraId="4E854663">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可行</w:t>
                  </w:r>
                </w:p>
              </w:tc>
            </w:tr>
            <w:tr w14:paraId="65E4E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Borders>
                    <w:tl2br w:val="nil"/>
                    <w:tr2bl w:val="nil"/>
                  </w:tcBorders>
                  <w:noWrap/>
                  <w:vAlign w:val="center"/>
                </w:tcPr>
                <w:p w14:paraId="53A34F3C">
                  <w:pPr>
                    <w:pStyle w:val="51"/>
                    <w:spacing w:line="240" w:lineRule="auto"/>
                    <w:ind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3</w:t>
                  </w:r>
                </w:p>
              </w:tc>
              <w:tc>
                <w:tcPr>
                  <w:tcW w:w="1100" w:type="dxa"/>
                  <w:tcBorders>
                    <w:tl2br w:val="nil"/>
                    <w:tr2bl w:val="nil"/>
                  </w:tcBorders>
                  <w:noWrap/>
                  <w:vAlign w:val="center"/>
                </w:tcPr>
                <w:p w14:paraId="3B238BFC">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排水</w:t>
                  </w:r>
                </w:p>
              </w:tc>
              <w:tc>
                <w:tcPr>
                  <w:tcW w:w="5134" w:type="dxa"/>
                  <w:tcBorders>
                    <w:tl2br w:val="nil"/>
                    <w:tr2bl w:val="nil"/>
                  </w:tcBorders>
                  <w:noWrap/>
                  <w:vAlign w:val="center"/>
                </w:tcPr>
                <w:p w14:paraId="5DBE1E8F">
                  <w:pPr>
                    <w:pStyle w:val="51"/>
                    <w:spacing w:line="240" w:lineRule="auto"/>
                    <w:ind w:firstLine="0" w:firstLineChars="0"/>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重庆</w:t>
                  </w:r>
                  <w:r>
                    <w:rPr>
                      <w:rFonts w:hint="eastAsia" w:ascii="Times New Roman" w:hAnsi="Times New Roman" w:cs="Times New Roman"/>
                      <w:bCs/>
                      <w:color w:val="000000" w:themeColor="text1"/>
                      <w:sz w:val="21"/>
                      <w:szCs w:val="21"/>
                      <w:lang w:eastAsia="zh-CN"/>
                      <w14:textFill>
                        <w14:solidFill>
                          <w14:schemeClr w14:val="tx1"/>
                        </w14:solidFill>
                      </w14:textFill>
                    </w:rPr>
                    <w:t>盛德佳工贸</w:t>
                  </w:r>
                  <w:r>
                    <w:rPr>
                      <w:rFonts w:hint="eastAsia" w:ascii="Times New Roman" w:hAnsi="Times New Roman" w:cs="Times New Roman"/>
                      <w:bCs/>
                      <w:color w:val="000000" w:themeColor="text1"/>
                      <w:sz w:val="21"/>
                      <w:szCs w:val="21"/>
                      <w14:textFill>
                        <w14:solidFill>
                          <w14:schemeClr w14:val="tx1"/>
                        </w14:solidFill>
                      </w14:textFill>
                    </w:rPr>
                    <w:t>有限公司</w:t>
                  </w:r>
                  <w:r>
                    <w:rPr>
                      <w:rFonts w:ascii="Times New Roman" w:hAnsi="Times New Roman" w:cs="Times New Roman"/>
                      <w:bCs/>
                      <w:color w:val="000000" w:themeColor="text1"/>
                      <w:sz w:val="21"/>
                      <w:szCs w:val="21"/>
                      <w14:textFill>
                        <w14:solidFill>
                          <w14:schemeClr w14:val="tx1"/>
                        </w14:solidFill>
                      </w14:textFill>
                    </w:rPr>
                    <w:t>现有</w:t>
                  </w:r>
                  <w:r>
                    <w:rPr>
                      <w:rFonts w:hint="eastAsia" w:ascii="Times New Roman" w:hAnsi="Times New Roman" w:cs="Times New Roman"/>
                      <w:bCs/>
                      <w:color w:val="000000" w:themeColor="text1"/>
                      <w:sz w:val="21"/>
                      <w:szCs w:val="21"/>
                      <w14:textFill>
                        <w14:solidFill>
                          <w14:schemeClr w14:val="tx1"/>
                        </w14:solidFill>
                      </w14:textFill>
                    </w:rPr>
                    <w:t>配套设施接入</w:t>
                  </w:r>
                  <w:r>
                    <w:rPr>
                      <w:rFonts w:ascii="Times New Roman" w:hAnsi="Times New Roman" w:cs="Times New Roman"/>
                      <w:bCs/>
                      <w:color w:val="000000" w:themeColor="text1"/>
                      <w:sz w:val="21"/>
                      <w:szCs w:val="21"/>
                      <w14:textFill>
                        <w14:solidFill>
                          <w14:schemeClr w14:val="tx1"/>
                        </w14:solidFill>
                      </w14:textFill>
                    </w:rPr>
                    <w:t>园区管网</w:t>
                  </w:r>
                  <w:r>
                    <w:rPr>
                      <w:rFonts w:hint="eastAsia" w:ascii="Times New Roman" w:hAnsi="Times New Roman" w:cs="Times New Roman"/>
                      <w:bCs/>
                      <w:color w:val="000000" w:themeColor="text1"/>
                      <w:sz w:val="21"/>
                      <w:szCs w:val="21"/>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排入</w:t>
                  </w:r>
                  <w:r>
                    <w:rPr>
                      <w:rFonts w:hint="eastAsia" w:ascii="Times New Roman" w:hAnsi="Times New Roman" w:cs="Times New Roman"/>
                      <w:bCs/>
                      <w:color w:val="000000" w:themeColor="text1"/>
                      <w:sz w:val="21"/>
                      <w:szCs w:val="21"/>
                      <w14:textFill>
                        <w14:solidFill>
                          <w14:schemeClr w14:val="tx1"/>
                        </w14:solidFill>
                      </w14:textFill>
                    </w:rPr>
                    <w:t>西彭园区</w:t>
                  </w:r>
                  <w:r>
                    <w:rPr>
                      <w:rFonts w:ascii="Times New Roman" w:hAnsi="Times New Roman" w:cs="Times New Roman"/>
                      <w:bCs/>
                      <w:color w:val="000000" w:themeColor="text1"/>
                      <w:sz w:val="21"/>
                      <w:szCs w:val="21"/>
                      <w14:textFill>
                        <w14:solidFill>
                          <w14:schemeClr w14:val="tx1"/>
                        </w14:solidFill>
                      </w14:textFill>
                    </w:rPr>
                    <w:t>污水处理厂处置后排放。</w:t>
                  </w:r>
                </w:p>
              </w:tc>
              <w:tc>
                <w:tcPr>
                  <w:tcW w:w="1158" w:type="dxa"/>
                  <w:tcBorders>
                    <w:tl2br w:val="nil"/>
                    <w:tr2bl w:val="nil"/>
                  </w:tcBorders>
                  <w:noWrap/>
                  <w:vAlign w:val="center"/>
                </w:tcPr>
                <w:p w14:paraId="61A72FE2">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可行</w:t>
                  </w:r>
                </w:p>
              </w:tc>
            </w:tr>
            <w:tr w14:paraId="42948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8" w:type="dxa"/>
                  <w:tcBorders>
                    <w:tl2br w:val="nil"/>
                    <w:tr2bl w:val="nil"/>
                  </w:tcBorders>
                  <w:noWrap/>
                  <w:vAlign w:val="center"/>
                </w:tcPr>
                <w:p w14:paraId="1A4F376B">
                  <w:pPr>
                    <w:pStyle w:val="51"/>
                    <w:spacing w:line="240" w:lineRule="auto"/>
                    <w:ind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w:t>
                  </w:r>
                </w:p>
              </w:tc>
              <w:tc>
                <w:tcPr>
                  <w:tcW w:w="1100" w:type="dxa"/>
                  <w:tcBorders>
                    <w:tl2br w:val="nil"/>
                    <w:tr2bl w:val="nil"/>
                  </w:tcBorders>
                  <w:noWrap/>
                  <w:vAlign w:val="center"/>
                </w:tcPr>
                <w:p w14:paraId="6C0DB638">
                  <w:pPr>
                    <w:pStyle w:val="51"/>
                    <w:spacing w:line="240" w:lineRule="auto"/>
                    <w:ind w:firstLine="0" w:firstLineChars="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废水</w:t>
                  </w:r>
                  <w:r>
                    <w:rPr>
                      <w:rFonts w:ascii="Times New Roman" w:hAnsi="Times New Roman" w:cs="Times New Roman"/>
                      <w:bCs/>
                      <w:color w:val="000000" w:themeColor="text1"/>
                      <w:sz w:val="21"/>
                      <w:szCs w:val="21"/>
                      <w14:textFill>
                        <w14:solidFill>
                          <w14:schemeClr w14:val="tx1"/>
                        </w14:solidFill>
                      </w14:textFill>
                    </w:rPr>
                    <w:t>处理设施</w:t>
                  </w:r>
                </w:p>
              </w:tc>
              <w:tc>
                <w:tcPr>
                  <w:tcW w:w="5134" w:type="dxa"/>
                  <w:tcBorders>
                    <w:tl2br w:val="nil"/>
                    <w:tr2bl w:val="nil"/>
                  </w:tcBorders>
                  <w:noWrap/>
                  <w:vAlign w:val="center"/>
                </w:tcPr>
                <w:p w14:paraId="651484F1">
                  <w:pPr>
                    <w:pStyle w:val="51"/>
                    <w:spacing w:line="240" w:lineRule="auto"/>
                    <w:ind w:firstLine="0" w:firstLineChars="0"/>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项目无生产废水产生，生活污水产生量为</w:t>
                  </w:r>
                  <w:r>
                    <w:rPr>
                      <w:rFonts w:hint="eastAsia" w:ascii="Times New Roman" w:hAnsi="Times New Roman" w:cs="Times New Roman"/>
                      <w:bCs/>
                      <w:color w:val="000000" w:themeColor="text1"/>
                      <w:sz w:val="21"/>
                      <w:szCs w:val="21"/>
                      <w:lang w:val="en-US" w:eastAsia="zh-CN"/>
                      <w14:textFill>
                        <w14:solidFill>
                          <w14:schemeClr w14:val="tx1"/>
                        </w14:solidFill>
                      </w14:textFill>
                    </w:rPr>
                    <w:t>0.9</w:t>
                  </w:r>
                  <w:r>
                    <w:rPr>
                      <w:rFonts w:ascii="Times New Roman" w:hAnsi="Times New Roman" w:cs="Times New Roman"/>
                      <w:bCs/>
                      <w:color w:val="000000" w:themeColor="text1"/>
                      <w:sz w:val="21"/>
                      <w:szCs w:val="21"/>
                      <w14:textFill>
                        <w14:solidFill>
                          <w14:schemeClr w14:val="tx1"/>
                        </w14:solidFill>
                      </w14:textFill>
                    </w:rPr>
                    <w:t>m</w:t>
                  </w:r>
                  <w:r>
                    <w:rPr>
                      <w:rFonts w:ascii="Times New Roman" w:hAnsi="Times New Roman" w:cs="Times New Roman"/>
                      <w:bCs/>
                      <w:color w:val="000000" w:themeColor="text1"/>
                      <w:sz w:val="21"/>
                      <w:szCs w:val="21"/>
                      <w:vertAlign w:val="superscript"/>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重庆</w:t>
                  </w:r>
                  <w:r>
                    <w:rPr>
                      <w:rFonts w:hint="eastAsia" w:ascii="Times New Roman" w:hAnsi="Times New Roman" w:cs="Times New Roman"/>
                      <w:bCs/>
                      <w:color w:val="000000" w:themeColor="text1"/>
                      <w:sz w:val="21"/>
                      <w:szCs w:val="21"/>
                      <w:lang w:eastAsia="zh-CN"/>
                      <w14:textFill>
                        <w14:solidFill>
                          <w14:schemeClr w14:val="tx1"/>
                        </w14:solidFill>
                      </w14:textFill>
                    </w:rPr>
                    <w:t>盛德佳</w:t>
                  </w:r>
                  <w:r>
                    <w:rPr>
                      <w:rFonts w:hint="eastAsia" w:ascii="Times New Roman" w:hAnsi="Times New Roman" w:cs="Times New Roman"/>
                      <w:bCs/>
                      <w:color w:val="000000" w:themeColor="text1"/>
                      <w:sz w:val="21"/>
                      <w:szCs w:val="21"/>
                      <w14:textFill>
                        <w14:solidFill>
                          <w14:schemeClr w14:val="tx1"/>
                        </w14:solidFill>
                      </w14:textFill>
                    </w:rPr>
                    <w:t>公司生化池处置规模</w:t>
                  </w:r>
                  <w:r>
                    <w:rPr>
                      <w:rFonts w:ascii="Times New Roman" w:hAnsi="Times New Roman" w:cs="Times New Roman"/>
                      <w:bCs/>
                      <w:color w:val="000000" w:themeColor="text1"/>
                      <w:sz w:val="21"/>
                      <w:szCs w:val="21"/>
                      <w14:textFill>
                        <w14:solidFill>
                          <w14:schemeClr w14:val="tx1"/>
                        </w14:solidFill>
                      </w14:textFill>
                    </w:rPr>
                    <w:t>为</w:t>
                  </w:r>
                  <w:r>
                    <w:rPr>
                      <w:rFonts w:hint="eastAsia" w:ascii="Times New Roman" w:hAnsi="Times New Roman" w:cs="Times New Roman"/>
                      <w:bCs/>
                      <w:color w:val="000000" w:themeColor="text1"/>
                      <w:sz w:val="21"/>
                      <w:szCs w:val="21"/>
                      <w:lang w:val="en-US" w:eastAsia="zh-CN"/>
                      <w14:textFill>
                        <w14:solidFill>
                          <w14:schemeClr w14:val="tx1"/>
                        </w14:solidFill>
                      </w14:textFill>
                    </w:rPr>
                    <w:t>90</w:t>
                  </w:r>
                  <w:r>
                    <w:rPr>
                      <w:rFonts w:ascii="Times New Roman" w:hAnsi="Times New Roman" w:cs="Times New Roman"/>
                      <w:bCs/>
                      <w:color w:val="000000" w:themeColor="text1"/>
                      <w:sz w:val="21"/>
                      <w:szCs w:val="21"/>
                      <w14:textFill>
                        <w14:solidFill>
                          <w14:schemeClr w14:val="tx1"/>
                        </w14:solidFill>
                      </w14:textFill>
                    </w:rPr>
                    <w:t>m</w:t>
                  </w:r>
                  <w:r>
                    <w:rPr>
                      <w:rFonts w:ascii="Times New Roman" w:hAnsi="Times New Roman" w:cs="Times New Roman"/>
                      <w:bCs/>
                      <w:color w:val="000000" w:themeColor="text1"/>
                      <w:sz w:val="21"/>
                      <w:szCs w:val="21"/>
                      <w:vertAlign w:val="superscript"/>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14:textFill>
                        <w14:solidFill>
                          <w14:schemeClr w14:val="tx1"/>
                        </w14:solidFill>
                      </w14:textFill>
                    </w:rPr>
                    <w:t>目前富余处理能力约</w:t>
                  </w:r>
                  <w:r>
                    <w:rPr>
                      <w:rFonts w:hint="eastAsia" w:ascii="Times New Roman" w:hAnsi="Times New Roman"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w:t>
                  </w:r>
                  <w:r>
                    <w:rPr>
                      <w:rFonts w:ascii="Times New Roman" w:hAnsi="Times New Roman" w:cs="Times New Roman"/>
                      <w:bCs/>
                      <w:color w:val="000000" w:themeColor="text1"/>
                      <w:sz w:val="21"/>
                      <w:szCs w:val="21"/>
                      <w:vertAlign w:val="superscript"/>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该生化池已取得竣工环境保护验收已建</w:t>
                  </w:r>
                  <w:r>
                    <w:rPr>
                      <w:rFonts w:hint="eastAsia" w:ascii="Times New Roman" w:hAnsi="Times New Roman" w:cs="Times New Roman"/>
                      <w:b/>
                      <w:bCs w:val="0"/>
                      <w:color w:val="000000" w:themeColor="text1"/>
                      <w:sz w:val="21"/>
                      <w:szCs w:val="21"/>
                      <w:lang w:eastAsia="zh-CN"/>
                      <w14:textFill>
                        <w14:solidFill>
                          <w14:schemeClr w14:val="tx1"/>
                        </w14:solidFill>
                      </w14:textFill>
                    </w:rPr>
                    <w:t>（详见附件</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5</w:t>
                  </w:r>
                  <w:r>
                    <w:rPr>
                      <w:rFonts w:hint="eastAsia" w:ascii="Times New Roman" w:hAnsi="Times New Roman" w:cs="Times New Roman"/>
                      <w:b/>
                      <w:bCs w:val="0"/>
                      <w:color w:val="000000" w:themeColor="text1"/>
                      <w:sz w:val="21"/>
                      <w:szCs w:val="21"/>
                      <w:lang w:eastAsia="zh-CN"/>
                      <w14:textFill>
                        <w14:solidFill>
                          <w14:schemeClr w14:val="tx1"/>
                        </w14:solidFill>
                      </w14:textFill>
                    </w:rPr>
                    <w:t>）</w:t>
                  </w:r>
                  <w:r>
                    <w:rPr>
                      <w:rFonts w:hint="eastAsia" w:ascii="Times New Roman" w:hAnsi="Times New Roman" w:cs="Times New Roman"/>
                      <w:b/>
                      <w:bCs w:val="0"/>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从处置规模及达标可行性分析，该生化</w:t>
                  </w:r>
                  <w:r>
                    <w:rPr>
                      <w:rFonts w:hint="eastAsia" w:ascii="Times New Roman" w:hAnsi="Times New Roman" w:cs="Times New Roman"/>
                      <w:bCs/>
                      <w:color w:val="000000" w:themeColor="text1"/>
                      <w:sz w:val="21"/>
                      <w:szCs w:val="21"/>
                      <w:lang w:eastAsia="zh-CN"/>
                      <w14:textFill>
                        <w14:solidFill>
                          <w14:schemeClr w14:val="tx1"/>
                        </w14:solidFill>
                      </w14:textFill>
                    </w:rPr>
                    <w:t>池</w:t>
                  </w:r>
                  <w:r>
                    <w:rPr>
                      <w:rFonts w:ascii="Times New Roman" w:hAnsi="Times New Roman" w:cs="Times New Roman"/>
                      <w:bCs/>
                      <w:color w:val="000000" w:themeColor="text1"/>
                      <w:sz w:val="21"/>
                      <w:szCs w:val="21"/>
                      <w14:textFill>
                        <w14:solidFill>
                          <w14:schemeClr w14:val="tx1"/>
                        </w14:solidFill>
                      </w14:textFill>
                    </w:rPr>
                    <w:t>项目依托可行。</w:t>
                  </w:r>
                  <w:r>
                    <w:rPr>
                      <w:rFonts w:hint="eastAsia" w:ascii="Times New Roman" w:hAnsi="Times New Roman" w:cs="Times New Roman"/>
                      <w:b/>
                      <w:color w:val="000000" w:themeColor="text1"/>
                      <w:sz w:val="21"/>
                      <w:szCs w:val="21"/>
                      <w14:textFill>
                        <w14:solidFill>
                          <w14:schemeClr w14:val="tx1"/>
                        </w14:solidFill>
                      </w14:textFill>
                    </w:rPr>
                    <w:t>废水依托处置协议详见附件</w:t>
                  </w:r>
                  <w:r>
                    <w:rPr>
                      <w:rFonts w:hint="eastAsia" w:ascii="Times New Roman" w:hAnsi="Times New Roman" w:cs="Times New Roman"/>
                      <w:b/>
                      <w:color w:val="000000" w:themeColor="text1"/>
                      <w:sz w:val="21"/>
                      <w:szCs w:val="21"/>
                      <w:lang w:val="en-US" w:eastAsia="zh-CN"/>
                      <w14:textFill>
                        <w14:solidFill>
                          <w14:schemeClr w14:val="tx1"/>
                        </w14:solidFill>
                      </w14:textFill>
                    </w:rPr>
                    <w:t>6。</w:t>
                  </w:r>
                </w:p>
              </w:tc>
              <w:tc>
                <w:tcPr>
                  <w:tcW w:w="1158" w:type="dxa"/>
                  <w:tcBorders>
                    <w:tl2br w:val="nil"/>
                    <w:tr2bl w:val="nil"/>
                  </w:tcBorders>
                  <w:noWrap/>
                  <w:vAlign w:val="center"/>
                </w:tcPr>
                <w:p w14:paraId="5F3D0277">
                  <w:pPr>
                    <w:pStyle w:val="51"/>
                    <w:spacing w:line="240" w:lineRule="auto"/>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可行</w:t>
                  </w:r>
                </w:p>
              </w:tc>
            </w:tr>
          </w:tbl>
          <w:p w14:paraId="56C598B6">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2.4、产品方案</w:t>
            </w:r>
          </w:p>
          <w:p w14:paraId="75807301">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（1）产品方案</w:t>
            </w:r>
          </w:p>
          <w:p w14:paraId="5BC8D4FD">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项目具体产品方案见下表：</w:t>
            </w:r>
          </w:p>
          <w:p w14:paraId="429FCFD7">
            <w:pPr>
              <w:spacing w:line="36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表2-</w:t>
            </w:r>
            <w:r>
              <w:rPr>
                <w:rFonts w:hint="eastAsia" w:ascii="Times New Roman" w:hAnsi="Times New Roman" w:eastAsia="宋体" w:cs="Times New Roman"/>
                <w:color w:val="000000" w:themeColor="text1"/>
                <w:sz w:val="24"/>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 xml:space="preserve">  项目产品方案一览表</w:t>
            </w:r>
          </w:p>
          <w:tbl>
            <w:tblPr>
              <w:tblStyle w:val="28"/>
              <w:tblW w:w="48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92"/>
              <w:gridCol w:w="2631"/>
              <w:gridCol w:w="1265"/>
              <w:gridCol w:w="2782"/>
            </w:tblGrid>
            <w:tr w14:paraId="719D1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9" w:hRule="atLeast"/>
                <w:jc w:val="center"/>
              </w:trPr>
              <w:tc>
                <w:tcPr>
                  <w:tcW w:w="962" w:type="pct"/>
                  <w:tcBorders>
                    <w:tl2br w:val="nil"/>
                    <w:tr2bl w:val="nil"/>
                  </w:tcBorders>
                  <w:vAlign w:val="center"/>
                </w:tcPr>
                <w:p w14:paraId="07F554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产品名称</w:t>
                  </w:r>
                </w:p>
              </w:tc>
              <w:tc>
                <w:tcPr>
                  <w:tcW w:w="1590" w:type="pct"/>
                  <w:tcBorders>
                    <w:tl2br w:val="nil"/>
                    <w:tr2bl w:val="nil"/>
                  </w:tcBorders>
                  <w:vAlign w:val="center"/>
                </w:tcPr>
                <w:p w14:paraId="69B5CE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产品规格</w:t>
                  </w:r>
                </w:p>
              </w:tc>
              <w:tc>
                <w:tcPr>
                  <w:tcW w:w="764" w:type="pct"/>
                  <w:tcBorders>
                    <w:tl2br w:val="nil"/>
                    <w:tr2bl w:val="nil"/>
                  </w:tcBorders>
                  <w:vAlign w:val="center"/>
                </w:tcPr>
                <w:p w14:paraId="7ECBF8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t>年</w:t>
                  </w:r>
                  <w:r>
                    <w:rPr>
                      <w:rFonts w:hint="default" w:ascii="Times New Roman" w:hAnsi="Times New Roman" w:eastAsia="宋体" w:cs="Times New Roman"/>
                      <w:b/>
                      <w:bCs/>
                      <w:color w:val="000000" w:themeColor="text1"/>
                      <w:szCs w:val="21"/>
                      <w14:textFill>
                        <w14:solidFill>
                          <w14:schemeClr w14:val="tx1"/>
                        </w14:solidFill>
                      </w14:textFill>
                    </w:rPr>
                    <w:t>产能</w:t>
                  </w:r>
                </w:p>
              </w:tc>
              <w:tc>
                <w:tcPr>
                  <w:tcW w:w="1681" w:type="pct"/>
                  <w:tcBorders>
                    <w:tl2br w:val="nil"/>
                    <w:tr2bl w:val="nil"/>
                  </w:tcBorders>
                  <w:vAlign w:val="center"/>
                </w:tcPr>
                <w:p w14:paraId="71FF7E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t>备注</w:t>
                  </w:r>
                </w:p>
              </w:tc>
            </w:tr>
            <w:tr w14:paraId="10C46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62" w:type="pct"/>
                  <w:vMerge w:val="restart"/>
                  <w:tcBorders>
                    <w:tl2br w:val="nil"/>
                    <w:tr2bl w:val="nil"/>
                  </w:tcBorders>
                  <w:vAlign w:val="center"/>
                </w:tcPr>
                <w:p w14:paraId="333D7A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免漆门面饰板</w:t>
                  </w:r>
                </w:p>
              </w:tc>
              <w:tc>
                <w:tcPr>
                  <w:tcW w:w="1590" w:type="pct"/>
                  <w:tcBorders>
                    <w:tl2br w:val="nil"/>
                    <w:tr2bl w:val="nil"/>
                  </w:tcBorders>
                  <w:vAlign w:val="center"/>
                </w:tcPr>
                <w:p w14:paraId="58960DB0">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2440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*1220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*3.6</w:t>
                  </w:r>
                  <w:r>
                    <w:rPr>
                      <w:rFonts w:hint="eastAsia" w:ascii="Times New Roman" w:cs="Times New Roman"/>
                      <w:color w:val="000000" w:themeColor="text1"/>
                      <w:sz w:val="21"/>
                      <w:szCs w:val="21"/>
                      <w:lang w:val="en-US" w:eastAsia="zh-CN"/>
                      <w14:textFill>
                        <w14:solidFill>
                          <w14:schemeClr w14:val="tx1"/>
                        </w14:solidFill>
                      </w14:textFill>
                    </w:rPr>
                    <w:t>mm</w:t>
                  </w:r>
                </w:p>
              </w:tc>
              <w:tc>
                <w:tcPr>
                  <w:tcW w:w="764" w:type="pct"/>
                  <w:tcBorders>
                    <w:tl2br w:val="nil"/>
                    <w:tr2bl w:val="nil"/>
                  </w:tcBorders>
                  <w:vAlign w:val="center"/>
                </w:tcPr>
                <w:p w14:paraId="0F97F0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万</w:t>
                  </w:r>
                  <w:r>
                    <w:rPr>
                      <w:rFonts w:hint="default" w:ascii="Times New Roman" w:hAnsi="Times New Roman" w:eastAsia="宋体" w:cs="Times New Roman"/>
                      <w:color w:val="000000" w:themeColor="text1"/>
                      <w:szCs w:val="21"/>
                      <w:lang w:eastAsia="zh-CN"/>
                      <w14:textFill>
                        <w14:solidFill>
                          <w14:schemeClr w14:val="tx1"/>
                        </w14:solidFill>
                      </w14:textFill>
                    </w:rPr>
                    <w:t>张</w:t>
                  </w:r>
                </w:p>
              </w:tc>
              <w:tc>
                <w:tcPr>
                  <w:tcW w:w="1681" w:type="pct"/>
                  <w:vMerge w:val="restart"/>
                  <w:tcBorders>
                    <w:tl2br w:val="nil"/>
                    <w:tr2bl w:val="nil"/>
                  </w:tcBorders>
                  <w:vAlign w:val="center"/>
                </w:tcPr>
                <w:p w14:paraId="52EAB2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lang w:eastAsia="zh-CN" w:bidi="ar"/>
                      <w14:textFill>
                        <w14:solidFill>
                          <w14:schemeClr w14:val="tx1"/>
                        </w14:solidFill>
                      </w14:textFill>
                    </w:rPr>
                    <w:t>产品执行</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《浸渍胶膜纸饰面纤维板和刨花板》（</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GB/T 15102-2017</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kern w:val="0"/>
                      <w:szCs w:val="21"/>
                      <w:lang w:eastAsia="zh-CN" w:bidi="ar"/>
                      <w14:textFill>
                        <w14:solidFill>
                          <w14:schemeClr w14:val="tx1"/>
                        </w14:solidFill>
                      </w14:textFill>
                    </w:rPr>
                    <w:t>标准</w:t>
                  </w:r>
                  <w:r>
                    <w:rPr>
                      <w:rFonts w:hint="default" w:ascii="Times New Roman" w:hAnsi="Times New Roman" w:eastAsia="宋体" w:cs="Times New Roman"/>
                      <w:color w:val="000000" w:themeColor="text1"/>
                      <w:kern w:val="0"/>
                      <w:szCs w:val="21"/>
                      <w:lang w:bidi="ar"/>
                      <w14:textFill>
                        <w14:solidFill>
                          <w14:schemeClr w14:val="tx1"/>
                        </w14:solidFill>
                      </w14:textFill>
                    </w:rPr>
                    <w:t>。</w:t>
                  </w:r>
                </w:p>
              </w:tc>
            </w:tr>
            <w:tr w14:paraId="73592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62" w:type="pct"/>
                  <w:vMerge w:val="continue"/>
                  <w:tcBorders>
                    <w:tl2br w:val="nil"/>
                    <w:tr2bl w:val="nil"/>
                  </w:tcBorders>
                  <w:vAlign w:val="center"/>
                </w:tcPr>
                <w:p w14:paraId="08AFA0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1590" w:type="pct"/>
                  <w:tcBorders>
                    <w:tl2br w:val="nil"/>
                    <w:tr2bl w:val="nil"/>
                  </w:tcBorders>
                  <w:vAlign w:val="center"/>
                </w:tcPr>
                <w:p w14:paraId="295C9B06">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2440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*1220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764" w:type="pct"/>
                  <w:tcBorders>
                    <w:tl2br w:val="nil"/>
                    <w:tr2bl w:val="nil"/>
                  </w:tcBorders>
                  <w:vAlign w:val="center"/>
                </w:tcPr>
                <w:p w14:paraId="2CB1EF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万</w:t>
                  </w:r>
                  <w:r>
                    <w:rPr>
                      <w:rFonts w:hint="default" w:ascii="Times New Roman" w:hAnsi="Times New Roman" w:eastAsia="宋体" w:cs="Times New Roman"/>
                      <w:color w:val="000000" w:themeColor="text1"/>
                      <w:szCs w:val="21"/>
                      <w:lang w:eastAsia="zh-CN"/>
                      <w14:textFill>
                        <w14:solidFill>
                          <w14:schemeClr w14:val="tx1"/>
                        </w14:solidFill>
                      </w14:textFill>
                    </w:rPr>
                    <w:t>张</w:t>
                  </w:r>
                </w:p>
              </w:tc>
              <w:tc>
                <w:tcPr>
                  <w:tcW w:w="1681" w:type="pct"/>
                  <w:vMerge w:val="continue"/>
                  <w:tcBorders>
                    <w:tl2br w:val="nil"/>
                    <w:tr2bl w:val="nil"/>
                  </w:tcBorders>
                  <w:vAlign w:val="center"/>
                </w:tcPr>
                <w:p w14:paraId="49431F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0"/>
                      <w:szCs w:val="21"/>
                      <w:lang w:eastAsia="zh-CN" w:bidi="ar"/>
                      <w14:textFill>
                        <w14:solidFill>
                          <w14:schemeClr w14:val="tx1"/>
                        </w14:solidFill>
                      </w14:textFill>
                    </w:rPr>
                  </w:pPr>
                </w:p>
              </w:tc>
            </w:tr>
            <w:tr w14:paraId="30E83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62" w:type="pct"/>
                  <w:vMerge w:val="continue"/>
                  <w:tcBorders>
                    <w:tl2br w:val="nil"/>
                    <w:tr2bl w:val="nil"/>
                  </w:tcBorders>
                  <w:vAlign w:val="center"/>
                </w:tcPr>
                <w:p w14:paraId="09C701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1590" w:type="pct"/>
                  <w:tcBorders>
                    <w:tl2br w:val="nil"/>
                    <w:tr2bl w:val="nil"/>
                  </w:tcBorders>
                  <w:vAlign w:val="center"/>
                </w:tcPr>
                <w:p w14:paraId="1F5304A1">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2150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*950</w:t>
                  </w:r>
                  <w:r>
                    <w:rPr>
                      <w:rFonts w:hint="eastAsia" w:ascii="Times New Roman" w:cs="Times New Roman"/>
                      <w:color w:val="000000" w:themeColor="text1"/>
                      <w:sz w:val="21"/>
                      <w:szCs w:val="21"/>
                      <w:lang w:val="en-US" w:eastAsia="zh-CN"/>
                      <w14:textFill>
                        <w14:solidFill>
                          <w14:schemeClr w14:val="tx1"/>
                        </w14:solidFill>
                      </w14:textFill>
                    </w:rPr>
                    <w:t>mm</w:t>
                  </w:r>
                  <w:r>
                    <w:rPr>
                      <w:rFonts w:hint="default" w:ascii="Times New Roman" w:hAnsi="Times New Roman" w:cs="Times New Roman"/>
                      <w:color w:val="000000" w:themeColor="text1"/>
                      <w:sz w:val="21"/>
                      <w:szCs w:val="21"/>
                      <w:lang w:val="en-US" w:eastAsia="zh-CN"/>
                      <w14:textFill>
                        <w14:solidFill>
                          <w14:schemeClr w14:val="tx1"/>
                        </w14:solidFill>
                      </w14:textFill>
                    </w:rPr>
                    <w:t>*3.6</w:t>
                  </w:r>
                  <w:r>
                    <w:rPr>
                      <w:rFonts w:hint="eastAsia" w:ascii="Times New Roman" w:cs="Times New Roman"/>
                      <w:color w:val="000000" w:themeColor="text1"/>
                      <w:sz w:val="21"/>
                      <w:szCs w:val="21"/>
                      <w:lang w:val="en-US" w:eastAsia="zh-CN"/>
                      <w14:textFill>
                        <w14:solidFill>
                          <w14:schemeClr w14:val="tx1"/>
                        </w14:solidFill>
                      </w14:textFill>
                    </w:rPr>
                    <w:t>mm</w:t>
                  </w:r>
                </w:p>
              </w:tc>
              <w:tc>
                <w:tcPr>
                  <w:tcW w:w="764" w:type="pct"/>
                  <w:tcBorders>
                    <w:tl2br w:val="nil"/>
                    <w:tr2bl w:val="nil"/>
                  </w:tcBorders>
                  <w:vAlign w:val="center"/>
                </w:tcPr>
                <w:p w14:paraId="523C2E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万</w:t>
                  </w:r>
                  <w:r>
                    <w:rPr>
                      <w:rFonts w:hint="default" w:ascii="Times New Roman" w:hAnsi="Times New Roman" w:eastAsia="宋体" w:cs="Times New Roman"/>
                      <w:color w:val="000000" w:themeColor="text1"/>
                      <w:szCs w:val="21"/>
                      <w:lang w:eastAsia="zh-CN"/>
                      <w14:textFill>
                        <w14:solidFill>
                          <w14:schemeClr w14:val="tx1"/>
                        </w14:solidFill>
                      </w14:textFill>
                    </w:rPr>
                    <w:t>张</w:t>
                  </w:r>
                </w:p>
              </w:tc>
              <w:tc>
                <w:tcPr>
                  <w:tcW w:w="1681" w:type="pct"/>
                  <w:vMerge w:val="continue"/>
                  <w:tcBorders>
                    <w:tl2br w:val="nil"/>
                    <w:tr2bl w:val="nil"/>
                  </w:tcBorders>
                  <w:vAlign w:val="center"/>
                </w:tcPr>
                <w:p w14:paraId="6F7C83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0"/>
                      <w:szCs w:val="21"/>
                      <w:lang w:eastAsia="zh-CN" w:bidi="ar"/>
                      <w14:textFill>
                        <w14:solidFill>
                          <w14:schemeClr w14:val="tx1"/>
                        </w14:solidFill>
                      </w14:textFill>
                    </w:rPr>
                  </w:pPr>
                </w:p>
              </w:tc>
            </w:tr>
            <w:tr w14:paraId="43568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62" w:type="pct"/>
                  <w:tcBorders>
                    <w:tl2br w:val="nil"/>
                    <w:tr2bl w:val="nil"/>
                  </w:tcBorders>
                  <w:vAlign w:val="center"/>
                </w:tcPr>
                <w:p w14:paraId="77CCF6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免漆门边条</w:t>
                  </w:r>
                </w:p>
              </w:tc>
              <w:tc>
                <w:tcPr>
                  <w:tcW w:w="1590" w:type="pct"/>
                  <w:tcBorders>
                    <w:tl2br w:val="nil"/>
                    <w:tr2bl w:val="nil"/>
                  </w:tcBorders>
                  <w:vAlign w:val="center"/>
                </w:tcPr>
                <w:p w14:paraId="46CBB1C6">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57</w:t>
                  </w:r>
                  <w:r>
                    <w:rPr>
                      <w:rFonts w:hint="eastAsia" w:ascii="Times New Roman" w:cs="Times New Roman"/>
                      <w:color w:val="000000" w:themeColor="text1"/>
                      <w:sz w:val="21"/>
                      <w:szCs w:val="21"/>
                      <w:lang w:val="en-US" w:eastAsia="zh-CN"/>
                      <w14:textFill>
                        <w14:solidFill>
                          <w14:schemeClr w14:val="tx1"/>
                        </w14:solidFill>
                      </w14:textFill>
                    </w:rPr>
                    <w:t>mm</w:t>
                  </w:r>
                  <w:r>
                    <w:rPr>
                      <w:rFonts w:hint="eastAsia" w:ascii="Times New Roman" w:hAnsi="Times New Roman" w:cs="Times New Roman"/>
                      <w:color w:val="000000" w:themeColor="text1"/>
                      <w:sz w:val="21"/>
                      <w:szCs w:val="21"/>
                      <w:lang w:val="en-US" w:eastAsia="zh-CN"/>
                      <w14:textFill>
                        <w14:solidFill>
                          <w14:schemeClr w14:val="tx1"/>
                        </w14:solidFill>
                      </w14:textFill>
                    </w:rPr>
                    <w:t>*15</w:t>
                  </w:r>
                  <w:r>
                    <w:rPr>
                      <w:rFonts w:hint="eastAsia" w:ascii="Times New Roman" w:cs="Times New Roman"/>
                      <w:color w:val="000000" w:themeColor="text1"/>
                      <w:sz w:val="21"/>
                      <w:szCs w:val="21"/>
                      <w:lang w:val="en-US" w:eastAsia="zh-CN"/>
                      <w14:textFill>
                        <w14:solidFill>
                          <w14:schemeClr w14:val="tx1"/>
                        </w14:solidFill>
                      </w14:textFill>
                    </w:rPr>
                    <w:t>mm</w:t>
                  </w:r>
                  <w:r>
                    <w:rPr>
                      <w:rFonts w:hint="eastAsia" w:ascii="Times New Roman" w:hAnsi="Times New Roman" w:cs="Times New Roman"/>
                      <w:color w:val="000000" w:themeColor="text1"/>
                      <w:sz w:val="21"/>
                      <w:szCs w:val="21"/>
                      <w:lang w:val="en-US" w:eastAsia="zh-CN"/>
                      <w14:textFill>
                        <w14:solidFill>
                          <w14:schemeClr w14:val="tx1"/>
                        </w14:solidFill>
                      </w14:textFill>
                    </w:rPr>
                    <w:t>*24</w:t>
                  </w:r>
                  <w:r>
                    <w:rPr>
                      <w:rFonts w:hint="eastAsia" w:ascii="Times New Roman" w:cs="Times New Roman"/>
                      <w:color w:val="000000" w:themeColor="text1"/>
                      <w:sz w:val="21"/>
                      <w:szCs w:val="21"/>
                      <w:lang w:val="en-US" w:eastAsia="zh-CN"/>
                      <w14:textFill>
                        <w14:solidFill>
                          <w14:schemeClr w14:val="tx1"/>
                        </w14:solidFill>
                      </w14:textFill>
                    </w:rPr>
                    <w:t>00mm</w:t>
                  </w:r>
                </w:p>
              </w:tc>
              <w:tc>
                <w:tcPr>
                  <w:tcW w:w="764" w:type="pct"/>
                  <w:tcBorders>
                    <w:tl2br w:val="nil"/>
                    <w:tr2bl w:val="nil"/>
                  </w:tcBorders>
                  <w:vAlign w:val="center"/>
                </w:tcPr>
                <w:p w14:paraId="31D855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70万支</w:t>
                  </w:r>
                </w:p>
              </w:tc>
              <w:tc>
                <w:tcPr>
                  <w:tcW w:w="1681" w:type="pct"/>
                  <w:vMerge w:val="continue"/>
                  <w:tcBorders>
                    <w:tl2br w:val="nil"/>
                    <w:tr2bl w:val="nil"/>
                  </w:tcBorders>
                  <w:vAlign w:val="center"/>
                </w:tcPr>
                <w:p w14:paraId="32CD3E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0"/>
                      <w:szCs w:val="21"/>
                      <w:lang w:eastAsia="zh-CN" w:bidi="ar"/>
                      <w14:textFill>
                        <w14:solidFill>
                          <w14:schemeClr w14:val="tx1"/>
                        </w14:solidFill>
                      </w14:textFill>
                    </w:rPr>
                  </w:pPr>
                </w:p>
              </w:tc>
            </w:tr>
            <w:tr w14:paraId="6D939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62" w:type="pct"/>
                  <w:tcBorders>
                    <w:tl2br w:val="nil"/>
                    <w:tr2bl w:val="nil"/>
                  </w:tcBorders>
                  <w:vAlign w:val="center"/>
                </w:tcPr>
                <w:p w14:paraId="2B250A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包覆纸</w:t>
                  </w:r>
                </w:p>
              </w:tc>
              <w:tc>
                <w:tcPr>
                  <w:tcW w:w="1590" w:type="pct"/>
                  <w:tcBorders>
                    <w:tl2br w:val="nil"/>
                    <w:tr2bl w:val="nil"/>
                  </w:tcBorders>
                  <w:vAlign w:val="center"/>
                </w:tcPr>
                <w:p w14:paraId="64BB0FE4">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2470</w:t>
                  </w:r>
                  <w:r>
                    <w:rPr>
                      <w:rFonts w:hint="eastAsia" w:ascii="Times New Roman" w:cs="Times New Roman"/>
                      <w:color w:val="000000" w:themeColor="text1"/>
                      <w:sz w:val="21"/>
                      <w:szCs w:val="21"/>
                      <w:lang w:val="en-US" w:eastAsia="zh-CN"/>
                      <w14:textFill>
                        <w14:solidFill>
                          <w14:schemeClr w14:val="tx1"/>
                        </w14:solidFill>
                      </w14:textFill>
                    </w:rPr>
                    <w:t>mm</w:t>
                  </w:r>
                  <w:r>
                    <w:rPr>
                      <w:rFonts w:hint="eastAsia" w:ascii="Times New Roman" w:hAnsi="Times New Roman" w:cs="Times New Roman"/>
                      <w:color w:val="000000" w:themeColor="text1"/>
                      <w:sz w:val="21"/>
                      <w:szCs w:val="21"/>
                      <w:lang w:val="en-US" w:eastAsia="zh-CN"/>
                      <w14:textFill>
                        <w14:solidFill>
                          <w14:schemeClr w14:val="tx1"/>
                        </w14:solidFill>
                      </w14:textFill>
                    </w:rPr>
                    <w:t>*1250</w:t>
                  </w:r>
                  <w:r>
                    <w:rPr>
                      <w:rFonts w:hint="eastAsia" w:ascii="Times New Roman" w:cs="Times New Roman"/>
                      <w:color w:val="000000" w:themeColor="text1"/>
                      <w:sz w:val="21"/>
                      <w:szCs w:val="21"/>
                      <w:lang w:val="en-US" w:eastAsia="zh-CN"/>
                      <w14:textFill>
                        <w14:solidFill>
                          <w14:schemeClr w14:val="tx1"/>
                        </w14:solidFill>
                      </w14:textFill>
                    </w:rPr>
                    <w:t>mm</w:t>
                  </w:r>
                </w:p>
              </w:tc>
              <w:tc>
                <w:tcPr>
                  <w:tcW w:w="764" w:type="pct"/>
                  <w:tcBorders>
                    <w:tl2br w:val="nil"/>
                    <w:tr2bl w:val="nil"/>
                  </w:tcBorders>
                  <w:vAlign w:val="center"/>
                </w:tcPr>
                <w:p w14:paraId="060E08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7万张</w:t>
                  </w:r>
                </w:p>
              </w:tc>
              <w:tc>
                <w:tcPr>
                  <w:tcW w:w="1681" w:type="pct"/>
                  <w:tcBorders>
                    <w:tl2br w:val="nil"/>
                    <w:tr2bl w:val="nil"/>
                  </w:tcBorders>
                  <w:vAlign w:val="center"/>
                </w:tcPr>
                <w:p w14:paraId="3C63DA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eastAsia="zh-CN" w:bidi="ar"/>
                      <w14:textFill>
                        <w14:solidFill>
                          <w14:schemeClr w14:val="tx1"/>
                        </w14:solidFill>
                      </w14:textFill>
                    </w:rPr>
                    <w:t>包覆纸自用，为生产免漆门边条的原料。</w:t>
                  </w:r>
                </w:p>
              </w:tc>
            </w:tr>
            <w:tr w14:paraId="50179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4"/>
                  <w:tcBorders>
                    <w:tl2br w:val="nil"/>
                    <w:tr2bl w:val="nil"/>
                  </w:tcBorders>
                  <w:vAlign w:val="center"/>
                </w:tcPr>
                <w:p w14:paraId="59599F1D">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eastAsia="zh-CN" w:bidi="ar"/>
                      <w14:textFill>
                        <w14:solidFill>
                          <w14:schemeClr w14:val="tx1"/>
                        </w14:solidFill>
                      </w14:textFill>
                    </w:rPr>
                    <w:t>注：产品基材均为中密度纤维板，密度为</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0.65g/cm</w:t>
                  </w:r>
                  <w:r>
                    <w:rPr>
                      <w:rFonts w:hint="eastAsia"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~0.8g/cm</w:t>
                  </w:r>
                  <w:r>
                    <w:rPr>
                      <w:rFonts w:hint="eastAsia"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w:t>
                  </w:r>
                </w:p>
              </w:tc>
            </w:tr>
          </w:tbl>
          <w:p w14:paraId="50BC6841">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2.5、主要生产设备</w:t>
            </w:r>
          </w:p>
          <w:p w14:paraId="66F866B8">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（1）主要生产设备</w:t>
            </w:r>
          </w:p>
          <w:p w14:paraId="62898A44">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项目营运期主要设备清单详见下表：</w:t>
            </w:r>
          </w:p>
          <w:p w14:paraId="31C3698F">
            <w:pPr>
              <w:spacing w:line="36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表2-</w:t>
            </w:r>
            <w:r>
              <w:rPr>
                <w:rFonts w:hint="eastAsia" w:ascii="Times New Roman" w:hAnsi="Times New Roman" w:eastAsia="宋体" w:cs="Times New Roman"/>
                <w:color w:val="000000" w:themeColor="text1"/>
                <w:sz w:val="24"/>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 xml:space="preserve">  项目主要设备一览表</w:t>
            </w:r>
          </w:p>
          <w:tbl>
            <w:tblPr>
              <w:tblStyle w:val="28"/>
              <w:tblW w:w="49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44"/>
              <w:gridCol w:w="2065"/>
              <w:gridCol w:w="2099"/>
              <w:gridCol w:w="1446"/>
              <w:gridCol w:w="1804"/>
            </w:tblGrid>
            <w:tr w14:paraId="557DA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8" w:hRule="atLeast"/>
                <w:jc w:val="center"/>
              </w:trPr>
              <w:tc>
                <w:tcPr>
                  <w:tcW w:w="564" w:type="pct"/>
                  <w:tcBorders>
                    <w:tl2br w:val="nil"/>
                    <w:tr2bl w:val="nil"/>
                  </w:tcBorders>
                  <w:vAlign w:val="center"/>
                </w:tcPr>
                <w:p w14:paraId="30B55377">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序号</w:t>
                  </w:r>
                </w:p>
              </w:tc>
              <w:tc>
                <w:tcPr>
                  <w:tcW w:w="1235" w:type="pct"/>
                  <w:tcBorders>
                    <w:tl2br w:val="nil"/>
                    <w:tr2bl w:val="nil"/>
                  </w:tcBorders>
                  <w:vAlign w:val="center"/>
                </w:tcPr>
                <w:p w14:paraId="374FBEC5">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设备名称</w:t>
                  </w:r>
                </w:p>
              </w:tc>
              <w:tc>
                <w:tcPr>
                  <w:tcW w:w="1255" w:type="pct"/>
                  <w:tcBorders>
                    <w:tl2br w:val="nil"/>
                    <w:tr2bl w:val="nil"/>
                  </w:tcBorders>
                  <w:vAlign w:val="center"/>
                </w:tcPr>
                <w:p w14:paraId="09564A6F">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参数/规格</w:t>
                  </w:r>
                </w:p>
              </w:tc>
              <w:tc>
                <w:tcPr>
                  <w:tcW w:w="865" w:type="pct"/>
                  <w:tcBorders>
                    <w:tl2br w:val="nil"/>
                    <w:tr2bl w:val="nil"/>
                  </w:tcBorders>
                  <w:vAlign w:val="center"/>
                </w:tcPr>
                <w:p w14:paraId="4E724703">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数量/台</w:t>
                  </w:r>
                </w:p>
              </w:tc>
              <w:tc>
                <w:tcPr>
                  <w:tcW w:w="1079" w:type="pct"/>
                  <w:tcBorders>
                    <w:tl2br w:val="nil"/>
                    <w:tr2bl w:val="nil"/>
                  </w:tcBorders>
                  <w:vAlign w:val="center"/>
                </w:tcPr>
                <w:p w14:paraId="111B0AE5">
                  <w:pPr>
                    <w:spacing w:before="78" w:beforeLines="25" w:after="78" w:afterLines="25" w:line="300" w:lineRule="auto"/>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备注</w:t>
                  </w:r>
                </w:p>
              </w:tc>
            </w:tr>
            <w:tr w14:paraId="1C2A7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517B13C4">
                  <w:pPr>
                    <w:spacing w:before="78" w:beforeLines="25" w:after="78" w:afterLines="25" w:line="298"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p>
              </w:tc>
              <w:tc>
                <w:tcPr>
                  <w:tcW w:w="1235" w:type="pct"/>
                  <w:tcBorders>
                    <w:tl2br w:val="nil"/>
                    <w:tr2bl w:val="nil"/>
                  </w:tcBorders>
                  <w:shd w:val="clear" w:color="auto" w:fill="auto"/>
                  <w:vAlign w:val="center"/>
                </w:tcPr>
                <w:p w14:paraId="79B21FF7">
                  <w:pPr>
                    <w:spacing w:before="78" w:beforeLines="25" w:after="78" w:afterLines="25" w:line="298" w:lineRule="auto"/>
                    <w:jc w:val="center"/>
                    <w:rPr>
                      <w:rFonts w:hint="eastAsia" w:ascii="Times New Roman" w:hAnsi="Times New Roman" w:eastAsia="宋体" w:cs="宋体"/>
                      <w:bCs/>
                      <w:color w:val="000000" w:themeColor="text1"/>
                      <w:kern w:val="0"/>
                      <w:szCs w:val="21"/>
                      <w:lang w:val="zh-CN"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4*9压机</w:t>
                  </w:r>
                </w:p>
              </w:tc>
              <w:tc>
                <w:tcPr>
                  <w:tcW w:w="1255" w:type="pct"/>
                  <w:tcBorders>
                    <w:tl2br w:val="nil"/>
                    <w:tr2bl w:val="nil"/>
                  </w:tcBorders>
                  <w:shd w:val="clear" w:color="auto" w:fill="FFFFFF"/>
                  <w:vAlign w:val="center"/>
                </w:tcPr>
                <w:p w14:paraId="418137CC">
                  <w:pPr>
                    <w:spacing w:before="78" w:beforeLines="25" w:after="78" w:afterLines="25" w:line="298" w:lineRule="auto"/>
                    <w:jc w:val="center"/>
                    <w:rPr>
                      <w:rFonts w:hint="default"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HKT2000T-49BCB</w:t>
                  </w:r>
                </w:p>
              </w:tc>
              <w:tc>
                <w:tcPr>
                  <w:tcW w:w="865" w:type="pct"/>
                  <w:tcBorders>
                    <w:tl2br w:val="nil"/>
                    <w:tr2bl w:val="nil"/>
                  </w:tcBorders>
                  <w:vAlign w:val="center"/>
                </w:tcPr>
                <w:p w14:paraId="15466AB3">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1</w:t>
                  </w:r>
                </w:p>
              </w:tc>
              <w:tc>
                <w:tcPr>
                  <w:tcW w:w="1079" w:type="pct"/>
                  <w:vMerge w:val="restart"/>
                  <w:tcBorders>
                    <w:tl2br w:val="nil"/>
                    <w:tr2bl w:val="nil"/>
                  </w:tcBorders>
                  <w:vAlign w:val="center"/>
                </w:tcPr>
                <w:p w14:paraId="597DA0AA">
                  <w:pPr>
                    <w:spacing w:before="78" w:beforeLines="25" w:after="78" w:afterLines="25" w:line="28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r>
                    <w:rPr>
                      <w:rFonts w:hint="eastAsia" w:ascii="Times New Roman" w:hAnsi="Times New Roman" w:eastAsia="宋体" w:cs="宋体"/>
                      <w:bCs/>
                      <w:color w:val="000000" w:themeColor="text1"/>
                      <w:kern w:val="0"/>
                      <w:szCs w:val="21"/>
                      <w:lang w:eastAsia="zh-CN" w:bidi="ar"/>
                      <w14:textFill>
                        <w14:solidFill>
                          <w14:schemeClr w14:val="tx1"/>
                        </w14:solidFill>
                      </w14:textFill>
                    </w:rPr>
                    <w:t>用于生产面饰门板和包覆纸（包覆纸为生产门边条原料，</w:t>
                  </w: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1张包覆纸可生产10支门边条</w:t>
                  </w:r>
                  <w:r>
                    <w:rPr>
                      <w:rFonts w:hint="eastAsia" w:ascii="Times New Roman" w:hAnsi="Times New Roman" w:eastAsia="宋体" w:cs="宋体"/>
                      <w:bCs/>
                      <w:color w:val="000000" w:themeColor="text1"/>
                      <w:kern w:val="0"/>
                      <w:szCs w:val="21"/>
                      <w:lang w:eastAsia="zh-CN" w:bidi="ar"/>
                      <w14:textFill>
                        <w14:solidFill>
                          <w14:schemeClr w14:val="tx1"/>
                        </w14:solidFill>
                      </w14:textFill>
                    </w:rPr>
                    <w:t>）</w:t>
                  </w:r>
                </w:p>
              </w:tc>
            </w:tr>
            <w:tr w14:paraId="2FCE6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242BC07D">
                  <w:pPr>
                    <w:spacing w:before="78" w:beforeLines="25" w:after="78" w:afterLines="25" w:line="298"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235" w:type="pct"/>
                  <w:tcBorders>
                    <w:tl2br w:val="nil"/>
                    <w:tr2bl w:val="nil"/>
                  </w:tcBorders>
                  <w:shd w:val="clear" w:color="auto" w:fill="auto"/>
                  <w:vAlign w:val="center"/>
                </w:tcPr>
                <w:p w14:paraId="3D843089">
                  <w:pPr>
                    <w:spacing w:before="78" w:beforeLines="25" w:after="78" w:afterLines="25" w:line="298" w:lineRule="auto"/>
                    <w:jc w:val="center"/>
                    <w:rPr>
                      <w:rFonts w:hint="eastAsia" w:ascii="Times New Roman" w:hAnsi="Times New Roman" w:eastAsia="宋体" w:cs="宋体"/>
                      <w:bCs/>
                      <w:color w:val="000000" w:themeColor="text1"/>
                      <w:kern w:val="0"/>
                      <w:szCs w:val="21"/>
                      <w:lang w:val="zh-CN"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4*8压机</w:t>
                  </w:r>
                </w:p>
              </w:tc>
              <w:tc>
                <w:tcPr>
                  <w:tcW w:w="1255" w:type="pct"/>
                  <w:tcBorders>
                    <w:tl2br w:val="nil"/>
                    <w:tr2bl w:val="nil"/>
                  </w:tcBorders>
                  <w:shd w:val="clear" w:color="auto" w:fill="FFFFFF"/>
                  <w:vAlign w:val="center"/>
                </w:tcPr>
                <w:p w14:paraId="1346C94B">
                  <w:pPr>
                    <w:spacing w:before="78" w:beforeLines="25" w:after="78" w:afterLines="25" w:line="298" w:lineRule="auto"/>
                    <w:jc w:val="center"/>
                    <w:rPr>
                      <w:rFonts w:hint="default"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HKT1600T-48BCB</w:t>
                  </w:r>
                </w:p>
              </w:tc>
              <w:tc>
                <w:tcPr>
                  <w:tcW w:w="865" w:type="pct"/>
                  <w:tcBorders>
                    <w:tl2br w:val="nil"/>
                    <w:tr2bl w:val="nil"/>
                  </w:tcBorders>
                  <w:vAlign w:val="center"/>
                </w:tcPr>
                <w:p w14:paraId="1DA50DB4">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2</w:t>
                  </w:r>
                </w:p>
              </w:tc>
              <w:tc>
                <w:tcPr>
                  <w:tcW w:w="1079" w:type="pct"/>
                  <w:vMerge w:val="continue"/>
                  <w:tcBorders>
                    <w:tl2br w:val="nil"/>
                    <w:tr2bl w:val="nil"/>
                  </w:tcBorders>
                  <w:vAlign w:val="center"/>
                </w:tcPr>
                <w:p w14:paraId="600B627E">
                  <w:pPr>
                    <w:spacing w:before="78" w:beforeLines="25" w:after="78" w:afterLines="25" w:line="28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p>
              </w:tc>
            </w:tr>
            <w:tr w14:paraId="0A908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1D3DD11A">
                  <w:pPr>
                    <w:spacing w:before="78" w:beforeLines="25" w:after="78" w:afterLines="25" w:line="298" w:lineRule="auto"/>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1235" w:type="pct"/>
                  <w:tcBorders>
                    <w:tl2br w:val="nil"/>
                    <w:tr2bl w:val="nil"/>
                  </w:tcBorders>
                  <w:shd w:val="clear" w:color="auto" w:fill="auto"/>
                  <w:vAlign w:val="center"/>
                </w:tcPr>
                <w:p w14:paraId="678B8FCF">
                  <w:pPr>
                    <w:spacing w:before="78" w:beforeLines="25" w:after="78" w:afterLines="25" w:line="298" w:lineRule="auto"/>
                    <w:jc w:val="center"/>
                    <w:rPr>
                      <w:rFonts w:hint="eastAsia" w:ascii="Times New Roman" w:hAnsi="Times New Roman" w:eastAsia="宋体" w:cs="宋体"/>
                      <w:bCs/>
                      <w:color w:val="000000" w:themeColor="text1"/>
                      <w:kern w:val="0"/>
                      <w:szCs w:val="21"/>
                      <w:lang w:val="zh-CN"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3*8压机</w:t>
                  </w:r>
                </w:p>
              </w:tc>
              <w:tc>
                <w:tcPr>
                  <w:tcW w:w="1255" w:type="pct"/>
                  <w:tcBorders>
                    <w:tl2br w:val="nil"/>
                    <w:tr2bl w:val="nil"/>
                  </w:tcBorders>
                  <w:shd w:val="clear" w:color="auto" w:fill="FFFFFF"/>
                  <w:vAlign w:val="center"/>
                </w:tcPr>
                <w:p w14:paraId="7018EF55">
                  <w:pPr>
                    <w:spacing w:before="78" w:beforeLines="25" w:after="78" w:afterLines="25" w:line="298" w:lineRule="auto"/>
                    <w:jc w:val="center"/>
                    <w:rPr>
                      <w:rFonts w:hint="default"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HKT1600T-38BCB</w:t>
                  </w:r>
                </w:p>
              </w:tc>
              <w:tc>
                <w:tcPr>
                  <w:tcW w:w="865" w:type="pct"/>
                  <w:tcBorders>
                    <w:tl2br w:val="nil"/>
                    <w:tr2bl w:val="nil"/>
                  </w:tcBorders>
                  <w:vAlign w:val="center"/>
                </w:tcPr>
                <w:p w14:paraId="07A288BE">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3</w:t>
                  </w:r>
                </w:p>
              </w:tc>
              <w:tc>
                <w:tcPr>
                  <w:tcW w:w="1079" w:type="pct"/>
                  <w:vMerge w:val="continue"/>
                  <w:tcBorders>
                    <w:tl2br w:val="nil"/>
                    <w:tr2bl w:val="nil"/>
                  </w:tcBorders>
                  <w:vAlign w:val="center"/>
                </w:tcPr>
                <w:p w14:paraId="0164940E">
                  <w:pPr>
                    <w:spacing w:before="78" w:beforeLines="25" w:after="78" w:afterLines="25" w:line="28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p>
              </w:tc>
            </w:tr>
            <w:tr w14:paraId="3670C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4" w:type="pct"/>
                  <w:tcBorders>
                    <w:tl2br w:val="nil"/>
                    <w:tr2bl w:val="nil"/>
                  </w:tcBorders>
                  <w:vAlign w:val="center"/>
                </w:tcPr>
                <w:p w14:paraId="65492A07">
                  <w:pPr>
                    <w:spacing w:before="78" w:beforeLines="25" w:after="78" w:afterLines="25" w:line="298" w:lineRule="auto"/>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p>
              </w:tc>
              <w:tc>
                <w:tcPr>
                  <w:tcW w:w="1235" w:type="pct"/>
                  <w:tcBorders>
                    <w:tl2br w:val="nil"/>
                    <w:tr2bl w:val="nil"/>
                  </w:tcBorders>
                  <w:shd w:val="clear" w:color="auto" w:fill="auto"/>
                  <w:vAlign w:val="center"/>
                </w:tcPr>
                <w:p w14:paraId="42DE4C63">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双头圆锯</w:t>
                  </w:r>
                </w:p>
              </w:tc>
              <w:tc>
                <w:tcPr>
                  <w:tcW w:w="1255" w:type="pct"/>
                  <w:tcBorders>
                    <w:tl2br w:val="nil"/>
                    <w:tr2bl w:val="nil"/>
                  </w:tcBorders>
                  <w:vAlign w:val="center"/>
                </w:tcPr>
                <w:p w14:paraId="65253B18">
                  <w:pPr>
                    <w:spacing w:before="78" w:beforeLines="25" w:after="78" w:afterLines="25" w:line="298" w:lineRule="auto"/>
                    <w:jc w:val="center"/>
                    <w:rPr>
                      <w:rFonts w:hint="eastAsia"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MJ243</w:t>
                  </w:r>
                </w:p>
              </w:tc>
              <w:tc>
                <w:tcPr>
                  <w:tcW w:w="865" w:type="pct"/>
                  <w:tcBorders>
                    <w:tl2br w:val="nil"/>
                    <w:tr2bl w:val="nil"/>
                  </w:tcBorders>
                  <w:vAlign w:val="center"/>
                </w:tcPr>
                <w:p w14:paraId="6058EC59">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1</w:t>
                  </w:r>
                </w:p>
              </w:tc>
              <w:tc>
                <w:tcPr>
                  <w:tcW w:w="1079" w:type="pct"/>
                  <w:tcBorders>
                    <w:tl2br w:val="nil"/>
                    <w:tr2bl w:val="nil"/>
                  </w:tcBorders>
                  <w:vAlign w:val="center"/>
                </w:tcPr>
                <w:p w14:paraId="4E6FE9FF">
                  <w:pPr>
                    <w:spacing w:before="78" w:beforeLines="25" w:after="78" w:afterLines="25" w:line="28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r>
                    <w:rPr>
                      <w:rFonts w:hint="eastAsia" w:ascii="Times New Roman" w:hAnsi="Times New Roman" w:eastAsia="宋体" w:cs="宋体"/>
                      <w:bCs/>
                      <w:color w:val="000000" w:themeColor="text1"/>
                      <w:kern w:val="0"/>
                      <w:szCs w:val="21"/>
                      <w:lang w:eastAsia="zh-CN" w:bidi="ar"/>
                      <w14:textFill>
                        <w14:solidFill>
                          <w14:schemeClr w14:val="tx1"/>
                        </w14:solidFill>
                      </w14:textFill>
                    </w:rPr>
                    <w:t>切割门边条</w:t>
                  </w:r>
                </w:p>
              </w:tc>
            </w:tr>
            <w:tr w14:paraId="74398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1FEB7898">
                  <w:pPr>
                    <w:spacing w:before="78" w:beforeLines="25" w:after="78" w:afterLines="25" w:line="298"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5</w:t>
                  </w:r>
                </w:p>
              </w:tc>
              <w:tc>
                <w:tcPr>
                  <w:tcW w:w="1235" w:type="pct"/>
                  <w:tcBorders>
                    <w:tl2br w:val="nil"/>
                    <w:tr2bl w:val="nil"/>
                  </w:tcBorders>
                  <w:shd w:val="clear" w:color="auto" w:fill="auto"/>
                  <w:vAlign w:val="center"/>
                </w:tcPr>
                <w:p w14:paraId="277E2295">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多功能包覆机</w:t>
                  </w:r>
                </w:p>
              </w:tc>
              <w:tc>
                <w:tcPr>
                  <w:tcW w:w="1255" w:type="pct"/>
                  <w:tcBorders>
                    <w:tl2br w:val="nil"/>
                    <w:tr2bl w:val="nil"/>
                  </w:tcBorders>
                  <w:vAlign w:val="center"/>
                </w:tcPr>
                <w:p w14:paraId="2D016CEC">
                  <w:pPr>
                    <w:spacing w:before="78" w:beforeLines="25" w:after="78" w:afterLines="25" w:line="298" w:lineRule="auto"/>
                    <w:jc w:val="center"/>
                    <w:rPr>
                      <w:rFonts w:hint="eastAsia"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TC-111</w:t>
                  </w:r>
                </w:p>
              </w:tc>
              <w:tc>
                <w:tcPr>
                  <w:tcW w:w="865" w:type="pct"/>
                  <w:tcBorders>
                    <w:tl2br w:val="nil"/>
                    <w:tr2bl w:val="nil"/>
                  </w:tcBorders>
                  <w:vAlign w:val="center"/>
                </w:tcPr>
                <w:p w14:paraId="2ABC5574">
                  <w:pPr>
                    <w:spacing w:before="78" w:beforeLines="25" w:after="78" w:afterLines="25" w:line="298" w:lineRule="auto"/>
                    <w:jc w:val="cente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t>2</w:t>
                  </w:r>
                </w:p>
              </w:tc>
              <w:tc>
                <w:tcPr>
                  <w:tcW w:w="1079" w:type="pct"/>
                  <w:tcBorders>
                    <w:tl2br w:val="nil"/>
                    <w:tr2bl w:val="nil"/>
                  </w:tcBorders>
                  <w:vAlign w:val="center"/>
                </w:tcPr>
                <w:p w14:paraId="16271411">
                  <w:pPr>
                    <w:spacing w:before="78" w:beforeLines="25" w:after="78" w:afterLines="25" w:line="28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r>
                    <w:rPr>
                      <w:rFonts w:hint="eastAsia" w:ascii="Times New Roman" w:hAnsi="Times New Roman" w:eastAsia="宋体" w:cs="宋体"/>
                      <w:bCs/>
                      <w:color w:val="000000" w:themeColor="text1"/>
                      <w:kern w:val="0"/>
                      <w:szCs w:val="21"/>
                      <w:lang w:eastAsia="zh-CN" w:bidi="ar"/>
                      <w14:textFill>
                        <w14:solidFill>
                          <w14:schemeClr w14:val="tx1"/>
                        </w14:solidFill>
                      </w14:textFill>
                    </w:rPr>
                    <w:t>利用包覆纸对边条进行包覆</w:t>
                  </w:r>
                </w:p>
              </w:tc>
            </w:tr>
            <w:tr w14:paraId="71EAB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shd w:val="clear" w:color="auto" w:fill="auto"/>
                  <w:vAlign w:val="center"/>
                </w:tcPr>
                <w:p w14:paraId="5EB5D6D8">
                  <w:pPr>
                    <w:spacing w:before="78" w:beforeLines="25" w:after="78" w:afterLines="25" w:line="298" w:lineRule="auto"/>
                    <w:jc w:val="center"/>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6</w:t>
                  </w:r>
                </w:p>
              </w:tc>
              <w:tc>
                <w:tcPr>
                  <w:tcW w:w="1235" w:type="pct"/>
                  <w:tcBorders>
                    <w:tl2br w:val="nil"/>
                    <w:tr2bl w:val="nil"/>
                  </w:tcBorders>
                  <w:shd w:val="clear" w:color="auto" w:fill="auto"/>
                  <w:vAlign w:val="center"/>
                </w:tcPr>
                <w:p w14:paraId="05D7959E">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裁断机</w:t>
                  </w:r>
                </w:p>
              </w:tc>
              <w:tc>
                <w:tcPr>
                  <w:tcW w:w="1255" w:type="pct"/>
                  <w:tcBorders>
                    <w:tl2br w:val="nil"/>
                    <w:tr2bl w:val="nil"/>
                  </w:tcBorders>
                  <w:vAlign w:val="center"/>
                </w:tcPr>
                <w:p w14:paraId="2E25F3D3">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非标</w:t>
                  </w:r>
                </w:p>
              </w:tc>
              <w:tc>
                <w:tcPr>
                  <w:tcW w:w="865" w:type="pct"/>
                  <w:tcBorders>
                    <w:tl2br w:val="nil"/>
                    <w:tr2bl w:val="nil"/>
                  </w:tcBorders>
                  <w:vAlign w:val="center"/>
                </w:tcPr>
                <w:p w14:paraId="65908705">
                  <w:pPr>
                    <w:spacing w:before="78" w:beforeLines="25" w:after="78" w:afterLines="25" w:line="298" w:lineRule="auto"/>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t>1</w:t>
                  </w:r>
                </w:p>
              </w:tc>
              <w:tc>
                <w:tcPr>
                  <w:tcW w:w="1079" w:type="pct"/>
                  <w:tcBorders>
                    <w:tl2br w:val="nil"/>
                    <w:tr2bl w:val="nil"/>
                  </w:tcBorders>
                  <w:vAlign w:val="center"/>
                </w:tcPr>
                <w:p w14:paraId="6433450D">
                  <w:pPr>
                    <w:spacing w:before="78" w:beforeLines="25" w:after="78" w:afterLines="25" w:line="28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w:t>
                  </w:r>
                </w:p>
              </w:tc>
            </w:tr>
            <w:tr w14:paraId="6E0D8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64" w:type="pct"/>
                  <w:tcBorders>
                    <w:tl2br w:val="nil"/>
                    <w:tr2bl w:val="nil"/>
                  </w:tcBorders>
                  <w:shd w:val="clear" w:color="auto" w:fill="auto"/>
                  <w:vAlign w:val="center"/>
                </w:tcPr>
                <w:p w14:paraId="771FF80A">
                  <w:pPr>
                    <w:spacing w:before="78" w:beforeLines="25" w:after="78" w:afterLines="25" w:line="298" w:lineRule="auto"/>
                    <w:jc w:val="center"/>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7</w:t>
                  </w:r>
                </w:p>
              </w:tc>
              <w:tc>
                <w:tcPr>
                  <w:tcW w:w="1235" w:type="pct"/>
                  <w:tcBorders>
                    <w:tl2br w:val="nil"/>
                    <w:tr2bl w:val="nil"/>
                  </w:tcBorders>
                  <w:shd w:val="clear" w:color="auto" w:fill="auto"/>
                  <w:vAlign w:val="center"/>
                </w:tcPr>
                <w:p w14:paraId="0ADC11CE">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缝纫机</w:t>
                  </w:r>
                </w:p>
              </w:tc>
              <w:tc>
                <w:tcPr>
                  <w:tcW w:w="1255" w:type="pct"/>
                  <w:tcBorders>
                    <w:tl2br w:val="nil"/>
                    <w:tr2bl w:val="nil"/>
                  </w:tcBorders>
                  <w:vAlign w:val="center"/>
                </w:tcPr>
                <w:p w14:paraId="251D1F44">
                  <w:pPr>
                    <w:spacing w:before="78" w:beforeLines="25" w:after="78" w:afterLines="25" w:line="29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非标</w:t>
                  </w:r>
                </w:p>
              </w:tc>
              <w:tc>
                <w:tcPr>
                  <w:tcW w:w="865" w:type="pct"/>
                  <w:tcBorders>
                    <w:tl2br w:val="nil"/>
                    <w:tr2bl w:val="nil"/>
                  </w:tcBorders>
                  <w:vAlign w:val="center"/>
                </w:tcPr>
                <w:p w14:paraId="67B416F6">
                  <w:pPr>
                    <w:spacing w:before="78" w:beforeLines="25" w:after="78" w:afterLines="25" w:line="298" w:lineRule="auto"/>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t>1</w:t>
                  </w:r>
                </w:p>
              </w:tc>
              <w:tc>
                <w:tcPr>
                  <w:tcW w:w="1079" w:type="pct"/>
                  <w:tcBorders>
                    <w:tl2br w:val="nil"/>
                    <w:tr2bl w:val="nil"/>
                  </w:tcBorders>
                  <w:vAlign w:val="center"/>
                </w:tcPr>
                <w:p w14:paraId="7D5E581E">
                  <w:pPr>
                    <w:spacing w:before="78" w:beforeLines="25" w:after="78" w:afterLines="25" w:line="28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w:t>
                  </w:r>
                </w:p>
              </w:tc>
            </w:tr>
            <w:tr w14:paraId="731C3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shd w:val="clear" w:color="auto" w:fill="auto"/>
                  <w:vAlign w:val="center"/>
                </w:tcPr>
                <w:p w14:paraId="5E7963F5">
                  <w:pPr>
                    <w:spacing w:before="78" w:beforeLines="25" w:after="78" w:afterLines="25" w:line="298" w:lineRule="auto"/>
                    <w:jc w:val="center"/>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8</w:t>
                  </w:r>
                </w:p>
              </w:tc>
              <w:tc>
                <w:tcPr>
                  <w:tcW w:w="1235" w:type="pct"/>
                  <w:tcBorders>
                    <w:tl2br w:val="nil"/>
                    <w:tr2bl w:val="nil"/>
                  </w:tcBorders>
                  <w:vAlign w:val="center"/>
                </w:tcPr>
                <w:p w14:paraId="71FC9C85">
                  <w:pPr>
                    <w:spacing w:before="78" w:beforeLines="25" w:after="78" w:afterLines="25" w:line="298" w:lineRule="auto"/>
                    <w:jc w:val="center"/>
                    <w:rPr>
                      <w:rFonts w:hint="eastAsia" w:ascii="Times New Roman" w:hAnsi="Times New Roman" w:eastAsia="宋体" w:cs="宋体"/>
                      <w:bCs/>
                      <w:color w:val="000000" w:themeColor="text1"/>
                      <w:kern w:val="0"/>
                      <w:szCs w:val="21"/>
                      <w:lang w:eastAsia="zh-CN" w:bidi="ar"/>
                      <w14:textFill>
                        <w14:solidFill>
                          <w14:schemeClr w14:val="tx1"/>
                        </w14:solidFill>
                      </w14:textFill>
                    </w:rPr>
                  </w:pPr>
                  <w:r>
                    <w:rPr>
                      <w:rFonts w:hint="eastAsia" w:ascii="Times New Roman" w:hAnsi="Times New Roman" w:eastAsia="宋体" w:cs="宋体"/>
                      <w:bCs/>
                      <w:color w:val="000000" w:themeColor="text1"/>
                      <w:kern w:val="0"/>
                      <w:szCs w:val="21"/>
                      <w:lang w:eastAsia="zh-CN" w:bidi="ar"/>
                      <w14:textFill>
                        <w14:solidFill>
                          <w14:schemeClr w14:val="tx1"/>
                        </w14:solidFill>
                      </w14:textFill>
                    </w:rPr>
                    <w:t>模温机</w:t>
                  </w:r>
                </w:p>
              </w:tc>
              <w:tc>
                <w:tcPr>
                  <w:tcW w:w="1255" w:type="pct"/>
                  <w:tcBorders>
                    <w:tl2br w:val="nil"/>
                    <w:tr2bl w:val="nil"/>
                  </w:tcBorders>
                  <w:vAlign w:val="center"/>
                </w:tcPr>
                <w:p w14:paraId="030D9773">
                  <w:pPr>
                    <w:spacing w:before="78" w:beforeLines="25" w:after="78" w:afterLines="25" w:line="298" w:lineRule="auto"/>
                    <w:jc w:val="center"/>
                    <w:rPr>
                      <w:rFonts w:hint="default"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YYW-99Y</w:t>
                  </w:r>
                </w:p>
              </w:tc>
              <w:tc>
                <w:tcPr>
                  <w:tcW w:w="865" w:type="pct"/>
                  <w:tcBorders>
                    <w:tl2br w:val="nil"/>
                    <w:tr2bl w:val="nil"/>
                  </w:tcBorders>
                  <w:vAlign w:val="center"/>
                </w:tcPr>
                <w:p w14:paraId="3B77D771">
                  <w:pPr>
                    <w:spacing w:before="78" w:beforeLines="25" w:after="78" w:afterLines="25" w:line="298" w:lineRule="auto"/>
                    <w:jc w:val="cente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bidi="ar"/>
                      <w14:textFill>
                        <w14:solidFill>
                          <w14:schemeClr w14:val="tx1"/>
                        </w14:solidFill>
                      </w14:textFill>
                    </w:rPr>
                    <w:t>3</w:t>
                  </w:r>
                </w:p>
              </w:tc>
              <w:tc>
                <w:tcPr>
                  <w:tcW w:w="1079" w:type="pct"/>
                  <w:tcBorders>
                    <w:tl2br w:val="nil"/>
                    <w:tr2bl w:val="nil"/>
                  </w:tcBorders>
                  <w:vAlign w:val="center"/>
                </w:tcPr>
                <w:p w14:paraId="7F90DA86">
                  <w:pPr>
                    <w:spacing w:before="78" w:beforeLines="25" w:after="78" w:afterLines="25" w:line="28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w:t>
                  </w:r>
                </w:p>
              </w:tc>
            </w:tr>
            <w:tr w14:paraId="77021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1D0392DB">
                  <w:pPr>
                    <w:spacing w:before="78" w:beforeLines="25" w:after="78" w:afterLines="25" w:line="298" w:lineRule="auto"/>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9</w:t>
                  </w:r>
                </w:p>
              </w:tc>
              <w:tc>
                <w:tcPr>
                  <w:tcW w:w="1235" w:type="pct"/>
                  <w:tcBorders>
                    <w:tl2br w:val="nil"/>
                    <w:tr2bl w:val="nil"/>
                  </w:tcBorders>
                  <w:vAlign w:val="center"/>
                </w:tcPr>
                <w:p w14:paraId="2D25A238">
                  <w:pPr>
                    <w:spacing w:before="78" w:beforeLines="25" w:after="78" w:afterLines="25" w:line="298" w:lineRule="auto"/>
                    <w:jc w:val="center"/>
                    <w:rPr>
                      <w:rFonts w:hint="eastAsia"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Cs/>
                      <w:color w:val="000000" w:themeColor="text1"/>
                      <w:kern w:val="0"/>
                      <w:szCs w:val="21"/>
                      <w:lang w:bidi="ar"/>
                      <w14:textFill>
                        <w14:solidFill>
                          <w14:schemeClr w14:val="tx1"/>
                        </w14:solidFill>
                      </w14:textFill>
                    </w:rPr>
                    <w:t>螺杆空压机</w:t>
                  </w:r>
                </w:p>
              </w:tc>
              <w:tc>
                <w:tcPr>
                  <w:tcW w:w="1255" w:type="pct"/>
                  <w:tcBorders>
                    <w:tl2br w:val="nil"/>
                    <w:tr2bl w:val="nil"/>
                  </w:tcBorders>
                  <w:vAlign w:val="center"/>
                </w:tcPr>
                <w:p w14:paraId="17CCFCD6">
                  <w:pPr>
                    <w:spacing w:before="78" w:beforeLines="25" w:after="78" w:afterLines="25" w:line="298" w:lineRule="auto"/>
                    <w:jc w:val="center"/>
                    <w:rPr>
                      <w:rFonts w:hint="default"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ITLH-75PM</w:t>
                  </w:r>
                  <w:r>
                    <w:rPr>
                      <w:rFonts w:hint="eastAsia" w:ascii="Times New Roman" w:hAnsi="Times New Roman" w:eastAsia="宋体" w:cs="宋体"/>
                      <w:bCs/>
                      <w:color w:val="000000" w:themeColor="text1"/>
                      <w:kern w:val="0"/>
                      <w:szCs w:val="21"/>
                      <w:lang w:eastAsia="zh-CN" w:bidi="ar"/>
                      <w14:textFill>
                        <w14:solidFill>
                          <w14:schemeClr w14:val="tx1"/>
                        </w14:solidFill>
                      </w14:textFill>
                    </w:rPr>
                    <w:t>，</w:t>
                  </w: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1.0m</w:t>
                  </w:r>
                  <w:r>
                    <w:rPr>
                      <w:rFonts w:hint="eastAsia" w:ascii="Times New Roman" w:hAnsi="Times New Roman" w:eastAsia="宋体" w:cs="宋体"/>
                      <w:bCs/>
                      <w:color w:val="000000" w:themeColor="text1"/>
                      <w:kern w:val="0"/>
                      <w:szCs w:val="21"/>
                      <w:vertAlign w:val="superscript"/>
                      <w:lang w:val="en-US" w:eastAsia="zh-CN" w:bidi="ar"/>
                      <w14:textFill>
                        <w14:solidFill>
                          <w14:schemeClr w14:val="tx1"/>
                        </w14:solidFill>
                      </w14:textFill>
                    </w:rPr>
                    <w:t>3</w:t>
                  </w: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/min</w:t>
                  </w:r>
                </w:p>
              </w:tc>
              <w:tc>
                <w:tcPr>
                  <w:tcW w:w="865" w:type="pct"/>
                  <w:tcBorders>
                    <w:tl2br w:val="nil"/>
                    <w:tr2bl w:val="nil"/>
                  </w:tcBorders>
                  <w:vAlign w:val="center"/>
                </w:tcPr>
                <w:p w14:paraId="2E0C63F4">
                  <w:pPr>
                    <w:spacing w:before="78" w:beforeLines="25" w:after="78" w:afterLines="25" w:line="303"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1</w:t>
                  </w:r>
                </w:p>
              </w:tc>
              <w:tc>
                <w:tcPr>
                  <w:tcW w:w="1079" w:type="pct"/>
                  <w:tcBorders>
                    <w:tl2br w:val="nil"/>
                    <w:tr2bl w:val="nil"/>
                  </w:tcBorders>
                  <w:vAlign w:val="center"/>
                </w:tcPr>
                <w:p w14:paraId="2C6342B0">
                  <w:pPr>
                    <w:spacing w:before="78" w:beforeLines="25" w:after="78" w:afterLines="25" w:line="293"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w:t>
                  </w:r>
                </w:p>
              </w:tc>
            </w:tr>
            <w:tr w14:paraId="24C33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4" w:type="pct"/>
                  <w:tcBorders>
                    <w:tl2br w:val="nil"/>
                    <w:tr2bl w:val="nil"/>
                  </w:tcBorders>
                  <w:vAlign w:val="center"/>
                </w:tcPr>
                <w:p w14:paraId="258CE463">
                  <w:pPr>
                    <w:spacing w:before="78" w:beforeLines="25" w:after="78" w:afterLines="25" w:line="298" w:lineRule="auto"/>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10</w:t>
                  </w:r>
                </w:p>
              </w:tc>
              <w:tc>
                <w:tcPr>
                  <w:tcW w:w="1235" w:type="pct"/>
                  <w:tcBorders>
                    <w:tl2br w:val="nil"/>
                    <w:tr2bl w:val="nil"/>
                  </w:tcBorders>
                  <w:vAlign w:val="center"/>
                </w:tcPr>
                <w:p w14:paraId="292277D1">
                  <w:pPr>
                    <w:spacing w:before="78" w:beforeLines="25" w:after="78" w:afterLines="25" w:line="298" w:lineRule="auto"/>
                    <w:jc w:val="center"/>
                    <w:rPr>
                      <w:rFonts w:hint="eastAsia"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Cs/>
                      <w:color w:val="000000" w:themeColor="text1"/>
                      <w:kern w:val="0"/>
                      <w:szCs w:val="21"/>
                      <w:lang w:bidi="ar"/>
                      <w14:textFill>
                        <w14:solidFill>
                          <w14:schemeClr w14:val="tx1"/>
                        </w14:solidFill>
                      </w14:textFill>
                    </w:rPr>
                    <w:t>叉车</w:t>
                  </w:r>
                </w:p>
              </w:tc>
              <w:tc>
                <w:tcPr>
                  <w:tcW w:w="1255" w:type="pct"/>
                  <w:tcBorders>
                    <w:tl2br w:val="nil"/>
                    <w:tr2bl w:val="nil"/>
                  </w:tcBorders>
                  <w:vAlign w:val="center"/>
                </w:tcPr>
                <w:p w14:paraId="2A5B5C34">
                  <w:pPr>
                    <w:spacing w:before="78" w:beforeLines="25" w:after="78" w:afterLines="25" w:line="298" w:lineRule="auto"/>
                    <w:jc w:val="center"/>
                    <w:rPr>
                      <w:rFonts w:hint="eastAsia"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Cs/>
                      <w:color w:val="000000" w:themeColor="text1"/>
                      <w:kern w:val="0"/>
                      <w:szCs w:val="21"/>
                      <w:lang w:bidi="ar"/>
                      <w14:textFill>
                        <w14:solidFill>
                          <w14:schemeClr w14:val="tx1"/>
                        </w14:solidFill>
                      </w14:textFill>
                    </w:rPr>
                    <w:t>2.5T、3T</w:t>
                  </w:r>
                </w:p>
              </w:tc>
              <w:tc>
                <w:tcPr>
                  <w:tcW w:w="865" w:type="pct"/>
                  <w:tcBorders>
                    <w:tl2br w:val="nil"/>
                    <w:tr2bl w:val="nil"/>
                  </w:tcBorders>
                  <w:vAlign w:val="center"/>
                </w:tcPr>
                <w:p w14:paraId="0DECF11D">
                  <w:pPr>
                    <w:spacing w:before="78" w:beforeLines="25" w:after="78" w:afterLines="25" w:line="303"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4</w:t>
                  </w:r>
                </w:p>
              </w:tc>
              <w:tc>
                <w:tcPr>
                  <w:tcW w:w="1079" w:type="pct"/>
                  <w:tcBorders>
                    <w:tl2br w:val="nil"/>
                    <w:tr2bl w:val="nil"/>
                  </w:tcBorders>
                  <w:vAlign w:val="center"/>
                </w:tcPr>
                <w:p w14:paraId="55EA9E2E">
                  <w:pPr>
                    <w:spacing w:before="78" w:beforeLines="25" w:after="78" w:afterLines="25" w:line="288" w:lineRule="auto"/>
                    <w:jc w:val="cente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lang w:val="en-US" w:eastAsia="zh-CN" w:bidi="ar"/>
                      <w14:textFill>
                        <w14:solidFill>
                          <w14:schemeClr w14:val="tx1"/>
                        </w14:solidFill>
                      </w14:textFill>
                    </w:rPr>
                    <w:t>/</w:t>
                  </w:r>
                </w:p>
              </w:tc>
            </w:tr>
            <w:tr w14:paraId="70572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6F3571AF">
                  <w:pPr>
                    <w:spacing w:before="78" w:beforeLines="25" w:after="78" w:afterLines="25" w:line="300" w:lineRule="auto"/>
                    <w:rPr>
                      <w:rFonts w:ascii="Times New Roman" w:hAnsi="Times New Roman" w:eastAsia="宋体" w:cs="宋体"/>
                      <w:bCs/>
                      <w:color w:val="000000" w:themeColor="text1"/>
                      <w:kern w:val="0"/>
                      <w:szCs w:val="21"/>
                      <w:lang w:bidi="ar"/>
                      <w14:textFill>
                        <w14:solidFill>
                          <w14:schemeClr w14:val="tx1"/>
                        </w14:solidFill>
                      </w14:textFill>
                    </w:rPr>
                  </w:pPr>
                  <w:r>
                    <w:rPr>
                      <w:rFonts w:hint="eastAsia" w:ascii="Times New Roman" w:hAnsi="Times New Roman" w:eastAsia="宋体" w:cs="宋体"/>
                      <w:b/>
                      <w:color w:val="000000" w:themeColor="text1"/>
                      <w:kern w:val="0"/>
                      <w:szCs w:val="21"/>
                      <w:lang w:bidi="ar"/>
                      <w14:textFill>
                        <w14:solidFill>
                          <w14:schemeClr w14:val="tx1"/>
                        </w14:solidFill>
                      </w14:textFill>
                    </w:rPr>
                    <w:t>注</w:t>
                  </w:r>
                  <w:r>
                    <w:rPr>
                      <w:rFonts w:hint="eastAsia" w:ascii="Times New Roman" w:hAnsi="Times New Roman" w:eastAsia="宋体" w:cs="宋体"/>
                      <w:bCs/>
                      <w:color w:val="000000" w:themeColor="text1"/>
                      <w:kern w:val="0"/>
                      <w:szCs w:val="21"/>
                      <w:lang w:bidi="ar"/>
                      <w14:textFill>
                        <w14:solidFill>
                          <w14:schemeClr w14:val="tx1"/>
                        </w14:solidFill>
                      </w14:textFill>
                    </w:rPr>
                    <w:t>：项目采用工艺设备均不属于《产业结构调整指导目录（2024年本）》淘汰目录范畴。</w:t>
                  </w:r>
                </w:p>
              </w:tc>
            </w:tr>
          </w:tbl>
          <w:p w14:paraId="5BA57BAE">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（2）产能匹配性分析</w:t>
            </w:r>
          </w:p>
          <w:p w14:paraId="7686B945">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项目主要设备产能匹配性分析详见表2-6。</w:t>
            </w:r>
          </w:p>
          <w:p w14:paraId="12278FBC">
            <w:pPr>
              <w:pStyle w:val="34"/>
              <w:rPr>
                <w:color w:val="000000" w:themeColor="text1"/>
                <w14:textFill>
                  <w14:solidFill>
                    <w14:schemeClr w14:val="tx1"/>
                  </w14:solidFill>
                </w14:textFill>
              </w:rPr>
            </w:pPr>
          </w:p>
          <w:p w14:paraId="297E7DF6">
            <w:pPr>
              <w:spacing w:line="36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w:t>
            </w:r>
            <w:r>
              <w:rPr>
                <w:rFonts w:hint="eastAsia" w:ascii="Times New Roman" w:hAnsi="Times New Roman" w:eastAsia="宋体" w:cs="Times New Roman"/>
                <w:color w:val="000000" w:themeColor="text1"/>
                <w:sz w:val="24"/>
                <w14:textFill>
                  <w14:solidFill>
                    <w14:schemeClr w14:val="tx1"/>
                  </w14:solidFill>
                </w14:textFill>
              </w:rPr>
              <w:t>2-6  主要设备产能匹配性分析情况表</w:t>
            </w:r>
          </w:p>
          <w:tbl>
            <w:tblPr>
              <w:tblStyle w:val="27"/>
              <w:tblW w:w="49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030"/>
              <w:gridCol w:w="780"/>
              <w:gridCol w:w="1365"/>
              <w:gridCol w:w="1140"/>
              <w:gridCol w:w="810"/>
              <w:gridCol w:w="1050"/>
              <w:gridCol w:w="1223"/>
            </w:tblGrid>
            <w:tr w14:paraId="4F754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4" w:type="pct"/>
                  <w:vMerge w:val="restart"/>
                  <w:tcBorders>
                    <w:tl2br w:val="nil"/>
                    <w:tr2bl w:val="nil"/>
                  </w:tcBorders>
                  <w:vAlign w:val="center"/>
                </w:tcPr>
                <w:p w14:paraId="74B2FD70">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设备名称</w:t>
                  </w:r>
                </w:p>
              </w:tc>
              <w:tc>
                <w:tcPr>
                  <w:tcW w:w="616" w:type="pct"/>
                  <w:vMerge w:val="restart"/>
                  <w:tcBorders>
                    <w:tl2br w:val="nil"/>
                    <w:tr2bl w:val="nil"/>
                  </w:tcBorders>
                  <w:vAlign w:val="center"/>
                </w:tcPr>
                <w:p w14:paraId="11B19EF0">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对应工序</w:t>
                  </w:r>
                </w:p>
              </w:tc>
              <w:tc>
                <w:tcPr>
                  <w:tcW w:w="1965" w:type="pct"/>
                  <w:gridSpan w:val="3"/>
                  <w:tcBorders>
                    <w:tl2br w:val="nil"/>
                    <w:tr2bl w:val="nil"/>
                  </w:tcBorders>
                  <w:vAlign w:val="center"/>
                </w:tcPr>
                <w:p w14:paraId="662B0A5E">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单台设备生产参数</w:t>
                  </w:r>
                </w:p>
              </w:tc>
              <w:tc>
                <w:tcPr>
                  <w:tcW w:w="484" w:type="pct"/>
                  <w:vMerge w:val="restart"/>
                  <w:tcBorders>
                    <w:tl2br w:val="nil"/>
                    <w:tr2bl w:val="nil"/>
                  </w:tcBorders>
                  <w:vAlign w:val="center"/>
                </w:tcPr>
                <w:p w14:paraId="1C39A64C">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14:textFill>
                        <w14:solidFill>
                          <w14:schemeClr w14:val="tx1"/>
                        </w14:solidFill>
                      </w14:textFill>
                    </w:rPr>
                    <w:t>设备</w:t>
                  </w:r>
                </w:p>
                <w:p w14:paraId="6AAD6588">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数量</w:t>
                  </w:r>
                </w:p>
              </w:tc>
              <w:tc>
                <w:tcPr>
                  <w:tcW w:w="628" w:type="pct"/>
                  <w:vMerge w:val="restart"/>
                  <w:tcBorders>
                    <w:tl2br w:val="nil"/>
                    <w:tr2bl w:val="nil"/>
                  </w:tcBorders>
                  <w:vAlign w:val="center"/>
                </w:tcPr>
                <w:p w14:paraId="191D0DE4">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14:textFill>
                        <w14:solidFill>
                          <w14:schemeClr w14:val="tx1"/>
                        </w14:solidFill>
                      </w14:textFill>
                    </w:rPr>
                    <w:t>设备最大年</w:t>
                  </w:r>
                  <w:r>
                    <w:rPr>
                      <w:rFonts w:ascii="Times New Roman" w:hAnsi="Times New Roman" w:cs="Times New Roman"/>
                      <w:b w:val="0"/>
                      <w:bCs/>
                      <w:color w:val="000000" w:themeColor="text1"/>
                      <w:sz w:val="21"/>
                      <w:szCs w:val="21"/>
                      <w14:textFill>
                        <w14:solidFill>
                          <w14:schemeClr w14:val="tx1"/>
                        </w14:solidFill>
                      </w14:textFill>
                    </w:rPr>
                    <w:t>产能</w:t>
                  </w:r>
                </w:p>
              </w:tc>
              <w:tc>
                <w:tcPr>
                  <w:tcW w:w="731" w:type="pct"/>
                  <w:vMerge w:val="restart"/>
                  <w:tcBorders>
                    <w:tl2br w:val="nil"/>
                    <w:tr2bl w:val="nil"/>
                  </w:tcBorders>
                  <w:vAlign w:val="center"/>
                </w:tcPr>
                <w:p w14:paraId="0AAAA47F">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实际年产能</w:t>
                  </w:r>
                </w:p>
              </w:tc>
            </w:tr>
            <w:tr w14:paraId="32CEF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74" w:type="pct"/>
                  <w:vMerge w:val="continue"/>
                  <w:tcBorders>
                    <w:tl2br w:val="nil"/>
                    <w:tr2bl w:val="nil"/>
                  </w:tcBorders>
                  <w:vAlign w:val="center"/>
                </w:tcPr>
                <w:p w14:paraId="6114BBDF">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p>
              </w:tc>
              <w:tc>
                <w:tcPr>
                  <w:tcW w:w="616" w:type="pct"/>
                  <w:vMerge w:val="continue"/>
                  <w:tcBorders>
                    <w:tl2br w:val="nil"/>
                    <w:tr2bl w:val="nil"/>
                  </w:tcBorders>
                  <w:vAlign w:val="center"/>
                </w:tcPr>
                <w:p w14:paraId="737843CF">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p>
              </w:tc>
              <w:tc>
                <w:tcPr>
                  <w:tcW w:w="466" w:type="pct"/>
                  <w:tcBorders>
                    <w:tl2br w:val="nil"/>
                    <w:tr2bl w:val="nil"/>
                  </w:tcBorders>
                  <w:vAlign w:val="center"/>
                </w:tcPr>
                <w:p w14:paraId="6FB94FD2">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产能</w:t>
                  </w:r>
                </w:p>
              </w:tc>
              <w:tc>
                <w:tcPr>
                  <w:tcW w:w="816" w:type="pct"/>
                  <w:tcBorders>
                    <w:tl2br w:val="nil"/>
                    <w:tr2bl w:val="nil"/>
                  </w:tcBorders>
                  <w:vAlign w:val="center"/>
                </w:tcPr>
                <w:p w14:paraId="333829EB">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年工作基数h</w:t>
                  </w:r>
                </w:p>
              </w:tc>
              <w:tc>
                <w:tcPr>
                  <w:tcW w:w="681" w:type="pct"/>
                  <w:tcBorders>
                    <w:tl2br w:val="nil"/>
                    <w:tr2bl w:val="nil"/>
                  </w:tcBorders>
                  <w:vAlign w:val="center"/>
                </w:tcPr>
                <w:p w14:paraId="0CACF550">
                  <w:pPr>
                    <w:pStyle w:val="52"/>
                    <w:adjustRightInd/>
                    <w:snapToGrid/>
                    <w:spacing w:before="0" w:after="0" w:line="240" w:lineRule="auto"/>
                    <w:ind w:right="0"/>
                    <w:textAlignment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年</w:t>
                  </w:r>
                  <w:r>
                    <w:rPr>
                      <w:rFonts w:hint="eastAsia" w:ascii="Times New Roman" w:hAnsi="Times New Roman" w:cs="Times New Roman"/>
                      <w:b w:val="0"/>
                      <w:bCs/>
                      <w:color w:val="000000" w:themeColor="text1"/>
                      <w:sz w:val="21"/>
                      <w:szCs w:val="21"/>
                      <w14:textFill>
                        <w14:solidFill>
                          <w14:schemeClr w14:val="tx1"/>
                        </w14:solidFill>
                      </w14:textFill>
                    </w:rPr>
                    <w:t>加工量</w:t>
                  </w:r>
                </w:p>
              </w:tc>
              <w:tc>
                <w:tcPr>
                  <w:tcW w:w="484" w:type="pct"/>
                  <w:vMerge w:val="continue"/>
                  <w:tcBorders>
                    <w:tl2br w:val="nil"/>
                    <w:tr2bl w:val="nil"/>
                  </w:tcBorders>
                  <w:vAlign w:val="center"/>
                </w:tcPr>
                <w:p w14:paraId="624BC8D7">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p>
              </w:tc>
              <w:tc>
                <w:tcPr>
                  <w:tcW w:w="628" w:type="pct"/>
                  <w:vMerge w:val="continue"/>
                  <w:tcBorders>
                    <w:tl2br w:val="nil"/>
                    <w:tr2bl w:val="nil"/>
                  </w:tcBorders>
                  <w:vAlign w:val="center"/>
                </w:tcPr>
                <w:p w14:paraId="1064C496">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p>
              </w:tc>
              <w:tc>
                <w:tcPr>
                  <w:tcW w:w="731" w:type="pct"/>
                  <w:vMerge w:val="continue"/>
                  <w:tcBorders>
                    <w:tl2br w:val="nil"/>
                    <w:tr2bl w:val="nil"/>
                  </w:tcBorders>
                  <w:vAlign w:val="center"/>
                </w:tcPr>
                <w:p w14:paraId="04D6783A">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p>
              </w:tc>
            </w:tr>
            <w:tr w14:paraId="59BC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14:paraId="48346A1F">
                  <w:pPr>
                    <w:pStyle w:val="52"/>
                    <w:adjustRightInd/>
                    <w:snapToGrid/>
                    <w:spacing w:before="0" w:after="0" w:line="240" w:lineRule="auto"/>
                    <w:ind w:right="0"/>
                    <w:textAlignment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压机</w:t>
                  </w:r>
                </w:p>
              </w:tc>
              <w:tc>
                <w:tcPr>
                  <w:tcW w:w="616" w:type="pct"/>
                  <w:tcBorders>
                    <w:tl2br w:val="nil"/>
                    <w:tr2bl w:val="nil"/>
                  </w:tcBorders>
                  <w:vAlign w:val="center"/>
                </w:tcPr>
                <w:p w14:paraId="1DD7F1AB">
                  <w:pPr>
                    <w:pStyle w:val="52"/>
                    <w:adjustRightInd/>
                    <w:snapToGrid/>
                    <w:spacing w:before="0" w:after="0" w:line="240" w:lineRule="auto"/>
                    <w:ind w:right="0"/>
                    <w:textAlignment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热压</w:t>
                  </w:r>
                </w:p>
              </w:tc>
              <w:tc>
                <w:tcPr>
                  <w:tcW w:w="466" w:type="pct"/>
                  <w:tcBorders>
                    <w:tl2br w:val="nil"/>
                    <w:tr2bl w:val="nil"/>
                  </w:tcBorders>
                  <w:vAlign w:val="center"/>
                </w:tcPr>
                <w:p w14:paraId="54FA66CF">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eastAsia="等线" w:cs="Times New Roman"/>
                      <w:b w:val="0"/>
                      <w:bCs/>
                      <w:color w:val="000000" w:themeColor="text1"/>
                      <w:sz w:val="21"/>
                      <w:szCs w:val="21"/>
                      <w:lang w:val="en-US" w:eastAsia="zh-CN"/>
                      <w14:textFill>
                        <w14:solidFill>
                          <w14:schemeClr w14:val="tx1"/>
                        </w14:solidFill>
                      </w14:textFill>
                    </w:rPr>
                    <w:t>90s</w:t>
                  </w:r>
                  <w:r>
                    <w:rPr>
                      <w:rFonts w:hint="eastAsia" w:ascii="Times New Roman" w:hAnsi="Times New Roman" w:eastAsia="等线" w:cs="Times New Roman"/>
                      <w:b w:val="0"/>
                      <w:bCs/>
                      <w:color w:val="000000" w:themeColor="text1"/>
                      <w:sz w:val="21"/>
                      <w:szCs w:val="21"/>
                      <w14:textFill>
                        <w14:solidFill>
                          <w14:schemeClr w14:val="tx1"/>
                        </w14:solidFill>
                      </w14:textFill>
                    </w:rPr>
                    <w:t>/</w:t>
                  </w:r>
                  <w:r>
                    <w:rPr>
                      <w:rFonts w:hint="eastAsia" w:ascii="Times New Roman" w:hAnsi="Times New Roman" w:eastAsia="等线" w:cs="Times New Roman"/>
                      <w:b w:val="0"/>
                      <w:bCs/>
                      <w:color w:val="000000" w:themeColor="text1"/>
                      <w:sz w:val="21"/>
                      <w:szCs w:val="21"/>
                      <w:lang w:eastAsia="zh-CN"/>
                      <w14:textFill>
                        <w14:solidFill>
                          <w14:schemeClr w14:val="tx1"/>
                        </w14:solidFill>
                      </w14:textFill>
                    </w:rPr>
                    <w:t>张</w:t>
                  </w:r>
                </w:p>
              </w:tc>
              <w:tc>
                <w:tcPr>
                  <w:tcW w:w="816" w:type="pct"/>
                  <w:tcBorders>
                    <w:tl2br w:val="nil"/>
                    <w:tr2bl w:val="nil"/>
                  </w:tcBorders>
                  <w:vAlign w:val="center"/>
                </w:tcPr>
                <w:p w14:paraId="25470757">
                  <w:pPr>
                    <w:pStyle w:val="52"/>
                    <w:adjustRightInd/>
                    <w:snapToGrid/>
                    <w:spacing w:before="0" w:after="0" w:line="240" w:lineRule="auto"/>
                    <w:ind w:right="0"/>
                    <w:textAlignment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14:textFill>
                        <w14:solidFill>
                          <w14:schemeClr w14:val="tx1"/>
                        </w14:solidFill>
                      </w14:textFill>
                    </w:rPr>
                    <w:t>2000</w:t>
                  </w:r>
                </w:p>
              </w:tc>
              <w:tc>
                <w:tcPr>
                  <w:tcW w:w="681" w:type="pct"/>
                  <w:tcBorders>
                    <w:tl2br w:val="nil"/>
                    <w:tr2bl w:val="nil"/>
                  </w:tcBorders>
                  <w:vAlign w:val="center"/>
                </w:tcPr>
                <w:p w14:paraId="30F16B4C">
                  <w:pPr>
                    <w:pStyle w:val="52"/>
                    <w:adjustRightInd/>
                    <w:snapToGrid/>
                    <w:spacing w:before="0" w:after="0" w:line="240" w:lineRule="auto"/>
                    <w:ind w:right="0"/>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80000</w:t>
                  </w:r>
                  <w:r>
                    <w:rPr>
                      <w:rFonts w:hint="eastAsia" w:ascii="Times New Roman" w:hAnsi="Times New Roman" w:cs="Times New Roman"/>
                      <w:b w:val="0"/>
                      <w:bCs/>
                      <w:color w:val="000000" w:themeColor="text1"/>
                      <w:sz w:val="21"/>
                      <w:szCs w:val="21"/>
                      <w:lang w:eastAsia="zh-CN"/>
                      <w14:textFill>
                        <w14:solidFill>
                          <w14:schemeClr w14:val="tx1"/>
                        </w14:solidFill>
                      </w14:textFill>
                    </w:rPr>
                    <w:t>张</w:t>
                  </w:r>
                </w:p>
              </w:tc>
              <w:tc>
                <w:tcPr>
                  <w:tcW w:w="484" w:type="pct"/>
                  <w:tcBorders>
                    <w:tl2br w:val="nil"/>
                    <w:tr2bl w:val="nil"/>
                  </w:tcBorders>
                  <w:vAlign w:val="center"/>
                </w:tcPr>
                <w:p w14:paraId="38AE2285">
                  <w:pPr>
                    <w:pStyle w:val="52"/>
                    <w:adjustRightInd/>
                    <w:snapToGrid/>
                    <w:spacing w:before="0" w:after="0" w:line="240" w:lineRule="auto"/>
                    <w:ind w:right="0"/>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台</w:t>
                  </w:r>
                </w:p>
              </w:tc>
              <w:tc>
                <w:tcPr>
                  <w:tcW w:w="628" w:type="pct"/>
                  <w:tcBorders>
                    <w:tl2br w:val="nil"/>
                    <w:tr2bl w:val="nil"/>
                  </w:tcBorders>
                  <w:vAlign w:val="center"/>
                </w:tcPr>
                <w:p w14:paraId="0B6F0EFA">
                  <w:pPr>
                    <w:pStyle w:val="52"/>
                    <w:adjustRightInd/>
                    <w:snapToGrid/>
                    <w:spacing w:before="0" w:after="0" w:line="240" w:lineRule="auto"/>
                    <w:ind w:right="0"/>
                    <w:textAlignment w:val="center"/>
                    <w:rPr>
                      <w:rFonts w:hint="eastAsia" w:ascii="Times New Roman" w:hAnsi="Times New Roman" w:eastAsia="等线" w:cs="Times New Roman"/>
                      <w:b w:val="0"/>
                      <w:bCs/>
                      <w:color w:val="000000" w:themeColor="text1"/>
                      <w:sz w:val="21"/>
                      <w:szCs w:val="21"/>
                      <w:lang w:eastAsia="zh-CN"/>
                      <w14:textFill>
                        <w14:solidFill>
                          <w14:schemeClr w14:val="tx1"/>
                        </w14:solidFill>
                      </w14:textFill>
                    </w:rPr>
                  </w:pPr>
                  <w:r>
                    <w:rPr>
                      <w:rFonts w:hint="eastAsia" w:ascii="Times New Roman" w:hAnsi="Times New Roman" w:eastAsia="等线" w:cs="Times New Roman"/>
                      <w:b w:val="0"/>
                      <w:bCs/>
                      <w:color w:val="000000" w:themeColor="text1"/>
                      <w:sz w:val="21"/>
                      <w:szCs w:val="21"/>
                      <w:lang w:val="en-US" w:eastAsia="zh-CN"/>
                      <w14:textFill>
                        <w14:solidFill>
                          <w14:schemeClr w14:val="tx1"/>
                        </w14:solidFill>
                      </w14:textFill>
                    </w:rPr>
                    <w:t>40</w:t>
                  </w:r>
                  <w:r>
                    <w:rPr>
                      <w:rFonts w:hint="eastAsia" w:ascii="Times New Roman" w:hAnsi="Times New Roman" w:eastAsia="等线" w:cs="Times New Roman"/>
                      <w:b w:val="0"/>
                      <w:bCs/>
                      <w:color w:val="000000" w:themeColor="text1"/>
                      <w:sz w:val="21"/>
                      <w:szCs w:val="21"/>
                      <w14:textFill>
                        <w14:solidFill>
                          <w14:schemeClr w14:val="tx1"/>
                        </w14:solidFill>
                      </w14:textFill>
                    </w:rPr>
                    <w:t>万</w:t>
                  </w:r>
                  <w:r>
                    <w:rPr>
                      <w:rFonts w:hint="eastAsia" w:ascii="Times New Roman" w:hAnsi="Times New Roman" w:eastAsia="等线" w:cs="Times New Roman"/>
                      <w:b w:val="0"/>
                      <w:bCs/>
                      <w:color w:val="000000" w:themeColor="text1"/>
                      <w:sz w:val="21"/>
                      <w:szCs w:val="21"/>
                      <w:lang w:eastAsia="zh-CN"/>
                      <w14:textFill>
                        <w14:solidFill>
                          <w14:schemeClr w14:val="tx1"/>
                        </w14:solidFill>
                      </w14:textFill>
                    </w:rPr>
                    <w:t>张</w:t>
                  </w:r>
                </w:p>
              </w:tc>
              <w:tc>
                <w:tcPr>
                  <w:tcW w:w="731" w:type="pct"/>
                  <w:tcBorders>
                    <w:tl2br w:val="nil"/>
                    <w:tr2bl w:val="nil"/>
                  </w:tcBorders>
                  <w:vAlign w:val="center"/>
                </w:tcPr>
                <w:p w14:paraId="3E9E4B50">
                  <w:pPr>
                    <w:pStyle w:val="52"/>
                    <w:adjustRightInd/>
                    <w:snapToGrid/>
                    <w:spacing w:before="0" w:after="0" w:line="240" w:lineRule="auto"/>
                    <w:ind w:right="0"/>
                    <w:textAlignment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生产面饰板</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35万张</w:t>
                  </w:r>
                </w:p>
              </w:tc>
            </w:tr>
            <w:tr w14:paraId="3C0EE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shd w:val="clear" w:color="auto" w:fill="auto"/>
                  <w:vAlign w:val="center"/>
                </w:tcPr>
                <w:p w14:paraId="039A661D">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压机</w:t>
                  </w:r>
                </w:p>
              </w:tc>
              <w:tc>
                <w:tcPr>
                  <w:tcW w:w="616" w:type="pct"/>
                  <w:tcBorders>
                    <w:tl2br w:val="nil"/>
                    <w:tr2bl w:val="nil"/>
                  </w:tcBorders>
                  <w:shd w:val="clear" w:color="auto" w:fill="auto"/>
                  <w:vAlign w:val="center"/>
                </w:tcPr>
                <w:p w14:paraId="0768648A">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热压</w:t>
                  </w:r>
                </w:p>
              </w:tc>
              <w:tc>
                <w:tcPr>
                  <w:tcW w:w="466" w:type="pct"/>
                  <w:tcBorders>
                    <w:tl2br w:val="nil"/>
                    <w:tr2bl w:val="nil"/>
                  </w:tcBorders>
                  <w:shd w:val="clear" w:color="auto" w:fill="auto"/>
                  <w:vAlign w:val="center"/>
                </w:tcPr>
                <w:p w14:paraId="646D7B0B">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等线" w:cs="Times New Roman"/>
                      <w:b w:val="0"/>
                      <w:bCs/>
                      <w:color w:val="000000" w:themeColor="text1"/>
                      <w:sz w:val="21"/>
                      <w:szCs w:val="21"/>
                      <w:lang w:val="en-US" w:eastAsia="zh-CN"/>
                      <w14:textFill>
                        <w14:solidFill>
                          <w14:schemeClr w14:val="tx1"/>
                        </w14:solidFill>
                      </w14:textFill>
                    </w:rPr>
                    <w:t>90s</w:t>
                  </w:r>
                  <w:r>
                    <w:rPr>
                      <w:rFonts w:hint="eastAsia" w:ascii="Times New Roman" w:hAnsi="Times New Roman" w:eastAsia="等线" w:cs="Times New Roman"/>
                      <w:b w:val="0"/>
                      <w:bCs/>
                      <w:color w:val="000000" w:themeColor="text1"/>
                      <w:sz w:val="21"/>
                      <w:szCs w:val="21"/>
                      <w14:textFill>
                        <w14:solidFill>
                          <w14:schemeClr w14:val="tx1"/>
                        </w14:solidFill>
                      </w14:textFill>
                    </w:rPr>
                    <w:t>/</w:t>
                  </w:r>
                  <w:r>
                    <w:rPr>
                      <w:rFonts w:hint="eastAsia" w:ascii="Times New Roman" w:hAnsi="Times New Roman" w:eastAsia="等线" w:cs="Times New Roman"/>
                      <w:b w:val="0"/>
                      <w:bCs/>
                      <w:color w:val="000000" w:themeColor="text1"/>
                      <w:sz w:val="21"/>
                      <w:szCs w:val="21"/>
                      <w:lang w:eastAsia="zh-CN"/>
                      <w14:textFill>
                        <w14:solidFill>
                          <w14:schemeClr w14:val="tx1"/>
                        </w14:solidFill>
                      </w14:textFill>
                    </w:rPr>
                    <w:t>张</w:t>
                  </w:r>
                </w:p>
              </w:tc>
              <w:tc>
                <w:tcPr>
                  <w:tcW w:w="816" w:type="pct"/>
                  <w:tcBorders>
                    <w:tl2br w:val="nil"/>
                    <w:tr2bl w:val="nil"/>
                  </w:tcBorders>
                  <w:shd w:val="clear" w:color="auto" w:fill="auto"/>
                  <w:vAlign w:val="center"/>
                </w:tcPr>
                <w:p w14:paraId="1B694F22">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14:textFill>
                        <w14:solidFill>
                          <w14:schemeClr w14:val="tx1"/>
                        </w14:solidFill>
                      </w14:textFill>
                    </w:rPr>
                    <w:t>2000</w:t>
                  </w:r>
                </w:p>
              </w:tc>
              <w:tc>
                <w:tcPr>
                  <w:tcW w:w="681" w:type="pct"/>
                  <w:tcBorders>
                    <w:tl2br w:val="nil"/>
                    <w:tr2bl w:val="nil"/>
                  </w:tcBorders>
                  <w:shd w:val="clear" w:color="auto" w:fill="auto"/>
                  <w:vAlign w:val="center"/>
                </w:tcPr>
                <w:p w14:paraId="6452C513">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80000</w:t>
                  </w:r>
                  <w:r>
                    <w:rPr>
                      <w:rFonts w:hint="eastAsia" w:ascii="Times New Roman" w:hAnsi="Times New Roman" w:cs="Times New Roman"/>
                      <w:b w:val="0"/>
                      <w:bCs/>
                      <w:color w:val="000000" w:themeColor="text1"/>
                      <w:sz w:val="21"/>
                      <w:szCs w:val="21"/>
                      <w:lang w:eastAsia="zh-CN"/>
                      <w14:textFill>
                        <w14:solidFill>
                          <w14:schemeClr w14:val="tx1"/>
                        </w14:solidFill>
                      </w14:textFill>
                    </w:rPr>
                    <w:t>张</w:t>
                  </w:r>
                </w:p>
              </w:tc>
              <w:tc>
                <w:tcPr>
                  <w:tcW w:w="484" w:type="pct"/>
                  <w:tcBorders>
                    <w:tl2br w:val="nil"/>
                    <w:tr2bl w:val="nil"/>
                  </w:tcBorders>
                  <w:shd w:val="clear" w:color="auto" w:fill="auto"/>
                  <w:vAlign w:val="center"/>
                </w:tcPr>
                <w:p w14:paraId="50D8E7D3">
                  <w:pPr>
                    <w:pStyle w:val="52"/>
                    <w:adjustRightInd/>
                    <w:snapToGrid/>
                    <w:spacing w:before="0" w:after="0" w:line="240" w:lineRule="auto"/>
                    <w:ind w:right="0" w:rightChars="0"/>
                    <w:textAlignment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14:textFill>
                        <w14:solidFill>
                          <w14:schemeClr w14:val="tx1"/>
                        </w14:solidFill>
                      </w14:textFill>
                    </w:rPr>
                    <w:t>台</w:t>
                  </w:r>
                </w:p>
              </w:tc>
              <w:tc>
                <w:tcPr>
                  <w:tcW w:w="628" w:type="pct"/>
                  <w:tcBorders>
                    <w:tl2br w:val="nil"/>
                    <w:tr2bl w:val="nil"/>
                  </w:tcBorders>
                  <w:shd w:val="clear" w:color="auto" w:fill="auto"/>
                  <w:vAlign w:val="center"/>
                </w:tcPr>
                <w:p w14:paraId="3CC56522">
                  <w:pPr>
                    <w:pStyle w:val="52"/>
                    <w:adjustRightInd/>
                    <w:snapToGrid/>
                    <w:spacing w:before="0" w:after="0" w:line="240" w:lineRule="auto"/>
                    <w:ind w:right="0" w:rightChars="0"/>
                    <w:textAlignment w:val="center"/>
                    <w:rPr>
                      <w:rFonts w:hint="eastAsia" w:ascii="Times New Roman" w:hAnsi="Times New Roman" w:eastAsia="等线"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等线" w:cs="Times New Roman"/>
                      <w:b w:val="0"/>
                      <w:bCs/>
                      <w:color w:val="000000" w:themeColor="text1"/>
                      <w:sz w:val="21"/>
                      <w:szCs w:val="21"/>
                      <w:lang w:val="en-US" w:eastAsia="zh-CN"/>
                      <w14:textFill>
                        <w14:solidFill>
                          <w14:schemeClr w14:val="tx1"/>
                        </w14:solidFill>
                      </w14:textFill>
                    </w:rPr>
                    <w:t>8</w:t>
                  </w:r>
                  <w:r>
                    <w:rPr>
                      <w:rFonts w:hint="eastAsia" w:ascii="Times New Roman" w:hAnsi="Times New Roman" w:eastAsia="等线" w:cs="Times New Roman"/>
                      <w:b w:val="0"/>
                      <w:bCs/>
                      <w:color w:val="000000" w:themeColor="text1"/>
                      <w:sz w:val="21"/>
                      <w:szCs w:val="21"/>
                      <w14:textFill>
                        <w14:solidFill>
                          <w14:schemeClr w14:val="tx1"/>
                        </w14:solidFill>
                      </w14:textFill>
                    </w:rPr>
                    <w:t>万</w:t>
                  </w:r>
                  <w:r>
                    <w:rPr>
                      <w:rFonts w:hint="eastAsia" w:ascii="Times New Roman" w:hAnsi="Times New Roman" w:eastAsia="等线" w:cs="Times New Roman"/>
                      <w:b w:val="0"/>
                      <w:bCs/>
                      <w:color w:val="000000" w:themeColor="text1"/>
                      <w:sz w:val="21"/>
                      <w:szCs w:val="21"/>
                      <w:lang w:eastAsia="zh-CN"/>
                      <w14:textFill>
                        <w14:solidFill>
                          <w14:schemeClr w14:val="tx1"/>
                        </w14:solidFill>
                      </w14:textFill>
                    </w:rPr>
                    <w:t>张</w:t>
                  </w:r>
                </w:p>
              </w:tc>
              <w:tc>
                <w:tcPr>
                  <w:tcW w:w="731" w:type="pct"/>
                  <w:tcBorders>
                    <w:tl2br w:val="nil"/>
                    <w:tr2bl w:val="nil"/>
                  </w:tcBorders>
                  <w:vAlign w:val="center"/>
                </w:tcPr>
                <w:p w14:paraId="5664A81F">
                  <w:pPr>
                    <w:pStyle w:val="52"/>
                    <w:adjustRightInd/>
                    <w:snapToGrid/>
                    <w:spacing w:before="0" w:after="0" w:line="240" w:lineRule="auto"/>
                    <w:ind w:right="0"/>
                    <w:textAlignment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生产包覆纸7万张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张包覆纸可用于生产10支边条，年产70万支边条）</w:t>
                  </w:r>
                </w:p>
              </w:tc>
            </w:tr>
            <w:tr w14:paraId="2F37E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tcBorders>
                    <w:tl2br w:val="nil"/>
                    <w:tr2bl w:val="nil"/>
                  </w:tcBorders>
                  <w:vAlign w:val="center"/>
                </w:tcPr>
                <w:p w14:paraId="2EA9D31D">
                  <w:pPr>
                    <w:pStyle w:val="6"/>
                    <w:spacing w:before="0" w:after="0" w:line="240" w:lineRule="auto"/>
                    <w:rPr>
                      <w:rFonts w:hint="default" w:eastAsia="宋体"/>
                      <w:color w:val="000000" w:themeColor="text1"/>
                      <w:lang w:val="en-US" w:eastAsia="zh-CN"/>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注：</w:t>
                  </w:r>
                  <w:r>
                    <w:rPr>
                      <w:rFonts w:hint="eastAsia" w:ascii="Times New Roman" w:hAnsi="Times New Roman" w:cs="Times New Roman"/>
                      <w:b w:val="0"/>
                      <w:bCs w:val="0"/>
                      <w:color w:val="000000" w:themeColor="text1"/>
                      <w:sz w:val="21"/>
                      <w:szCs w:val="21"/>
                      <w:lang w:eastAsia="zh-CN"/>
                      <w14:textFill>
                        <w14:solidFill>
                          <w14:schemeClr w14:val="tx1"/>
                        </w14:solidFill>
                      </w14:textFill>
                    </w:rPr>
                    <w:t>①</w:t>
                  </w:r>
                  <w:r>
                    <w:rPr>
                      <w:rFonts w:hint="default" w:ascii="Times New Roman" w:hAnsi="Times New Roman" w:eastAsia="宋体" w:cs="Times New Roman"/>
                      <w:b w:val="0"/>
                      <w:bCs w:val="0"/>
                      <w:color w:val="000000" w:themeColor="text1"/>
                      <w:sz w:val="21"/>
                      <w:szCs w:val="21"/>
                      <w14:textFill>
                        <w14:solidFill>
                          <w14:schemeClr w14:val="tx1"/>
                        </w14:solidFill>
                      </w14:textFill>
                    </w:rPr>
                    <w:t>全年工作250天，实行1班制，每班8h。</w:t>
                  </w:r>
                </w:p>
              </w:tc>
            </w:tr>
          </w:tbl>
          <w:p w14:paraId="0D99EBF2">
            <w:pPr>
              <w:adjustRightInd w:val="0"/>
              <w:spacing w:line="360" w:lineRule="auto"/>
              <w:ind w:firstLine="480" w:firstLineChars="200"/>
              <w:rPr>
                <w:rFonts w:ascii="Times New Roman" w:hAnsi="Times New Roman" w:eastAsia="宋体"/>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根据表2</w:t>
            </w: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分析，项目</w:t>
            </w:r>
            <w:r>
              <w:rPr>
                <w:rFonts w:hint="eastAsia" w:ascii="Times New Roman" w:hAnsi="Times New Roman" w:cs="Times New Roman"/>
                <w:color w:val="000000" w:themeColor="text1"/>
                <w:sz w:val="24"/>
                <w:lang w:eastAsia="zh-CN"/>
                <w14:textFill>
                  <w14:solidFill>
                    <w14:schemeClr w14:val="tx1"/>
                  </w14:solidFill>
                </w14:textFill>
              </w:rPr>
              <w:t>生产能力受制于压机，压机核算最大生产能力为</w:t>
            </w:r>
            <w:r>
              <w:rPr>
                <w:rFonts w:hint="eastAsia" w:ascii="Times New Roman" w:hAnsi="Times New Roman" w:cs="Times New Roman"/>
                <w:color w:val="000000" w:themeColor="text1"/>
                <w:sz w:val="24"/>
                <w:lang w:val="en-US" w:eastAsia="zh-CN"/>
                <w14:textFill>
                  <w14:solidFill>
                    <w14:schemeClr w14:val="tx1"/>
                  </w14:solidFill>
                </w14:textFill>
              </w:rPr>
              <w:t>48万张/a，项目设计产能为年产面饰板35万张（压机直接生产面饰板）、门边条70万支（压机用于生产包覆纸，1张包覆纸可用于包覆10支门边条，折合包覆纸产量为7万张/年）</w:t>
            </w:r>
            <w:r>
              <w:rPr>
                <w:rFonts w:hint="eastAsia" w:ascii="Times New Roman" w:hAnsi="Times New Roman" w:cs="Times New Roman"/>
                <w:color w:val="000000" w:themeColor="text1"/>
                <w:sz w:val="24"/>
                <w14:textFill>
                  <w14:solidFill>
                    <w14:schemeClr w14:val="tx1"/>
                  </w14:solidFill>
                </w14:textFill>
              </w:rPr>
              <w:t>。因此</w:t>
            </w:r>
            <w:r>
              <w:rPr>
                <w:rFonts w:ascii="Times New Roman" w:hAnsi="Times New Roman" w:cs="Times New Roman"/>
                <w:color w:val="000000" w:themeColor="text1"/>
                <w:sz w:val="24"/>
                <w14:textFill>
                  <w14:solidFill>
                    <w14:schemeClr w14:val="tx1"/>
                  </w14:solidFill>
                </w14:textFill>
              </w:rPr>
              <w:t>本项目生产设备的生产</w:t>
            </w:r>
            <w:r>
              <w:rPr>
                <w:rFonts w:hint="eastAsia" w:ascii="Times New Roman" w:hAnsi="Times New Roman" w:cs="Times New Roman"/>
                <w:color w:val="000000" w:themeColor="text1"/>
                <w:sz w:val="24"/>
                <w:lang w:eastAsia="zh-CN"/>
                <w14:textFill>
                  <w14:solidFill>
                    <w14:schemeClr w14:val="tx1"/>
                  </w14:solidFill>
                </w14:textFill>
              </w:rPr>
              <w:t>能力</w:t>
            </w:r>
            <w:r>
              <w:rPr>
                <w:rFonts w:ascii="Times New Roman" w:hAnsi="Times New Roman" w:cs="Times New Roman"/>
                <w:color w:val="000000" w:themeColor="text1"/>
                <w:sz w:val="24"/>
                <w14:textFill>
                  <w14:solidFill>
                    <w14:schemeClr w14:val="tx1"/>
                  </w14:solidFill>
                </w14:textFill>
              </w:rPr>
              <w:t>能够</w:t>
            </w:r>
            <w:r>
              <w:rPr>
                <w:rFonts w:hint="eastAsia" w:ascii="Times New Roman" w:hAnsi="Times New Roman" w:cs="Times New Roman"/>
                <w:color w:val="000000" w:themeColor="text1"/>
                <w:sz w:val="24"/>
                <w:lang w:eastAsia="zh-CN"/>
                <w14:textFill>
                  <w14:solidFill>
                    <w14:schemeClr w14:val="tx1"/>
                  </w14:solidFill>
                </w14:textFill>
              </w:rPr>
              <w:t>匹配</w:t>
            </w:r>
            <w:r>
              <w:rPr>
                <w:rFonts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eastAsia="zh-CN"/>
                <w14:textFill>
                  <w14:solidFill>
                    <w14:schemeClr w14:val="tx1"/>
                  </w14:solidFill>
                </w14:textFill>
              </w:rPr>
              <w:t>产免漆门面饰板</w:t>
            </w:r>
            <w:r>
              <w:rPr>
                <w:rFonts w:hint="eastAsia" w:ascii="Times New Roman" w:hAnsi="Times New Roman" w:eastAsia="宋体" w:cs="Times New Roman"/>
                <w:color w:val="000000" w:themeColor="text1"/>
                <w:sz w:val="24"/>
                <w:lang w:val="en-US" w:eastAsia="zh-CN"/>
                <w14:textFill>
                  <w14:solidFill>
                    <w14:schemeClr w14:val="tx1"/>
                  </w14:solidFill>
                </w14:textFill>
              </w:rPr>
              <w:t>35万张，免漆门边条70万支</w:t>
            </w:r>
            <w:r>
              <w:rPr>
                <w:rFonts w:hint="eastAsia" w:ascii="Times New Roman" w:hAnsi="Times New Roman" w:eastAsia="宋体" w:cs="Times New Roman"/>
                <w:color w:val="000000" w:themeColor="text1"/>
                <w:sz w:val="24"/>
                <w14:textFill>
                  <w14:solidFill>
                    <w14:schemeClr w14:val="tx1"/>
                  </w14:solidFill>
                </w14:textFill>
              </w:rPr>
              <w:t>的产能。</w:t>
            </w:r>
          </w:p>
          <w:p w14:paraId="64FD6B5E">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2.6、主要原辅材料及消耗量</w:t>
            </w:r>
          </w:p>
          <w:p w14:paraId="690CE7C9">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本项目主要原辅材料消耗量以及主要能源消耗一览表见下表：</w:t>
            </w:r>
          </w:p>
          <w:p w14:paraId="3A81C454">
            <w:pPr>
              <w:spacing w:line="360" w:lineRule="auto"/>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表2-</w:t>
            </w:r>
            <w:r>
              <w:rPr>
                <w:rFonts w:hint="eastAsia" w:ascii="Times New Roman" w:hAnsi="Times New Roman" w:eastAsia="宋体" w:cs="Times New Roman"/>
                <w:color w:val="000000" w:themeColor="text1"/>
                <w:sz w:val="24"/>
                <w14:textFill>
                  <w14:solidFill>
                    <w14:schemeClr w14:val="tx1"/>
                  </w14:solidFill>
                </w14:textFill>
              </w:rPr>
              <w:t>7</w:t>
            </w:r>
            <w:r>
              <w:rPr>
                <w:rFonts w:ascii="Times New Roman" w:hAnsi="Times New Roman" w:eastAsia="宋体" w:cs="Times New Roman"/>
                <w:color w:val="000000" w:themeColor="text1"/>
                <w:sz w:val="24"/>
                <w14:textFill>
                  <w14:solidFill>
                    <w14:schemeClr w14:val="tx1"/>
                  </w14:solidFill>
                </w14:textFill>
              </w:rPr>
              <w:t xml:space="preserve">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ascii="Times New Roman" w:hAnsi="Times New Roman" w:eastAsia="宋体" w:cs="Times New Roman"/>
                <w:color w:val="000000" w:themeColor="text1"/>
                <w:sz w:val="24"/>
                <w14:textFill>
                  <w14:solidFill>
                    <w14:schemeClr w14:val="tx1"/>
                  </w14:solidFill>
                </w14:textFill>
              </w:rPr>
              <w:t xml:space="preserve"> 主要原辅材料消耗量一览表</w:t>
            </w:r>
          </w:p>
          <w:tbl>
            <w:tblPr>
              <w:tblStyle w:val="28"/>
              <w:tblW w:w="48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0"/>
              <w:gridCol w:w="1186"/>
              <w:gridCol w:w="1669"/>
              <w:gridCol w:w="1140"/>
              <w:gridCol w:w="1418"/>
              <w:gridCol w:w="1949"/>
            </w:tblGrid>
            <w:tr w14:paraId="6915F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tcBorders>
                    <w:tl2br w:val="nil"/>
                    <w:tr2bl w:val="nil"/>
                  </w:tcBorders>
                  <w:vAlign w:val="center"/>
                </w:tcPr>
                <w:p w14:paraId="1F55A1A9">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类别</w:t>
                  </w:r>
                </w:p>
              </w:tc>
              <w:tc>
                <w:tcPr>
                  <w:tcW w:w="718" w:type="pct"/>
                  <w:tcBorders>
                    <w:tl2br w:val="nil"/>
                    <w:tr2bl w:val="nil"/>
                  </w:tcBorders>
                  <w:vAlign w:val="center"/>
                </w:tcPr>
                <w:p w14:paraId="33278D63">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名称</w:t>
                  </w:r>
                </w:p>
              </w:tc>
              <w:tc>
                <w:tcPr>
                  <w:tcW w:w="1011" w:type="pct"/>
                  <w:tcBorders>
                    <w:tl2br w:val="nil"/>
                    <w:tr2bl w:val="nil"/>
                  </w:tcBorders>
                  <w:vAlign w:val="center"/>
                </w:tcPr>
                <w:p w14:paraId="0F67E343">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主要成分/规格</w:t>
                  </w:r>
                </w:p>
              </w:tc>
              <w:tc>
                <w:tcPr>
                  <w:tcW w:w="690" w:type="pct"/>
                  <w:tcBorders>
                    <w:tl2br w:val="nil"/>
                    <w:tr2bl w:val="nil"/>
                  </w:tcBorders>
                  <w:vAlign w:val="center"/>
                </w:tcPr>
                <w:p w14:paraId="1F864215">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年用量</w:t>
                  </w:r>
                </w:p>
              </w:tc>
              <w:tc>
                <w:tcPr>
                  <w:tcW w:w="859" w:type="pct"/>
                  <w:tcBorders>
                    <w:tl2br w:val="nil"/>
                    <w:tr2bl w:val="nil"/>
                  </w:tcBorders>
                  <w:vAlign w:val="center"/>
                </w:tcPr>
                <w:p w14:paraId="7CA1D0B4">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最大暂存量</w:t>
                  </w:r>
                </w:p>
              </w:tc>
              <w:tc>
                <w:tcPr>
                  <w:tcW w:w="1180" w:type="pct"/>
                  <w:tcBorders>
                    <w:tl2br w:val="nil"/>
                    <w:tr2bl w:val="nil"/>
                  </w:tcBorders>
                  <w:vAlign w:val="center"/>
                </w:tcPr>
                <w:p w14:paraId="66D0889E">
                  <w:pPr>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备注</w:t>
                  </w:r>
                </w:p>
              </w:tc>
            </w:tr>
            <w:tr w14:paraId="22893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2" w:hRule="atLeast"/>
                <w:jc w:val="center"/>
              </w:trPr>
              <w:tc>
                <w:tcPr>
                  <w:tcW w:w="539" w:type="pct"/>
                  <w:vMerge w:val="restart"/>
                  <w:tcBorders>
                    <w:tl2br w:val="nil"/>
                    <w:tr2bl w:val="nil"/>
                  </w:tcBorders>
                  <w:vAlign w:val="center"/>
                </w:tcPr>
                <w:p w14:paraId="0C002C62">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原料</w:t>
                  </w:r>
                </w:p>
              </w:tc>
              <w:tc>
                <w:tcPr>
                  <w:tcW w:w="718" w:type="pct"/>
                  <w:vMerge w:val="restart"/>
                  <w:tcBorders>
                    <w:tl2br w:val="nil"/>
                    <w:tr2bl w:val="nil"/>
                  </w:tcBorders>
                  <w:vAlign w:val="center"/>
                </w:tcPr>
                <w:p w14:paraId="7DB36CB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中密度纤维板</w:t>
                  </w:r>
                </w:p>
              </w:tc>
              <w:tc>
                <w:tcPr>
                  <w:tcW w:w="1011" w:type="pct"/>
                  <w:tcBorders>
                    <w:tl2br w:val="nil"/>
                    <w:tr2bl w:val="nil"/>
                  </w:tcBorders>
                  <w:shd w:val="clear" w:color="auto" w:fill="auto"/>
                  <w:vAlign w:val="center"/>
                </w:tcPr>
                <w:p w14:paraId="675E7C66">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2440*1220*3.6</w:t>
                  </w:r>
                </w:p>
              </w:tc>
              <w:tc>
                <w:tcPr>
                  <w:tcW w:w="690" w:type="pct"/>
                  <w:tcBorders>
                    <w:tl2br w:val="nil"/>
                    <w:tr2bl w:val="nil"/>
                  </w:tcBorders>
                  <w:vAlign w:val="center"/>
                </w:tcPr>
                <w:p w14:paraId="2ED73FAE">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10万张</w:t>
                  </w:r>
                </w:p>
              </w:tc>
              <w:tc>
                <w:tcPr>
                  <w:tcW w:w="859" w:type="pct"/>
                  <w:tcBorders>
                    <w:tl2br w:val="nil"/>
                    <w:tr2bl w:val="nil"/>
                  </w:tcBorders>
                  <w:shd w:val="clear" w:color="auto" w:fill="auto"/>
                  <w:vAlign w:val="center"/>
                </w:tcPr>
                <w:p w14:paraId="12B2BBE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2000张</w:t>
                  </w:r>
                </w:p>
              </w:tc>
              <w:tc>
                <w:tcPr>
                  <w:tcW w:w="1180" w:type="pct"/>
                  <w:vMerge w:val="restart"/>
                  <w:tcBorders>
                    <w:tl2br w:val="nil"/>
                    <w:tr2bl w:val="nil"/>
                  </w:tcBorders>
                  <w:vAlign w:val="center"/>
                </w:tcPr>
                <w:p w14:paraId="6DDF172E">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用于生产免漆门面板</w:t>
                  </w:r>
                </w:p>
              </w:tc>
            </w:tr>
            <w:tr w14:paraId="0891A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2" w:hRule="atLeast"/>
                <w:jc w:val="center"/>
              </w:trPr>
              <w:tc>
                <w:tcPr>
                  <w:tcW w:w="539" w:type="pct"/>
                  <w:vMerge w:val="continue"/>
                  <w:tcBorders>
                    <w:tl2br w:val="nil"/>
                    <w:tr2bl w:val="nil"/>
                  </w:tcBorders>
                  <w:vAlign w:val="center"/>
                </w:tcPr>
                <w:p w14:paraId="45F841D5">
                  <w:pPr>
                    <w:spacing w:before="78" w:beforeLines="25" w:after="78" w:afterLines="25" w:line="303" w:lineRule="auto"/>
                    <w:jc w:val="center"/>
                    <w:rPr>
                      <w:rFonts w:hint="eastAsia" w:ascii="Times New Roman" w:hAnsi="Times New Roman" w:eastAsia="宋体"/>
                      <w:color w:val="000000" w:themeColor="text1"/>
                      <w:szCs w:val="21"/>
                      <w14:textFill>
                        <w14:solidFill>
                          <w14:schemeClr w14:val="tx1"/>
                        </w14:solidFill>
                      </w14:textFill>
                    </w:rPr>
                  </w:pPr>
                </w:p>
              </w:tc>
              <w:tc>
                <w:tcPr>
                  <w:tcW w:w="718" w:type="pct"/>
                  <w:vMerge w:val="continue"/>
                  <w:tcBorders>
                    <w:tl2br w:val="nil"/>
                    <w:tr2bl w:val="nil"/>
                  </w:tcBorders>
                  <w:vAlign w:val="center"/>
                </w:tcPr>
                <w:p w14:paraId="1EDED503">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p>
              </w:tc>
              <w:tc>
                <w:tcPr>
                  <w:tcW w:w="1011" w:type="pct"/>
                  <w:tcBorders>
                    <w:tl2br w:val="nil"/>
                    <w:tr2bl w:val="nil"/>
                  </w:tcBorders>
                  <w:shd w:val="clear" w:color="auto" w:fill="auto"/>
                  <w:vAlign w:val="center"/>
                </w:tcPr>
                <w:p w14:paraId="0076B765">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2440*1220*2.5</w:t>
                  </w:r>
                </w:p>
              </w:tc>
              <w:tc>
                <w:tcPr>
                  <w:tcW w:w="690" w:type="pct"/>
                  <w:tcBorders>
                    <w:tl2br w:val="nil"/>
                    <w:tr2bl w:val="nil"/>
                  </w:tcBorders>
                  <w:vAlign w:val="center"/>
                </w:tcPr>
                <w:p w14:paraId="2E5E8BCB">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15万张</w:t>
                  </w:r>
                </w:p>
              </w:tc>
              <w:tc>
                <w:tcPr>
                  <w:tcW w:w="859" w:type="pct"/>
                  <w:tcBorders>
                    <w:tl2br w:val="nil"/>
                    <w:tr2bl w:val="nil"/>
                  </w:tcBorders>
                  <w:shd w:val="clear" w:color="auto" w:fill="auto"/>
                  <w:vAlign w:val="center"/>
                </w:tcPr>
                <w:p w14:paraId="06000A3E">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2000张</w:t>
                  </w:r>
                </w:p>
              </w:tc>
              <w:tc>
                <w:tcPr>
                  <w:tcW w:w="1180" w:type="pct"/>
                  <w:vMerge w:val="continue"/>
                  <w:tcBorders>
                    <w:tl2br w:val="nil"/>
                    <w:tr2bl w:val="nil"/>
                  </w:tcBorders>
                  <w:vAlign w:val="center"/>
                </w:tcPr>
                <w:p w14:paraId="2F6D1A8C">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p>
              </w:tc>
            </w:tr>
            <w:tr w14:paraId="7B21E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2" w:hRule="atLeast"/>
                <w:jc w:val="center"/>
              </w:trPr>
              <w:tc>
                <w:tcPr>
                  <w:tcW w:w="539" w:type="pct"/>
                  <w:vMerge w:val="continue"/>
                  <w:tcBorders>
                    <w:tl2br w:val="nil"/>
                    <w:tr2bl w:val="nil"/>
                  </w:tcBorders>
                  <w:vAlign w:val="center"/>
                </w:tcPr>
                <w:p w14:paraId="58BE76E0">
                  <w:pPr>
                    <w:spacing w:before="78" w:beforeLines="25" w:after="78" w:afterLines="25" w:line="303" w:lineRule="auto"/>
                    <w:jc w:val="center"/>
                    <w:rPr>
                      <w:rFonts w:hint="eastAsia" w:ascii="Times New Roman" w:hAnsi="Times New Roman" w:eastAsia="宋体"/>
                      <w:color w:val="000000" w:themeColor="text1"/>
                      <w:szCs w:val="21"/>
                      <w14:textFill>
                        <w14:solidFill>
                          <w14:schemeClr w14:val="tx1"/>
                        </w14:solidFill>
                      </w14:textFill>
                    </w:rPr>
                  </w:pPr>
                </w:p>
              </w:tc>
              <w:tc>
                <w:tcPr>
                  <w:tcW w:w="718" w:type="pct"/>
                  <w:vMerge w:val="continue"/>
                  <w:tcBorders>
                    <w:tl2br w:val="nil"/>
                    <w:tr2bl w:val="nil"/>
                  </w:tcBorders>
                  <w:vAlign w:val="center"/>
                </w:tcPr>
                <w:p w14:paraId="188C7B20">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p>
              </w:tc>
              <w:tc>
                <w:tcPr>
                  <w:tcW w:w="1011" w:type="pct"/>
                  <w:tcBorders>
                    <w:tl2br w:val="nil"/>
                    <w:tr2bl w:val="nil"/>
                  </w:tcBorders>
                  <w:shd w:val="clear" w:color="auto" w:fill="auto"/>
                  <w:vAlign w:val="center"/>
                </w:tcPr>
                <w:p w14:paraId="3F303842">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2150*950*3.6</w:t>
                  </w:r>
                </w:p>
              </w:tc>
              <w:tc>
                <w:tcPr>
                  <w:tcW w:w="690" w:type="pct"/>
                  <w:tcBorders>
                    <w:tl2br w:val="nil"/>
                    <w:tr2bl w:val="nil"/>
                  </w:tcBorders>
                  <w:vAlign w:val="center"/>
                </w:tcPr>
                <w:p w14:paraId="111D0AC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10万张</w:t>
                  </w:r>
                </w:p>
              </w:tc>
              <w:tc>
                <w:tcPr>
                  <w:tcW w:w="859" w:type="pct"/>
                  <w:tcBorders>
                    <w:tl2br w:val="nil"/>
                    <w:tr2bl w:val="nil"/>
                  </w:tcBorders>
                  <w:shd w:val="clear" w:color="auto" w:fill="auto"/>
                  <w:vAlign w:val="center"/>
                </w:tcPr>
                <w:p w14:paraId="588FA30D">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1000张</w:t>
                  </w:r>
                </w:p>
              </w:tc>
              <w:tc>
                <w:tcPr>
                  <w:tcW w:w="1180" w:type="pct"/>
                  <w:vMerge w:val="continue"/>
                  <w:tcBorders>
                    <w:tl2br w:val="nil"/>
                    <w:tr2bl w:val="nil"/>
                  </w:tcBorders>
                  <w:vAlign w:val="center"/>
                </w:tcPr>
                <w:p w14:paraId="6D69211F">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p>
              </w:tc>
            </w:tr>
            <w:tr w14:paraId="76B8C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539" w:type="pct"/>
                  <w:vMerge w:val="continue"/>
                  <w:tcBorders>
                    <w:tl2br w:val="nil"/>
                    <w:tr2bl w:val="nil"/>
                  </w:tcBorders>
                  <w:vAlign w:val="center"/>
                </w:tcPr>
                <w:p w14:paraId="3D68F1DF">
                  <w:pPr>
                    <w:spacing w:before="78" w:beforeLines="25" w:after="78" w:afterLines="25" w:line="303" w:lineRule="auto"/>
                    <w:jc w:val="center"/>
                    <w:rPr>
                      <w:rFonts w:hint="eastAsia" w:ascii="Times New Roman" w:hAnsi="Times New Roman" w:eastAsia="宋体"/>
                      <w:color w:val="000000" w:themeColor="text1"/>
                      <w:szCs w:val="21"/>
                      <w14:textFill>
                        <w14:solidFill>
                          <w14:schemeClr w14:val="tx1"/>
                        </w14:solidFill>
                      </w14:textFill>
                    </w:rPr>
                  </w:pPr>
                </w:p>
              </w:tc>
              <w:tc>
                <w:tcPr>
                  <w:tcW w:w="718" w:type="pct"/>
                  <w:vMerge w:val="continue"/>
                  <w:tcBorders>
                    <w:tl2br w:val="nil"/>
                    <w:tr2bl w:val="nil"/>
                  </w:tcBorders>
                  <w:vAlign w:val="center"/>
                </w:tcPr>
                <w:p w14:paraId="78336345">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olor w:val="000000" w:themeColor="text1"/>
                      <w:szCs w:val="21"/>
                      <w14:textFill>
                        <w14:solidFill>
                          <w14:schemeClr w14:val="tx1"/>
                        </w14:solidFill>
                      </w14:textFill>
                    </w:rPr>
                  </w:pPr>
                </w:p>
              </w:tc>
              <w:tc>
                <w:tcPr>
                  <w:tcW w:w="1011" w:type="pct"/>
                  <w:tcBorders>
                    <w:tl2br w:val="nil"/>
                    <w:tr2bl w:val="nil"/>
                  </w:tcBorders>
                  <w:shd w:val="clear" w:color="auto" w:fill="auto"/>
                  <w:vAlign w:val="center"/>
                </w:tcPr>
                <w:p w14:paraId="484F8FB4">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57*15*24</w:t>
                  </w:r>
                  <w:r>
                    <w:rPr>
                      <w:rFonts w:hint="eastAsia" w:ascii="Times New Roman" w:cs="Times New Roman"/>
                      <w:color w:val="000000" w:themeColor="text1"/>
                      <w:sz w:val="21"/>
                      <w:szCs w:val="21"/>
                      <w:lang w:val="en-US" w:eastAsia="zh-CN"/>
                      <w14:textFill>
                        <w14:solidFill>
                          <w14:schemeClr w14:val="tx1"/>
                        </w14:solidFill>
                      </w14:textFill>
                    </w:rPr>
                    <w:t>00</w:t>
                  </w:r>
                </w:p>
              </w:tc>
              <w:tc>
                <w:tcPr>
                  <w:tcW w:w="690" w:type="pct"/>
                  <w:tcBorders>
                    <w:tl2br w:val="nil"/>
                    <w:tr2bl w:val="nil"/>
                  </w:tcBorders>
                  <w:vAlign w:val="center"/>
                </w:tcPr>
                <w:p w14:paraId="721606B1">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70万支</w:t>
                  </w:r>
                </w:p>
              </w:tc>
              <w:tc>
                <w:tcPr>
                  <w:tcW w:w="859" w:type="pct"/>
                  <w:tcBorders>
                    <w:tl2br w:val="nil"/>
                    <w:tr2bl w:val="nil"/>
                  </w:tcBorders>
                  <w:shd w:val="clear" w:color="auto" w:fill="auto"/>
                  <w:vAlign w:val="center"/>
                </w:tcPr>
                <w:p w14:paraId="7021956E">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1万支</w:t>
                  </w:r>
                </w:p>
              </w:tc>
              <w:tc>
                <w:tcPr>
                  <w:tcW w:w="1180" w:type="pct"/>
                  <w:tcBorders>
                    <w:tl2br w:val="nil"/>
                    <w:tr2bl w:val="nil"/>
                  </w:tcBorders>
                  <w:vAlign w:val="center"/>
                </w:tcPr>
                <w:p w14:paraId="30E2A350">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用于生产免漆门边条</w:t>
                  </w:r>
                </w:p>
              </w:tc>
            </w:tr>
            <w:tr w14:paraId="2C4EC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78FBEE65">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1F23160E">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三聚氰胺浸胶纸</w:t>
                  </w:r>
                </w:p>
              </w:tc>
              <w:tc>
                <w:tcPr>
                  <w:tcW w:w="1011" w:type="pct"/>
                  <w:tcBorders>
                    <w:tl2br w:val="nil"/>
                    <w:tr2bl w:val="nil"/>
                  </w:tcBorders>
                  <w:vAlign w:val="center"/>
                </w:tcPr>
                <w:p w14:paraId="74B4A16F">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2470*1250</w:t>
                  </w:r>
                  <w:r>
                    <w:rPr>
                      <w:rFonts w:hint="eastAsia" w:ascii="Times New Roman" w:cs="Times New Roman"/>
                      <w:color w:val="000000" w:themeColor="text1"/>
                      <w:sz w:val="21"/>
                      <w:szCs w:val="21"/>
                      <w:lang w:val="en-US" w:eastAsia="zh-CN"/>
                      <w14:textFill>
                        <w14:solidFill>
                          <w14:schemeClr w14:val="tx1"/>
                        </w14:solidFill>
                      </w14:textFill>
                    </w:rPr>
                    <w:t>；</w:t>
                  </w:r>
                </w:p>
                <w:p w14:paraId="2011CF36">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60g/张</w:t>
                  </w:r>
                </w:p>
              </w:tc>
              <w:tc>
                <w:tcPr>
                  <w:tcW w:w="690" w:type="pct"/>
                  <w:tcBorders>
                    <w:tl2br w:val="nil"/>
                    <w:tr2bl w:val="nil"/>
                  </w:tcBorders>
                  <w:vAlign w:val="center"/>
                </w:tcPr>
                <w:p w14:paraId="6646FFF7">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42</w:t>
                  </w:r>
                  <w:r>
                    <w:rPr>
                      <w:rFonts w:hint="eastAsia" w:ascii="Times New Roman" w:hAnsi="Times New Roman" w:cs="Times New Roman"/>
                      <w:color w:val="000000" w:themeColor="text1"/>
                      <w:sz w:val="21"/>
                      <w:szCs w:val="21"/>
                      <w:lang w:val="en-US" w:eastAsia="zh-CN"/>
                      <w14:textFill>
                        <w14:solidFill>
                          <w14:schemeClr w14:val="tx1"/>
                        </w14:solidFill>
                      </w14:textFill>
                    </w:rPr>
                    <w:t>万张</w:t>
                  </w:r>
                </w:p>
              </w:tc>
              <w:tc>
                <w:tcPr>
                  <w:tcW w:w="859" w:type="pct"/>
                  <w:tcBorders>
                    <w:tl2br w:val="nil"/>
                    <w:tr2bl w:val="nil"/>
                  </w:tcBorders>
                  <w:vAlign w:val="center"/>
                </w:tcPr>
                <w:p w14:paraId="4CD68D28">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2万张</w:t>
                  </w:r>
                </w:p>
              </w:tc>
              <w:tc>
                <w:tcPr>
                  <w:tcW w:w="1180" w:type="pct"/>
                  <w:tcBorders>
                    <w:tl2br w:val="nil"/>
                    <w:tr2bl w:val="nil"/>
                  </w:tcBorders>
                  <w:vAlign w:val="center"/>
                </w:tcPr>
                <w:p w14:paraId="5DF21CFC">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1张胶纸生产1张面饰板，1张胶纸生产1张包覆纸，一张包覆纸可生产10支门边条</w:t>
                  </w:r>
                </w:p>
              </w:tc>
            </w:tr>
            <w:tr w14:paraId="437B9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284128DB">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5C35F3C2">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热熔胶</w:t>
                  </w:r>
                </w:p>
              </w:tc>
              <w:tc>
                <w:tcPr>
                  <w:tcW w:w="1011" w:type="pct"/>
                  <w:tcBorders>
                    <w:tl2br w:val="nil"/>
                    <w:tr2bl w:val="nil"/>
                  </w:tcBorders>
                  <w:vAlign w:val="center"/>
                </w:tcPr>
                <w:p w14:paraId="7E2E1612">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20kg/桶</w:t>
                  </w:r>
                </w:p>
              </w:tc>
              <w:tc>
                <w:tcPr>
                  <w:tcW w:w="690" w:type="pct"/>
                  <w:tcBorders>
                    <w:tl2br w:val="nil"/>
                    <w:tr2bl w:val="nil"/>
                  </w:tcBorders>
                  <w:vAlign w:val="center"/>
                </w:tcPr>
                <w:p w14:paraId="47177DAB">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3.7t</w:t>
                  </w:r>
                </w:p>
              </w:tc>
              <w:tc>
                <w:tcPr>
                  <w:tcW w:w="859" w:type="pct"/>
                  <w:tcBorders>
                    <w:tl2br w:val="nil"/>
                    <w:tr2bl w:val="nil"/>
                  </w:tcBorders>
                  <w:vAlign w:val="center"/>
                </w:tcPr>
                <w:p w14:paraId="58E01641">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0.5t</w:t>
                  </w:r>
                </w:p>
              </w:tc>
              <w:tc>
                <w:tcPr>
                  <w:tcW w:w="1180" w:type="pct"/>
                  <w:tcBorders>
                    <w:tl2br w:val="nil"/>
                    <w:tr2bl w:val="nil"/>
                  </w:tcBorders>
                  <w:vAlign w:val="center"/>
                </w:tcPr>
                <w:p w14:paraId="36EA4990">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r>
            <w:tr w14:paraId="2F43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2FA04A3D">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1667DB64">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无纺布</w:t>
                  </w:r>
                </w:p>
              </w:tc>
              <w:tc>
                <w:tcPr>
                  <w:tcW w:w="1011" w:type="pct"/>
                  <w:tcBorders>
                    <w:tl2br w:val="nil"/>
                    <w:tr2bl w:val="nil"/>
                  </w:tcBorders>
                  <w:vAlign w:val="center"/>
                </w:tcPr>
                <w:p w14:paraId="16727758">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20kg/卷</w:t>
                  </w:r>
                </w:p>
              </w:tc>
              <w:tc>
                <w:tcPr>
                  <w:tcW w:w="690" w:type="pct"/>
                  <w:tcBorders>
                    <w:tl2br w:val="nil"/>
                    <w:tr2bl w:val="nil"/>
                  </w:tcBorders>
                  <w:vAlign w:val="center"/>
                </w:tcPr>
                <w:p w14:paraId="0534E687">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2t</w:t>
                  </w:r>
                </w:p>
              </w:tc>
              <w:tc>
                <w:tcPr>
                  <w:tcW w:w="859" w:type="pct"/>
                  <w:tcBorders>
                    <w:tl2br w:val="nil"/>
                    <w:tr2bl w:val="nil"/>
                  </w:tcBorders>
                  <w:vAlign w:val="center"/>
                </w:tcPr>
                <w:p w14:paraId="7B49B4C6">
                  <w:pPr>
                    <w:pStyle w:val="40"/>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0.2t</w:t>
                  </w:r>
                </w:p>
              </w:tc>
              <w:tc>
                <w:tcPr>
                  <w:tcW w:w="1180" w:type="pct"/>
                  <w:tcBorders>
                    <w:tl2br w:val="nil"/>
                    <w:tr2bl w:val="nil"/>
                  </w:tcBorders>
                  <w:vAlign w:val="center"/>
                </w:tcPr>
                <w:p w14:paraId="307521E1">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r>
            <w:tr w14:paraId="7B7C6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5" w:hRule="atLeast"/>
                <w:jc w:val="center"/>
              </w:trPr>
              <w:tc>
                <w:tcPr>
                  <w:tcW w:w="539" w:type="pct"/>
                  <w:vMerge w:val="restart"/>
                  <w:tcBorders>
                    <w:tl2br w:val="nil"/>
                    <w:tr2bl w:val="nil"/>
                  </w:tcBorders>
                  <w:vAlign w:val="center"/>
                </w:tcPr>
                <w:p w14:paraId="653A7084">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辅料</w:t>
                  </w:r>
                </w:p>
              </w:tc>
              <w:tc>
                <w:tcPr>
                  <w:tcW w:w="718" w:type="pct"/>
                  <w:tcBorders>
                    <w:tl2br w:val="nil"/>
                    <w:tr2bl w:val="nil"/>
                  </w:tcBorders>
                  <w:vAlign w:val="center"/>
                </w:tcPr>
                <w:p w14:paraId="0DFB59E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导热油</w:t>
                  </w:r>
                </w:p>
              </w:tc>
              <w:tc>
                <w:tcPr>
                  <w:tcW w:w="1011" w:type="pct"/>
                  <w:tcBorders>
                    <w:tl2br w:val="nil"/>
                    <w:tr2bl w:val="nil"/>
                  </w:tcBorders>
                  <w:vAlign w:val="center"/>
                </w:tcPr>
                <w:p w14:paraId="7EB41C72">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690" w:type="pct"/>
                  <w:tcBorders>
                    <w:tl2br w:val="nil"/>
                    <w:tr2bl w:val="nil"/>
                  </w:tcBorders>
                  <w:vAlign w:val="center"/>
                </w:tcPr>
                <w:p w14:paraId="5EB4507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3</w:t>
                  </w:r>
                  <w:r>
                    <w:rPr>
                      <w:rFonts w:hint="eastAsia" w:ascii="Times New Roman" w:hAnsi="Times New Roman" w:eastAsia="宋体"/>
                      <w:color w:val="000000" w:themeColor="text1"/>
                      <w:szCs w:val="21"/>
                      <w14:textFill>
                        <w14:solidFill>
                          <w14:schemeClr w14:val="tx1"/>
                        </w14:solidFill>
                      </w14:textFill>
                    </w:rPr>
                    <w:t>t</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lang w:val="en-US" w:eastAsia="zh-CN"/>
                      <w14:textFill>
                        <w14:solidFill>
                          <w14:schemeClr w14:val="tx1"/>
                        </w14:solidFill>
                      </w14:textFill>
                    </w:rPr>
                    <w:t>1次性使用</w:t>
                  </w:r>
                  <w:r>
                    <w:rPr>
                      <w:rFonts w:hint="eastAsia" w:ascii="Times New Roman" w:hAnsi="Times New Roman" w:eastAsia="宋体"/>
                      <w:color w:val="000000" w:themeColor="text1"/>
                      <w:szCs w:val="21"/>
                      <w:lang w:eastAsia="zh-CN"/>
                      <w14:textFill>
                        <w14:solidFill>
                          <w14:schemeClr w14:val="tx1"/>
                        </w14:solidFill>
                      </w14:textFill>
                    </w:rPr>
                    <w:t>）</w:t>
                  </w:r>
                </w:p>
              </w:tc>
              <w:tc>
                <w:tcPr>
                  <w:tcW w:w="859" w:type="pct"/>
                  <w:tcBorders>
                    <w:tl2br w:val="nil"/>
                    <w:tr2bl w:val="nil"/>
                  </w:tcBorders>
                  <w:vAlign w:val="center"/>
                </w:tcPr>
                <w:p w14:paraId="467F428A">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180" w:type="pct"/>
                  <w:tcBorders>
                    <w:tl2br w:val="nil"/>
                    <w:tr2bl w:val="nil"/>
                  </w:tcBorders>
                  <w:vAlign w:val="center"/>
                </w:tcPr>
                <w:p w14:paraId="1B287E27">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厂区内不储存</w:t>
                  </w:r>
                </w:p>
              </w:tc>
            </w:tr>
            <w:tr w14:paraId="63AEA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8" w:hRule="atLeast"/>
                <w:jc w:val="center"/>
              </w:trPr>
              <w:tc>
                <w:tcPr>
                  <w:tcW w:w="539" w:type="pct"/>
                  <w:vMerge w:val="continue"/>
                  <w:tcBorders>
                    <w:tl2br w:val="nil"/>
                    <w:tr2bl w:val="nil"/>
                  </w:tcBorders>
                  <w:vAlign w:val="center"/>
                </w:tcPr>
                <w:p w14:paraId="7DEA34D5">
                  <w:pPr>
                    <w:spacing w:before="78" w:beforeLines="25" w:after="78" w:afterLines="25" w:line="303" w:lineRule="auto"/>
                    <w:jc w:val="center"/>
                    <w:rPr>
                      <w:rFonts w:hint="eastAsia"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7C04CF3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液压油</w:t>
                  </w:r>
                </w:p>
              </w:tc>
              <w:tc>
                <w:tcPr>
                  <w:tcW w:w="1011" w:type="pct"/>
                  <w:tcBorders>
                    <w:tl2br w:val="nil"/>
                    <w:tr2bl w:val="nil"/>
                  </w:tcBorders>
                  <w:vAlign w:val="center"/>
                </w:tcPr>
                <w:p w14:paraId="41E76A08">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690" w:type="pct"/>
                  <w:tcBorders>
                    <w:tl2br w:val="nil"/>
                    <w:tr2bl w:val="nil"/>
                  </w:tcBorders>
                  <w:vAlign w:val="center"/>
                </w:tcPr>
                <w:p w14:paraId="33AB6D5D">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0.2</w:t>
                  </w:r>
                </w:p>
              </w:tc>
              <w:tc>
                <w:tcPr>
                  <w:tcW w:w="859" w:type="pct"/>
                  <w:tcBorders>
                    <w:tl2br w:val="nil"/>
                    <w:tr2bl w:val="nil"/>
                  </w:tcBorders>
                  <w:vAlign w:val="center"/>
                </w:tcPr>
                <w:p w14:paraId="70AC6431">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180" w:type="pct"/>
                  <w:tcBorders>
                    <w:tl2br w:val="nil"/>
                    <w:tr2bl w:val="nil"/>
                  </w:tcBorders>
                  <w:vAlign w:val="center"/>
                </w:tcPr>
                <w:p w14:paraId="09ED3F8D">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厂区内不储存</w:t>
                  </w:r>
                </w:p>
              </w:tc>
            </w:tr>
            <w:tr w14:paraId="2C53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restart"/>
                  <w:tcBorders>
                    <w:tl2br w:val="nil"/>
                    <w:tr2bl w:val="nil"/>
                  </w:tcBorders>
                  <w:vAlign w:val="center"/>
                </w:tcPr>
                <w:p w14:paraId="194AAA3B">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能源</w:t>
                  </w:r>
                </w:p>
              </w:tc>
              <w:tc>
                <w:tcPr>
                  <w:tcW w:w="718" w:type="pct"/>
                  <w:tcBorders>
                    <w:tl2br w:val="nil"/>
                    <w:tr2bl w:val="nil"/>
                  </w:tcBorders>
                  <w:vAlign w:val="center"/>
                </w:tcPr>
                <w:p w14:paraId="607153A7">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水</w:t>
                  </w:r>
                </w:p>
              </w:tc>
              <w:tc>
                <w:tcPr>
                  <w:tcW w:w="1011" w:type="pct"/>
                  <w:tcBorders>
                    <w:tl2br w:val="nil"/>
                    <w:tr2bl w:val="nil"/>
                  </w:tcBorders>
                  <w:vAlign w:val="center"/>
                </w:tcPr>
                <w:p w14:paraId="76A30CAD">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管网接入</w:t>
                  </w:r>
                </w:p>
              </w:tc>
              <w:tc>
                <w:tcPr>
                  <w:tcW w:w="690" w:type="pct"/>
                  <w:tcBorders>
                    <w:tl2br w:val="nil"/>
                    <w:tr2bl w:val="nil"/>
                  </w:tcBorders>
                  <w:vAlign w:val="center"/>
                </w:tcPr>
                <w:p w14:paraId="682A2EF9">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250</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3</w:t>
                  </w:r>
                </w:p>
              </w:tc>
              <w:tc>
                <w:tcPr>
                  <w:tcW w:w="859" w:type="pct"/>
                  <w:tcBorders>
                    <w:tl2br w:val="nil"/>
                    <w:tr2bl w:val="nil"/>
                  </w:tcBorders>
                  <w:vAlign w:val="center"/>
                </w:tcPr>
                <w:p w14:paraId="3558F67A">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p>
              </w:tc>
              <w:tc>
                <w:tcPr>
                  <w:tcW w:w="1180" w:type="pct"/>
                  <w:tcBorders>
                    <w:tl2br w:val="nil"/>
                    <w:tr2bl w:val="nil"/>
                  </w:tcBorders>
                  <w:vAlign w:val="center"/>
                </w:tcPr>
                <w:p w14:paraId="30F46F01">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市政供水</w:t>
                  </w:r>
                </w:p>
              </w:tc>
            </w:tr>
            <w:tr w14:paraId="2C62B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0F05B91B">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699B05F7">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电</w:t>
                  </w:r>
                </w:p>
              </w:tc>
              <w:tc>
                <w:tcPr>
                  <w:tcW w:w="1011" w:type="pct"/>
                  <w:tcBorders>
                    <w:tl2br w:val="nil"/>
                    <w:tr2bl w:val="nil"/>
                  </w:tcBorders>
                  <w:vAlign w:val="center"/>
                </w:tcPr>
                <w:p w14:paraId="7B40C7AB">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电网接入</w:t>
                  </w:r>
                </w:p>
              </w:tc>
              <w:tc>
                <w:tcPr>
                  <w:tcW w:w="690" w:type="pct"/>
                  <w:tcBorders>
                    <w:tl2br w:val="nil"/>
                    <w:tr2bl w:val="nil"/>
                  </w:tcBorders>
                  <w:vAlign w:val="center"/>
                </w:tcPr>
                <w:p w14:paraId="7F38DD62">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5万kW·h</w:t>
                  </w:r>
                </w:p>
              </w:tc>
              <w:tc>
                <w:tcPr>
                  <w:tcW w:w="859" w:type="pct"/>
                  <w:tcBorders>
                    <w:tl2br w:val="nil"/>
                    <w:tr2bl w:val="nil"/>
                  </w:tcBorders>
                  <w:vAlign w:val="center"/>
                </w:tcPr>
                <w:p w14:paraId="4391F8F4">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p>
              </w:tc>
              <w:tc>
                <w:tcPr>
                  <w:tcW w:w="1180" w:type="pct"/>
                  <w:tcBorders>
                    <w:tl2br w:val="nil"/>
                    <w:tr2bl w:val="nil"/>
                  </w:tcBorders>
                  <w:vAlign w:val="center"/>
                </w:tcPr>
                <w:p w14:paraId="52088853">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市政供电</w:t>
                  </w:r>
                </w:p>
              </w:tc>
            </w:tr>
            <w:tr w14:paraId="34344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3A95DB52">
                  <w:pPr>
                    <w:spacing w:before="78" w:beforeLines="25" w:after="78" w:afterLines="25" w:line="303" w:lineRule="auto"/>
                    <w:jc w:val="center"/>
                    <w:rPr>
                      <w:rFonts w:ascii="Times New Roman" w:hAnsi="Times New Roman" w:eastAsia="宋体"/>
                      <w:color w:val="000000" w:themeColor="text1"/>
                      <w:szCs w:val="21"/>
                      <w14:textFill>
                        <w14:solidFill>
                          <w14:schemeClr w14:val="tx1"/>
                        </w14:solidFill>
                      </w14:textFill>
                    </w:rPr>
                  </w:pPr>
                </w:p>
              </w:tc>
              <w:tc>
                <w:tcPr>
                  <w:tcW w:w="718" w:type="pct"/>
                  <w:tcBorders>
                    <w:tl2br w:val="nil"/>
                    <w:tr2bl w:val="nil"/>
                  </w:tcBorders>
                  <w:vAlign w:val="center"/>
                </w:tcPr>
                <w:p w14:paraId="35ECF9A5">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天然气</w:t>
                  </w:r>
                </w:p>
              </w:tc>
              <w:tc>
                <w:tcPr>
                  <w:tcW w:w="1011" w:type="pct"/>
                  <w:tcBorders>
                    <w:tl2br w:val="nil"/>
                    <w:tr2bl w:val="nil"/>
                  </w:tcBorders>
                  <w:vAlign w:val="center"/>
                </w:tcPr>
                <w:p w14:paraId="51F8C73D">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燃气管网接入</w:t>
                  </w:r>
                </w:p>
              </w:tc>
              <w:tc>
                <w:tcPr>
                  <w:tcW w:w="690" w:type="pct"/>
                  <w:tcBorders>
                    <w:tl2br w:val="nil"/>
                    <w:tr2bl w:val="nil"/>
                  </w:tcBorders>
                  <w:vAlign w:val="center"/>
                </w:tcPr>
                <w:p w14:paraId="25D47E1F">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18万N</w:t>
                  </w:r>
                  <w:r>
                    <w:rPr>
                      <w:rFonts w:hint="eastAsia" w:ascii="Times New Roman" w:hAnsi="Times New Roman" w:eastAsia="宋体" w:cs="宋体"/>
                      <w:color w:val="000000" w:themeColor="text1"/>
                      <w:sz w:val="24"/>
                      <w14:textFill>
                        <w14:solidFill>
                          <w14:schemeClr w14:val="tx1"/>
                        </w14:solidFill>
                      </w14:textFill>
                    </w:rPr>
                    <w:t>m</w:t>
                  </w:r>
                  <w:r>
                    <w:rPr>
                      <w:rFonts w:hint="eastAsia" w:ascii="Times New Roman" w:hAnsi="Times New Roman" w:eastAsia="宋体" w:cs="宋体"/>
                      <w:color w:val="000000" w:themeColor="text1"/>
                      <w:sz w:val="24"/>
                      <w:vertAlign w:val="superscript"/>
                      <w14:textFill>
                        <w14:solidFill>
                          <w14:schemeClr w14:val="tx1"/>
                        </w14:solidFill>
                      </w14:textFill>
                    </w:rPr>
                    <w:t>3</w:t>
                  </w:r>
                </w:p>
              </w:tc>
              <w:tc>
                <w:tcPr>
                  <w:tcW w:w="859" w:type="pct"/>
                  <w:tcBorders>
                    <w:tl2br w:val="nil"/>
                    <w:tr2bl w:val="nil"/>
                  </w:tcBorders>
                  <w:vAlign w:val="center"/>
                </w:tcPr>
                <w:p w14:paraId="2D095F61">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180" w:type="pct"/>
                  <w:tcBorders>
                    <w:tl2br w:val="nil"/>
                    <w:tr2bl w:val="nil"/>
                  </w:tcBorders>
                  <w:vAlign w:val="center"/>
                </w:tcPr>
                <w:p w14:paraId="56AFB563">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燃气供应</w:t>
                  </w:r>
                </w:p>
              </w:tc>
            </w:tr>
          </w:tbl>
          <w:p w14:paraId="611111EB">
            <w:pPr>
              <w:spacing w:before="31" w:beforeLines="10" w:after="31" w:afterLines="10" w:line="377" w:lineRule="auto"/>
              <w:ind w:firstLine="480" w:firstLineChars="200"/>
              <w:rPr>
                <w:rFonts w:ascii="Times New Roman" w:hAnsi="Times New Roman" w:eastAsia="宋体"/>
                <w:color w:val="000000" w:themeColor="text1"/>
                <w:sz w:val="24"/>
                <w:u w:val="single"/>
                <w14:textFill>
                  <w14:solidFill>
                    <w14:schemeClr w14:val="tx1"/>
                  </w14:solidFill>
                </w14:textFill>
              </w:rPr>
            </w:pPr>
            <w:r>
              <w:rPr>
                <w:rFonts w:hint="eastAsia" w:ascii="Times New Roman" w:hAnsi="Times New Roman" w:eastAsia="宋体"/>
                <w:color w:val="000000" w:themeColor="text1"/>
                <w:sz w:val="24"/>
                <w:u w:val="single"/>
                <w14:textFill>
                  <w14:solidFill>
                    <w14:schemeClr w14:val="tx1"/>
                  </w14:solidFill>
                </w14:textFill>
              </w:rPr>
              <w:t>主要原材料理化性质简介：</w:t>
            </w:r>
          </w:p>
          <w:p w14:paraId="7CA248F0">
            <w:pPr>
              <w:numPr>
                <w:ilvl w:val="0"/>
                <w:numId w:val="5"/>
              </w:numPr>
              <w:spacing w:before="31" w:beforeLines="10" w:line="377" w:lineRule="auto"/>
              <w:ind w:firstLine="482"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bCs/>
                <w:color w:val="000000" w:themeColor="text1"/>
                <w:sz w:val="24"/>
                <w:lang w:eastAsia="zh-CN"/>
                <w14:textFill>
                  <w14:solidFill>
                    <w14:schemeClr w14:val="tx1"/>
                  </w14:solidFill>
                </w14:textFill>
              </w:rPr>
              <w:t>三聚氰胺浸胶纸</w:t>
            </w:r>
            <w:r>
              <w:rPr>
                <w:rFonts w:hint="eastAsia" w:ascii="Times New Roman" w:hAnsi="Times New Roman" w:eastAsia="宋体"/>
                <w:b/>
                <w:bCs/>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三聚氰胺浸胶纸是将不同颜色或纹理的纸放入三聚氰胺树脂胶粘合剂中浸泡，干燥到一定程度而成的，固化后的三聚氰胺树脂性质稳定，在废水中稳定，甚至可以在</w:t>
            </w:r>
            <w:r>
              <w:rPr>
                <w:rFonts w:hint="eastAsia" w:ascii="Times New Roman" w:hAnsi="Times New Roman" w:eastAsia="宋体"/>
                <w:color w:val="000000" w:themeColor="text1"/>
                <w:sz w:val="24"/>
                <w:lang w:val="en-US" w:eastAsia="zh-CN"/>
                <w14:textFill>
                  <w14:solidFill>
                    <w14:schemeClr w14:val="tx1"/>
                  </w14:solidFill>
                </w14:textFill>
              </w:rPr>
              <w:t>300℃左右温度范围内使用，且具有自熄性、抗电弧性和良好的力学性能</w:t>
            </w:r>
            <w:r>
              <w:rPr>
                <w:rFonts w:hint="eastAsia" w:ascii="Times New Roman" w:hAnsi="Times New Roman" w:eastAsia="宋体"/>
                <w:color w:val="000000" w:themeColor="text1"/>
                <w:sz w:val="24"/>
                <w14:textFill>
                  <w14:solidFill>
                    <w14:schemeClr w14:val="tx1"/>
                  </w14:solidFill>
                </w14:textFill>
              </w:rPr>
              <w:t>。</w:t>
            </w:r>
          </w:p>
          <w:p w14:paraId="0E2E253B">
            <w:pPr>
              <w:numPr>
                <w:ilvl w:val="0"/>
                <w:numId w:val="0"/>
              </w:numPr>
              <w:spacing w:before="31" w:beforeLines="10" w:line="377" w:lineRule="auto"/>
              <w:ind w:firstLine="482"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三聚氰胺树脂</w:t>
            </w:r>
            <w:r>
              <w:rPr>
                <w:rFonts w:hint="eastAsia" w:ascii="Times New Roman" w:hAnsi="Times New Roman" w:eastAsia="宋体"/>
                <w:b/>
                <w:bCs/>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三聚氰胺、甲醛共聚合所得的树脂</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分子式为</w:t>
            </w:r>
            <w:r>
              <w:rPr>
                <w:rFonts w:hint="default" w:ascii="Times New Roman" w:hAnsi="Times New Roman" w:eastAsia="宋体"/>
                <w:color w:val="000000" w:themeColor="text1"/>
                <w:sz w:val="24"/>
                <w14:textFill>
                  <w14:solidFill>
                    <w14:schemeClr w14:val="tx1"/>
                  </w14:solidFill>
                </w14:textFill>
              </w:rPr>
              <w:t>C</w:t>
            </w:r>
            <w:r>
              <w:rPr>
                <w:rFonts w:hint="default" w:ascii="Times New Roman" w:hAnsi="Times New Roman" w:eastAsia="宋体"/>
                <w:color w:val="000000" w:themeColor="text1"/>
                <w:sz w:val="24"/>
                <w:vertAlign w:val="subscript"/>
                <w14:textFill>
                  <w14:solidFill>
                    <w14:schemeClr w14:val="tx1"/>
                  </w14:solidFill>
                </w14:textFill>
              </w:rPr>
              <w:t>15</w:t>
            </w:r>
            <w:r>
              <w:rPr>
                <w:rFonts w:hint="default" w:ascii="Times New Roman" w:hAnsi="Times New Roman" w:eastAsia="宋体"/>
                <w:color w:val="000000" w:themeColor="text1"/>
                <w:sz w:val="24"/>
                <w14:textFill>
                  <w14:solidFill>
                    <w14:schemeClr w14:val="tx1"/>
                  </w14:solidFill>
                </w14:textFill>
              </w:rPr>
              <w:t>H</w:t>
            </w:r>
            <w:r>
              <w:rPr>
                <w:rFonts w:hint="default" w:ascii="Times New Roman" w:hAnsi="Times New Roman" w:eastAsia="宋体"/>
                <w:color w:val="000000" w:themeColor="text1"/>
                <w:sz w:val="24"/>
                <w:vertAlign w:val="subscript"/>
                <w14:textFill>
                  <w14:solidFill>
                    <w14:schemeClr w14:val="tx1"/>
                  </w14:solidFill>
                </w14:textFill>
              </w:rPr>
              <w:t>30</w:t>
            </w:r>
            <w:r>
              <w:rPr>
                <w:rFonts w:hint="default" w:ascii="Times New Roman" w:hAnsi="Times New Roman" w:eastAsia="宋体"/>
                <w:color w:val="000000" w:themeColor="text1"/>
                <w:sz w:val="24"/>
                <w14:textFill>
                  <w14:solidFill>
                    <w14:schemeClr w14:val="tx1"/>
                  </w14:solidFill>
                </w14:textFill>
              </w:rPr>
              <w:t>N</w:t>
            </w:r>
            <w:r>
              <w:rPr>
                <w:rFonts w:hint="default" w:ascii="Times New Roman" w:hAnsi="Times New Roman" w:eastAsia="宋体"/>
                <w:color w:val="000000" w:themeColor="text1"/>
                <w:sz w:val="24"/>
                <w:vertAlign w:val="subscript"/>
                <w14:textFill>
                  <w14:solidFill>
                    <w14:schemeClr w14:val="tx1"/>
                  </w14:solidFill>
                </w14:textFill>
              </w:rPr>
              <w:t>6</w:t>
            </w:r>
            <w:r>
              <w:rPr>
                <w:rFonts w:hint="default" w:ascii="Times New Roman" w:hAnsi="Times New Roman" w:eastAsia="宋体"/>
                <w:color w:val="000000" w:themeColor="text1"/>
                <w:sz w:val="24"/>
                <w14:textFill>
                  <w14:solidFill>
                    <w14:schemeClr w14:val="tx1"/>
                  </w14:solidFill>
                </w14:textFill>
              </w:rPr>
              <w:t>O</w:t>
            </w:r>
            <w:r>
              <w:rPr>
                <w:rFonts w:hint="default" w:ascii="Times New Roman" w:hAnsi="Times New Roman" w:eastAsia="宋体"/>
                <w:color w:val="000000" w:themeColor="text1"/>
                <w:sz w:val="24"/>
                <w:vertAlign w:val="subscript"/>
                <w14:textFill>
                  <w14:solidFill>
                    <w14:schemeClr w14:val="tx1"/>
                  </w14:solidFill>
                </w14:textFill>
              </w:rPr>
              <w:t>6</w:t>
            </w:r>
            <w:r>
              <w:rPr>
                <w:rFonts w:hint="default" w:ascii="Times New Roman" w:hAnsi="Times New Roman" w:eastAsia="宋体"/>
                <w:color w:val="000000" w:themeColor="text1"/>
                <w:sz w:val="24"/>
                <w14:textFill>
                  <w14:solidFill>
                    <w14:schemeClr w14:val="tx1"/>
                  </w14:solidFill>
                </w14:textFill>
              </w:rPr>
              <w:t>，呈白色结晶状，可溶于水、丙酮，不溶于乙醇、乙醚及苯。加热至熔点附近会释放水与甲醛形成无色液体，继续加热则转变为白色无定形固体。在碱性条件下（pH8-9）与甲醛发生羟甲基化反应，生成不同数目的N-羟甲基取代物；酸性条件（pH2-4）下可与甲醇发生醚化反应，调节粘度（25-5000mPas）和游离甲醛含量（≤0.25%-2%）。</w:t>
            </w:r>
          </w:p>
          <w:p w14:paraId="1E9C017C">
            <w:pPr>
              <w:numPr>
                <w:ilvl w:val="0"/>
                <w:numId w:val="5"/>
              </w:numPr>
              <w:spacing w:before="31" w:beforeLines="10" w:line="377" w:lineRule="auto"/>
              <w:ind w:firstLine="482" w:firstLineChars="200"/>
              <w:rPr>
                <w:rFonts w:hint="eastAsia"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b/>
                <w:bCs/>
                <w:color w:val="000000" w:themeColor="text1"/>
                <w:sz w:val="24"/>
                <w:lang w:eastAsia="zh-CN"/>
                <w14:textFill>
                  <w14:solidFill>
                    <w14:schemeClr w14:val="tx1"/>
                  </w14:solidFill>
                </w14:textFill>
              </w:rPr>
              <w:t>热熔胶：</w:t>
            </w:r>
            <w:r>
              <w:rPr>
                <w:rFonts w:hint="eastAsia" w:ascii="Times New Roman" w:hAnsi="Times New Roman" w:eastAsia="宋体"/>
                <w:color w:val="000000" w:themeColor="text1"/>
                <w:sz w:val="24"/>
                <w:lang w:val="en-US" w:eastAsia="zh-CN"/>
                <w14:textFill>
                  <w14:solidFill>
                    <w14:schemeClr w14:val="tx1"/>
                  </w14:solidFill>
                </w14:textFill>
              </w:rPr>
              <w:t>是一种环保型、无溶剂的热塑性胶。热熔胶被加热到一定温度时，即由固态转变为熔融态，当涂布到人造板基材或封边材料表面后，冷却变成固态，将材料与基材粘接在一起。项目使用热熔胶为白色圆液体，不溶于水，主要成分为聚氨酯。根据建设单位提供原料检测报告（详见附件8），本项目所用热熔胶符合《胶粘剂挥发性有机化合物限量》（GB 33372-2020）的限值要求。</w:t>
            </w:r>
          </w:p>
          <w:p w14:paraId="55C701E6">
            <w:pPr>
              <w:numPr>
                <w:ilvl w:val="0"/>
                <w:numId w:val="5"/>
              </w:numPr>
              <w:spacing w:before="31" w:beforeLines="10" w:line="377" w:lineRule="auto"/>
              <w:ind w:firstLine="482"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bCs/>
                <w:color w:val="000000" w:themeColor="text1"/>
                <w:sz w:val="24"/>
                <w:lang w:eastAsia="zh-CN"/>
                <w14:textFill>
                  <w14:solidFill>
                    <w14:schemeClr w14:val="tx1"/>
                  </w14:solidFill>
                </w14:textFill>
              </w:rPr>
              <w:t>液压油</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液压油</w:t>
            </w:r>
            <w:r>
              <w:rPr>
                <w:rFonts w:hint="eastAsia" w:ascii="Times New Roman" w:hAnsi="Times New Roman" w:eastAsia="宋体"/>
                <w:color w:val="000000" w:themeColor="text1"/>
                <w:sz w:val="24"/>
                <w14:textFill>
                  <w14:solidFill>
                    <w14:schemeClr w14:val="tx1"/>
                  </w14:solidFill>
                </w14:textFill>
              </w:rPr>
              <w:t>是用在各种类型汽车、机械设备上以减少摩擦，保护机械及加工件的液体或半固体润滑剂，主要起润滑、辅助冷却、防锈、清洁、密封和缓冲等的作用。一般由基础油和添加剂两部分组成。基础油是机油主要成分，决定着机油的基本性质，添加剂则可弥补和改善基础油性能方面的不足，赋予某些新的性能，是机油的重要组成部分。</w:t>
            </w:r>
          </w:p>
          <w:p w14:paraId="4EA0BF8D">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2.7、劳动定员及工作制度</w:t>
            </w:r>
          </w:p>
          <w:p w14:paraId="07E16CC0">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劳动定员：员工</w:t>
            </w:r>
            <w:r>
              <w:rPr>
                <w:rFonts w:hint="eastAsia" w:ascii="Times New Roman" w:hAnsi="Times New Roman" w:eastAsia="宋体"/>
                <w:color w:val="000000" w:themeColor="text1"/>
                <w:sz w:val="24"/>
                <w:lang w:val="en-US" w:eastAsia="zh-CN"/>
                <w14:textFill>
                  <w14:solidFill>
                    <w14:schemeClr w14:val="tx1"/>
                  </w14:solidFill>
                </w14:textFill>
              </w:rPr>
              <w:t>20</w:t>
            </w:r>
            <w:r>
              <w:rPr>
                <w:rFonts w:hint="eastAsia" w:ascii="Times New Roman" w:hAnsi="Times New Roman" w:eastAsia="宋体"/>
                <w:color w:val="000000" w:themeColor="text1"/>
                <w:sz w:val="24"/>
                <w14:textFill>
                  <w14:solidFill>
                    <w14:schemeClr w14:val="tx1"/>
                  </w14:solidFill>
                </w14:textFill>
              </w:rPr>
              <w:t>人，项目厂区不设食宿。</w:t>
            </w:r>
          </w:p>
          <w:p w14:paraId="6E15C422">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工作制度：项目年工作天数为250天，实行一班制生产，每班工作时间8小时，年工作时间</w:t>
            </w:r>
            <w:r>
              <w:rPr>
                <w:rFonts w:hint="eastAsia" w:ascii="Times New Roman" w:hAnsi="Times New Roman" w:eastAsia="宋体"/>
                <w:color w:val="000000" w:themeColor="text1"/>
                <w:sz w:val="24"/>
                <w:highlight w:val="none"/>
                <w14:textFill>
                  <w14:solidFill>
                    <w14:schemeClr w14:val="tx1"/>
                  </w14:solidFill>
                </w14:textFill>
              </w:rPr>
              <w:t>2000h。</w:t>
            </w:r>
          </w:p>
          <w:p w14:paraId="54124A01">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2.8、水平衡分析</w:t>
            </w:r>
          </w:p>
          <w:p w14:paraId="5CADF9BA">
            <w:pPr>
              <w:spacing w:line="377"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项目运营期供水全部依托</w:t>
            </w:r>
            <w:r>
              <w:rPr>
                <w:rFonts w:hint="eastAsia" w:ascii="Times New Roman" w:hAnsi="Times New Roman" w:eastAsia="宋体"/>
                <w:color w:val="000000" w:themeColor="text1"/>
                <w:sz w:val="24"/>
                <w:lang w:eastAsia="zh-CN"/>
                <w14:textFill>
                  <w14:solidFill>
                    <w14:schemeClr w14:val="tx1"/>
                  </w14:solidFill>
                </w14:textFill>
              </w:rPr>
              <w:t>盛德佳</w:t>
            </w:r>
            <w:r>
              <w:rPr>
                <w:rFonts w:hint="eastAsia" w:ascii="Times New Roman" w:hAnsi="Times New Roman" w:eastAsia="宋体"/>
                <w:color w:val="000000" w:themeColor="text1"/>
                <w:sz w:val="24"/>
                <w14:textFill>
                  <w14:solidFill>
                    <w14:schemeClr w14:val="tx1"/>
                  </w14:solidFill>
                </w14:textFill>
              </w:rPr>
              <w:t>公司现有供水管网供给，水源为城市自来水。车间地面采用干式清扫，不进行地面冲洗。</w:t>
            </w:r>
          </w:p>
          <w:p w14:paraId="19524DF5">
            <w:pPr>
              <w:spacing w:line="377"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w:t>
            </w:r>
            <w:r>
              <w:rPr>
                <w:rFonts w:hint="eastAsia" w:ascii="Times New Roman" w:hAnsi="Times New Roman" w:eastAsia="宋体"/>
                <w:color w:val="000000" w:themeColor="text1"/>
                <w:sz w:val="24"/>
                <w:u w:val="single"/>
                <w14:textFill>
                  <w14:solidFill>
                    <w14:schemeClr w14:val="tx1"/>
                  </w14:solidFill>
                </w14:textFill>
              </w:rPr>
              <w:t>主要用水节点如下</w:t>
            </w:r>
            <w:r>
              <w:rPr>
                <w:rFonts w:hint="eastAsia" w:ascii="Times New Roman" w:hAnsi="Times New Roman" w:eastAsia="宋体"/>
                <w:color w:val="000000" w:themeColor="text1"/>
                <w:sz w:val="24"/>
                <w14:textFill>
                  <w14:solidFill>
                    <w14:schemeClr w14:val="tx1"/>
                  </w14:solidFill>
                </w14:textFill>
              </w:rPr>
              <w:t>：</w:t>
            </w:r>
          </w:p>
          <w:p w14:paraId="05856D60">
            <w:pPr>
              <w:spacing w:before="31" w:beforeLines="10" w:after="31" w:afterLines="10" w:line="372" w:lineRule="auto"/>
              <w:ind w:firstLine="482" w:firstLineChars="200"/>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生产用水</w:t>
            </w:r>
          </w:p>
          <w:p w14:paraId="6AC1A648">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项目无生产废水。</w:t>
            </w:r>
          </w:p>
          <w:p w14:paraId="22151105">
            <w:pPr>
              <w:spacing w:before="31" w:beforeLines="10" w:after="31" w:afterLines="10" w:line="372" w:lineRule="auto"/>
              <w:ind w:firstLine="482"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生活用水</w:t>
            </w:r>
          </w:p>
          <w:p w14:paraId="1D3A9FC5">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本项目劳动定员</w:t>
            </w:r>
            <w:r>
              <w:rPr>
                <w:rFonts w:hint="eastAsia" w:ascii="Times New Roman" w:hAnsi="Times New Roman" w:eastAsia="宋体"/>
                <w:color w:val="000000" w:themeColor="text1"/>
                <w:sz w:val="24"/>
                <w:lang w:val="en-US" w:eastAsia="zh-CN"/>
                <w14:textFill>
                  <w14:solidFill>
                    <w14:schemeClr w14:val="tx1"/>
                  </w14:solidFill>
                </w14:textFill>
              </w:rPr>
              <w:t>20</w:t>
            </w:r>
            <w:r>
              <w:rPr>
                <w:rFonts w:hint="eastAsia" w:ascii="Times New Roman" w:hAnsi="Times New Roman" w:eastAsia="宋体"/>
                <w:color w:val="000000" w:themeColor="text1"/>
                <w:sz w:val="24"/>
                <w14:textFill>
                  <w14:solidFill>
                    <w14:schemeClr w14:val="tx1"/>
                  </w14:solidFill>
                </w14:textFill>
              </w:rPr>
              <w:t>人，项目厂区不提供食宿。参照《建筑给水排水设计规范》（GB50015-2019）的相关要求，人均用水量按50L/d计，根据《室外排水设计标准》（GB50014-2021）的相关规定，排水量按用水量的90%计，即排污系数取0.9。项目运营期生活污水依托</w:t>
            </w:r>
            <w:r>
              <w:rPr>
                <w:rFonts w:hint="eastAsia" w:ascii="Times New Roman" w:hAnsi="Times New Roman" w:eastAsia="宋体"/>
                <w:color w:val="000000" w:themeColor="text1"/>
                <w:sz w:val="24"/>
                <w:lang w:eastAsia="zh-CN"/>
                <w14:textFill>
                  <w14:solidFill>
                    <w14:schemeClr w14:val="tx1"/>
                  </w14:solidFill>
                </w14:textFill>
              </w:rPr>
              <w:t>盛德佳公司</w:t>
            </w:r>
            <w:r>
              <w:rPr>
                <w:rFonts w:hint="eastAsia" w:ascii="Times New Roman" w:hAnsi="Times New Roman" w:eastAsia="宋体"/>
                <w:color w:val="000000" w:themeColor="text1"/>
                <w:sz w:val="24"/>
                <w14:textFill>
                  <w14:solidFill>
                    <w14:schemeClr w14:val="tx1"/>
                  </w14:solidFill>
                </w14:textFill>
              </w:rPr>
              <w:t>已建成的生化池处理达《污水综合排放标准》（GB 8978-1996）三级标准后排入市政污水管网，进入西彭污水处理厂深度处理达标后排放，最终汇入长江。</w:t>
            </w:r>
          </w:p>
          <w:p w14:paraId="6D100FD2">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项目用、排水情况详见表2-9。</w:t>
            </w:r>
          </w:p>
          <w:p w14:paraId="5A146DE0">
            <w:pPr>
              <w:spacing w:line="360" w:lineRule="auto"/>
              <w:jc w:val="center"/>
              <w:rPr>
                <w:rFonts w:ascii="Times New Roman" w:hAnsi="Times New Roman" w:eastAsia="黑体"/>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表2-</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 xml:space="preserve">  项目用、排水情况一览表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33"/>
              <w:gridCol w:w="1239"/>
              <w:gridCol w:w="1191"/>
              <w:gridCol w:w="1126"/>
              <w:gridCol w:w="1126"/>
              <w:gridCol w:w="1134"/>
              <w:gridCol w:w="1194"/>
            </w:tblGrid>
            <w:tr w14:paraId="42356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vMerge w:val="restart"/>
                  <w:tcBorders>
                    <w:tl2br w:val="nil"/>
                    <w:tr2bl w:val="nil"/>
                  </w:tcBorders>
                  <w:vAlign w:val="center"/>
                </w:tcPr>
                <w:p w14:paraId="5CC7FEE5">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用水项目</w:t>
                  </w:r>
                </w:p>
              </w:tc>
              <w:tc>
                <w:tcPr>
                  <w:tcW w:w="733" w:type="pct"/>
                  <w:vMerge w:val="restart"/>
                  <w:tcBorders>
                    <w:tl2br w:val="nil"/>
                    <w:tr2bl w:val="nil"/>
                  </w:tcBorders>
                  <w:vAlign w:val="center"/>
                </w:tcPr>
                <w:p w14:paraId="7F8A6CD5">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用水标准</w:t>
                  </w:r>
                </w:p>
              </w:tc>
              <w:tc>
                <w:tcPr>
                  <w:tcW w:w="705" w:type="pct"/>
                  <w:vMerge w:val="restart"/>
                  <w:tcBorders>
                    <w:tl2br w:val="nil"/>
                    <w:tr2bl w:val="nil"/>
                  </w:tcBorders>
                  <w:vAlign w:val="center"/>
                </w:tcPr>
                <w:p w14:paraId="7C7E18D1">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规模</w:t>
                  </w:r>
                </w:p>
              </w:tc>
              <w:tc>
                <w:tcPr>
                  <w:tcW w:w="2005" w:type="pct"/>
                  <w:gridSpan w:val="3"/>
                  <w:tcBorders>
                    <w:tl2br w:val="nil"/>
                    <w:tr2bl w:val="nil"/>
                  </w:tcBorders>
                  <w:vAlign w:val="center"/>
                </w:tcPr>
                <w:p w14:paraId="0C8B0A6E">
                  <w:pPr>
                    <w:pStyle w:val="22"/>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日均用水量m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/d</w:t>
                  </w:r>
                </w:p>
              </w:tc>
              <w:tc>
                <w:tcPr>
                  <w:tcW w:w="707" w:type="pct"/>
                  <w:vMerge w:val="restart"/>
                  <w:tcBorders>
                    <w:tl2br w:val="nil"/>
                    <w:tr2bl w:val="nil"/>
                  </w:tcBorders>
                  <w:vAlign w:val="center"/>
                </w:tcPr>
                <w:p w14:paraId="4D1BE538">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废水量m</w:t>
                  </w:r>
                  <w:r>
                    <w:rPr>
                      <w:rFonts w:hint="eastAsia" w:ascii="Times New Roman" w:hAnsi="Times New Roman" w:eastAsia="宋体" w:cs="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14:textFill>
                        <w14:solidFill>
                          <w14:schemeClr w14:val="tx1"/>
                        </w14:solidFill>
                      </w14:textFill>
                    </w:rPr>
                    <w:t>/d</w:t>
                  </w:r>
                </w:p>
              </w:tc>
            </w:tr>
            <w:tr w14:paraId="76C00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vMerge w:val="continue"/>
                  <w:tcBorders>
                    <w:tl2br w:val="nil"/>
                    <w:tr2bl w:val="nil"/>
                  </w:tcBorders>
                  <w:vAlign w:val="center"/>
                </w:tcPr>
                <w:p w14:paraId="1578E0F3">
                  <w:pPr>
                    <w:widowControl/>
                    <w:spacing w:before="78" w:beforeLines="25" w:after="78" w:afterLines="25" w:line="288" w:lineRule="auto"/>
                    <w:jc w:val="center"/>
                    <w:rPr>
                      <w:rFonts w:ascii="Times New Roman" w:hAnsi="Times New Roman" w:eastAsia="宋体" w:cs="宋体"/>
                      <w:color w:val="000000" w:themeColor="text1"/>
                      <w:szCs w:val="21"/>
                      <w14:textFill>
                        <w14:solidFill>
                          <w14:schemeClr w14:val="tx1"/>
                        </w14:solidFill>
                      </w14:textFill>
                    </w:rPr>
                  </w:pPr>
                </w:p>
              </w:tc>
              <w:tc>
                <w:tcPr>
                  <w:tcW w:w="733" w:type="pct"/>
                  <w:vMerge w:val="continue"/>
                  <w:tcBorders>
                    <w:tl2br w:val="nil"/>
                    <w:tr2bl w:val="nil"/>
                  </w:tcBorders>
                  <w:vAlign w:val="center"/>
                </w:tcPr>
                <w:p w14:paraId="595A8851">
                  <w:pPr>
                    <w:widowControl/>
                    <w:spacing w:before="78" w:beforeLines="25" w:after="78" w:afterLines="25" w:line="288" w:lineRule="auto"/>
                    <w:jc w:val="center"/>
                    <w:rPr>
                      <w:rFonts w:ascii="Times New Roman" w:hAnsi="Times New Roman" w:eastAsia="宋体" w:cs="宋体"/>
                      <w:color w:val="000000" w:themeColor="text1"/>
                      <w:szCs w:val="21"/>
                      <w14:textFill>
                        <w14:solidFill>
                          <w14:schemeClr w14:val="tx1"/>
                        </w14:solidFill>
                      </w14:textFill>
                    </w:rPr>
                  </w:pPr>
                </w:p>
              </w:tc>
              <w:tc>
                <w:tcPr>
                  <w:tcW w:w="705" w:type="pct"/>
                  <w:vMerge w:val="continue"/>
                  <w:tcBorders>
                    <w:tl2br w:val="nil"/>
                    <w:tr2bl w:val="nil"/>
                  </w:tcBorders>
                  <w:vAlign w:val="center"/>
                </w:tcPr>
                <w:p w14:paraId="012C748E">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p>
              </w:tc>
              <w:tc>
                <w:tcPr>
                  <w:tcW w:w="667" w:type="pct"/>
                  <w:tcBorders>
                    <w:tl2br w:val="nil"/>
                    <w:tr2bl w:val="nil"/>
                  </w:tcBorders>
                  <w:vAlign w:val="center"/>
                </w:tcPr>
                <w:p w14:paraId="218018FF">
                  <w:pPr>
                    <w:pStyle w:val="22"/>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新鲜水</w:t>
                  </w:r>
                </w:p>
              </w:tc>
              <w:tc>
                <w:tcPr>
                  <w:tcW w:w="667" w:type="pct"/>
                  <w:tcBorders>
                    <w:tl2br w:val="nil"/>
                    <w:tr2bl w:val="nil"/>
                  </w:tcBorders>
                  <w:vAlign w:val="center"/>
                </w:tcPr>
                <w:p w14:paraId="4A4BA4F6">
                  <w:pPr>
                    <w:pStyle w:val="22"/>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回用水</w:t>
                  </w:r>
                </w:p>
              </w:tc>
              <w:tc>
                <w:tcPr>
                  <w:tcW w:w="670" w:type="pct"/>
                  <w:tcBorders>
                    <w:tl2br w:val="nil"/>
                    <w:tr2bl w:val="nil"/>
                  </w:tcBorders>
                  <w:vAlign w:val="center"/>
                </w:tcPr>
                <w:p w14:paraId="53044ACB">
                  <w:pPr>
                    <w:pStyle w:val="22"/>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小计</w:t>
                  </w:r>
                </w:p>
              </w:tc>
              <w:tc>
                <w:tcPr>
                  <w:tcW w:w="707" w:type="pct"/>
                  <w:vMerge w:val="continue"/>
                  <w:tcBorders>
                    <w:tl2br w:val="nil"/>
                    <w:tr2bl w:val="nil"/>
                  </w:tcBorders>
                  <w:vAlign w:val="center"/>
                </w:tcPr>
                <w:p w14:paraId="66B63299">
                  <w:pPr>
                    <w:pStyle w:val="22"/>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14:textFill>
                        <w14:solidFill>
                          <w14:schemeClr w14:val="tx1"/>
                        </w14:solidFill>
                      </w14:textFill>
                    </w:rPr>
                  </w:pPr>
                </w:p>
              </w:tc>
            </w:tr>
            <w:tr w14:paraId="5DBC0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vAlign w:val="center"/>
                </w:tcPr>
                <w:p w14:paraId="3F6C2D93">
                  <w:pPr>
                    <w:widowControl/>
                    <w:spacing w:before="78" w:beforeLines="25" w:after="78" w:afterLines="25" w:line="300" w:lineRule="auto"/>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生活污水</w:t>
                  </w:r>
                </w:p>
              </w:tc>
              <w:tc>
                <w:tcPr>
                  <w:tcW w:w="733" w:type="pct"/>
                  <w:tcBorders>
                    <w:tl2br w:val="nil"/>
                    <w:tr2bl w:val="nil"/>
                  </w:tcBorders>
                  <w:vAlign w:val="center"/>
                </w:tcPr>
                <w:p w14:paraId="341D3F56">
                  <w:pPr>
                    <w:widowControl/>
                    <w:spacing w:before="78" w:beforeLines="25" w:after="78" w:afterLines="25" w:line="300" w:lineRule="auto"/>
                    <w:jc w:val="center"/>
                    <w:rPr>
                      <w:rFonts w:ascii="Times New Roman" w:hAnsi="Times New Roman" w:eastAsia="宋体" w:cs="宋体"/>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50L/</w:t>
                  </w:r>
                  <w:r>
                    <w:rPr>
                      <w:rFonts w:hint="eastAsia" w:ascii="Times New Roman" w:hAnsi="Times New Roman" w:eastAsia="宋体" w:cs="宋体"/>
                      <w:color w:val="000000" w:themeColor="text1"/>
                      <w:kern w:val="0"/>
                      <w:szCs w:val="21"/>
                      <w:lang w:bidi="ar"/>
                      <w14:textFill>
                        <w14:solidFill>
                          <w14:schemeClr w14:val="tx1"/>
                        </w14:solidFill>
                      </w14:textFill>
                    </w:rPr>
                    <w:t>人·</w:t>
                  </w:r>
                  <w:r>
                    <w:rPr>
                      <w:rFonts w:ascii="Times New Roman" w:hAnsi="Times New Roman" w:eastAsia="宋体" w:cs="Times New Roman"/>
                      <w:color w:val="000000" w:themeColor="text1"/>
                      <w:kern w:val="0"/>
                      <w:szCs w:val="21"/>
                      <w:lang w:bidi="ar"/>
                      <w14:textFill>
                        <w14:solidFill>
                          <w14:schemeClr w14:val="tx1"/>
                        </w14:solidFill>
                      </w14:textFill>
                    </w:rPr>
                    <w:t>d</w:t>
                  </w:r>
                </w:p>
              </w:tc>
              <w:tc>
                <w:tcPr>
                  <w:tcW w:w="705" w:type="pct"/>
                  <w:tcBorders>
                    <w:tl2br w:val="nil"/>
                    <w:tr2bl w:val="nil"/>
                  </w:tcBorders>
                  <w:vAlign w:val="center"/>
                </w:tcPr>
                <w:p w14:paraId="6113A566">
                  <w:pPr>
                    <w:widowControl/>
                    <w:spacing w:before="78" w:beforeLines="25" w:after="78" w:afterLines="25" w:line="30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20</w:t>
                  </w:r>
                  <w:r>
                    <w:rPr>
                      <w:rFonts w:hint="eastAsia" w:ascii="Times New Roman" w:hAnsi="Times New Roman" w:eastAsia="宋体" w:cs="宋体"/>
                      <w:color w:val="000000" w:themeColor="text1"/>
                      <w:kern w:val="0"/>
                      <w:szCs w:val="21"/>
                      <w:lang w:bidi="ar"/>
                      <w14:textFill>
                        <w14:solidFill>
                          <w14:schemeClr w14:val="tx1"/>
                        </w14:solidFill>
                      </w14:textFill>
                    </w:rPr>
                    <w:t>人</w:t>
                  </w:r>
                </w:p>
              </w:tc>
              <w:tc>
                <w:tcPr>
                  <w:tcW w:w="667" w:type="pct"/>
                  <w:tcBorders>
                    <w:tl2br w:val="nil"/>
                    <w:tr2bl w:val="nil"/>
                  </w:tcBorders>
                  <w:vAlign w:val="center"/>
                </w:tcPr>
                <w:p w14:paraId="49BD2E1E">
                  <w:pPr>
                    <w:pStyle w:val="22"/>
                    <w:autoSpaceDE w:val="0"/>
                    <w:spacing w:before="78" w:beforeLines="25" w:beforeAutospacing="0" w:after="78" w:afterLines="25" w:afterAutospacing="0" w:line="300" w:lineRule="auto"/>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w:t>
                  </w:r>
                </w:p>
              </w:tc>
              <w:tc>
                <w:tcPr>
                  <w:tcW w:w="667" w:type="pct"/>
                  <w:tcBorders>
                    <w:tl2br w:val="nil"/>
                    <w:tr2bl w:val="nil"/>
                  </w:tcBorders>
                  <w:vAlign w:val="center"/>
                </w:tcPr>
                <w:p w14:paraId="799F1C99">
                  <w:pPr>
                    <w:pStyle w:val="22"/>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c>
                <w:tcPr>
                  <w:tcW w:w="670" w:type="pct"/>
                  <w:tcBorders>
                    <w:tl2br w:val="nil"/>
                    <w:tr2bl w:val="nil"/>
                  </w:tcBorders>
                  <w:vAlign w:val="center"/>
                </w:tcPr>
                <w:p w14:paraId="68190268">
                  <w:pPr>
                    <w:pStyle w:val="22"/>
                    <w:autoSpaceDE w:val="0"/>
                    <w:spacing w:before="78" w:beforeLines="25" w:beforeAutospacing="0" w:after="78" w:afterLines="25" w:afterAutospacing="0" w:line="30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w:t>
                  </w:r>
                </w:p>
              </w:tc>
              <w:tc>
                <w:tcPr>
                  <w:tcW w:w="707" w:type="pct"/>
                  <w:tcBorders>
                    <w:top w:val="single" w:color="auto" w:sz="4" w:space="0"/>
                  </w:tcBorders>
                  <w:vAlign w:val="center"/>
                </w:tcPr>
                <w:p w14:paraId="227E2E1E">
                  <w:pPr>
                    <w:pStyle w:val="22"/>
                    <w:autoSpaceDE w:val="0"/>
                    <w:spacing w:before="78" w:beforeLines="25" w:beforeAutospacing="0" w:after="78" w:afterLines="25" w:afterAutospacing="0" w:line="300" w:lineRule="auto"/>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0.9</w:t>
                  </w:r>
                </w:p>
              </w:tc>
            </w:tr>
            <w:tr w14:paraId="3E07F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vAlign w:val="center"/>
                </w:tcPr>
                <w:p w14:paraId="10BF6F28">
                  <w:pPr>
                    <w:pStyle w:val="22"/>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合    计</w:t>
                  </w:r>
                </w:p>
              </w:tc>
              <w:tc>
                <w:tcPr>
                  <w:tcW w:w="733" w:type="pct"/>
                  <w:tcBorders>
                    <w:tl2br w:val="nil"/>
                    <w:tr2bl w:val="nil"/>
                  </w:tcBorders>
                  <w:vAlign w:val="center"/>
                </w:tcPr>
                <w:p w14:paraId="1B180FE0">
                  <w:pPr>
                    <w:pStyle w:val="22"/>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w:t>
                  </w:r>
                </w:p>
              </w:tc>
              <w:tc>
                <w:tcPr>
                  <w:tcW w:w="705" w:type="pct"/>
                  <w:tcBorders>
                    <w:tl2br w:val="nil"/>
                    <w:tr2bl w:val="nil"/>
                  </w:tcBorders>
                  <w:vAlign w:val="center"/>
                </w:tcPr>
                <w:p w14:paraId="0525BCA6">
                  <w:pPr>
                    <w:pStyle w:val="22"/>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w:t>
                  </w:r>
                </w:p>
              </w:tc>
              <w:tc>
                <w:tcPr>
                  <w:tcW w:w="667" w:type="pct"/>
                  <w:tcBorders>
                    <w:tl2br w:val="nil"/>
                    <w:tr2bl w:val="nil"/>
                  </w:tcBorders>
                  <w:vAlign w:val="center"/>
                </w:tcPr>
                <w:p w14:paraId="13C2EF98">
                  <w:pPr>
                    <w:pStyle w:val="22"/>
                    <w:autoSpaceDE w:val="0"/>
                    <w:spacing w:before="78" w:beforeLines="25" w:beforeAutospacing="0" w:after="78" w:afterLines="25" w:afterAutospacing="0" w:line="300" w:lineRule="auto"/>
                    <w:jc w:val="center"/>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1</w:t>
                  </w:r>
                </w:p>
              </w:tc>
              <w:tc>
                <w:tcPr>
                  <w:tcW w:w="667" w:type="pct"/>
                  <w:tcBorders>
                    <w:tl2br w:val="nil"/>
                    <w:tr2bl w:val="nil"/>
                  </w:tcBorders>
                  <w:vAlign w:val="center"/>
                </w:tcPr>
                <w:p w14:paraId="386E520B">
                  <w:pPr>
                    <w:pStyle w:val="22"/>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0</w:t>
                  </w:r>
                </w:p>
              </w:tc>
              <w:tc>
                <w:tcPr>
                  <w:tcW w:w="670" w:type="pct"/>
                  <w:tcBorders>
                    <w:tl2br w:val="nil"/>
                    <w:tr2bl w:val="nil"/>
                  </w:tcBorders>
                  <w:vAlign w:val="center"/>
                </w:tcPr>
                <w:p w14:paraId="7B4E2FD5">
                  <w:pPr>
                    <w:pStyle w:val="22"/>
                    <w:autoSpaceDE w:val="0"/>
                    <w:spacing w:before="78" w:beforeLines="25" w:beforeAutospacing="0" w:after="78" w:afterLines="25" w:afterAutospacing="0" w:line="300" w:lineRule="auto"/>
                    <w:jc w:val="center"/>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0.9</w:t>
                  </w:r>
                </w:p>
              </w:tc>
              <w:tc>
                <w:tcPr>
                  <w:tcW w:w="707" w:type="pct"/>
                  <w:tcBorders>
                    <w:tl2br w:val="nil"/>
                    <w:tr2bl w:val="nil"/>
                  </w:tcBorders>
                  <w:vAlign w:val="center"/>
                </w:tcPr>
                <w:p w14:paraId="018DF54B">
                  <w:pPr>
                    <w:pStyle w:val="22"/>
                    <w:autoSpaceDE w:val="0"/>
                    <w:spacing w:before="78" w:beforeLines="25" w:beforeAutospacing="0" w:after="78" w:afterLines="25" w:afterAutospacing="0" w:line="300" w:lineRule="auto"/>
                    <w:jc w:val="center"/>
                    <w:rPr>
                      <w:rFonts w:hint="default"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0.9</w:t>
                  </w:r>
                </w:p>
              </w:tc>
            </w:tr>
          </w:tbl>
          <w:p w14:paraId="5358064A">
            <w:pPr>
              <w:spacing w:before="31" w:beforeLines="10"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项目水平衡图如图2-</w:t>
            </w:r>
            <w:r>
              <w:rPr>
                <w:rFonts w:hint="eastAsia" w:ascii="Times New Roman" w:hAnsi="Times New Roman" w:eastAsia="宋体"/>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所示。</w:t>
            </w:r>
          </w:p>
          <w:p w14:paraId="72F638B8">
            <w:pPr>
              <w:pStyle w:val="22"/>
              <w:spacing w:before="0" w:beforeAutospacing="0" w:after="0" w:afterAutospacing="0" w:line="360" w:lineRule="auto"/>
              <w:jc w:val="center"/>
              <w:rPr>
                <w:rFonts w:ascii="Times New Roman" w:hAnsi="Times New Roman" w:cs="宋体"/>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025" o:spt="75" type="#_x0000_t75" style="height:95.4pt;width:371.5pt;" o:ole="t" filled="f" o:preferrelative="t" stroked="f" coordsize="21600,21600">
                  <v:path/>
                  <v:fill on="f" focussize="0,0"/>
                  <v:stroke on="f"/>
                  <v:imagedata r:id="rId10" cropbottom="21620f" o:title=""/>
                  <o:lock v:ext="edit" aspectratio="t"/>
                  <w10:wrap type="none"/>
                  <w10:anchorlock/>
                </v:shape>
                <o:OLEObject Type="Embed" ProgID="Visio.Drawing.11" ShapeID="_x0000_i1025" DrawAspect="Content" ObjectID="_1468075725" r:id="rId9">
                  <o:LockedField>false</o:LockedField>
                </o:OLEObject>
              </w:object>
            </w:r>
          </w:p>
          <w:p w14:paraId="6AEAE400">
            <w:pPr>
              <w:spacing w:line="360" w:lineRule="auto"/>
              <w:jc w:val="center"/>
              <w:rPr>
                <w:rFonts w:ascii="Times New Roman" w:hAnsi="Times New Roman" w:eastAsia="黑体"/>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图2-</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 xml:space="preserve">  项目水平衡图</w:t>
            </w:r>
            <w:r>
              <w:rPr>
                <w:rFonts w:hint="eastAsia" w:ascii="Times New Roman" w:hAnsi="Times New Roman" w:eastAsia="黑体"/>
                <w:color w:val="000000" w:themeColor="text1"/>
                <w:sz w:val="24"/>
                <w14:textFill>
                  <w14:solidFill>
                    <w14:schemeClr w14:val="tx1"/>
                  </w14:solidFill>
                </w14:textFill>
              </w:rPr>
              <w:t>（m</w:t>
            </w:r>
            <w:r>
              <w:rPr>
                <w:rFonts w:hint="eastAsia" w:ascii="Times New Roman" w:hAnsi="Times New Roman" w:eastAsia="黑体"/>
                <w:color w:val="000000" w:themeColor="text1"/>
                <w:sz w:val="24"/>
                <w:vertAlign w:val="superscript"/>
                <w14:textFill>
                  <w14:solidFill>
                    <w14:schemeClr w14:val="tx1"/>
                  </w14:solidFill>
                </w14:textFill>
              </w:rPr>
              <w:t>3</w:t>
            </w:r>
            <w:r>
              <w:rPr>
                <w:rFonts w:hint="eastAsia" w:ascii="Times New Roman" w:hAnsi="Times New Roman" w:eastAsia="黑体"/>
                <w:color w:val="000000" w:themeColor="text1"/>
                <w:sz w:val="24"/>
                <w14:textFill>
                  <w14:solidFill>
                    <w14:schemeClr w14:val="tx1"/>
                  </w14:solidFill>
                </w14:textFill>
              </w:rPr>
              <w:t>/d）</w:t>
            </w:r>
          </w:p>
          <w:p w14:paraId="5039C943">
            <w:pPr>
              <w:spacing w:before="31" w:beforeLines="10" w:after="31" w:afterLines="1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2.9、厂区平面布置</w:t>
            </w:r>
          </w:p>
          <w:p w14:paraId="53EAF385">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建设单位租赁的厂房为</w:t>
            </w:r>
            <w:r>
              <w:rPr>
                <w:rFonts w:hint="eastAsia" w:ascii="Times New Roman" w:hAnsi="Times New Roman" w:eastAsia="宋体"/>
                <w:color w:val="000000" w:themeColor="text1"/>
                <w:sz w:val="24"/>
                <w:lang w:eastAsia="zh-CN"/>
                <w14:textFill>
                  <w14:solidFill>
                    <w14:schemeClr w14:val="tx1"/>
                  </w14:solidFill>
                </w14:textFill>
              </w:rPr>
              <w:t>盛德佳</w:t>
            </w:r>
            <w:r>
              <w:rPr>
                <w:rFonts w:hint="eastAsia" w:ascii="Times New Roman" w:hAnsi="Times New Roman" w:eastAsia="宋体"/>
                <w:color w:val="000000" w:themeColor="text1"/>
                <w:sz w:val="24"/>
                <w14:textFill>
                  <w14:solidFill>
                    <w14:schemeClr w14:val="tx1"/>
                  </w14:solidFill>
                </w14:textFill>
              </w:rPr>
              <w:t>生产厂房。厂房</w:t>
            </w:r>
            <w:r>
              <w:rPr>
                <w:rFonts w:hint="eastAsia" w:ascii="Times New Roman" w:hAnsi="Times New Roman" w:eastAsia="宋体"/>
                <w:color w:val="000000" w:themeColor="text1"/>
                <w:sz w:val="24"/>
                <w:lang w:eastAsia="zh-CN"/>
                <w14:textFill>
                  <w14:solidFill>
                    <w14:schemeClr w14:val="tx1"/>
                  </w14:solidFill>
                </w14:textFill>
              </w:rPr>
              <w:t>南侧</w:t>
            </w:r>
            <w:r>
              <w:rPr>
                <w:rFonts w:hint="eastAsia" w:ascii="Times New Roman" w:hAnsi="Times New Roman" w:eastAsia="宋体"/>
                <w:color w:val="000000" w:themeColor="text1"/>
                <w:sz w:val="24"/>
                <w14:textFill>
                  <w14:solidFill>
                    <w14:schemeClr w14:val="tx1"/>
                  </w14:solidFill>
                </w14:textFill>
              </w:rPr>
              <w:t>用于布置</w:t>
            </w:r>
            <w:r>
              <w:rPr>
                <w:rFonts w:hint="eastAsia" w:ascii="Times New Roman" w:hAnsi="Times New Roman" w:eastAsia="宋体"/>
                <w:color w:val="000000" w:themeColor="text1"/>
                <w:sz w:val="24"/>
                <w:lang w:eastAsia="zh-CN"/>
                <w14:textFill>
                  <w14:solidFill>
                    <w14:schemeClr w14:val="tx1"/>
                  </w14:solidFill>
                </w14:textFill>
              </w:rPr>
              <w:t>热压机及模温机</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厂房中部主要为原料库房</w:t>
            </w:r>
            <w:r>
              <w:rPr>
                <w:rFonts w:hint="eastAsia" w:ascii="Times New Roman" w:hAnsi="Times New Roman" w:eastAsia="宋体"/>
                <w:color w:val="000000" w:themeColor="text1"/>
                <w:sz w:val="24"/>
                <w14:textFill>
                  <w14:solidFill>
                    <w14:schemeClr w14:val="tx1"/>
                  </w14:solidFill>
                </w14:textFill>
              </w:rPr>
              <w:t>；厂房</w:t>
            </w:r>
            <w:r>
              <w:rPr>
                <w:rFonts w:hint="eastAsia" w:ascii="Times New Roman" w:hAnsi="Times New Roman" w:eastAsia="宋体"/>
                <w:color w:val="000000" w:themeColor="text1"/>
                <w:sz w:val="24"/>
                <w:lang w:eastAsia="zh-CN"/>
                <w14:textFill>
                  <w14:solidFill>
                    <w14:schemeClr w14:val="tx1"/>
                  </w14:solidFill>
                </w14:textFill>
              </w:rPr>
              <w:t>北侧</w:t>
            </w:r>
            <w:r>
              <w:rPr>
                <w:rFonts w:hint="eastAsia" w:ascii="Times New Roman" w:hAnsi="Times New Roman" w:eastAsia="宋体"/>
                <w:color w:val="000000" w:themeColor="text1"/>
                <w:sz w:val="24"/>
                <w14:textFill>
                  <w14:solidFill>
                    <w14:schemeClr w14:val="tx1"/>
                  </w14:solidFill>
                </w14:textFill>
              </w:rPr>
              <w:t>主要布置</w:t>
            </w:r>
            <w:r>
              <w:rPr>
                <w:rFonts w:hint="eastAsia" w:ascii="Times New Roman" w:hAnsi="Times New Roman" w:eastAsia="宋体"/>
                <w:color w:val="000000" w:themeColor="text1"/>
                <w:sz w:val="24"/>
                <w:lang w:eastAsia="zh-CN"/>
                <w14:textFill>
                  <w14:solidFill>
                    <w14:schemeClr w14:val="tx1"/>
                  </w14:solidFill>
                </w14:textFill>
              </w:rPr>
              <w:t>包覆机及成品库，争取西侧主要布置有包覆纸库及浸胶纸库房</w:t>
            </w:r>
            <w:r>
              <w:rPr>
                <w:rFonts w:hint="eastAsia" w:ascii="Times New Roman" w:hAnsi="Times New Roman" w:eastAsia="宋体"/>
                <w:color w:val="000000" w:themeColor="text1"/>
                <w:sz w:val="24"/>
                <w14:textFill>
                  <w14:solidFill>
                    <w14:schemeClr w14:val="tx1"/>
                  </w14:solidFill>
                </w14:textFill>
              </w:rPr>
              <w:t>。项目平面布置详见</w:t>
            </w:r>
            <w:r>
              <w:rPr>
                <w:rFonts w:hint="eastAsia" w:ascii="Times New Roman" w:hAnsi="Times New Roman" w:eastAsia="宋体"/>
                <w:color w:val="000000" w:themeColor="text1"/>
                <w:sz w:val="24"/>
                <w:u w:val="single"/>
                <w14:textFill>
                  <w14:solidFill>
                    <w14:schemeClr w14:val="tx1"/>
                  </w14:solidFill>
                </w14:textFill>
              </w:rPr>
              <w:t>附图3</w:t>
            </w:r>
            <w:r>
              <w:rPr>
                <w:rFonts w:hint="eastAsia" w:ascii="Times New Roman" w:hAnsi="Times New Roman" w:eastAsia="宋体"/>
                <w:color w:val="000000" w:themeColor="text1"/>
                <w:sz w:val="24"/>
                <w14:textFill>
                  <w14:solidFill>
                    <w14:schemeClr w14:val="tx1"/>
                  </w14:solidFill>
                </w14:textFill>
              </w:rPr>
              <w:t>。</w:t>
            </w:r>
          </w:p>
          <w:p w14:paraId="778D0988">
            <w:pPr>
              <w:spacing w:line="372"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项目整个布置可做到物流、人流和信息流的流向清晰、明确，互不交叉和干扰；生产线的布置符合生产程序的物流走向。平面布局总体上功能组织合理、用地配置得当、结构清晰、道路顺畅，符合环保要求。</w:t>
            </w:r>
          </w:p>
        </w:tc>
      </w:tr>
      <w:tr w14:paraId="57ED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64" w:hRule="atLeast"/>
        </w:trPr>
        <w:tc>
          <w:tcPr>
            <w:tcW w:w="357" w:type="pct"/>
            <w:vAlign w:val="center"/>
          </w:tcPr>
          <w:p w14:paraId="1FFCF58F">
            <w:pPr>
              <w:spacing w:line="360" w:lineRule="auto"/>
              <w:jc w:val="center"/>
              <w:rPr>
                <w:rFonts w:ascii="Times New Roman" w:hAnsi="Times New Roman"/>
                <w:b/>
                <w:bCs/>
                <w:sz w:val="24"/>
              </w:rPr>
            </w:pPr>
            <w:r>
              <w:rPr>
                <w:rFonts w:hint="eastAsia" w:ascii="Times New Roman" w:hAnsi="Times New Roman"/>
                <w:b/>
                <w:bCs/>
                <w:sz w:val="24"/>
              </w:rPr>
              <w:t>工艺流程和产排污环节</w:t>
            </w:r>
          </w:p>
        </w:tc>
        <w:tc>
          <w:tcPr>
            <w:tcW w:w="4642" w:type="pct"/>
            <w:vAlign w:val="center"/>
          </w:tcPr>
          <w:p w14:paraId="4665281F">
            <w:pPr>
              <w:spacing w:before="31" w:beforeLines="10" w:after="31" w:afterLines="10" w:line="360" w:lineRule="auto"/>
              <w:rPr>
                <w:rFonts w:ascii="Times New Roman" w:hAnsi="Times New Roman" w:eastAsia="宋体"/>
                <w:b/>
                <w:bCs/>
                <w:sz w:val="24"/>
              </w:rPr>
            </w:pPr>
            <w:r>
              <w:rPr>
                <w:rFonts w:hint="eastAsia" w:ascii="Times New Roman" w:hAnsi="Times New Roman" w:eastAsia="宋体"/>
                <w:b/>
                <w:bCs/>
                <w:sz w:val="24"/>
              </w:rPr>
              <w:t>2.10、施工期工艺流程和产排污环节</w:t>
            </w:r>
          </w:p>
          <w:p w14:paraId="31C0F771">
            <w:pPr>
              <w:pStyle w:val="45"/>
              <w:spacing w:line="360" w:lineRule="auto"/>
              <w:rPr>
                <w:rFonts w:ascii="Times New Roman" w:hAnsi="Times New Roman" w:eastAsia="宋体" w:cstheme="minorBidi"/>
                <w:kern w:val="2"/>
                <w:sz w:val="24"/>
              </w:rPr>
            </w:pPr>
            <w:r>
              <w:rPr>
                <w:rFonts w:hint="eastAsia" w:ascii="Times New Roman" w:hAnsi="Times New Roman" w:eastAsia="宋体" w:cstheme="minorBidi"/>
                <w:kern w:val="2"/>
                <w:sz w:val="24"/>
              </w:rPr>
              <w:t>项目租用已建成厂房，施工期主要是利用现有厂房进行新增设备安装，工期较短，土建施工较少，施工活动对周边环境影响较小。</w:t>
            </w:r>
          </w:p>
          <w:p w14:paraId="5227E9C0">
            <w:pPr>
              <w:spacing w:before="31" w:beforeLines="10" w:after="31" w:afterLines="10" w:line="360" w:lineRule="auto"/>
              <w:ind w:firstLine="480" w:firstLineChars="200"/>
              <w:rPr>
                <w:rFonts w:hint="eastAsia" w:ascii="Times New Roman" w:hAnsi="Times New Roman" w:eastAsia="宋体"/>
                <w:sz w:val="24"/>
              </w:rPr>
            </w:pPr>
            <w:r>
              <w:rPr>
                <w:rFonts w:hint="eastAsia" w:ascii="Times New Roman" w:hAnsi="Times New Roman" w:eastAsia="宋体"/>
                <w:sz w:val="24"/>
              </w:rPr>
              <w:t>施工期废气主要是运输车辆产生的尾气，施工期废水主要为施工人员的生活污水，施工期噪声主要来源于施工现场各类机械设备和物料运输的交通噪声，施工期固体废物主要为改造过程中产生的建筑垃圾以及设备安</w:t>
            </w:r>
          </w:p>
          <w:p w14:paraId="52E17D25">
            <w:pPr>
              <w:spacing w:before="31" w:beforeLines="10" w:after="31" w:afterLines="10" w:line="360" w:lineRule="auto"/>
              <w:ind w:firstLine="480" w:firstLineChars="200"/>
              <w:rPr>
                <w:rFonts w:ascii="Times New Roman" w:hAnsi="Times New Roman" w:eastAsia="宋体"/>
                <w:sz w:val="24"/>
              </w:rPr>
            </w:pPr>
            <w:r>
              <w:rPr>
                <w:rFonts w:hint="eastAsia" w:ascii="Times New Roman" w:hAnsi="Times New Roman" w:eastAsia="宋体"/>
                <w:sz w:val="24"/>
              </w:rPr>
              <w:t>装过程中产生的固体废物和施工人员的生活垃圾。</w:t>
            </w:r>
          </w:p>
          <w:p w14:paraId="2F8ADF24">
            <w:pPr>
              <w:spacing w:before="31" w:beforeLines="10" w:after="31" w:afterLines="10" w:line="372" w:lineRule="auto"/>
              <w:rPr>
                <w:rFonts w:ascii="Times New Roman" w:hAnsi="Times New Roman" w:eastAsia="宋体"/>
                <w:b/>
                <w:bCs/>
                <w:sz w:val="24"/>
              </w:rPr>
            </w:pPr>
            <w:r>
              <w:rPr>
                <w:rFonts w:hint="eastAsia" w:ascii="Times New Roman" w:hAnsi="Times New Roman" w:eastAsia="宋体"/>
                <w:b/>
                <w:bCs/>
                <w:sz w:val="24"/>
              </w:rPr>
              <w:t>2.11、运营期工艺流程和产排污环节</w:t>
            </w:r>
          </w:p>
          <w:p w14:paraId="7D9F34BA">
            <w:pPr>
              <w:spacing w:line="372" w:lineRule="auto"/>
              <w:ind w:firstLine="480" w:firstLineChars="200"/>
              <w:rPr>
                <w:rFonts w:hint="default" w:ascii="Times New Roman" w:hAnsi="Times New Roman" w:eastAsia="宋体"/>
                <w:sz w:val="24"/>
                <w:lang w:val="en-US" w:eastAsia="zh-CN"/>
              </w:rPr>
            </w:pPr>
            <w:r>
              <w:rPr>
                <w:rFonts w:hint="eastAsia" w:ascii="Times New Roman" w:hAnsi="Times New Roman" w:eastAsia="宋体"/>
                <w:sz w:val="24"/>
              </w:rPr>
              <w:t>项目</w:t>
            </w:r>
            <w:r>
              <w:rPr>
                <w:rFonts w:hint="eastAsia" w:ascii="Times New Roman" w:hAnsi="Times New Roman" w:eastAsia="宋体"/>
                <w:sz w:val="24"/>
                <w:lang w:eastAsia="zh-CN"/>
              </w:rPr>
              <w:t>主要从事面漆门面饰板生产，主要分为面板生产和边条生产</w:t>
            </w:r>
            <w:r>
              <w:rPr>
                <w:rFonts w:hint="eastAsia" w:ascii="Times New Roman" w:hAnsi="Times New Roman" w:eastAsia="宋体"/>
                <w:sz w:val="24"/>
              </w:rPr>
              <w:t>，</w:t>
            </w:r>
            <w:r>
              <w:rPr>
                <w:rFonts w:hint="eastAsia" w:ascii="Times New Roman" w:hAnsi="Times New Roman" w:eastAsia="宋体"/>
                <w:sz w:val="24"/>
                <w:u w:val="single"/>
              </w:rPr>
              <w:t>工艺流程及产污环节具体如下图</w:t>
            </w:r>
            <w:r>
              <w:rPr>
                <w:rFonts w:hint="eastAsia" w:ascii="Times New Roman" w:hAnsi="Times New Roman" w:eastAsia="宋体"/>
                <w:sz w:val="24"/>
              </w:rPr>
              <w:t>：</w:t>
            </w:r>
          </w:p>
          <w:p w14:paraId="5FB6BCCD">
            <w:pPr>
              <w:pStyle w:val="3"/>
              <w:ind w:firstLine="422"/>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1）免漆门面板生产</w:t>
            </w:r>
            <w:r>
              <w:rPr>
                <w:rFonts w:hint="eastAsia" w:ascii="Times New Roman" w:hAnsi="Times New Roman" w:cs="Times New Roman"/>
                <w:sz w:val="24"/>
                <w:szCs w:val="24"/>
                <w:lang w:val="en-US" w:eastAsia="zh-CN"/>
              </w:rPr>
              <w:t>工艺</w:t>
            </w:r>
          </w:p>
          <w:p w14:paraId="007600C8">
            <w:pPr>
              <w:pStyle w:val="45"/>
              <w:ind w:firstLine="0" w:firstLineChars="0"/>
              <w:jc w:val="center"/>
            </w:pPr>
            <w:r>
              <w:rPr>
                <w:lang w:val="en-US" w:eastAsia="zh-CN"/>
              </w:rPr>
              <w:object>
                <v:shape id="_x0000_i1026" o:spt="75" type="#_x0000_t75" style="height:158.8pt;width:403.55pt;" o:ole="t" filled="f" o:preferrelative="t" stroked="f" coordsize="21600,21600">
                  <v:path/>
                  <v:fill on="f" focussize="0,0"/>
                  <v:stroke on="f"/>
                  <v:imagedata r:id="rId12" o:title=""/>
                  <o:lock v:ext="edit" aspectratio="t"/>
                  <w10:wrap type="none"/>
                  <w10:anchorlock/>
                </v:shape>
                <o:OLEObject Type="Embed" ProgID="Visio.Drawing.11" ShapeID="_x0000_i1026" DrawAspect="Content" ObjectID="_1468075726" r:id="rId11">
                  <o:LockedField>false</o:LockedField>
                </o:OLEObject>
              </w:object>
            </w:r>
          </w:p>
          <w:p w14:paraId="4A08B93F">
            <w:pPr>
              <w:pStyle w:val="47"/>
              <w:spacing w:after="156"/>
              <w:rPr>
                <w:rFonts w:ascii="Times New Roman" w:hAnsi="Times New Roman" w:eastAsia="宋体" w:cs="Times New Roman"/>
                <w:b/>
                <w:bCs/>
                <w:sz w:val="24"/>
                <w:u w:val="double"/>
              </w:rPr>
            </w:pPr>
            <w:bookmarkStart w:id="5" w:name="_Ref19693"/>
            <w:r>
              <w:rPr>
                <w:rFonts w:ascii="Times New Roman" w:hAnsi="Times New Roman" w:eastAsia="宋体" w:cs="Times New Roman"/>
                <w:sz w:val="24"/>
              </w:rPr>
              <w:t>图2-</w:t>
            </w:r>
            <w:bookmarkEnd w:id="5"/>
            <w:r>
              <w:rPr>
                <w:rFonts w:hint="eastAsia" w:ascii="Times New Roman" w:hAnsi="Times New Roman" w:eastAsia="宋体" w:cs="Times New Roman"/>
                <w:sz w:val="24"/>
                <w:lang w:val="en-US" w:eastAsia="zh-CN"/>
              </w:rPr>
              <w:t>3</w:t>
            </w:r>
            <w:r>
              <w:rPr>
                <w:rFonts w:ascii="Times New Roman" w:hAnsi="Times New Roman" w:eastAsia="宋体" w:cs="Times New Roman"/>
                <w:sz w:val="24"/>
              </w:rPr>
              <w:t xml:space="preserve"> 项目</w:t>
            </w:r>
            <w:r>
              <w:rPr>
                <w:rFonts w:hint="eastAsia" w:ascii="Times New Roman" w:hAnsi="Times New Roman" w:eastAsia="宋体" w:cs="Times New Roman"/>
                <w:sz w:val="24"/>
                <w:lang w:eastAsia="zh-CN"/>
              </w:rPr>
              <w:t>免漆门面饰板</w:t>
            </w:r>
            <w:r>
              <w:rPr>
                <w:rFonts w:ascii="Times New Roman" w:hAnsi="Times New Roman" w:eastAsia="宋体" w:cs="Times New Roman"/>
                <w:sz w:val="24"/>
              </w:rPr>
              <w:t>生产工艺流程及产污环节示意图</w:t>
            </w:r>
          </w:p>
          <w:p w14:paraId="4BB76F64">
            <w:pPr>
              <w:pStyle w:val="45"/>
              <w:spacing w:line="360" w:lineRule="auto"/>
              <w:ind w:firstLine="482"/>
              <w:rPr>
                <w:rFonts w:ascii="Times New Roman" w:hAnsi="Times New Roman" w:cs="Times New Roman"/>
                <w:b/>
                <w:bCs/>
                <w:sz w:val="24"/>
                <w:u w:val="double"/>
              </w:rPr>
            </w:pPr>
            <w:r>
              <w:rPr>
                <w:rFonts w:ascii="Times New Roman" w:hAnsi="Times New Roman" w:cs="Times New Roman"/>
                <w:b/>
                <w:bCs/>
                <w:sz w:val="24"/>
                <w:u w:val="double"/>
              </w:rPr>
              <w:t>生产工艺简述：</w:t>
            </w:r>
          </w:p>
          <w:p w14:paraId="2784F61D">
            <w:pPr>
              <w:pStyle w:val="45"/>
              <w:spacing w:line="360" w:lineRule="auto"/>
              <w:ind w:firstLine="482"/>
              <w:rPr>
                <w:rFonts w:hint="eastAsia" w:ascii="Times New Roman" w:eastAsia="宋体"/>
                <w:bCs/>
                <w:sz w:val="24"/>
                <w:lang w:eastAsia="zh-CN"/>
              </w:rPr>
            </w:pPr>
            <w:r>
              <w:rPr>
                <w:rFonts w:hint="eastAsia" w:ascii="Times New Roman" w:hAnsi="Times New Roman" w:cs="Times New Roman"/>
                <w:b/>
                <w:bCs/>
                <w:sz w:val="24"/>
                <w:lang w:eastAsia="zh-CN"/>
              </w:rPr>
              <w:t>上板</w:t>
            </w:r>
            <w:r>
              <w:rPr>
                <w:rFonts w:ascii="Times New Roman" w:hAnsi="Times New Roman" w:cs="Times New Roman"/>
                <w:b/>
                <w:bCs/>
                <w:sz w:val="24"/>
              </w:rPr>
              <w:t>：</w:t>
            </w:r>
            <w:r>
              <w:rPr>
                <w:rFonts w:hint="eastAsia" w:ascii="Times New Roman" w:eastAsia="宋体"/>
                <w:bCs/>
                <w:sz w:val="24"/>
              </w:rPr>
              <w:t>项目采用一次双面贴合工艺，人工方式将</w:t>
            </w:r>
            <w:r>
              <w:rPr>
                <w:rFonts w:hint="eastAsia" w:ascii="Times New Roman" w:eastAsia="宋体"/>
                <w:bCs/>
                <w:sz w:val="24"/>
                <w:lang w:eastAsia="zh-CN"/>
              </w:rPr>
              <w:t>用于生产面板的中密度纤维板</w:t>
            </w:r>
            <w:r>
              <w:rPr>
                <w:rFonts w:hint="eastAsia" w:ascii="Times New Roman" w:eastAsia="宋体"/>
                <w:bCs/>
                <w:sz w:val="24"/>
              </w:rPr>
              <w:t>、三聚氰胺浸渍胶膜纸按照工艺要求依次叠放于上板平台</w:t>
            </w:r>
            <w:r>
              <w:rPr>
                <w:rFonts w:hint="eastAsia" w:ascii="Times New Roman" w:eastAsia="宋体"/>
                <w:bCs/>
                <w:sz w:val="24"/>
                <w:lang w:eastAsia="zh-CN"/>
              </w:rPr>
              <w:t>。项目用三聚氰胺浸胶纸、中密度纤维板均由供应商按使用尺寸加工完成，本项目不设切割工艺。</w:t>
            </w:r>
          </w:p>
          <w:p w14:paraId="1172AA8A">
            <w:pPr>
              <w:pStyle w:val="45"/>
              <w:spacing w:line="360" w:lineRule="auto"/>
              <w:ind w:firstLine="482"/>
              <w:rPr>
                <w:rFonts w:hint="eastAsia" w:ascii="Times New Roman" w:hAnsi="Times New Roman" w:cs="Times New Roman"/>
                <w:b w:val="0"/>
                <w:bCs w:val="0"/>
                <w:sz w:val="24"/>
                <w:lang w:eastAsia="zh-CN"/>
              </w:rPr>
            </w:pPr>
            <w:r>
              <w:rPr>
                <w:rFonts w:hint="eastAsia" w:ascii="Times New Roman" w:hAnsi="Times New Roman" w:cs="Times New Roman"/>
                <w:b/>
                <w:bCs/>
                <w:sz w:val="24"/>
                <w:lang w:eastAsia="zh-CN"/>
              </w:rPr>
              <w:t>热压</w:t>
            </w:r>
            <w:r>
              <w:rPr>
                <w:rFonts w:hint="eastAsia" w:ascii="Times New Roman" w:hAnsi="Times New Roman" w:cs="Times New Roman"/>
                <w:b w:val="0"/>
                <w:bCs w:val="0"/>
                <w:sz w:val="24"/>
                <w:lang w:eastAsia="zh-CN"/>
              </w:rPr>
              <w:t>：将天然气通入燃气模温机，燃烧天然气加热导热油，由热油泵将加热后的导热油输送至各个热压机导热板内，本项目共设置</w:t>
            </w:r>
            <w:r>
              <w:rPr>
                <w:rFonts w:hint="eastAsia" w:ascii="Times New Roman" w:hAnsi="Times New Roman" w:cs="Times New Roman"/>
                <w:b w:val="0"/>
                <w:bCs w:val="0"/>
                <w:sz w:val="24"/>
                <w:lang w:val="en-US" w:eastAsia="zh-CN"/>
              </w:rPr>
              <w:t>6台热压机，3台模温机，1台模温机为2台热压机供热。</w:t>
            </w:r>
            <w:r>
              <w:rPr>
                <w:rFonts w:hint="eastAsia" w:ascii="Times New Roman" w:hAnsi="Times New Roman" w:cs="Times New Roman"/>
                <w:b w:val="0"/>
                <w:bCs w:val="0"/>
                <w:sz w:val="24"/>
                <w:lang w:eastAsia="zh-CN"/>
              </w:rPr>
              <w:t>当导热板温度达到145℃～165℃时，将叠放好的三聚氰胺浸渍胶膜纸的板材人工推送至贴面机导热板上，启动热压机加压，保压约</w:t>
            </w:r>
            <w:r>
              <w:rPr>
                <w:rFonts w:hint="eastAsia" w:ascii="Times New Roman" w:hAnsi="Times New Roman" w:cs="Times New Roman"/>
                <w:b w:val="0"/>
                <w:bCs w:val="0"/>
                <w:sz w:val="24"/>
                <w:lang w:val="en-US" w:eastAsia="zh-CN"/>
              </w:rPr>
              <w:t>9</w:t>
            </w:r>
            <w:r>
              <w:rPr>
                <w:rFonts w:hint="eastAsia" w:ascii="Times New Roman" w:hAnsi="Times New Roman" w:cs="Times New Roman"/>
                <w:b w:val="0"/>
                <w:bCs w:val="0"/>
                <w:color w:val="000000" w:themeColor="text1"/>
                <w:sz w:val="24"/>
                <w:lang w:val="en-US" w:eastAsia="zh-CN"/>
                <w14:textFill>
                  <w14:solidFill>
                    <w14:schemeClr w14:val="tx1"/>
                  </w14:solidFill>
                </w14:textFill>
              </w:rPr>
              <w:t>0</w:t>
            </w:r>
            <w:r>
              <w:rPr>
                <w:rFonts w:hint="eastAsia" w:ascii="Times New Roman" w:hAnsi="Times New Roman" w:cs="Times New Roman"/>
                <w:b w:val="0"/>
                <w:bCs w:val="0"/>
                <w:color w:val="000000" w:themeColor="text1"/>
                <w:sz w:val="24"/>
                <w:lang w:eastAsia="zh-CN"/>
                <w14:textFill>
                  <w14:solidFill>
                    <w14:schemeClr w14:val="tx1"/>
                  </w14:solidFill>
                </w14:textFill>
              </w:rPr>
              <w:t>秒（不同板材的保压时间存在一定差异，评价单张板材保压时间按平均</w:t>
            </w:r>
            <w:r>
              <w:rPr>
                <w:rFonts w:hint="eastAsia" w:ascii="Times New Roman" w:hAnsi="Times New Roman" w:cs="Times New Roman"/>
                <w:b w:val="0"/>
                <w:bCs w:val="0"/>
                <w:color w:val="000000" w:themeColor="text1"/>
                <w:sz w:val="24"/>
                <w:lang w:val="en-US" w:eastAsia="zh-CN"/>
                <w14:textFill>
                  <w14:solidFill>
                    <w14:schemeClr w14:val="tx1"/>
                  </w14:solidFill>
                </w14:textFill>
              </w:rPr>
              <w:t>90</w:t>
            </w:r>
            <w:r>
              <w:rPr>
                <w:rFonts w:hint="eastAsia" w:ascii="Times New Roman" w:hAnsi="Times New Roman" w:cs="Times New Roman"/>
                <w:b w:val="0"/>
                <w:bCs w:val="0"/>
                <w:color w:val="000000" w:themeColor="text1"/>
                <w:sz w:val="24"/>
                <w:lang w:eastAsia="zh-CN"/>
                <w14:textFill>
                  <w14:solidFill>
                    <w14:schemeClr w14:val="tx1"/>
                  </w14:solidFill>
                </w14:textFill>
              </w:rPr>
              <w:t>秒计算）</w:t>
            </w:r>
            <w:r>
              <w:rPr>
                <w:rFonts w:hint="eastAsia" w:ascii="Times New Roman" w:hAnsi="Times New Roman" w:cs="Times New Roman"/>
                <w:b w:val="0"/>
                <w:bCs w:val="0"/>
                <w:sz w:val="24"/>
                <w:lang w:eastAsia="zh-CN"/>
              </w:rPr>
              <w:t>，三聚氰胺浸渍胶膜纸在热压机热压作用下粘附于板材之上，然后卸压出板，即为免漆门面饰板。</w:t>
            </w:r>
          </w:p>
          <w:p w14:paraId="0EC19D84">
            <w:pPr>
              <w:pStyle w:val="45"/>
              <w:spacing w:line="360" w:lineRule="auto"/>
              <w:ind w:firstLine="482"/>
              <w:rPr>
                <w:rFonts w:hint="eastAsia" w:ascii="Times New Roman" w:hAnsi="Times New Roman" w:cs="Times New Roman"/>
                <w:b w:val="0"/>
                <w:bCs w:val="0"/>
                <w:sz w:val="24"/>
                <w:lang w:eastAsia="zh-CN"/>
              </w:rPr>
            </w:pPr>
            <w:r>
              <w:rPr>
                <w:rFonts w:hint="eastAsia" w:ascii="Times New Roman" w:hAnsi="Times New Roman" w:cs="Times New Roman"/>
                <w:b w:val="0"/>
                <w:bCs w:val="0"/>
                <w:sz w:val="24"/>
                <w:lang w:eastAsia="zh-CN"/>
              </w:rPr>
              <w:t>此工序产生的污染主要为天然气燃烧废气（G</w:t>
            </w:r>
            <w:r>
              <w:rPr>
                <w:rFonts w:hint="eastAsia" w:ascii="Times New Roman" w:hAnsi="Times New Roman" w:cs="Times New Roman"/>
                <w:b w:val="0"/>
                <w:bCs w:val="0"/>
                <w:sz w:val="24"/>
                <w:lang w:val="en-US" w:eastAsia="zh-CN"/>
              </w:rPr>
              <w:t>2</w:t>
            </w:r>
            <w:r>
              <w:rPr>
                <w:rFonts w:hint="eastAsia" w:ascii="Times New Roman" w:hAnsi="Times New Roman" w:cs="Times New Roman"/>
                <w:b w:val="0"/>
                <w:bCs w:val="0"/>
                <w:sz w:val="24"/>
                <w:lang w:eastAsia="zh-CN"/>
              </w:rPr>
              <w:t>）、热压废气（G</w:t>
            </w:r>
            <w:r>
              <w:rPr>
                <w:rFonts w:hint="eastAsia" w:ascii="Times New Roman" w:hAnsi="Times New Roman" w:cs="Times New Roman"/>
                <w:b w:val="0"/>
                <w:bCs w:val="0"/>
                <w:sz w:val="24"/>
                <w:lang w:val="en-US" w:eastAsia="zh-CN"/>
              </w:rPr>
              <w:t>1</w:t>
            </w:r>
            <w:r>
              <w:rPr>
                <w:rFonts w:hint="eastAsia" w:ascii="Times New Roman" w:hAnsi="Times New Roman" w:cs="Times New Roman"/>
                <w:b w:val="0"/>
                <w:bCs w:val="0"/>
                <w:sz w:val="24"/>
                <w:lang w:eastAsia="zh-CN"/>
              </w:rPr>
              <w:t>）、噪声（N）。</w:t>
            </w:r>
          </w:p>
          <w:p w14:paraId="590857E7">
            <w:pPr>
              <w:pStyle w:val="3"/>
              <w:ind w:firstLine="422"/>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）免漆门</w:t>
            </w:r>
            <w:r>
              <w:rPr>
                <w:rFonts w:hint="eastAsia" w:ascii="Times New Roman" w:hAnsi="Times New Roman" w:cs="Times New Roman"/>
                <w:sz w:val="24"/>
                <w:szCs w:val="24"/>
                <w:lang w:val="en-US" w:eastAsia="zh-CN"/>
              </w:rPr>
              <w:t>边条</w:t>
            </w:r>
            <w:r>
              <w:rPr>
                <w:rFonts w:hint="default" w:ascii="Times New Roman" w:hAnsi="Times New Roman" w:cs="Times New Roman"/>
                <w:sz w:val="24"/>
                <w:szCs w:val="24"/>
                <w:lang w:val="en-US" w:eastAsia="zh-CN"/>
              </w:rPr>
              <w:t>生产</w:t>
            </w:r>
            <w:r>
              <w:rPr>
                <w:rFonts w:hint="eastAsia" w:ascii="Times New Roman" w:hAnsi="Times New Roman" w:cs="Times New Roman"/>
                <w:sz w:val="24"/>
                <w:szCs w:val="24"/>
                <w:lang w:val="en-US" w:eastAsia="zh-CN"/>
              </w:rPr>
              <w:t>工艺</w:t>
            </w:r>
          </w:p>
          <w:p w14:paraId="6404188C">
            <w:pPr>
              <w:pStyle w:val="47"/>
              <w:spacing w:after="156"/>
              <w:rPr>
                <w:rFonts w:ascii="Times New Roman" w:hAnsi="Times New Roman" w:eastAsia="宋体" w:cs="Times New Roman"/>
                <w:b/>
                <w:bCs/>
                <w:sz w:val="24"/>
                <w:u w:val="double"/>
              </w:rPr>
            </w:pPr>
            <w:r>
              <w:rPr>
                <w:lang w:val="en-US" w:eastAsia="zh-CN"/>
              </w:rPr>
              <w:object>
                <v:shape id="_x0000_i1027" o:spt="75" type="#_x0000_t75" style="height:158.8pt;width:403.55pt;" o:ole="t" filled="f" o:preferrelative="t" stroked="f" coordsize="21600,21600">
                  <v:path/>
                  <v:fill on="f" focussize="0,0"/>
                  <v:stroke on="f"/>
                  <v:imagedata r:id="rId14" o:title=""/>
                  <o:lock v:ext="edit" aspectratio="t"/>
                  <w10:wrap type="none"/>
                  <w10:anchorlock/>
                </v:shape>
                <o:OLEObject Type="Embed" ProgID="Visio.Drawing.11" ShapeID="_x0000_i1027" DrawAspect="Content" ObjectID="_1468075727" r:id="rId13">
                  <o:LockedField>false</o:LockedField>
                </o:OLEObject>
              </w:object>
            </w:r>
            <w:r>
              <w:rPr>
                <w:rFonts w:ascii="Times New Roman" w:hAnsi="Times New Roman" w:eastAsia="宋体" w:cs="Times New Roman"/>
                <w:sz w:val="24"/>
              </w:rPr>
              <w:t>图2-</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 xml:space="preserve"> 项目</w:t>
            </w:r>
            <w:r>
              <w:rPr>
                <w:rFonts w:hint="eastAsia" w:ascii="Times New Roman" w:hAnsi="Times New Roman" w:eastAsia="宋体" w:cs="Times New Roman"/>
                <w:sz w:val="24"/>
                <w:lang w:eastAsia="zh-CN"/>
              </w:rPr>
              <w:t>免漆门面饰板</w:t>
            </w:r>
            <w:r>
              <w:rPr>
                <w:rFonts w:ascii="Times New Roman" w:hAnsi="Times New Roman" w:eastAsia="宋体" w:cs="Times New Roman"/>
                <w:sz w:val="24"/>
              </w:rPr>
              <w:t>生产工艺流程及产污环节示意图</w:t>
            </w:r>
          </w:p>
          <w:p w14:paraId="493322D2">
            <w:pPr>
              <w:pStyle w:val="45"/>
              <w:spacing w:line="360" w:lineRule="auto"/>
              <w:ind w:firstLine="482"/>
              <w:rPr>
                <w:rFonts w:ascii="Times New Roman" w:hAnsi="Times New Roman" w:cs="Times New Roman"/>
                <w:b/>
                <w:bCs/>
                <w:sz w:val="24"/>
              </w:rPr>
            </w:pPr>
          </w:p>
          <w:p w14:paraId="299B62A3">
            <w:pPr>
              <w:pStyle w:val="45"/>
              <w:spacing w:line="360" w:lineRule="auto"/>
              <w:ind w:firstLine="482"/>
              <w:rPr>
                <w:rFonts w:hint="default" w:ascii="Times New Roman" w:hAnsi="Times New Roman" w:eastAsia="宋体" w:cs="Times New Roman"/>
                <w:bCs/>
                <w:sz w:val="24"/>
                <w:highlight w:val="none"/>
                <w:lang w:eastAsia="zh-CN"/>
              </w:rPr>
            </w:pPr>
            <w:r>
              <w:rPr>
                <w:rFonts w:hint="default" w:ascii="Times New Roman" w:hAnsi="Times New Roman" w:eastAsia="宋体" w:cs="Times New Roman"/>
                <w:b/>
                <w:bCs/>
                <w:sz w:val="24"/>
                <w:highlight w:val="none"/>
                <w:lang w:eastAsia="zh-CN"/>
              </w:rPr>
              <w:t>上板</w:t>
            </w:r>
            <w:r>
              <w:rPr>
                <w:rFonts w:hint="default" w:ascii="Times New Roman" w:hAnsi="Times New Roman" w:eastAsia="宋体" w:cs="Times New Roman"/>
                <w:b/>
                <w:bCs/>
                <w:sz w:val="24"/>
                <w:highlight w:val="none"/>
              </w:rPr>
              <w:t>：</w:t>
            </w:r>
            <w:r>
              <w:rPr>
                <w:rFonts w:hint="default" w:ascii="Times New Roman" w:hAnsi="Times New Roman" w:eastAsia="宋体" w:cs="Times New Roman"/>
                <w:bCs/>
                <w:sz w:val="24"/>
                <w:highlight w:val="none"/>
              </w:rPr>
              <w:t>项目采用一次双面贴合工艺，人工方式将</w:t>
            </w:r>
            <w:r>
              <w:rPr>
                <w:rFonts w:hint="default" w:ascii="Times New Roman" w:hAnsi="Times New Roman" w:eastAsia="宋体" w:cs="Times New Roman"/>
                <w:bCs/>
                <w:sz w:val="24"/>
                <w:highlight w:val="none"/>
                <w:lang w:eastAsia="zh-CN"/>
              </w:rPr>
              <w:t>外购统一尺寸的无纺布</w:t>
            </w:r>
            <w:r>
              <w:rPr>
                <w:rFonts w:hint="default" w:ascii="Times New Roman" w:hAnsi="Times New Roman" w:eastAsia="宋体" w:cs="Times New Roman"/>
                <w:bCs/>
                <w:sz w:val="24"/>
                <w:highlight w:val="none"/>
              </w:rPr>
              <w:t>、三聚氰胺浸渍胶膜纸按照工艺要求依次叠放于上板平台</w:t>
            </w:r>
            <w:r>
              <w:rPr>
                <w:rFonts w:hint="default" w:ascii="Times New Roman" w:hAnsi="Times New Roman" w:eastAsia="宋体" w:cs="Times New Roman"/>
                <w:bCs/>
                <w:sz w:val="24"/>
                <w:highlight w:val="none"/>
                <w:lang w:eastAsia="zh-CN"/>
              </w:rPr>
              <w:t>。</w:t>
            </w:r>
          </w:p>
          <w:p w14:paraId="713FD84B">
            <w:pPr>
              <w:pStyle w:val="45"/>
              <w:spacing w:line="360" w:lineRule="auto"/>
              <w:ind w:firstLine="482"/>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bCs/>
                <w:sz w:val="24"/>
                <w:highlight w:val="none"/>
                <w:lang w:eastAsia="zh-CN"/>
              </w:rPr>
              <w:t>热压</w:t>
            </w:r>
            <w:r>
              <w:rPr>
                <w:rFonts w:hint="default" w:ascii="Times New Roman" w:hAnsi="Times New Roman" w:eastAsia="宋体" w:cs="Times New Roman"/>
                <w:b w:val="0"/>
                <w:bCs w:val="0"/>
                <w:sz w:val="24"/>
                <w:highlight w:val="none"/>
                <w:lang w:eastAsia="zh-CN"/>
              </w:rPr>
              <w:t>：将天然气通入燃气模温机，燃烧天然气加热导热油，由热油泵将加热后的导热油输送至各个热压机导热板内。本项目共设置</w:t>
            </w:r>
            <w:r>
              <w:rPr>
                <w:rFonts w:hint="default" w:ascii="Times New Roman" w:hAnsi="Times New Roman" w:eastAsia="宋体" w:cs="Times New Roman"/>
                <w:b w:val="0"/>
                <w:bCs w:val="0"/>
                <w:sz w:val="24"/>
                <w:highlight w:val="none"/>
                <w:lang w:val="en-US" w:eastAsia="zh-CN"/>
              </w:rPr>
              <w:t>6台热压机，3台模温机，1台模温机为2台热压机供热。</w:t>
            </w:r>
            <w:r>
              <w:rPr>
                <w:rFonts w:hint="default" w:ascii="Times New Roman" w:hAnsi="Times New Roman" w:eastAsia="宋体" w:cs="Times New Roman"/>
                <w:b w:val="0"/>
                <w:bCs w:val="0"/>
                <w:sz w:val="24"/>
                <w:highlight w:val="none"/>
                <w:lang w:eastAsia="zh-CN"/>
              </w:rPr>
              <w:t>当导热板温度达到145℃～165℃时，将叠放好的三聚氰胺浸渍胶膜纸的无纺布人工推送至导热板上，启动热压机加压，保压约</w:t>
            </w:r>
            <w:r>
              <w:rPr>
                <w:rFonts w:hint="default" w:ascii="Times New Roman" w:hAnsi="Times New Roman" w:eastAsia="宋体" w:cs="Times New Roman"/>
                <w:b w:val="0"/>
                <w:bCs w:val="0"/>
                <w:sz w:val="24"/>
                <w:highlight w:val="none"/>
                <w:lang w:val="en-US" w:eastAsia="zh-CN"/>
              </w:rPr>
              <w:t>90</w:t>
            </w:r>
            <w:r>
              <w:rPr>
                <w:rFonts w:hint="default" w:ascii="Times New Roman" w:hAnsi="Times New Roman" w:eastAsia="宋体" w:cs="Times New Roman"/>
                <w:b w:val="0"/>
                <w:bCs w:val="0"/>
                <w:sz w:val="24"/>
                <w:highlight w:val="none"/>
                <w:lang w:eastAsia="zh-CN"/>
              </w:rPr>
              <w:t>秒</w:t>
            </w:r>
            <w:r>
              <w:rPr>
                <w:rFonts w:hint="default" w:ascii="Times New Roman" w:hAnsi="Times New Roman" w:eastAsia="宋体" w:cs="Times New Roman"/>
                <w:b w:val="0"/>
                <w:bCs w:val="0"/>
                <w:color w:val="auto"/>
                <w:sz w:val="24"/>
                <w:highlight w:val="none"/>
                <w:lang w:eastAsia="zh-CN"/>
              </w:rPr>
              <w:t>（评价单张保压时间按</w:t>
            </w:r>
            <w:r>
              <w:rPr>
                <w:rFonts w:hint="default" w:ascii="Times New Roman" w:hAnsi="Times New Roman" w:eastAsia="宋体" w:cs="Times New Roman"/>
                <w:b w:val="0"/>
                <w:bCs w:val="0"/>
                <w:color w:val="auto"/>
                <w:sz w:val="24"/>
                <w:highlight w:val="none"/>
                <w:lang w:val="en-US" w:eastAsia="zh-CN"/>
              </w:rPr>
              <w:t>90</w:t>
            </w:r>
            <w:r>
              <w:rPr>
                <w:rFonts w:hint="default" w:ascii="Times New Roman" w:hAnsi="Times New Roman" w:eastAsia="宋体" w:cs="Times New Roman"/>
                <w:b w:val="0"/>
                <w:bCs w:val="0"/>
                <w:color w:val="auto"/>
                <w:sz w:val="24"/>
                <w:highlight w:val="none"/>
                <w:lang w:eastAsia="zh-CN"/>
              </w:rPr>
              <w:t>秒计）</w:t>
            </w:r>
            <w:r>
              <w:rPr>
                <w:rFonts w:hint="default" w:ascii="Times New Roman" w:hAnsi="Times New Roman" w:eastAsia="宋体" w:cs="Times New Roman"/>
                <w:b w:val="0"/>
                <w:bCs w:val="0"/>
                <w:sz w:val="24"/>
                <w:highlight w:val="none"/>
                <w:lang w:eastAsia="zh-CN"/>
              </w:rPr>
              <w:t>，三聚氰胺浸渍胶膜纸在热压机热压作用下粘附于无纺布之上，再卸压出板，即为包覆纸。</w:t>
            </w:r>
          </w:p>
          <w:p w14:paraId="1F3B98E7">
            <w:pPr>
              <w:pStyle w:val="45"/>
              <w:spacing w:line="360" w:lineRule="auto"/>
              <w:ind w:firstLine="482"/>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val="0"/>
                <w:bCs w:val="0"/>
                <w:sz w:val="24"/>
                <w:highlight w:val="none"/>
                <w:lang w:eastAsia="zh-CN"/>
              </w:rPr>
              <w:t>此工序产生的污染主要为天然气燃烧废气（G</w:t>
            </w:r>
            <w:r>
              <w:rPr>
                <w:rFonts w:hint="default" w:ascii="Times New Roman" w:hAnsi="Times New Roman" w:eastAsia="宋体" w:cs="Times New Roman"/>
                <w:b w:val="0"/>
                <w:bCs w:val="0"/>
                <w:sz w:val="24"/>
                <w:highlight w:val="none"/>
                <w:lang w:val="en-US" w:eastAsia="zh-CN"/>
              </w:rPr>
              <w:t>2</w:t>
            </w:r>
            <w:r>
              <w:rPr>
                <w:rFonts w:hint="default" w:ascii="Times New Roman" w:hAnsi="Times New Roman" w:eastAsia="宋体" w:cs="Times New Roman"/>
                <w:b w:val="0"/>
                <w:bCs w:val="0"/>
                <w:sz w:val="24"/>
                <w:highlight w:val="none"/>
                <w:lang w:eastAsia="zh-CN"/>
              </w:rPr>
              <w:t>）、热压有机废气（G</w:t>
            </w:r>
            <w:r>
              <w:rPr>
                <w:rFonts w:hint="default" w:ascii="Times New Roman" w:hAnsi="Times New Roman" w:eastAsia="宋体" w:cs="Times New Roman"/>
                <w:b w:val="0"/>
                <w:bCs w:val="0"/>
                <w:sz w:val="24"/>
                <w:highlight w:val="none"/>
                <w:lang w:val="en-US" w:eastAsia="zh-CN"/>
              </w:rPr>
              <w:t>1</w:t>
            </w:r>
            <w:r>
              <w:rPr>
                <w:rFonts w:hint="default" w:ascii="Times New Roman" w:hAnsi="Times New Roman" w:eastAsia="宋体" w:cs="Times New Roman"/>
                <w:b w:val="0"/>
                <w:bCs w:val="0"/>
                <w:sz w:val="24"/>
                <w:highlight w:val="none"/>
                <w:lang w:eastAsia="zh-CN"/>
              </w:rPr>
              <w:t>）、噪声（N）。</w:t>
            </w:r>
          </w:p>
          <w:p w14:paraId="683DDCE4">
            <w:pPr>
              <w:pStyle w:val="45"/>
              <w:spacing w:line="360" w:lineRule="auto"/>
              <w:ind w:firstLine="482"/>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bCs/>
                <w:sz w:val="24"/>
                <w:highlight w:val="none"/>
                <w:lang w:eastAsia="zh-CN"/>
              </w:rPr>
              <w:t>裁、缝：</w:t>
            </w:r>
            <w:r>
              <w:rPr>
                <w:rFonts w:hint="default" w:ascii="Times New Roman" w:hAnsi="Times New Roman" w:eastAsia="宋体" w:cs="Times New Roman"/>
                <w:b w:val="0"/>
                <w:bCs w:val="0"/>
                <w:sz w:val="24"/>
                <w:highlight w:val="none"/>
                <w:lang w:eastAsia="zh-CN"/>
              </w:rPr>
              <w:t>包覆纸用于免漆门边条包覆，热压后的包覆纸送入裁切机裁切为细条，一张包覆纸裁切为</w:t>
            </w:r>
            <w:r>
              <w:rPr>
                <w:rFonts w:hint="default" w:ascii="Times New Roman" w:hAnsi="Times New Roman" w:eastAsia="宋体" w:cs="Times New Roman"/>
                <w:b w:val="0"/>
                <w:bCs w:val="0"/>
                <w:sz w:val="24"/>
                <w:highlight w:val="none"/>
                <w:lang w:val="en-US" w:eastAsia="zh-CN"/>
              </w:rPr>
              <w:t>10条，经传送带送至缝纫机，将各个包覆条连接为长条，并成卷。</w:t>
            </w:r>
          </w:p>
          <w:p w14:paraId="6B51DE67">
            <w:pPr>
              <w:pStyle w:val="45"/>
              <w:spacing w:line="360" w:lineRule="auto"/>
              <w:ind w:firstLine="482"/>
              <w:rPr>
                <w:rFonts w:hint="default" w:ascii="Times New Roman" w:hAnsi="Times New Roman" w:cs="Times New Roman" w:eastAsiaTheme="minorEastAsia"/>
                <w:b w:val="0"/>
                <w:bCs w:val="0"/>
                <w:color w:val="auto"/>
                <w:sz w:val="24"/>
                <w:lang w:val="en-US" w:eastAsia="zh-CN"/>
              </w:rPr>
            </w:pPr>
            <w:r>
              <w:rPr>
                <w:rFonts w:hint="eastAsia" w:ascii="Times New Roman" w:hAnsi="Times New Roman" w:cs="Times New Roman"/>
                <w:b/>
                <w:bCs/>
                <w:sz w:val="24"/>
                <w:lang w:val="en-US" w:eastAsia="zh-CN"/>
              </w:rPr>
              <w:t>包覆：</w:t>
            </w:r>
            <w:r>
              <w:rPr>
                <w:rFonts w:hint="eastAsia" w:ascii="Times New Roman" w:hAnsi="Times New Roman" w:cs="Times New Roman"/>
                <w:b w:val="0"/>
                <w:bCs w:val="0"/>
                <w:sz w:val="24"/>
                <w:lang w:val="en-US" w:eastAsia="zh-CN"/>
              </w:rPr>
              <w:t>使用包覆机将热熔胶涂覆在门边条上，门边条在通过设备的同时将前端工序加工的包覆纸包裹在门边条上，随后进行加热（电加热）以及加压的方式使包覆纸与门边条贴合。根据建设单位提供生产经验，1桶（20kg）热熔胶可生产约</w:t>
            </w:r>
            <w:r>
              <w:rPr>
                <w:rFonts w:hint="eastAsia" w:ascii="Times New Roman" w:hAnsi="Times New Roman" w:cs="Times New Roman"/>
                <w:b w:val="0"/>
                <w:bCs w:val="0"/>
                <w:color w:val="auto"/>
                <w:sz w:val="24"/>
                <w:lang w:val="en-US" w:eastAsia="zh-CN"/>
              </w:rPr>
              <w:t>2000支边条。</w:t>
            </w:r>
          </w:p>
          <w:p w14:paraId="3FB592C3">
            <w:pPr>
              <w:pStyle w:val="45"/>
              <w:spacing w:line="360" w:lineRule="auto"/>
              <w:ind w:firstLine="482"/>
              <w:rPr>
                <w:rFonts w:ascii="Times New Roman" w:hAnsi="Times New Roman" w:cs="Times New Roman"/>
                <w:b/>
                <w:bCs/>
                <w:sz w:val="24"/>
              </w:rPr>
            </w:pPr>
            <w:r>
              <w:rPr>
                <w:rFonts w:hint="eastAsia" w:ascii="Times New Roman" w:hAnsi="Times New Roman" w:cs="Times New Roman"/>
                <w:b w:val="0"/>
                <w:bCs w:val="0"/>
                <w:sz w:val="24"/>
                <w:lang w:eastAsia="zh-CN"/>
              </w:rPr>
              <w:t>此工序产生的污染主要为噪声（N）、包覆废气</w:t>
            </w:r>
            <w:r>
              <w:rPr>
                <w:rFonts w:hint="eastAsia" w:ascii="Times New Roman" w:hAnsi="Times New Roman" w:cs="Times New Roman"/>
                <w:b w:val="0"/>
                <w:bCs w:val="0"/>
                <w:sz w:val="24"/>
                <w:lang w:val="en-US" w:eastAsia="zh-CN"/>
              </w:rPr>
              <w:t>G3、废胶桶S1</w:t>
            </w:r>
            <w:r>
              <w:rPr>
                <w:rFonts w:hint="eastAsia" w:ascii="Times New Roman" w:hAnsi="Times New Roman" w:cs="Times New Roman"/>
                <w:b w:val="0"/>
                <w:bCs w:val="0"/>
                <w:sz w:val="24"/>
                <w:lang w:eastAsia="zh-CN"/>
              </w:rPr>
              <w:t>。</w:t>
            </w:r>
          </w:p>
          <w:p w14:paraId="38659DA9">
            <w:pPr>
              <w:pStyle w:val="45"/>
              <w:spacing w:line="360" w:lineRule="auto"/>
              <w:ind w:firstLine="482"/>
              <w:rPr>
                <w:rFonts w:hint="eastAsia" w:ascii="Times New Roman" w:hAnsi="Times New Roman" w:cs="Times New Roman"/>
                <w:b w:val="0"/>
                <w:bCs w:val="0"/>
                <w:sz w:val="24"/>
                <w:lang w:eastAsia="zh-CN"/>
              </w:rPr>
            </w:pPr>
            <w:r>
              <w:rPr>
                <w:rFonts w:hint="eastAsia" w:ascii="Times New Roman" w:hAnsi="Times New Roman" w:cs="Times New Roman"/>
                <w:b/>
                <w:bCs/>
                <w:sz w:val="24"/>
                <w:lang w:eastAsia="zh-CN"/>
              </w:rPr>
              <w:t>齐边</w:t>
            </w:r>
            <w:r>
              <w:rPr>
                <w:rFonts w:ascii="Times New Roman" w:hAnsi="Times New Roman" w:cs="Times New Roman"/>
                <w:b/>
                <w:bCs/>
                <w:sz w:val="24"/>
              </w:rPr>
              <w:t>：</w:t>
            </w:r>
            <w:r>
              <w:rPr>
                <w:rFonts w:hint="eastAsia" w:ascii="Times New Roman" w:hAnsi="Times New Roman" w:cs="Times New Roman"/>
                <w:b w:val="0"/>
                <w:bCs w:val="0"/>
                <w:sz w:val="24"/>
                <w:lang w:eastAsia="zh-CN"/>
              </w:rPr>
              <w:t>包覆后的门边条采用双头圆锯将其裁切为统一尺寸，即为成品免漆门边条。</w:t>
            </w:r>
          </w:p>
          <w:p w14:paraId="007175C6">
            <w:pPr>
              <w:pStyle w:val="45"/>
              <w:spacing w:line="360" w:lineRule="auto"/>
              <w:ind w:firstLine="482"/>
              <w:rPr>
                <w:rFonts w:ascii="Times New Roman" w:hAnsi="Times New Roman" w:cs="Times New Roman"/>
                <w:b/>
                <w:bCs/>
                <w:sz w:val="24"/>
              </w:rPr>
            </w:pPr>
            <w:r>
              <w:rPr>
                <w:rFonts w:hint="eastAsia" w:ascii="Times New Roman" w:hAnsi="Times New Roman" w:cs="Times New Roman"/>
                <w:b w:val="0"/>
                <w:bCs w:val="0"/>
                <w:sz w:val="24"/>
                <w:lang w:eastAsia="zh-CN"/>
              </w:rPr>
              <w:t>此工序产生的污染主要噪声（N）、齐边废气</w:t>
            </w:r>
            <w:r>
              <w:rPr>
                <w:rFonts w:hint="eastAsia" w:ascii="Times New Roman" w:hAnsi="Times New Roman" w:cs="Times New Roman"/>
                <w:b w:val="0"/>
                <w:bCs w:val="0"/>
                <w:sz w:val="24"/>
                <w:lang w:val="en-US" w:eastAsia="zh-CN"/>
              </w:rPr>
              <w:t>G4、边角料S2</w:t>
            </w:r>
            <w:r>
              <w:rPr>
                <w:rFonts w:hint="eastAsia" w:ascii="Times New Roman" w:hAnsi="Times New Roman" w:cs="Times New Roman"/>
                <w:b w:val="0"/>
                <w:bCs w:val="0"/>
                <w:sz w:val="24"/>
                <w:lang w:eastAsia="zh-CN"/>
              </w:rPr>
              <w:t>。</w:t>
            </w:r>
          </w:p>
          <w:p w14:paraId="1316E4AD">
            <w:pPr>
              <w:pStyle w:val="26"/>
              <w:spacing w:after="0"/>
              <w:ind w:left="0" w:leftChars="0" w:firstLine="482" w:firstLineChars="200"/>
              <w:rPr>
                <w:rFonts w:eastAsia="宋体" w:cs="Calibri"/>
                <w:b/>
                <w:bCs/>
                <w:sz w:val="24"/>
                <w:szCs w:val="21"/>
              </w:rPr>
            </w:pPr>
            <w:r>
              <w:rPr>
                <w:rFonts w:hint="eastAsia" w:cs="Times New Roman" w:eastAsiaTheme="minorEastAsia"/>
                <w:b/>
                <w:bCs/>
                <w:kern w:val="0"/>
                <w:sz w:val="24"/>
                <w:szCs w:val="24"/>
              </w:rPr>
              <w:t>其他公辅工程产污环节识别：</w:t>
            </w:r>
          </w:p>
          <w:p w14:paraId="704F8E8C">
            <w:pPr>
              <w:pStyle w:val="22"/>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ascii="Times New Roman" w:hAnsi="Times New Roman" w:cs="宋体"/>
                <w:szCs w:val="24"/>
              </w:rPr>
            </w:pPr>
            <w:r>
              <w:rPr>
                <w:rFonts w:hint="eastAsia" w:ascii="Times New Roman" w:hAnsi="Times New Roman" w:cs="宋体"/>
                <w:szCs w:val="24"/>
              </w:rPr>
              <w:t>废气处理设施运行过程产生污染物，废气治理产生的废活性炭S</w:t>
            </w:r>
            <w:r>
              <w:rPr>
                <w:rFonts w:hint="eastAsia" w:ascii="Times New Roman" w:hAnsi="Times New Roman" w:cs="宋体"/>
                <w:szCs w:val="24"/>
                <w:lang w:val="en-US" w:eastAsia="zh-CN"/>
              </w:rPr>
              <w:t>3</w:t>
            </w:r>
            <w:r>
              <w:rPr>
                <w:rFonts w:hint="eastAsia" w:ascii="Times New Roman" w:hAnsi="Times New Roman" w:cs="宋体"/>
                <w:szCs w:val="24"/>
              </w:rPr>
              <w:t>。</w:t>
            </w:r>
          </w:p>
          <w:p w14:paraId="371C789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sz w:val="24"/>
              </w:rPr>
            </w:pPr>
            <w:r>
              <w:rPr>
                <w:rFonts w:hint="eastAsia" w:ascii="Times New Roman" w:hAnsi="Times New Roman" w:eastAsia="宋体"/>
                <w:sz w:val="24"/>
              </w:rPr>
              <w:t>项目设备运行过程使用手套、机油进行维护保养，维保过程中产生</w:t>
            </w:r>
            <w:r>
              <w:rPr>
                <w:rFonts w:hint="eastAsia" w:ascii="Times New Roman" w:hAnsi="Times New Roman" w:eastAsia="宋体"/>
                <w:sz w:val="24"/>
                <w:lang w:eastAsia="zh-CN"/>
              </w:rPr>
              <w:t>废液压油（</w:t>
            </w:r>
            <w:r>
              <w:rPr>
                <w:rFonts w:hint="eastAsia" w:ascii="Times New Roman" w:hAnsi="Times New Roman" w:eastAsia="宋体"/>
                <w:sz w:val="24"/>
              </w:rPr>
              <w:t>S</w:t>
            </w:r>
            <w:r>
              <w:rPr>
                <w:rFonts w:hint="eastAsia" w:ascii="Times New Roman" w:hAnsi="Times New Roman" w:eastAsia="宋体"/>
                <w:sz w:val="24"/>
                <w:lang w:val="en-US" w:eastAsia="zh-CN"/>
              </w:rPr>
              <w:t>4</w:t>
            </w:r>
            <w:r>
              <w:rPr>
                <w:rFonts w:hint="eastAsia" w:ascii="Times New Roman" w:hAnsi="Times New Roman" w:eastAsia="宋体"/>
                <w:sz w:val="24"/>
                <w:lang w:eastAsia="zh-CN"/>
              </w:rPr>
              <w:t>）、废导热油（</w:t>
            </w:r>
            <w:r>
              <w:rPr>
                <w:rFonts w:hint="eastAsia" w:ascii="Times New Roman" w:hAnsi="Times New Roman" w:eastAsia="宋体"/>
                <w:sz w:val="24"/>
                <w:lang w:val="en-US" w:eastAsia="zh-CN"/>
              </w:rPr>
              <w:t>S5</w:t>
            </w:r>
            <w:r>
              <w:rPr>
                <w:rFonts w:hint="eastAsia" w:ascii="Times New Roman" w:hAnsi="Times New Roman" w:eastAsia="宋体"/>
                <w:sz w:val="24"/>
                <w:lang w:eastAsia="zh-CN"/>
              </w:rPr>
              <w:t>）</w:t>
            </w:r>
            <w:r>
              <w:rPr>
                <w:rFonts w:hint="eastAsia" w:ascii="Times New Roman" w:hAnsi="Times New Roman" w:eastAsia="宋体"/>
                <w:sz w:val="24"/>
              </w:rPr>
              <w:t>、废油桶（S</w:t>
            </w:r>
            <w:r>
              <w:rPr>
                <w:rFonts w:hint="eastAsia" w:ascii="Times New Roman" w:hAnsi="Times New Roman" w:eastAsia="宋体"/>
                <w:sz w:val="24"/>
                <w:lang w:val="en-US" w:eastAsia="zh-CN"/>
              </w:rPr>
              <w:t>6</w:t>
            </w:r>
            <w:r>
              <w:rPr>
                <w:rFonts w:hint="eastAsia" w:ascii="Times New Roman" w:hAnsi="Times New Roman" w:eastAsia="宋体"/>
                <w:sz w:val="24"/>
              </w:rPr>
              <w:t>）、含油废棉纱和手套S</w:t>
            </w:r>
            <w:r>
              <w:rPr>
                <w:rFonts w:hint="eastAsia" w:ascii="Times New Roman" w:hAnsi="Times New Roman" w:eastAsia="宋体"/>
                <w:sz w:val="24"/>
                <w:lang w:val="en-US" w:eastAsia="zh-CN"/>
              </w:rPr>
              <w:t>7</w:t>
            </w:r>
            <w:r>
              <w:rPr>
                <w:rFonts w:hint="eastAsia" w:ascii="Times New Roman" w:hAnsi="Times New Roman" w:eastAsia="宋体"/>
                <w:sz w:val="24"/>
              </w:rPr>
              <w:t>；空压机产生的空压机废油液S</w:t>
            </w:r>
            <w:r>
              <w:rPr>
                <w:rFonts w:hint="eastAsia" w:ascii="Times New Roman" w:hAnsi="Times New Roman" w:eastAsia="宋体"/>
                <w:sz w:val="24"/>
                <w:lang w:val="en-US" w:eastAsia="zh-CN"/>
              </w:rPr>
              <w:t>8</w:t>
            </w:r>
            <w:r>
              <w:rPr>
                <w:rFonts w:hint="eastAsia" w:ascii="Times New Roman" w:hAnsi="Times New Roman" w:eastAsia="宋体"/>
                <w:sz w:val="24"/>
              </w:rPr>
              <w:t>（空压机工作过程中产生的高浓度废油液，主要成分为废矿物油，混有少量空气压缩产生的水分）。</w:t>
            </w:r>
          </w:p>
          <w:p w14:paraId="5A49EEC6">
            <w:pPr>
              <w:pStyle w:val="22"/>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ascii="Times New Roman" w:hAnsi="Times New Roman" w:cs="宋体"/>
                <w:szCs w:val="24"/>
              </w:rPr>
            </w:pPr>
            <w:r>
              <w:rPr>
                <w:rFonts w:hint="eastAsia" w:ascii="Times New Roman" w:hAnsi="Times New Roman" w:cs="宋体"/>
                <w:szCs w:val="24"/>
                <w:u w:val="single"/>
              </w:rPr>
              <w:t>项目生产过程中主要产污环节见下表</w:t>
            </w:r>
            <w:r>
              <w:rPr>
                <w:rFonts w:hint="eastAsia" w:ascii="Times New Roman" w:hAnsi="Times New Roman" w:cs="宋体"/>
                <w:szCs w:val="24"/>
              </w:rPr>
              <w:t>：</w:t>
            </w:r>
          </w:p>
          <w:p w14:paraId="615A0030">
            <w:pPr>
              <w:pStyle w:val="22"/>
              <w:spacing w:before="0" w:beforeAutospacing="0" w:after="0" w:afterAutospacing="0" w:line="360" w:lineRule="auto"/>
              <w:jc w:val="center"/>
              <w:rPr>
                <w:rFonts w:ascii="Times New Roman" w:hAnsi="Times New Roman" w:eastAsia="黑体"/>
              </w:rPr>
            </w:pPr>
            <w:r>
              <w:rPr>
                <w:rFonts w:ascii="Times New Roman" w:hAnsi="Times New Roman" w:eastAsia="宋体" w:cs="Times New Roman"/>
              </w:rPr>
              <w:t>表2-</w:t>
            </w:r>
            <w:r>
              <w:rPr>
                <w:rFonts w:hint="eastAsia" w:ascii="Times New Roman" w:hAnsi="Times New Roman" w:eastAsia="宋体" w:cs="Times New Roman"/>
              </w:rPr>
              <w:t>10</w:t>
            </w:r>
            <w:r>
              <w:rPr>
                <w:rFonts w:ascii="Times New Roman" w:hAnsi="Times New Roman" w:eastAsia="宋体" w:cs="Times New Roman"/>
              </w:rPr>
              <w:t xml:space="preserve">  产污环节及采取的处置措施</w:t>
            </w:r>
          </w:p>
          <w:tbl>
            <w:tblPr>
              <w:tblStyle w:val="27"/>
              <w:tblW w:w="49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3"/>
              <w:gridCol w:w="903"/>
              <w:gridCol w:w="1629"/>
              <w:gridCol w:w="1717"/>
              <w:gridCol w:w="3334"/>
            </w:tblGrid>
            <w:tr w14:paraId="714DF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54C61E9B">
                  <w:pPr>
                    <w:spacing w:before="78" w:beforeLines="25" w:after="78" w:afterLines="25" w:line="240" w:lineRule="auto"/>
                    <w:jc w:val="center"/>
                    <w:rPr>
                      <w:rFonts w:ascii="Times New Roman" w:hAnsi="Times New Roman" w:eastAsia="宋体"/>
                      <w:b/>
                      <w:bCs/>
                      <w:spacing w:val="2"/>
                      <w:szCs w:val="21"/>
                    </w:rPr>
                  </w:pPr>
                  <w:r>
                    <w:rPr>
                      <w:rFonts w:hint="eastAsia" w:ascii="Times New Roman" w:hAnsi="Times New Roman" w:eastAsia="宋体"/>
                      <w:b/>
                      <w:bCs/>
                      <w:spacing w:val="2"/>
                      <w:szCs w:val="21"/>
                    </w:rPr>
                    <w:t>类别</w:t>
                  </w:r>
                </w:p>
              </w:tc>
              <w:tc>
                <w:tcPr>
                  <w:tcW w:w="541" w:type="pct"/>
                  <w:tcBorders>
                    <w:tl2br w:val="nil"/>
                    <w:tr2bl w:val="nil"/>
                  </w:tcBorders>
                  <w:vAlign w:val="center"/>
                </w:tcPr>
                <w:p w14:paraId="4F911319">
                  <w:pPr>
                    <w:spacing w:before="78" w:beforeLines="25" w:after="78" w:afterLines="25" w:line="240" w:lineRule="auto"/>
                    <w:jc w:val="center"/>
                    <w:rPr>
                      <w:rFonts w:ascii="Times New Roman" w:hAnsi="Times New Roman" w:eastAsia="宋体"/>
                      <w:b/>
                      <w:bCs/>
                      <w:spacing w:val="2"/>
                      <w:szCs w:val="21"/>
                    </w:rPr>
                  </w:pPr>
                  <w:r>
                    <w:rPr>
                      <w:rFonts w:hint="eastAsia" w:ascii="Times New Roman" w:hAnsi="Times New Roman" w:eastAsia="宋体"/>
                      <w:b/>
                      <w:bCs/>
                      <w:spacing w:val="2"/>
                      <w:szCs w:val="21"/>
                    </w:rPr>
                    <w:t>序号</w:t>
                  </w:r>
                </w:p>
              </w:tc>
              <w:tc>
                <w:tcPr>
                  <w:tcW w:w="977" w:type="pct"/>
                  <w:tcBorders>
                    <w:tl2br w:val="nil"/>
                    <w:tr2bl w:val="nil"/>
                  </w:tcBorders>
                  <w:vAlign w:val="center"/>
                </w:tcPr>
                <w:p w14:paraId="0B968A6A">
                  <w:pPr>
                    <w:spacing w:before="78" w:beforeLines="25" w:after="78" w:afterLines="25" w:line="240" w:lineRule="auto"/>
                    <w:jc w:val="center"/>
                    <w:rPr>
                      <w:rFonts w:ascii="Times New Roman" w:hAnsi="Times New Roman" w:eastAsia="宋体"/>
                      <w:b/>
                      <w:bCs/>
                      <w:spacing w:val="2"/>
                      <w:szCs w:val="21"/>
                    </w:rPr>
                  </w:pPr>
                  <w:r>
                    <w:rPr>
                      <w:rFonts w:hint="eastAsia" w:ascii="Times New Roman" w:hAnsi="Times New Roman" w:eastAsia="宋体"/>
                      <w:b/>
                      <w:bCs/>
                      <w:spacing w:val="2"/>
                      <w:szCs w:val="21"/>
                    </w:rPr>
                    <w:t>产污环节</w:t>
                  </w:r>
                </w:p>
              </w:tc>
              <w:tc>
                <w:tcPr>
                  <w:tcW w:w="1029" w:type="pct"/>
                  <w:tcBorders>
                    <w:tl2br w:val="nil"/>
                    <w:tr2bl w:val="nil"/>
                  </w:tcBorders>
                  <w:vAlign w:val="center"/>
                </w:tcPr>
                <w:p w14:paraId="2948C04D">
                  <w:pPr>
                    <w:spacing w:before="78" w:beforeLines="25" w:after="78" w:afterLines="25" w:line="240" w:lineRule="auto"/>
                    <w:jc w:val="center"/>
                    <w:rPr>
                      <w:rFonts w:ascii="Times New Roman" w:hAnsi="Times New Roman" w:eastAsia="宋体"/>
                      <w:b/>
                      <w:bCs/>
                      <w:spacing w:val="2"/>
                      <w:szCs w:val="21"/>
                    </w:rPr>
                  </w:pPr>
                  <w:r>
                    <w:rPr>
                      <w:rFonts w:hint="eastAsia" w:ascii="Times New Roman" w:hAnsi="Times New Roman" w:eastAsia="宋体"/>
                      <w:b/>
                      <w:bCs/>
                      <w:spacing w:val="2"/>
                      <w:szCs w:val="21"/>
                    </w:rPr>
                    <w:t>污染因子</w:t>
                  </w:r>
                </w:p>
              </w:tc>
              <w:tc>
                <w:tcPr>
                  <w:tcW w:w="1999" w:type="pct"/>
                  <w:tcBorders>
                    <w:tl2br w:val="nil"/>
                    <w:tr2bl w:val="nil"/>
                  </w:tcBorders>
                  <w:vAlign w:val="center"/>
                </w:tcPr>
                <w:p w14:paraId="670621DD">
                  <w:pPr>
                    <w:spacing w:before="78" w:beforeLines="25" w:after="78" w:afterLines="25" w:line="240" w:lineRule="auto"/>
                    <w:jc w:val="center"/>
                    <w:rPr>
                      <w:rFonts w:ascii="Times New Roman" w:hAnsi="Times New Roman" w:eastAsia="宋体"/>
                      <w:b/>
                      <w:bCs/>
                      <w:spacing w:val="2"/>
                      <w:szCs w:val="21"/>
                    </w:rPr>
                  </w:pPr>
                  <w:r>
                    <w:rPr>
                      <w:rFonts w:hint="eastAsia" w:ascii="Times New Roman" w:hAnsi="Times New Roman" w:eastAsia="宋体"/>
                      <w:b/>
                      <w:bCs/>
                      <w:spacing w:val="2"/>
                      <w:szCs w:val="21"/>
                    </w:rPr>
                    <w:t>采取的处理措施</w:t>
                  </w:r>
                </w:p>
              </w:tc>
            </w:tr>
            <w:tr w14:paraId="51879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09" w:hRule="atLeast"/>
                <w:jc w:val="center"/>
              </w:trPr>
              <w:tc>
                <w:tcPr>
                  <w:tcW w:w="451" w:type="pct"/>
                  <w:vMerge w:val="restart"/>
                  <w:tcBorders>
                    <w:tl2br w:val="nil"/>
                    <w:tr2bl w:val="nil"/>
                  </w:tcBorders>
                  <w:vAlign w:val="center"/>
                </w:tcPr>
                <w:p w14:paraId="57207A07">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废气</w:t>
                  </w:r>
                </w:p>
              </w:tc>
              <w:tc>
                <w:tcPr>
                  <w:tcW w:w="541" w:type="pct"/>
                  <w:tcBorders>
                    <w:tl2br w:val="nil"/>
                    <w:tr2bl w:val="nil"/>
                  </w:tcBorders>
                  <w:shd w:val="clear" w:color="auto" w:fill="auto"/>
                  <w:vAlign w:val="center"/>
                </w:tcPr>
                <w:p w14:paraId="13F64978">
                  <w:pPr>
                    <w:spacing w:before="78" w:beforeLines="25" w:after="78" w:afterLines="25" w:line="240" w:lineRule="auto"/>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G</w:t>
                  </w:r>
                  <w:r>
                    <w:rPr>
                      <w:rFonts w:hint="eastAsia" w:ascii="Times New Roman" w:hAnsi="Times New Roman" w:eastAsia="宋体"/>
                      <w:szCs w:val="21"/>
                      <w:lang w:val="en-US" w:eastAsia="zh-CN"/>
                    </w:rPr>
                    <w:t>1</w:t>
                  </w:r>
                </w:p>
              </w:tc>
              <w:tc>
                <w:tcPr>
                  <w:tcW w:w="977" w:type="pct"/>
                  <w:tcBorders>
                    <w:tl2br w:val="nil"/>
                    <w:tr2bl w:val="nil"/>
                  </w:tcBorders>
                  <w:shd w:val="clear" w:color="auto" w:fill="auto"/>
                  <w:vAlign w:val="center"/>
                </w:tcPr>
                <w:p w14:paraId="6A6D3BC9">
                  <w:pPr>
                    <w:spacing w:before="78" w:beforeLines="25" w:after="78" w:afterLines="25"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lang w:eastAsia="zh-CN"/>
                    </w:rPr>
                    <w:t>热压</w:t>
                  </w:r>
                </w:p>
              </w:tc>
              <w:tc>
                <w:tcPr>
                  <w:tcW w:w="1029" w:type="pct"/>
                  <w:tcBorders>
                    <w:tl2br w:val="nil"/>
                    <w:tr2bl w:val="nil"/>
                  </w:tcBorders>
                  <w:shd w:val="clear" w:color="auto" w:fill="auto"/>
                  <w:vAlign w:val="center"/>
                </w:tcPr>
                <w:p w14:paraId="7B9B7AE3">
                  <w:pPr>
                    <w:spacing w:before="68" w:beforeLines="22" w:after="68" w:afterLines="22" w:line="240" w:lineRule="auto"/>
                    <w:jc w:val="center"/>
                    <w:rPr>
                      <w:rFonts w:hint="eastAsia" w:ascii="Times New Roman" w:hAnsi="Times New Roman" w:eastAsiaTheme="minorEastAsia" w:cstheme="minorBidi"/>
                      <w:spacing w:val="2"/>
                      <w:kern w:val="2"/>
                      <w:sz w:val="21"/>
                      <w:szCs w:val="21"/>
                      <w:lang w:val="en-US" w:eastAsia="zh-CN" w:bidi="ar-SA"/>
                    </w:rPr>
                  </w:pPr>
                  <w:r>
                    <w:rPr>
                      <w:rFonts w:hint="eastAsia" w:ascii="Times New Roman" w:hAnsi="Times New Roman" w:eastAsia="宋体"/>
                      <w:spacing w:val="2"/>
                      <w:szCs w:val="21"/>
                      <w:lang w:eastAsia="zh-CN"/>
                    </w:rPr>
                    <w:t>非甲烷总烃、甲醛</w:t>
                  </w:r>
                  <w:r>
                    <w:rPr>
                      <w:rFonts w:hint="eastAsia"/>
                      <w:color w:val="000000" w:themeColor="text1"/>
                      <w:lang w:eastAsia="zh-CN"/>
                      <w14:textFill>
                        <w14:solidFill>
                          <w14:schemeClr w14:val="tx1"/>
                        </w14:solidFill>
                      </w14:textFill>
                    </w:rPr>
                    <w:t>（考虑甲醛在该工序全部排放）</w:t>
                  </w:r>
                </w:p>
              </w:tc>
              <w:tc>
                <w:tcPr>
                  <w:tcW w:w="1999" w:type="pct"/>
                  <w:tcBorders>
                    <w:tl2br w:val="nil"/>
                    <w:tr2bl w:val="nil"/>
                  </w:tcBorders>
                  <w:shd w:val="clear" w:color="auto" w:fill="auto"/>
                  <w:vAlign w:val="center"/>
                </w:tcPr>
                <w:p w14:paraId="16C653BF">
                  <w:pPr>
                    <w:spacing w:before="68" w:beforeLines="22" w:after="68" w:afterLines="22" w:line="240" w:lineRule="auto"/>
                    <w:rPr>
                      <w:rFonts w:ascii="Times New Roman" w:hAnsi="Times New Roman" w:eastAsia="宋体" w:cstheme="minorBidi"/>
                      <w:kern w:val="44"/>
                      <w:sz w:val="21"/>
                      <w:szCs w:val="21"/>
                      <w:lang w:val="en-US" w:eastAsia="zh-CN" w:bidi="ar-SA"/>
                    </w:rPr>
                  </w:pPr>
                  <w:r>
                    <w:rPr>
                      <w:rFonts w:hint="eastAsia" w:ascii="Times New Roman" w:hAnsi="Times New Roman" w:eastAsia="宋体"/>
                      <w:kern w:val="44"/>
                      <w:szCs w:val="21"/>
                      <w:lang w:eastAsia="zh-CN"/>
                    </w:rPr>
                    <w:t>热压</w:t>
                  </w:r>
                  <w:r>
                    <w:rPr>
                      <w:rFonts w:hint="eastAsia" w:ascii="Times New Roman" w:hAnsi="Times New Roman" w:eastAsia="宋体"/>
                      <w:kern w:val="44"/>
                      <w:szCs w:val="21"/>
                    </w:rPr>
                    <w:t>废气经烘道进出口集气罩收集后进入1套“过滤棉+</w:t>
                  </w:r>
                  <w:r>
                    <w:rPr>
                      <w:rFonts w:hint="eastAsia" w:ascii="Times New Roman" w:hAnsi="Times New Roman" w:eastAsia="宋体"/>
                      <w:color w:val="auto"/>
                      <w:kern w:val="44"/>
                      <w:szCs w:val="21"/>
                      <w:lang w:eastAsia="zh-CN"/>
                    </w:rPr>
                    <w:t>两级</w:t>
                  </w:r>
                  <w:r>
                    <w:rPr>
                      <w:rFonts w:hint="eastAsia" w:ascii="Times New Roman" w:hAnsi="Times New Roman" w:eastAsia="宋体"/>
                      <w:kern w:val="44"/>
                      <w:szCs w:val="21"/>
                    </w:rPr>
                    <w:t>活性炭”装置处置后经15m高</w:t>
                  </w:r>
                  <w:r>
                    <w:rPr>
                      <w:rFonts w:hint="eastAsia" w:ascii="Times New Roman" w:hAnsi="Times New Roman" w:eastAsia="宋体"/>
                      <w:b/>
                      <w:bCs/>
                      <w:kern w:val="44"/>
                      <w:szCs w:val="21"/>
                    </w:rPr>
                    <w:t>DA00</w:t>
                  </w:r>
                  <w:r>
                    <w:rPr>
                      <w:rFonts w:hint="eastAsia" w:ascii="Times New Roman" w:hAnsi="Times New Roman" w:eastAsia="宋体"/>
                      <w:b/>
                      <w:bCs/>
                      <w:kern w:val="44"/>
                      <w:szCs w:val="21"/>
                      <w:lang w:val="en-US" w:eastAsia="zh-CN"/>
                    </w:rPr>
                    <w:t>1</w:t>
                  </w:r>
                  <w:r>
                    <w:rPr>
                      <w:rFonts w:hint="eastAsia" w:ascii="Times New Roman" w:hAnsi="Times New Roman" w:eastAsia="宋体"/>
                      <w:kern w:val="44"/>
                      <w:szCs w:val="21"/>
                    </w:rPr>
                    <w:t>排气筒引至厂房屋顶排放。</w:t>
                  </w:r>
                </w:p>
              </w:tc>
            </w:tr>
            <w:tr w14:paraId="252E2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09" w:hRule="atLeast"/>
                <w:jc w:val="center"/>
              </w:trPr>
              <w:tc>
                <w:tcPr>
                  <w:tcW w:w="451" w:type="pct"/>
                  <w:vMerge w:val="continue"/>
                  <w:tcBorders>
                    <w:tl2br w:val="nil"/>
                    <w:tr2bl w:val="nil"/>
                  </w:tcBorders>
                  <w:vAlign w:val="center"/>
                </w:tcPr>
                <w:p w14:paraId="7FB6E62D">
                  <w:pPr>
                    <w:spacing w:before="78" w:beforeLines="25" w:after="78" w:afterLines="25" w:line="240" w:lineRule="auto"/>
                    <w:jc w:val="center"/>
                    <w:rPr>
                      <w:rFonts w:hint="eastAsia" w:ascii="Times New Roman" w:hAnsi="Times New Roman" w:eastAsia="宋体"/>
                      <w:spacing w:val="2"/>
                      <w:szCs w:val="21"/>
                    </w:rPr>
                  </w:pPr>
                </w:p>
              </w:tc>
              <w:tc>
                <w:tcPr>
                  <w:tcW w:w="541" w:type="pct"/>
                  <w:tcBorders>
                    <w:tl2br w:val="nil"/>
                    <w:tr2bl w:val="nil"/>
                  </w:tcBorders>
                  <w:shd w:val="clear" w:color="auto" w:fill="auto"/>
                  <w:vAlign w:val="center"/>
                </w:tcPr>
                <w:p w14:paraId="3D2283EA">
                  <w:pPr>
                    <w:spacing w:before="78" w:beforeLines="25" w:after="78" w:afterLines="25" w:line="240" w:lineRule="auto"/>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G</w:t>
                  </w:r>
                  <w:r>
                    <w:rPr>
                      <w:rFonts w:hint="eastAsia" w:ascii="Times New Roman" w:hAnsi="Times New Roman" w:eastAsia="宋体"/>
                      <w:szCs w:val="21"/>
                      <w:lang w:val="en-US" w:eastAsia="zh-CN"/>
                    </w:rPr>
                    <w:t>2</w:t>
                  </w:r>
                </w:p>
              </w:tc>
              <w:tc>
                <w:tcPr>
                  <w:tcW w:w="977" w:type="pct"/>
                  <w:tcBorders>
                    <w:tl2br w:val="nil"/>
                    <w:tr2bl w:val="nil"/>
                  </w:tcBorders>
                  <w:shd w:val="clear" w:color="auto" w:fill="auto"/>
                  <w:vAlign w:val="center"/>
                </w:tcPr>
                <w:p w14:paraId="134495DA">
                  <w:pPr>
                    <w:spacing w:before="78" w:beforeLines="25" w:after="78" w:afterLines="25"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lang w:eastAsia="zh-CN"/>
                    </w:rPr>
                    <w:t>模温机</w:t>
                  </w:r>
                </w:p>
              </w:tc>
              <w:tc>
                <w:tcPr>
                  <w:tcW w:w="1029" w:type="pct"/>
                  <w:tcBorders>
                    <w:tl2br w:val="nil"/>
                    <w:tr2bl w:val="nil"/>
                  </w:tcBorders>
                  <w:shd w:val="clear" w:color="auto" w:fill="auto"/>
                  <w:vAlign w:val="center"/>
                </w:tcPr>
                <w:p w14:paraId="6D39AEA3">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lang w:eastAsia="zh-CN"/>
                    </w:rPr>
                    <w:t>颗粒物、二氧化硫、氮氧化物</w:t>
                  </w:r>
                </w:p>
              </w:tc>
              <w:tc>
                <w:tcPr>
                  <w:tcW w:w="1999" w:type="pct"/>
                  <w:tcBorders>
                    <w:tl2br w:val="nil"/>
                    <w:tr2bl w:val="nil"/>
                  </w:tcBorders>
                  <w:shd w:val="clear" w:color="auto" w:fill="auto"/>
                  <w:vAlign w:val="center"/>
                </w:tcPr>
                <w:p w14:paraId="2910FE6B">
                  <w:pPr>
                    <w:spacing w:before="68" w:beforeLines="22" w:after="68" w:afterLines="22" w:line="240" w:lineRule="auto"/>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kern w:val="44"/>
                      <w:szCs w:val="21"/>
                    </w:rPr>
                    <w:t>项目</w:t>
                  </w:r>
                  <w:r>
                    <w:rPr>
                      <w:rFonts w:hint="eastAsia" w:ascii="Times New Roman" w:hAnsi="Times New Roman" w:eastAsia="宋体"/>
                      <w:kern w:val="44"/>
                      <w:szCs w:val="21"/>
                      <w:lang w:eastAsia="zh-CN"/>
                    </w:rPr>
                    <w:t>模温机加热产生的天然气燃烧废气</w:t>
                  </w:r>
                  <w:r>
                    <w:rPr>
                      <w:rFonts w:hint="eastAsia" w:ascii="Times New Roman" w:hAnsi="Times New Roman" w:eastAsia="宋体"/>
                      <w:kern w:val="44"/>
                      <w:szCs w:val="21"/>
                    </w:rPr>
                    <w:t>通过1根15m高</w:t>
                  </w:r>
                  <w:r>
                    <w:rPr>
                      <w:rFonts w:hint="eastAsia" w:ascii="Times New Roman" w:hAnsi="Times New Roman" w:eastAsia="宋体"/>
                      <w:b/>
                      <w:bCs/>
                      <w:kern w:val="44"/>
                      <w:szCs w:val="21"/>
                    </w:rPr>
                    <w:t>DA00</w:t>
                  </w:r>
                  <w:r>
                    <w:rPr>
                      <w:rFonts w:hint="eastAsia" w:ascii="Times New Roman" w:hAnsi="Times New Roman" w:eastAsia="宋体"/>
                      <w:b/>
                      <w:bCs/>
                      <w:kern w:val="44"/>
                      <w:szCs w:val="21"/>
                      <w:lang w:val="en-US" w:eastAsia="zh-CN"/>
                    </w:rPr>
                    <w:t>2</w:t>
                  </w:r>
                  <w:r>
                    <w:rPr>
                      <w:rFonts w:hint="eastAsia" w:ascii="Times New Roman" w:hAnsi="Times New Roman" w:eastAsia="宋体"/>
                      <w:kern w:val="44"/>
                      <w:szCs w:val="21"/>
                    </w:rPr>
                    <w:t>排气筒引至厂房屋顶排放。</w:t>
                  </w:r>
                </w:p>
              </w:tc>
            </w:tr>
            <w:tr w14:paraId="12989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3A338BDA">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vAlign w:val="center"/>
                </w:tcPr>
                <w:p w14:paraId="668907A1">
                  <w:pPr>
                    <w:spacing w:before="78" w:beforeLines="25" w:after="78" w:afterLines="25" w:line="240" w:lineRule="auto"/>
                    <w:jc w:val="center"/>
                    <w:rPr>
                      <w:rFonts w:ascii="Times New Roman" w:hAnsi="Times New Roman" w:eastAsia="宋体"/>
                      <w:szCs w:val="21"/>
                    </w:rPr>
                  </w:pPr>
                  <w:r>
                    <w:rPr>
                      <w:rFonts w:hint="eastAsia" w:ascii="Times New Roman" w:hAnsi="Times New Roman" w:eastAsia="宋体"/>
                      <w:szCs w:val="21"/>
                    </w:rPr>
                    <w:t>G3</w:t>
                  </w:r>
                </w:p>
              </w:tc>
              <w:tc>
                <w:tcPr>
                  <w:tcW w:w="977" w:type="pct"/>
                  <w:tcBorders>
                    <w:tl2br w:val="nil"/>
                    <w:tr2bl w:val="nil"/>
                  </w:tcBorders>
                  <w:vAlign w:val="center"/>
                </w:tcPr>
                <w:p w14:paraId="31F698BC">
                  <w:pPr>
                    <w:spacing w:before="78" w:beforeLines="25" w:after="78" w:afterLines="25" w:line="240" w:lineRule="auto"/>
                    <w:jc w:val="center"/>
                    <w:rPr>
                      <w:rFonts w:hint="eastAsia" w:ascii="Times New Roman" w:hAnsi="Times New Roman" w:eastAsia="宋体"/>
                      <w:szCs w:val="21"/>
                      <w:lang w:eastAsia="zh-CN"/>
                    </w:rPr>
                  </w:pPr>
                  <w:r>
                    <w:rPr>
                      <w:rFonts w:hint="eastAsia" w:ascii="Times New Roman" w:hAnsi="Times New Roman" w:eastAsia="宋体"/>
                      <w:szCs w:val="21"/>
                      <w:lang w:eastAsia="zh-CN"/>
                    </w:rPr>
                    <w:t>包覆</w:t>
                  </w:r>
                </w:p>
              </w:tc>
              <w:tc>
                <w:tcPr>
                  <w:tcW w:w="1029" w:type="pct"/>
                  <w:tcBorders>
                    <w:tl2br w:val="nil"/>
                    <w:tr2bl w:val="nil"/>
                  </w:tcBorders>
                  <w:vAlign w:val="center"/>
                </w:tcPr>
                <w:p w14:paraId="5C4E37B1">
                  <w:pPr>
                    <w:spacing w:before="78" w:beforeLines="25" w:after="78" w:afterLines="25" w:line="240" w:lineRule="auto"/>
                    <w:jc w:val="center"/>
                    <w:rPr>
                      <w:rFonts w:hint="eastAsia" w:ascii="Times New Roman" w:hAnsi="Times New Roman" w:eastAsia="宋体"/>
                      <w:spacing w:val="2"/>
                      <w:szCs w:val="21"/>
                      <w:lang w:eastAsia="zh-CN"/>
                    </w:rPr>
                  </w:pPr>
                  <w:r>
                    <w:rPr>
                      <w:rFonts w:hint="eastAsia" w:ascii="Times New Roman" w:hAnsi="Times New Roman" w:eastAsia="宋体"/>
                      <w:spacing w:val="2"/>
                      <w:szCs w:val="21"/>
                      <w:lang w:eastAsia="zh-CN"/>
                    </w:rPr>
                    <w:t>非甲烷总烃</w:t>
                  </w:r>
                </w:p>
              </w:tc>
              <w:tc>
                <w:tcPr>
                  <w:tcW w:w="1999" w:type="pct"/>
                  <w:tcBorders>
                    <w:tl2br w:val="nil"/>
                    <w:tr2bl w:val="nil"/>
                  </w:tcBorders>
                  <w:vAlign w:val="center"/>
                </w:tcPr>
                <w:p w14:paraId="3FBB6182">
                  <w:pPr>
                    <w:spacing w:before="78" w:beforeLines="25" w:after="78" w:afterLines="25" w:line="240" w:lineRule="auto"/>
                    <w:rPr>
                      <w:rFonts w:ascii="Times New Roman" w:hAnsi="Times New Roman" w:eastAsia="宋体"/>
                      <w:spacing w:val="2"/>
                      <w:szCs w:val="21"/>
                    </w:rPr>
                  </w:pPr>
                  <w:r>
                    <w:rPr>
                      <w:rFonts w:hint="eastAsia" w:ascii="Times New Roman" w:hAnsi="Times New Roman" w:eastAsia="宋体"/>
                      <w:kern w:val="44"/>
                      <w:szCs w:val="21"/>
                      <w:lang w:eastAsia="zh-CN"/>
                    </w:rPr>
                    <w:t>厂区无组织排放。</w:t>
                  </w:r>
                </w:p>
              </w:tc>
            </w:tr>
            <w:tr w14:paraId="27A32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0375D8DA">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vAlign w:val="center"/>
                </w:tcPr>
                <w:p w14:paraId="5B0CC489">
                  <w:pPr>
                    <w:spacing w:before="78" w:beforeLines="25" w:after="78" w:afterLines="25" w:line="240" w:lineRule="auto"/>
                    <w:jc w:val="center"/>
                    <w:rPr>
                      <w:rFonts w:ascii="Times New Roman" w:hAnsi="Times New Roman" w:eastAsia="宋体"/>
                      <w:szCs w:val="21"/>
                    </w:rPr>
                  </w:pPr>
                  <w:r>
                    <w:rPr>
                      <w:rFonts w:hint="eastAsia" w:ascii="Times New Roman" w:hAnsi="Times New Roman" w:eastAsia="宋体"/>
                      <w:szCs w:val="21"/>
                    </w:rPr>
                    <w:t>G4</w:t>
                  </w:r>
                </w:p>
              </w:tc>
              <w:tc>
                <w:tcPr>
                  <w:tcW w:w="977" w:type="pct"/>
                  <w:tcBorders>
                    <w:tl2br w:val="nil"/>
                    <w:tr2bl w:val="nil"/>
                  </w:tcBorders>
                  <w:vAlign w:val="center"/>
                </w:tcPr>
                <w:p w14:paraId="13DCB575">
                  <w:pPr>
                    <w:spacing w:before="78" w:beforeLines="25" w:after="78" w:afterLines="25" w:line="240" w:lineRule="auto"/>
                    <w:jc w:val="center"/>
                    <w:rPr>
                      <w:rFonts w:hint="eastAsia" w:ascii="Times New Roman" w:hAnsi="Times New Roman" w:eastAsia="宋体"/>
                      <w:szCs w:val="21"/>
                      <w:lang w:eastAsia="zh-CN"/>
                    </w:rPr>
                  </w:pPr>
                  <w:r>
                    <w:rPr>
                      <w:rFonts w:hint="eastAsia" w:ascii="Times New Roman" w:hAnsi="Times New Roman" w:eastAsia="宋体"/>
                      <w:szCs w:val="21"/>
                      <w:lang w:eastAsia="zh-CN"/>
                    </w:rPr>
                    <w:t>齐边</w:t>
                  </w:r>
                </w:p>
              </w:tc>
              <w:tc>
                <w:tcPr>
                  <w:tcW w:w="1029" w:type="pct"/>
                  <w:tcBorders>
                    <w:tl2br w:val="nil"/>
                    <w:tr2bl w:val="nil"/>
                  </w:tcBorders>
                  <w:vAlign w:val="center"/>
                </w:tcPr>
                <w:p w14:paraId="1529FC62">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颗粒物</w:t>
                  </w:r>
                </w:p>
              </w:tc>
              <w:tc>
                <w:tcPr>
                  <w:tcW w:w="1999" w:type="pct"/>
                  <w:tcBorders>
                    <w:tl2br w:val="nil"/>
                    <w:tr2bl w:val="nil"/>
                  </w:tcBorders>
                  <w:vAlign w:val="center"/>
                </w:tcPr>
                <w:p w14:paraId="06C3FBE5">
                  <w:pPr>
                    <w:spacing w:before="78" w:beforeLines="25" w:after="78" w:afterLines="25" w:line="240" w:lineRule="auto"/>
                    <w:rPr>
                      <w:rFonts w:hint="eastAsia" w:ascii="Times New Roman" w:hAnsi="Times New Roman" w:eastAsia="宋体"/>
                      <w:kern w:val="44"/>
                      <w:szCs w:val="21"/>
                      <w:lang w:eastAsia="zh-CN"/>
                    </w:rPr>
                  </w:pPr>
                  <w:r>
                    <w:rPr>
                      <w:rFonts w:hint="eastAsia" w:ascii="Times New Roman" w:hAnsi="Times New Roman" w:eastAsia="宋体"/>
                      <w:kern w:val="44"/>
                      <w:szCs w:val="21"/>
                      <w:lang w:eastAsia="zh-CN"/>
                    </w:rPr>
                    <w:t>厂区无组织排放。</w:t>
                  </w:r>
                </w:p>
              </w:tc>
            </w:tr>
            <w:tr w14:paraId="40427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3A21C2E2">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废水</w:t>
                  </w:r>
                </w:p>
              </w:tc>
              <w:tc>
                <w:tcPr>
                  <w:tcW w:w="541" w:type="pct"/>
                  <w:tcBorders>
                    <w:tl2br w:val="nil"/>
                    <w:tr2bl w:val="nil"/>
                  </w:tcBorders>
                  <w:vAlign w:val="center"/>
                </w:tcPr>
                <w:p w14:paraId="3C3E19AA">
                  <w:pPr>
                    <w:spacing w:before="78" w:beforeLines="25" w:after="78" w:afterLines="25" w:line="240" w:lineRule="auto"/>
                    <w:jc w:val="center"/>
                    <w:rPr>
                      <w:rFonts w:ascii="Times New Roman" w:hAnsi="Times New Roman" w:eastAsia="宋体"/>
                      <w:szCs w:val="21"/>
                    </w:rPr>
                  </w:pPr>
                  <w:r>
                    <w:rPr>
                      <w:rFonts w:hint="eastAsia" w:ascii="Times New Roman" w:hAnsi="Times New Roman" w:eastAsia="宋体"/>
                      <w:szCs w:val="21"/>
                    </w:rPr>
                    <w:t>/</w:t>
                  </w:r>
                </w:p>
              </w:tc>
              <w:tc>
                <w:tcPr>
                  <w:tcW w:w="977" w:type="pct"/>
                  <w:tcBorders>
                    <w:tl2br w:val="nil"/>
                    <w:tr2bl w:val="nil"/>
                  </w:tcBorders>
                  <w:vAlign w:val="center"/>
                </w:tcPr>
                <w:p w14:paraId="356B6620">
                  <w:pPr>
                    <w:spacing w:before="78" w:beforeLines="25" w:after="78" w:afterLines="25" w:line="240" w:lineRule="auto"/>
                    <w:jc w:val="center"/>
                    <w:rPr>
                      <w:rFonts w:ascii="Times New Roman" w:hAnsi="Times New Roman" w:eastAsia="宋体"/>
                      <w:szCs w:val="21"/>
                    </w:rPr>
                  </w:pPr>
                  <w:r>
                    <w:rPr>
                      <w:rFonts w:hint="eastAsia" w:ascii="Times New Roman" w:hAnsi="Times New Roman" w:eastAsia="宋体"/>
                      <w:szCs w:val="21"/>
                    </w:rPr>
                    <w:t>生活污水</w:t>
                  </w:r>
                </w:p>
              </w:tc>
              <w:tc>
                <w:tcPr>
                  <w:tcW w:w="1029" w:type="pct"/>
                  <w:tcBorders>
                    <w:tl2br w:val="nil"/>
                    <w:tr2bl w:val="nil"/>
                  </w:tcBorders>
                  <w:vAlign w:val="center"/>
                </w:tcPr>
                <w:p w14:paraId="7439AB85">
                  <w:pPr>
                    <w:spacing w:before="68" w:beforeLines="22" w:after="68" w:afterLines="22" w:line="240" w:lineRule="auto"/>
                    <w:jc w:val="center"/>
                    <w:rPr>
                      <w:rFonts w:ascii="Times New Roman" w:hAnsi="Times New Roman" w:eastAsia="宋体"/>
                      <w:spacing w:val="2"/>
                      <w:szCs w:val="21"/>
                    </w:rPr>
                  </w:pPr>
                  <w:r>
                    <w:rPr>
                      <w:rFonts w:ascii="Times New Roman" w:hAnsi="Times New Roman" w:eastAsia="宋体" w:cs="Times New Roman"/>
                    </w:rPr>
                    <w:t>pH、</w:t>
                  </w:r>
                  <w:r>
                    <w:rPr>
                      <w:rFonts w:ascii="Times New Roman" w:hAnsi="Times New Roman" w:eastAsia="宋体" w:cs="Times New Roman"/>
                      <w:spacing w:val="2"/>
                      <w:szCs w:val="21"/>
                    </w:rPr>
                    <w:t>COD、氨氮、</w:t>
                  </w:r>
                  <w:r>
                    <w:rPr>
                      <w:rFonts w:ascii="Times New Roman" w:hAnsi="Times New Roman" w:eastAsia="宋体" w:cs="Times New Roman"/>
                      <w:bCs/>
                    </w:rPr>
                    <w:t>SS</w:t>
                  </w:r>
                </w:p>
              </w:tc>
              <w:tc>
                <w:tcPr>
                  <w:tcW w:w="1999" w:type="pct"/>
                  <w:tcBorders>
                    <w:tl2br w:val="nil"/>
                    <w:tr2bl w:val="nil"/>
                  </w:tcBorders>
                  <w:vAlign w:val="center"/>
                </w:tcPr>
                <w:p w14:paraId="6375FB9C">
                  <w:pPr>
                    <w:spacing w:before="68" w:beforeLines="22" w:after="68" w:afterLines="22" w:line="240" w:lineRule="auto"/>
                    <w:rPr>
                      <w:rFonts w:ascii="Times New Roman" w:hAnsi="Times New Roman" w:eastAsia="宋体"/>
                      <w:spacing w:val="2"/>
                      <w:szCs w:val="21"/>
                    </w:rPr>
                  </w:pPr>
                  <w:r>
                    <w:rPr>
                      <w:rFonts w:hint="eastAsia" w:ascii="Times New Roman" w:hAnsi="Times New Roman" w:eastAsia="宋体"/>
                      <w:spacing w:val="2"/>
                      <w:szCs w:val="21"/>
                      <w:lang w:eastAsia="zh-CN"/>
                    </w:rPr>
                    <w:t>依托盛德佳公司</w:t>
                  </w:r>
                  <w:r>
                    <w:rPr>
                      <w:rFonts w:hint="eastAsia" w:ascii="Times New Roman" w:hAnsi="Times New Roman" w:eastAsia="宋体"/>
                      <w:spacing w:val="2"/>
                      <w:szCs w:val="21"/>
                    </w:rPr>
                    <w:t>现有</w:t>
                  </w:r>
                  <w:r>
                    <w:rPr>
                      <w:rFonts w:hint="eastAsia" w:ascii="Times New Roman" w:hAnsi="Times New Roman" w:eastAsia="宋体"/>
                      <w:b/>
                      <w:bCs/>
                      <w:spacing w:val="2"/>
                      <w:szCs w:val="21"/>
                    </w:rPr>
                    <w:t>生化池</w:t>
                  </w:r>
                  <w:r>
                    <w:rPr>
                      <w:rFonts w:hint="eastAsia" w:ascii="Times New Roman" w:hAnsi="Times New Roman" w:eastAsia="宋体"/>
                      <w:spacing w:val="2"/>
                      <w:szCs w:val="21"/>
                    </w:rPr>
                    <w:t>预处理后，排入园区市政污水管网，进入园区污水处理厂</w:t>
                  </w:r>
                  <w:r>
                    <w:rPr>
                      <w:rFonts w:hint="eastAsia" w:ascii="Times New Roman" w:hAnsi="Times New Roman" w:eastAsia="宋体"/>
                      <w:spacing w:val="2"/>
                      <w:szCs w:val="21"/>
                      <w:lang w:eastAsia="zh-CN"/>
                    </w:rPr>
                    <w:t>进一步</w:t>
                  </w:r>
                  <w:r>
                    <w:rPr>
                      <w:rFonts w:hint="eastAsia" w:ascii="Times New Roman" w:hAnsi="Times New Roman" w:eastAsia="宋体"/>
                      <w:spacing w:val="2"/>
                      <w:szCs w:val="21"/>
                    </w:rPr>
                    <w:t>处理。</w:t>
                  </w:r>
                </w:p>
              </w:tc>
            </w:tr>
            <w:tr w14:paraId="6CA8E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50FE7F6E">
                  <w:pPr>
                    <w:spacing w:before="78" w:beforeLines="25" w:after="78" w:afterLines="25" w:line="240" w:lineRule="auto"/>
                    <w:jc w:val="center"/>
                    <w:rPr>
                      <w:rFonts w:ascii="Times New Roman" w:hAnsi="Times New Roman" w:eastAsia="宋体" w:cs="Times New Roman"/>
                      <w:spacing w:val="2"/>
                      <w:szCs w:val="21"/>
                    </w:rPr>
                  </w:pPr>
                  <w:r>
                    <w:rPr>
                      <w:rFonts w:hint="eastAsia" w:ascii="Times New Roman" w:hAnsi="Times New Roman" w:eastAsia="宋体"/>
                      <w:spacing w:val="2"/>
                      <w:szCs w:val="21"/>
                    </w:rPr>
                    <w:t>噪声</w:t>
                  </w:r>
                </w:p>
              </w:tc>
              <w:tc>
                <w:tcPr>
                  <w:tcW w:w="541" w:type="pct"/>
                  <w:tcBorders>
                    <w:tl2br w:val="nil"/>
                    <w:tr2bl w:val="nil"/>
                  </w:tcBorders>
                  <w:vAlign w:val="center"/>
                </w:tcPr>
                <w:p w14:paraId="4E6B86BC">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N</w:t>
                  </w:r>
                </w:p>
              </w:tc>
              <w:tc>
                <w:tcPr>
                  <w:tcW w:w="977" w:type="pct"/>
                  <w:tcBorders>
                    <w:tl2br w:val="nil"/>
                    <w:tr2bl w:val="nil"/>
                  </w:tcBorders>
                  <w:vAlign w:val="center"/>
                </w:tcPr>
                <w:p w14:paraId="0E1CCA18">
                  <w:pPr>
                    <w:spacing w:before="78" w:beforeLines="25" w:after="78" w:afterLines="25" w:line="240" w:lineRule="auto"/>
                    <w:jc w:val="center"/>
                    <w:rPr>
                      <w:rFonts w:ascii="Times New Roman" w:hAnsi="Times New Roman" w:eastAsia="宋体" w:cs="Times New Roman"/>
                      <w:spacing w:val="2"/>
                      <w:szCs w:val="21"/>
                    </w:rPr>
                  </w:pPr>
                  <w:r>
                    <w:rPr>
                      <w:rFonts w:hint="eastAsia" w:ascii="Times New Roman" w:hAnsi="Times New Roman" w:eastAsia="宋体"/>
                      <w:spacing w:val="2"/>
                      <w:szCs w:val="21"/>
                    </w:rPr>
                    <w:t>设备噪声</w:t>
                  </w:r>
                </w:p>
              </w:tc>
              <w:tc>
                <w:tcPr>
                  <w:tcW w:w="1029" w:type="pct"/>
                  <w:tcBorders>
                    <w:tl2br w:val="nil"/>
                    <w:tr2bl w:val="nil"/>
                  </w:tcBorders>
                  <w:vAlign w:val="center"/>
                </w:tcPr>
                <w:p w14:paraId="0181AE80">
                  <w:pPr>
                    <w:spacing w:before="78" w:beforeLines="25" w:after="78" w:afterLines="25" w:line="240" w:lineRule="auto"/>
                    <w:jc w:val="center"/>
                    <w:rPr>
                      <w:rFonts w:ascii="Times New Roman" w:hAnsi="Times New Roman" w:eastAsia="宋体" w:cs="Times New Roman"/>
                      <w:spacing w:val="2"/>
                      <w:szCs w:val="21"/>
                    </w:rPr>
                  </w:pPr>
                  <w:r>
                    <w:rPr>
                      <w:rFonts w:hint="eastAsia" w:ascii="Times New Roman" w:hAnsi="Times New Roman" w:eastAsia="宋体"/>
                      <w:spacing w:val="2"/>
                      <w:szCs w:val="21"/>
                    </w:rPr>
                    <w:t>噪声</w:t>
                  </w:r>
                </w:p>
              </w:tc>
              <w:tc>
                <w:tcPr>
                  <w:tcW w:w="1999" w:type="pct"/>
                  <w:tcBorders>
                    <w:tl2br w:val="nil"/>
                    <w:tr2bl w:val="nil"/>
                  </w:tcBorders>
                  <w:vAlign w:val="center"/>
                </w:tcPr>
                <w:p w14:paraId="67100551">
                  <w:pPr>
                    <w:spacing w:before="78" w:beforeLines="25" w:after="78" w:afterLines="25" w:line="240" w:lineRule="auto"/>
                    <w:rPr>
                      <w:rFonts w:ascii="Times New Roman" w:hAnsi="Times New Roman" w:eastAsia="宋体" w:cs="Times New Roman"/>
                      <w:spacing w:val="2"/>
                      <w:szCs w:val="21"/>
                    </w:rPr>
                  </w:pPr>
                  <w:r>
                    <w:rPr>
                      <w:rFonts w:hint="eastAsia" w:ascii="Times New Roman" w:hAnsi="Times New Roman" w:eastAsia="宋体"/>
                      <w:spacing w:val="2"/>
                      <w:szCs w:val="21"/>
                    </w:rPr>
                    <w:t>采用低噪声设备，基础减振、车间隔声、距离衰减等措施。</w:t>
                  </w:r>
                </w:p>
              </w:tc>
            </w:tr>
            <w:tr w14:paraId="1627E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1" w:type="pct"/>
                  <w:vMerge w:val="restart"/>
                  <w:tcBorders>
                    <w:tl2br w:val="nil"/>
                    <w:tr2bl w:val="nil"/>
                  </w:tcBorders>
                  <w:vAlign w:val="center"/>
                </w:tcPr>
                <w:p w14:paraId="2633FEDB">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固废</w:t>
                  </w:r>
                </w:p>
              </w:tc>
              <w:tc>
                <w:tcPr>
                  <w:tcW w:w="541" w:type="pct"/>
                  <w:tcBorders>
                    <w:tl2br w:val="nil"/>
                    <w:tr2bl w:val="nil"/>
                  </w:tcBorders>
                  <w:vAlign w:val="center"/>
                </w:tcPr>
                <w:p w14:paraId="33C4CD49">
                  <w:pPr>
                    <w:spacing w:before="78" w:beforeLines="25" w:after="78" w:afterLines="25" w:line="240" w:lineRule="auto"/>
                    <w:jc w:val="center"/>
                    <w:rPr>
                      <w:rFonts w:ascii="Times New Roman" w:hAnsi="Times New Roman" w:eastAsia="宋体" w:cs="Times New Roman"/>
                      <w:spacing w:val="2"/>
                      <w:szCs w:val="21"/>
                    </w:rPr>
                  </w:pPr>
                  <w:r>
                    <w:rPr>
                      <w:rFonts w:hint="eastAsia" w:ascii="Times New Roman" w:hAnsi="Times New Roman" w:eastAsia="宋体"/>
                      <w:spacing w:val="2"/>
                      <w:szCs w:val="21"/>
                    </w:rPr>
                    <w:t>S1</w:t>
                  </w:r>
                </w:p>
              </w:tc>
              <w:tc>
                <w:tcPr>
                  <w:tcW w:w="977" w:type="pct"/>
                  <w:tcBorders>
                    <w:tl2br w:val="nil"/>
                    <w:tr2bl w:val="nil"/>
                  </w:tcBorders>
                  <w:vAlign w:val="center"/>
                </w:tcPr>
                <w:p w14:paraId="20042610">
                  <w:pPr>
                    <w:spacing w:before="78" w:beforeLines="25" w:after="78" w:afterLines="25" w:line="240" w:lineRule="auto"/>
                    <w:jc w:val="center"/>
                    <w:rPr>
                      <w:rFonts w:hint="eastAsia" w:ascii="Times New Roman" w:hAnsi="Times New Roman" w:eastAsia="宋体" w:cs="Times New Roman"/>
                      <w:spacing w:val="2"/>
                      <w:szCs w:val="21"/>
                      <w:lang w:eastAsia="zh-CN"/>
                    </w:rPr>
                  </w:pPr>
                  <w:r>
                    <w:rPr>
                      <w:rFonts w:hint="eastAsia" w:ascii="Times New Roman" w:hAnsi="Times New Roman" w:eastAsia="宋体" w:cs="Times New Roman"/>
                      <w:spacing w:val="2"/>
                      <w:szCs w:val="21"/>
                      <w:lang w:eastAsia="zh-CN"/>
                    </w:rPr>
                    <w:t>包覆</w:t>
                  </w:r>
                </w:p>
              </w:tc>
              <w:tc>
                <w:tcPr>
                  <w:tcW w:w="1029" w:type="pct"/>
                  <w:tcBorders>
                    <w:tl2br w:val="nil"/>
                    <w:tr2bl w:val="nil"/>
                  </w:tcBorders>
                  <w:vAlign w:val="center"/>
                </w:tcPr>
                <w:p w14:paraId="5A3504A9">
                  <w:pPr>
                    <w:spacing w:before="78" w:beforeLines="25" w:after="78" w:afterLines="25" w:line="240" w:lineRule="auto"/>
                    <w:jc w:val="center"/>
                    <w:rPr>
                      <w:rFonts w:hint="eastAsia" w:ascii="Times New Roman" w:hAnsi="Times New Roman" w:eastAsia="宋体" w:cs="Times New Roman"/>
                      <w:spacing w:val="2"/>
                      <w:szCs w:val="21"/>
                      <w:lang w:eastAsia="zh-CN"/>
                    </w:rPr>
                  </w:pPr>
                  <w:r>
                    <w:rPr>
                      <w:rFonts w:hint="eastAsia" w:ascii="Times New Roman" w:hAnsi="Times New Roman" w:eastAsia="宋体"/>
                      <w:spacing w:val="2"/>
                      <w:szCs w:val="21"/>
                      <w:lang w:eastAsia="zh-CN"/>
                    </w:rPr>
                    <w:t>废胶桶</w:t>
                  </w:r>
                </w:p>
              </w:tc>
              <w:tc>
                <w:tcPr>
                  <w:tcW w:w="1999" w:type="pct"/>
                  <w:tcBorders>
                    <w:tl2br w:val="nil"/>
                    <w:tr2bl w:val="nil"/>
                  </w:tcBorders>
                  <w:vAlign w:val="center"/>
                </w:tcPr>
                <w:p w14:paraId="35443F5B">
                  <w:pPr>
                    <w:pStyle w:val="34"/>
                    <w:spacing w:line="240" w:lineRule="auto"/>
                  </w:pPr>
                  <w:r>
                    <w:rPr>
                      <w:rFonts w:hint="eastAsia" w:ascii="Times New Roman" w:hAnsi="Times New Roman" w:eastAsia="宋体"/>
                      <w:spacing w:val="2"/>
                      <w:szCs w:val="21"/>
                    </w:rPr>
                    <w:t>属于危险废物，集中收集暂存于危废贮存点，并委托有相应危险废物处置资质单位定期进行转运处置。</w:t>
                  </w:r>
                </w:p>
              </w:tc>
            </w:tr>
            <w:tr w14:paraId="79708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1" w:type="pct"/>
                  <w:vMerge w:val="continue"/>
                  <w:tcBorders>
                    <w:tl2br w:val="nil"/>
                    <w:tr2bl w:val="nil"/>
                  </w:tcBorders>
                  <w:vAlign w:val="center"/>
                </w:tcPr>
                <w:p w14:paraId="14C05F88">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vAlign w:val="center"/>
                </w:tcPr>
                <w:p w14:paraId="331DB0C2">
                  <w:pPr>
                    <w:spacing w:before="78" w:beforeLines="25" w:after="78" w:afterLines="25" w:line="240" w:lineRule="auto"/>
                    <w:jc w:val="center"/>
                    <w:rPr>
                      <w:rFonts w:ascii="Times New Roman" w:hAnsi="Times New Roman" w:eastAsia="宋体"/>
                      <w:spacing w:val="2"/>
                      <w:szCs w:val="21"/>
                    </w:rPr>
                  </w:pPr>
                  <w:r>
                    <w:rPr>
                      <w:rFonts w:hint="eastAsia" w:ascii="Times New Roman" w:hAnsi="Times New Roman" w:eastAsia="宋体"/>
                      <w:spacing w:val="2"/>
                      <w:szCs w:val="21"/>
                    </w:rPr>
                    <w:t>S2</w:t>
                  </w:r>
                </w:p>
              </w:tc>
              <w:tc>
                <w:tcPr>
                  <w:tcW w:w="977" w:type="pct"/>
                  <w:tcBorders>
                    <w:tl2br w:val="nil"/>
                    <w:tr2bl w:val="nil"/>
                  </w:tcBorders>
                  <w:vAlign w:val="center"/>
                </w:tcPr>
                <w:p w14:paraId="1512DFD7">
                  <w:pPr>
                    <w:spacing w:before="78" w:beforeLines="25" w:after="78" w:afterLines="25" w:line="240" w:lineRule="auto"/>
                    <w:jc w:val="center"/>
                    <w:rPr>
                      <w:rFonts w:hint="eastAsia" w:ascii="Times New Roman" w:hAnsi="Times New Roman" w:eastAsia="宋体" w:cs="Times New Roman"/>
                      <w:spacing w:val="2"/>
                      <w:szCs w:val="21"/>
                      <w:lang w:eastAsia="zh-CN"/>
                    </w:rPr>
                  </w:pPr>
                  <w:r>
                    <w:rPr>
                      <w:rFonts w:hint="eastAsia" w:ascii="Times New Roman" w:hAnsi="Times New Roman" w:eastAsia="宋体" w:cs="Times New Roman"/>
                      <w:spacing w:val="2"/>
                      <w:szCs w:val="21"/>
                      <w:lang w:eastAsia="zh-CN"/>
                    </w:rPr>
                    <w:t>齐边</w:t>
                  </w:r>
                </w:p>
              </w:tc>
              <w:tc>
                <w:tcPr>
                  <w:tcW w:w="1029" w:type="pct"/>
                  <w:tcBorders>
                    <w:tl2br w:val="nil"/>
                    <w:tr2bl w:val="nil"/>
                  </w:tcBorders>
                  <w:vAlign w:val="center"/>
                </w:tcPr>
                <w:p w14:paraId="1021FB06">
                  <w:pPr>
                    <w:spacing w:before="78" w:beforeLines="25" w:after="78" w:afterLines="25" w:line="240" w:lineRule="auto"/>
                    <w:jc w:val="center"/>
                    <w:rPr>
                      <w:rFonts w:hint="eastAsia" w:ascii="Times New Roman" w:hAnsi="Times New Roman" w:eastAsia="宋体"/>
                      <w:spacing w:val="2"/>
                      <w:szCs w:val="21"/>
                      <w:lang w:eastAsia="zh-CN"/>
                    </w:rPr>
                  </w:pPr>
                  <w:r>
                    <w:rPr>
                      <w:rFonts w:hint="eastAsia" w:ascii="Times New Roman" w:hAnsi="Times New Roman" w:eastAsia="宋体"/>
                      <w:spacing w:val="2"/>
                      <w:szCs w:val="21"/>
                      <w:lang w:eastAsia="zh-CN"/>
                    </w:rPr>
                    <w:t>边角料</w:t>
                  </w:r>
                </w:p>
              </w:tc>
              <w:tc>
                <w:tcPr>
                  <w:tcW w:w="1999" w:type="pct"/>
                  <w:tcBorders>
                    <w:tl2br w:val="nil"/>
                    <w:tr2bl w:val="nil"/>
                  </w:tcBorders>
                  <w:vAlign w:val="center"/>
                </w:tcPr>
                <w:p w14:paraId="02A7C656">
                  <w:pPr>
                    <w:spacing w:before="78" w:beforeLines="25" w:after="78" w:afterLines="25" w:line="240" w:lineRule="auto"/>
                    <w:jc w:val="center"/>
                    <w:rPr>
                      <w:rFonts w:hint="eastAsia" w:ascii="Times New Roman" w:hAnsi="Times New Roman" w:eastAsia="宋体"/>
                      <w:spacing w:val="2"/>
                      <w:szCs w:val="21"/>
                      <w:lang w:eastAsia="zh-CN"/>
                    </w:rPr>
                  </w:pPr>
                  <w:r>
                    <w:rPr>
                      <w:rFonts w:hint="eastAsia" w:ascii="Times New Roman" w:hAnsi="Times New Roman" w:eastAsia="宋体"/>
                      <w:spacing w:val="2"/>
                      <w:szCs w:val="21"/>
                      <w:lang w:eastAsia="zh-CN"/>
                    </w:rPr>
                    <w:t>外售综合利用</w:t>
                  </w:r>
                </w:p>
              </w:tc>
            </w:tr>
            <w:tr w14:paraId="7A88F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7" w:hRule="atLeast"/>
                <w:jc w:val="center"/>
              </w:trPr>
              <w:tc>
                <w:tcPr>
                  <w:tcW w:w="451" w:type="pct"/>
                  <w:vMerge w:val="continue"/>
                  <w:tcBorders>
                    <w:tl2br w:val="nil"/>
                    <w:tr2bl w:val="nil"/>
                  </w:tcBorders>
                  <w:vAlign w:val="center"/>
                </w:tcPr>
                <w:p w14:paraId="6D864E2B">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5471C7AC">
                  <w:pPr>
                    <w:spacing w:before="78" w:beforeLines="25" w:after="78" w:afterLines="25"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3</w:t>
                  </w:r>
                </w:p>
              </w:tc>
              <w:tc>
                <w:tcPr>
                  <w:tcW w:w="977" w:type="pct"/>
                  <w:tcBorders>
                    <w:tl2br w:val="nil"/>
                    <w:tr2bl w:val="nil"/>
                  </w:tcBorders>
                  <w:shd w:val="clear" w:color="auto" w:fill="auto"/>
                  <w:vAlign w:val="center"/>
                </w:tcPr>
                <w:p w14:paraId="2C05FBA9">
                  <w:pPr>
                    <w:spacing w:before="78" w:beforeLines="25" w:after="78" w:afterLines="25" w:line="240" w:lineRule="auto"/>
                    <w:jc w:val="center"/>
                    <w:rPr>
                      <w:rFonts w:ascii="Times New Roman" w:hAnsi="Times New Roman" w:eastAsia="宋体" w:cs="Times New Roman"/>
                      <w:spacing w:val="2"/>
                      <w:kern w:val="2"/>
                      <w:sz w:val="21"/>
                      <w:szCs w:val="21"/>
                      <w:lang w:val="en-US" w:eastAsia="zh-CN" w:bidi="ar-SA"/>
                    </w:rPr>
                  </w:pPr>
                  <w:r>
                    <w:rPr>
                      <w:rFonts w:hint="eastAsia" w:ascii="Times New Roman" w:hAnsi="Times New Roman" w:eastAsia="宋体" w:cs="Times New Roman"/>
                      <w:spacing w:val="2"/>
                      <w:szCs w:val="21"/>
                    </w:rPr>
                    <w:t>废气治理</w:t>
                  </w:r>
                </w:p>
              </w:tc>
              <w:tc>
                <w:tcPr>
                  <w:tcW w:w="1029" w:type="pct"/>
                  <w:tcBorders>
                    <w:tl2br w:val="nil"/>
                    <w:tr2bl w:val="nil"/>
                  </w:tcBorders>
                  <w:shd w:val="clear" w:color="auto" w:fill="auto"/>
                  <w:vAlign w:val="center"/>
                </w:tcPr>
                <w:p w14:paraId="7C9444A1">
                  <w:pPr>
                    <w:spacing w:before="78" w:beforeLines="25" w:after="78" w:afterLines="25" w:line="240" w:lineRule="auto"/>
                    <w:jc w:val="center"/>
                    <w:rPr>
                      <w:rFonts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废活性炭、废过滤棉</w:t>
                  </w:r>
                </w:p>
              </w:tc>
              <w:tc>
                <w:tcPr>
                  <w:tcW w:w="1999" w:type="pct"/>
                  <w:vMerge w:val="restart"/>
                  <w:tcBorders>
                    <w:tl2br w:val="nil"/>
                    <w:tr2bl w:val="nil"/>
                  </w:tcBorders>
                  <w:vAlign w:val="center"/>
                </w:tcPr>
                <w:p w14:paraId="0C9C93A6">
                  <w:pPr>
                    <w:spacing w:before="78" w:beforeLines="25" w:after="78" w:afterLines="25" w:line="240" w:lineRule="auto"/>
                    <w:rPr>
                      <w:rFonts w:ascii="Times New Roman" w:hAnsi="Times New Roman" w:eastAsia="宋体"/>
                      <w:spacing w:val="2"/>
                      <w:szCs w:val="21"/>
                    </w:rPr>
                  </w:pPr>
                  <w:r>
                    <w:rPr>
                      <w:rFonts w:hint="eastAsia" w:ascii="Times New Roman" w:hAnsi="Times New Roman" w:eastAsia="宋体"/>
                      <w:spacing w:val="2"/>
                      <w:szCs w:val="21"/>
                    </w:rPr>
                    <w:t>属于危险废物，集中收集暂存于危废贮存点，并委托有相应危险废物处置资质单位定期进行转运处置。</w:t>
                  </w:r>
                </w:p>
              </w:tc>
            </w:tr>
            <w:tr w14:paraId="28A9A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7" w:hRule="atLeast"/>
                <w:jc w:val="center"/>
              </w:trPr>
              <w:tc>
                <w:tcPr>
                  <w:tcW w:w="451" w:type="pct"/>
                  <w:vMerge w:val="continue"/>
                  <w:tcBorders>
                    <w:tl2br w:val="nil"/>
                    <w:tr2bl w:val="nil"/>
                  </w:tcBorders>
                  <w:vAlign w:val="center"/>
                </w:tcPr>
                <w:p w14:paraId="02CEC281">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51087706">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4</w:t>
                  </w:r>
                </w:p>
              </w:tc>
              <w:tc>
                <w:tcPr>
                  <w:tcW w:w="977" w:type="pct"/>
                  <w:vMerge w:val="restart"/>
                  <w:tcBorders>
                    <w:tl2br w:val="nil"/>
                    <w:tr2bl w:val="nil"/>
                  </w:tcBorders>
                  <w:vAlign w:val="center"/>
                </w:tcPr>
                <w:p w14:paraId="4CCB08CF">
                  <w:pPr>
                    <w:spacing w:before="78" w:beforeLines="25" w:after="78" w:afterLines="25" w:line="240" w:lineRule="auto"/>
                    <w:jc w:val="center"/>
                    <w:rPr>
                      <w:rFonts w:ascii="Times New Roman" w:hAnsi="Times New Roman" w:eastAsia="宋体" w:cs="Times New Roman"/>
                      <w:spacing w:val="2"/>
                      <w:szCs w:val="21"/>
                    </w:rPr>
                  </w:pPr>
                  <w:r>
                    <w:rPr>
                      <w:rFonts w:hint="eastAsia" w:ascii="Times New Roman" w:hAnsi="Times New Roman" w:eastAsia="宋体"/>
                      <w:spacing w:val="2"/>
                      <w:szCs w:val="21"/>
                    </w:rPr>
                    <w:t>设备保养</w:t>
                  </w:r>
                </w:p>
              </w:tc>
              <w:tc>
                <w:tcPr>
                  <w:tcW w:w="1029" w:type="pct"/>
                  <w:tcBorders>
                    <w:tl2br w:val="nil"/>
                    <w:tr2bl w:val="nil"/>
                  </w:tcBorders>
                  <w:shd w:val="clear" w:color="auto" w:fill="auto"/>
                  <w:vAlign w:val="center"/>
                </w:tcPr>
                <w:p w14:paraId="241DBFB3">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lang w:eastAsia="zh-CN"/>
                    </w:rPr>
                    <w:t>废液压油、废导热油</w:t>
                  </w:r>
                </w:p>
              </w:tc>
              <w:tc>
                <w:tcPr>
                  <w:tcW w:w="1999" w:type="pct"/>
                  <w:vMerge w:val="continue"/>
                  <w:tcBorders>
                    <w:tl2br w:val="nil"/>
                    <w:tr2bl w:val="nil"/>
                  </w:tcBorders>
                  <w:vAlign w:val="center"/>
                </w:tcPr>
                <w:p w14:paraId="244FE8FB">
                  <w:pPr>
                    <w:spacing w:before="78" w:beforeLines="25" w:after="78" w:afterLines="25" w:line="240" w:lineRule="auto"/>
                    <w:rPr>
                      <w:rFonts w:ascii="Times New Roman" w:hAnsi="Times New Roman" w:eastAsia="宋体"/>
                      <w:spacing w:val="2"/>
                      <w:szCs w:val="21"/>
                    </w:rPr>
                  </w:pPr>
                </w:p>
              </w:tc>
            </w:tr>
            <w:tr w14:paraId="15A8A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6" w:hRule="atLeast"/>
                <w:jc w:val="center"/>
              </w:trPr>
              <w:tc>
                <w:tcPr>
                  <w:tcW w:w="451" w:type="pct"/>
                  <w:vMerge w:val="continue"/>
                  <w:tcBorders>
                    <w:tl2br w:val="nil"/>
                    <w:tr2bl w:val="nil"/>
                  </w:tcBorders>
                  <w:vAlign w:val="center"/>
                </w:tcPr>
                <w:p w14:paraId="08AB4FF9">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4D648BA2">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5</w:t>
                  </w:r>
                </w:p>
              </w:tc>
              <w:tc>
                <w:tcPr>
                  <w:tcW w:w="977" w:type="pct"/>
                  <w:vMerge w:val="continue"/>
                  <w:tcBorders>
                    <w:tl2br w:val="nil"/>
                    <w:tr2bl w:val="nil"/>
                  </w:tcBorders>
                  <w:vAlign w:val="center"/>
                </w:tcPr>
                <w:p w14:paraId="47B30253">
                  <w:pPr>
                    <w:spacing w:before="78" w:beforeLines="25" w:after="78" w:afterLines="25" w:line="240" w:lineRule="auto"/>
                    <w:jc w:val="center"/>
                    <w:rPr>
                      <w:rFonts w:hint="eastAsia" w:ascii="Times New Roman" w:hAnsi="Times New Roman" w:eastAsia="宋体"/>
                      <w:spacing w:val="2"/>
                      <w:szCs w:val="21"/>
                    </w:rPr>
                  </w:pPr>
                </w:p>
              </w:tc>
              <w:tc>
                <w:tcPr>
                  <w:tcW w:w="1029" w:type="pct"/>
                  <w:tcBorders>
                    <w:tl2br w:val="nil"/>
                    <w:tr2bl w:val="nil"/>
                  </w:tcBorders>
                  <w:shd w:val="clear" w:color="auto" w:fill="auto"/>
                  <w:vAlign w:val="center"/>
                </w:tcPr>
                <w:p w14:paraId="2CA74536">
                  <w:pPr>
                    <w:spacing w:before="68" w:beforeLines="22" w:after="68" w:afterLines="22" w:line="240" w:lineRule="auto"/>
                    <w:jc w:val="center"/>
                    <w:rPr>
                      <w:rFonts w:hint="eastAsia" w:ascii="Times New Roman" w:hAnsi="Times New Roman" w:eastAsia="宋体"/>
                      <w:spacing w:val="2"/>
                      <w:szCs w:val="21"/>
                      <w:lang w:eastAsia="zh-CN"/>
                    </w:rPr>
                  </w:pPr>
                  <w:r>
                    <w:rPr>
                      <w:rFonts w:hint="eastAsia" w:ascii="Times New Roman" w:hAnsi="Times New Roman" w:eastAsia="宋体"/>
                      <w:spacing w:val="2"/>
                      <w:szCs w:val="21"/>
                      <w:lang w:eastAsia="zh-CN"/>
                    </w:rPr>
                    <w:t>废液压油</w:t>
                  </w:r>
                </w:p>
              </w:tc>
              <w:tc>
                <w:tcPr>
                  <w:tcW w:w="1999" w:type="pct"/>
                  <w:vMerge w:val="continue"/>
                  <w:tcBorders>
                    <w:tl2br w:val="nil"/>
                    <w:tr2bl w:val="nil"/>
                  </w:tcBorders>
                  <w:vAlign w:val="center"/>
                </w:tcPr>
                <w:p w14:paraId="3990F605">
                  <w:pPr>
                    <w:spacing w:before="78" w:beforeLines="25" w:after="78" w:afterLines="25" w:line="240" w:lineRule="auto"/>
                    <w:rPr>
                      <w:rFonts w:ascii="Times New Roman" w:hAnsi="Times New Roman" w:eastAsia="宋体"/>
                      <w:spacing w:val="2"/>
                      <w:szCs w:val="21"/>
                    </w:rPr>
                  </w:pPr>
                </w:p>
              </w:tc>
            </w:tr>
            <w:tr w14:paraId="599F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3" w:hRule="atLeast"/>
                <w:jc w:val="center"/>
              </w:trPr>
              <w:tc>
                <w:tcPr>
                  <w:tcW w:w="451" w:type="pct"/>
                  <w:vMerge w:val="continue"/>
                  <w:tcBorders>
                    <w:tl2br w:val="nil"/>
                    <w:tr2bl w:val="nil"/>
                  </w:tcBorders>
                  <w:vAlign w:val="center"/>
                </w:tcPr>
                <w:p w14:paraId="74E8FC81">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646661B3">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6</w:t>
                  </w:r>
                </w:p>
              </w:tc>
              <w:tc>
                <w:tcPr>
                  <w:tcW w:w="977" w:type="pct"/>
                  <w:vMerge w:val="continue"/>
                  <w:tcBorders>
                    <w:tl2br w:val="nil"/>
                    <w:tr2bl w:val="nil"/>
                  </w:tcBorders>
                  <w:vAlign w:val="center"/>
                </w:tcPr>
                <w:p w14:paraId="46BEF46E">
                  <w:pPr>
                    <w:spacing w:before="68" w:beforeLines="22" w:after="68" w:afterLines="22" w:line="240" w:lineRule="auto"/>
                    <w:jc w:val="center"/>
                    <w:rPr>
                      <w:rFonts w:ascii="Times New Roman" w:hAnsi="Times New Roman" w:eastAsia="宋体" w:cs="Times New Roman"/>
                      <w:spacing w:val="2"/>
                      <w:szCs w:val="21"/>
                    </w:rPr>
                  </w:pPr>
                </w:p>
              </w:tc>
              <w:tc>
                <w:tcPr>
                  <w:tcW w:w="1029" w:type="pct"/>
                  <w:tcBorders>
                    <w:tl2br w:val="nil"/>
                    <w:tr2bl w:val="nil"/>
                  </w:tcBorders>
                  <w:shd w:val="clear" w:color="auto" w:fill="auto"/>
                  <w:vAlign w:val="center"/>
                </w:tcPr>
                <w:p w14:paraId="26B40916">
                  <w:pPr>
                    <w:spacing w:before="68" w:beforeLines="22" w:after="68" w:afterLines="22" w:line="240" w:lineRule="auto"/>
                    <w:jc w:val="center"/>
                    <w:rPr>
                      <w:rFonts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废油桶</w:t>
                  </w:r>
                </w:p>
              </w:tc>
              <w:tc>
                <w:tcPr>
                  <w:tcW w:w="1999" w:type="pct"/>
                  <w:vMerge w:val="continue"/>
                  <w:tcBorders>
                    <w:tl2br w:val="nil"/>
                    <w:tr2bl w:val="nil"/>
                  </w:tcBorders>
                  <w:vAlign w:val="center"/>
                </w:tcPr>
                <w:p w14:paraId="63CD64C3">
                  <w:pPr>
                    <w:spacing w:before="78" w:beforeLines="25" w:after="78" w:afterLines="25" w:line="240" w:lineRule="auto"/>
                    <w:rPr>
                      <w:rFonts w:ascii="Times New Roman" w:hAnsi="Times New Roman" w:eastAsia="宋体"/>
                      <w:spacing w:val="2"/>
                      <w:szCs w:val="21"/>
                    </w:rPr>
                  </w:pPr>
                </w:p>
              </w:tc>
            </w:tr>
            <w:tr w14:paraId="354BF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53A02DF8">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43105956">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7</w:t>
                  </w:r>
                </w:p>
              </w:tc>
              <w:tc>
                <w:tcPr>
                  <w:tcW w:w="977" w:type="pct"/>
                  <w:vMerge w:val="continue"/>
                  <w:tcBorders>
                    <w:tl2br w:val="nil"/>
                    <w:tr2bl w:val="nil"/>
                  </w:tcBorders>
                  <w:vAlign w:val="center"/>
                </w:tcPr>
                <w:p w14:paraId="654014B4">
                  <w:pPr>
                    <w:spacing w:before="68" w:beforeLines="22" w:after="68" w:afterLines="22" w:line="240" w:lineRule="auto"/>
                    <w:jc w:val="center"/>
                    <w:rPr>
                      <w:rFonts w:ascii="Times New Roman" w:hAnsi="Times New Roman" w:eastAsia="宋体" w:cs="Times New Roman"/>
                      <w:spacing w:val="2"/>
                      <w:szCs w:val="21"/>
                    </w:rPr>
                  </w:pPr>
                </w:p>
              </w:tc>
              <w:tc>
                <w:tcPr>
                  <w:tcW w:w="1029" w:type="pct"/>
                  <w:tcBorders>
                    <w:tl2br w:val="nil"/>
                    <w:tr2bl w:val="nil"/>
                  </w:tcBorders>
                  <w:shd w:val="clear" w:color="auto" w:fill="auto"/>
                  <w:vAlign w:val="center"/>
                </w:tcPr>
                <w:p w14:paraId="66671CC6">
                  <w:pPr>
                    <w:spacing w:before="68" w:beforeLines="22" w:after="68" w:afterLines="22" w:line="240" w:lineRule="auto"/>
                    <w:jc w:val="center"/>
                    <w:rPr>
                      <w:rFonts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含油废棉纱手套</w:t>
                  </w:r>
                </w:p>
              </w:tc>
              <w:tc>
                <w:tcPr>
                  <w:tcW w:w="1999" w:type="pct"/>
                  <w:vMerge w:val="continue"/>
                  <w:tcBorders>
                    <w:tl2br w:val="nil"/>
                    <w:tr2bl w:val="nil"/>
                  </w:tcBorders>
                  <w:vAlign w:val="center"/>
                </w:tcPr>
                <w:p w14:paraId="1CC7BA8A">
                  <w:pPr>
                    <w:spacing w:before="78" w:beforeLines="25" w:after="78" w:afterLines="25" w:line="240" w:lineRule="auto"/>
                    <w:rPr>
                      <w:rFonts w:ascii="Times New Roman" w:hAnsi="Times New Roman" w:eastAsia="宋体"/>
                      <w:spacing w:val="2"/>
                      <w:szCs w:val="21"/>
                    </w:rPr>
                  </w:pPr>
                </w:p>
              </w:tc>
            </w:tr>
            <w:tr w14:paraId="13D79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3E06F6C2">
                  <w:pPr>
                    <w:spacing w:before="78" w:beforeLines="25" w:after="78" w:afterLines="25" w:line="240" w:lineRule="auto"/>
                    <w:jc w:val="center"/>
                    <w:rPr>
                      <w:rFonts w:ascii="Times New Roman" w:hAnsi="Times New Roman" w:eastAsia="宋体"/>
                      <w:spacing w:val="2"/>
                      <w:szCs w:val="21"/>
                    </w:rPr>
                  </w:pPr>
                </w:p>
              </w:tc>
              <w:tc>
                <w:tcPr>
                  <w:tcW w:w="541" w:type="pct"/>
                  <w:tcBorders>
                    <w:tl2br w:val="nil"/>
                    <w:tr2bl w:val="nil"/>
                  </w:tcBorders>
                  <w:shd w:val="clear" w:color="auto" w:fill="auto"/>
                  <w:vAlign w:val="center"/>
                </w:tcPr>
                <w:p w14:paraId="2C35442C">
                  <w:pPr>
                    <w:spacing w:before="68" w:beforeLines="22" w:after="68" w:afterLines="22" w:line="240" w:lineRule="auto"/>
                    <w:jc w:val="center"/>
                    <w:rPr>
                      <w:rFonts w:hint="eastAsia"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S</w:t>
                  </w:r>
                  <w:r>
                    <w:rPr>
                      <w:rFonts w:hint="eastAsia" w:ascii="Times New Roman" w:hAnsi="Times New Roman" w:eastAsia="宋体"/>
                      <w:spacing w:val="2"/>
                      <w:szCs w:val="21"/>
                      <w:lang w:val="en-US" w:eastAsia="zh-CN"/>
                    </w:rPr>
                    <w:t>8</w:t>
                  </w:r>
                </w:p>
              </w:tc>
              <w:tc>
                <w:tcPr>
                  <w:tcW w:w="977" w:type="pct"/>
                  <w:vMerge w:val="continue"/>
                  <w:tcBorders>
                    <w:tl2br w:val="nil"/>
                    <w:tr2bl w:val="nil"/>
                  </w:tcBorders>
                  <w:vAlign w:val="center"/>
                </w:tcPr>
                <w:p w14:paraId="128521B5">
                  <w:pPr>
                    <w:spacing w:before="68" w:beforeLines="22" w:after="68" w:afterLines="22" w:line="240" w:lineRule="auto"/>
                    <w:jc w:val="center"/>
                    <w:rPr>
                      <w:rFonts w:ascii="Times New Roman" w:hAnsi="Times New Roman" w:eastAsia="宋体" w:cs="Times New Roman"/>
                      <w:spacing w:val="2"/>
                      <w:szCs w:val="21"/>
                    </w:rPr>
                  </w:pPr>
                </w:p>
              </w:tc>
              <w:tc>
                <w:tcPr>
                  <w:tcW w:w="1029" w:type="pct"/>
                  <w:tcBorders>
                    <w:tl2br w:val="nil"/>
                    <w:tr2bl w:val="nil"/>
                  </w:tcBorders>
                  <w:shd w:val="clear" w:color="auto" w:fill="auto"/>
                  <w:vAlign w:val="center"/>
                </w:tcPr>
                <w:p w14:paraId="186AC871">
                  <w:pPr>
                    <w:spacing w:before="68" w:beforeLines="22" w:after="68" w:afterLines="22" w:line="240" w:lineRule="auto"/>
                    <w:jc w:val="center"/>
                    <w:rPr>
                      <w:rFonts w:ascii="Times New Roman" w:hAnsi="Times New Roman" w:eastAsia="宋体" w:cstheme="minorBidi"/>
                      <w:spacing w:val="2"/>
                      <w:kern w:val="2"/>
                      <w:sz w:val="21"/>
                      <w:szCs w:val="21"/>
                      <w:lang w:val="en-US" w:eastAsia="zh-CN" w:bidi="ar-SA"/>
                    </w:rPr>
                  </w:pPr>
                  <w:r>
                    <w:rPr>
                      <w:rFonts w:hint="eastAsia" w:ascii="Times New Roman" w:hAnsi="Times New Roman" w:eastAsia="宋体"/>
                      <w:spacing w:val="2"/>
                      <w:szCs w:val="21"/>
                    </w:rPr>
                    <w:t>空压机废油液</w:t>
                  </w:r>
                </w:p>
              </w:tc>
              <w:tc>
                <w:tcPr>
                  <w:tcW w:w="1999" w:type="pct"/>
                  <w:vMerge w:val="continue"/>
                  <w:tcBorders>
                    <w:tl2br w:val="nil"/>
                    <w:tr2bl w:val="nil"/>
                  </w:tcBorders>
                  <w:vAlign w:val="center"/>
                </w:tcPr>
                <w:p w14:paraId="5398468E">
                  <w:pPr>
                    <w:spacing w:before="78" w:beforeLines="25" w:after="78" w:afterLines="25" w:line="240" w:lineRule="auto"/>
                    <w:rPr>
                      <w:rFonts w:ascii="Times New Roman" w:hAnsi="Times New Roman" w:eastAsia="宋体"/>
                      <w:spacing w:val="2"/>
                      <w:szCs w:val="21"/>
                    </w:rPr>
                  </w:pPr>
                </w:p>
              </w:tc>
            </w:tr>
          </w:tbl>
          <w:p w14:paraId="58C2DEF5">
            <w:pPr>
              <w:spacing w:line="372" w:lineRule="auto"/>
              <w:ind w:firstLine="420" w:firstLineChars="200"/>
              <w:rPr>
                <w:rFonts w:ascii="Times New Roman" w:hAnsi="Times New Roman"/>
              </w:rPr>
            </w:pPr>
          </w:p>
        </w:tc>
      </w:tr>
      <w:tr w14:paraId="2005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49" w:hRule="atLeast"/>
        </w:trPr>
        <w:tc>
          <w:tcPr>
            <w:tcW w:w="357" w:type="pct"/>
            <w:vAlign w:val="center"/>
          </w:tcPr>
          <w:p w14:paraId="531ED065">
            <w:pPr>
              <w:spacing w:line="360" w:lineRule="auto"/>
              <w:jc w:val="center"/>
              <w:rPr>
                <w:rFonts w:ascii="Times New Roman" w:hAnsi="Times New Roman"/>
                <w:b/>
                <w:bCs/>
                <w:sz w:val="24"/>
              </w:rPr>
            </w:pPr>
            <w:r>
              <w:rPr>
                <w:rFonts w:hint="eastAsia" w:ascii="Times New Roman" w:hAnsi="Times New Roman" w:cs="宋体"/>
                <w:b/>
                <w:bCs/>
                <w:sz w:val="24"/>
              </w:rPr>
              <w:t>与项目有关的原有环境污染问题</w:t>
            </w:r>
          </w:p>
        </w:tc>
        <w:tc>
          <w:tcPr>
            <w:tcW w:w="4642" w:type="pct"/>
          </w:tcPr>
          <w:p w14:paraId="602DA554">
            <w:pPr>
              <w:spacing w:line="372" w:lineRule="auto"/>
              <w:rPr>
                <w:rFonts w:ascii="Times New Roman" w:hAnsi="Times New Roman" w:eastAsia="宋体"/>
                <w:b/>
                <w:bCs/>
                <w:sz w:val="24"/>
              </w:rPr>
            </w:pPr>
            <w:r>
              <w:rPr>
                <w:rFonts w:hint="eastAsia" w:ascii="Times New Roman" w:hAnsi="Times New Roman" w:eastAsia="宋体"/>
                <w:b/>
                <w:bCs/>
                <w:sz w:val="24"/>
              </w:rPr>
              <w:t>2.12与项目有关的原有环境污染问题</w:t>
            </w:r>
          </w:p>
          <w:p w14:paraId="449EED5F">
            <w:pPr>
              <w:pStyle w:val="26"/>
              <w:spacing w:after="0"/>
              <w:ind w:left="0" w:leftChars="0" w:firstLine="480" w:firstLineChars="200"/>
              <w:rPr>
                <w:rFonts w:ascii="Times New Roman" w:hAnsi="Times New Roman"/>
              </w:rPr>
            </w:pPr>
            <w:r>
              <w:rPr>
                <w:rFonts w:hint="eastAsia" w:ascii="Times New Roman" w:hAnsi="Times New Roman" w:eastAsia="宋体"/>
                <w:sz w:val="24"/>
                <w:lang w:eastAsia="zh-CN"/>
              </w:rPr>
              <w:t>重庆惠才板材有限公司</w:t>
            </w:r>
            <w:r>
              <w:rPr>
                <w:rFonts w:eastAsia="宋体" w:cs="Times New Roman"/>
                <w:sz w:val="24"/>
                <w:szCs w:val="24"/>
              </w:rPr>
              <w:t>租用</w:t>
            </w:r>
            <w:r>
              <w:rPr>
                <w:rFonts w:hint="eastAsia" w:ascii="Times New Roman" w:hAnsi="Times New Roman" w:eastAsia="宋体"/>
                <w:sz w:val="24"/>
                <w:lang w:eastAsia="zh-CN"/>
              </w:rPr>
              <w:t>重庆盛德佳工贸有限公司现有厂房建设“人造板材（免漆门面饰板）生产项目</w:t>
            </w:r>
            <w:r>
              <w:rPr>
                <w:rFonts w:hint="eastAsia" w:eastAsia="宋体" w:cs="Times New Roman"/>
                <w:sz w:val="24"/>
                <w:szCs w:val="24"/>
              </w:rPr>
              <w:t>”</w:t>
            </w:r>
            <w:r>
              <w:rPr>
                <w:rFonts w:hint="eastAsia" w:eastAsia="宋体"/>
                <w:sz w:val="24"/>
                <w:lang w:eastAsia="zh-CN"/>
              </w:rPr>
              <w:t>，该厂房及配套设施已完成竣工环境保护验收，验收意见详见附件</w:t>
            </w:r>
            <w:r>
              <w:rPr>
                <w:rFonts w:hint="eastAsia" w:eastAsia="宋体"/>
                <w:sz w:val="24"/>
                <w:lang w:val="en-US" w:eastAsia="zh-CN"/>
              </w:rPr>
              <w:t>5</w:t>
            </w:r>
            <w:r>
              <w:rPr>
                <w:rFonts w:hint="eastAsia" w:eastAsia="宋体"/>
                <w:sz w:val="24"/>
                <w:lang w:eastAsia="zh-CN"/>
              </w:rPr>
              <w:t>。</w:t>
            </w:r>
            <w:r>
              <w:rPr>
                <w:rFonts w:hint="eastAsia" w:eastAsia="宋体" w:cs="Times New Roman"/>
                <w:color w:val="000000" w:themeColor="text1"/>
                <w:sz w:val="24"/>
                <w:szCs w:val="24"/>
                <w:lang w:eastAsia="zh-CN"/>
                <w14:textFill>
                  <w14:solidFill>
                    <w14:schemeClr w14:val="tx1"/>
                  </w14:solidFill>
                </w14:textFill>
              </w:rPr>
              <w:t>本项目</w:t>
            </w:r>
            <w:r>
              <w:rPr>
                <w:rFonts w:hint="eastAsia" w:eastAsia="宋体" w:cs="Times New Roman"/>
                <w:color w:val="000000" w:themeColor="text1"/>
                <w:sz w:val="24"/>
                <w:szCs w:val="24"/>
                <w14:textFill>
                  <w14:solidFill>
                    <w14:schemeClr w14:val="tx1"/>
                  </w14:solidFill>
                </w14:textFill>
              </w:rPr>
              <w:t>租赁</w:t>
            </w:r>
            <w:r>
              <w:rPr>
                <w:rFonts w:hint="eastAsia" w:eastAsia="宋体" w:cs="Times New Roman"/>
                <w:color w:val="000000" w:themeColor="text1"/>
                <w:sz w:val="24"/>
                <w:szCs w:val="24"/>
                <w:lang w:eastAsia="zh-CN"/>
                <w14:textFill>
                  <w14:solidFill>
                    <w14:schemeClr w14:val="tx1"/>
                  </w14:solidFill>
                </w14:textFill>
              </w:rPr>
              <w:t>的</w:t>
            </w:r>
            <w:r>
              <w:rPr>
                <w:rFonts w:eastAsia="宋体" w:cs="Times New Roman"/>
                <w:color w:val="000000" w:themeColor="text1"/>
                <w:sz w:val="24"/>
                <w:szCs w:val="24"/>
                <w14:textFill>
                  <w14:solidFill>
                    <w14:schemeClr w14:val="tx1"/>
                  </w14:solidFill>
                </w14:textFill>
              </w:rPr>
              <w:t>厂房</w:t>
            </w:r>
            <w:r>
              <w:rPr>
                <w:rFonts w:hint="eastAsia" w:eastAsia="宋体" w:cs="Times New Roman"/>
                <w:color w:val="000000" w:themeColor="text1"/>
                <w:sz w:val="24"/>
                <w:szCs w:val="24"/>
                <w:lang w:eastAsia="zh-CN"/>
                <w14:textFill>
                  <w14:solidFill>
                    <w14:schemeClr w14:val="tx1"/>
                  </w14:solidFill>
                </w14:textFill>
              </w:rPr>
              <w:t>原由重庆盛德佳工贸有限公司租赁给林山仓储公司作为库房（仓储木材、家具等），林山仓储公司已对原有堆存的产品进行清理，目前厂房空置，不存在原有环境污染问题。</w:t>
            </w:r>
            <w:r>
              <w:rPr>
                <w:rFonts w:eastAsia="宋体" w:cs="Times New Roman"/>
                <w:color w:val="000000" w:themeColor="text1"/>
                <w:sz w:val="24"/>
                <w:szCs w:val="24"/>
                <w14:textFill>
                  <w14:solidFill>
                    <w14:schemeClr w14:val="tx1"/>
                  </w14:solidFill>
                </w14:textFill>
              </w:rPr>
              <w:t>租房合同</w:t>
            </w:r>
            <w:r>
              <w:rPr>
                <w:rFonts w:hint="eastAsia" w:eastAsia="宋体" w:cs="Times New Roman"/>
                <w:color w:val="000000" w:themeColor="text1"/>
                <w:sz w:val="24"/>
                <w:szCs w:val="24"/>
                <w14:textFill>
                  <w14:solidFill>
                    <w14:schemeClr w14:val="tx1"/>
                  </w14:solidFill>
                </w14:textFill>
              </w:rPr>
              <w:t>详见</w:t>
            </w:r>
            <w:r>
              <w:rPr>
                <w:rFonts w:eastAsia="宋体" w:cs="Times New Roman"/>
                <w:color w:val="000000" w:themeColor="text1"/>
                <w:sz w:val="24"/>
                <w:szCs w:val="24"/>
                <w14:textFill>
                  <w14:solidFill>
                    <w14:schemeClr w14:val="tx1"/>
                  </w14:solidFill>
                </w14:textFill>
              </w:rPr>
              <w:t>附件</w:t>
            </w:r>
            <w:r>
              <w:rPr>
                <w:rFonts w:hint="eastAsia" w:eastAsia="宋体" w:cs="Times New Roman"/>
                <w:color w:val="000000" w:themeColor="text1"/>
                <w:sz w:val="24"/>
                <w:szCs w:val="24"/>
                <w14:textFill>
                  <w14:solidFill>
                    <w14:schemeClr w14:val="tx1"/>
                  </w14:solidFill>
                </w14:textFill>
              </w:rPr>
              <w:t>4。</w:t>
            </w:r>
          </w:p>
        </w:tc>
      </w:tr>
    </w:tbl>
    <w:p w14:paraId="036370F2">
      <w:pPr>
        <w:pStyle w:val="22"/>
        <w:widowControl w:val="0"/>
        <w:spacing w:before="31" w:beforeLines="10" w:beforeAutospacing="0" w:after="31" w:afterLines="10" w:afterAutospacing="0"/>
        <w:jc w:val="center"/>
        <w:outlineLvl w:val="0"/>
        <w:rPr>
          <w:rFonts w:ascii="Times New Roman" w:hAnsi="Times New Roman" w:eastAsia="黑体"/>
          <w:snapToGrid w:val="0"/>
          <w:sz w:val="30"/>
          <w:szCs w:val="30"/>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6" w:name="_Toc10269"/>
    </w:p>
    <w:p w14:paraId="18F0B4A8">
      <w:pPr>
        <w:pStyle w:val="22"/>
        <w:widowControl w:val="0"/>
        <w:spacing w:before="31" w:beforeLines="10" w:beforeAutospacing="0" w:after="31" w:afterLines="10" w:afterAutospacing="0"/>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三、区域环境质量现状、环境保护目标及评价标准</w:t>
      </w:r>
      <w:bookmarkEnd w:id="6"/>
    </w:p>
    <w:tbl>
      <w:tblPr>
        <w:tblStyle w:val="28"/>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2"/>
        <w:gridCol w:w="8892"/>
      </w:tblGrid>
      <w:tr w14:paraId="077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71" w:hRule="atLeast"/>
        </w:trPr>
        <w:tc>
          <w:tcPr>
            <w:tcW w:w="190" w:type="pct"/>
            <w:vAlign w:val="center"/>
          </w:tcPr>
          <w:p w14:paraId="654F421B">
            <w:pPr>
              <w:spacing w:line="360" w:lineRule="auto"/>
              <w:jc w:val="center"/>
              <w:rPr>
                <w:rFonts w:ascii="Times New Roman" w:hAnsi="Times New Roman"/>
                <w:color w:val="auto"/>
                <w:sz w:val="24"/>
              </w:rPr>
            </w:pPr>
            <w:r>
              <w:rPr>
                <w:rFonts w:hint="eastAsia" w:ascii="Times New Roman" w:hAnsi="Times New Roman" w:cs="宋体"/>
                <w:b/>
                <w:bCs/>
                <w:color w:val="auto"/>
                <w:kern w:val="0"/>
                <w:sz w:val="24"/>
              </w:rPr>
              <w:t>区域环境质量现状</w:t>
            </w:r>
          </w:p>
        </w:tc>
        <w:tc>
          <w:tcPr>
            <w:tcW w:w="4809" w:type="pct"/>
          </w:tcPr>
          <w:p w14:paraId="2CA8050A">
            <w:pPr>
              <w:pStyle w:val="22"/>
              <w:spacing w:before="31" w:beforeLines="10" w:beforeAutospacing="0" w:after="31" w:afterLines="10" w:afterAutospacing="0" w:line="372" w:lineRule="auto"/>
              <w:jc w:val="both"/>
              <w:rPr>
                <w:rFonts w:ascii="Times New Roman" w:hAnsi="Times New Roman" w:cs="宋体"/>
                <w:b/>
                <w:bCs/>
                <w:color w:val="auto"/>
                <w:szCs w:val="24"/>
              </w:rPr>
            </w:pPr>
            <w:r>
              <w:rPr>
                <w:rFonts w:hint="eastAsia" w:ascii="Times New Roman" w:hAnsi="Times New Roman" w:cs="宋体"/>
                <w:b/>
                <w:bCs/>
                <w:color w:val="auto"/>
                <w:szCs w:val="24"/>
              </w:rPr>
              <w:t>3.1、环境空气质量现状</w:t>
            </w:r>
          </w:p>
          <w:p w14:paraId="44D61471">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项目位于重庆市西彭工业园，根据《重庆市人民政府关于印发重庆市环境空气质量功能区划分规定的通知》（渝府发〔2016〕19号），项目所在区域环境空气质量功能属二类区域，环境空气质量执行《环境空气质量标准》（GB 3095-2012）二级标准。</w:t>
            </w:r>
          </w:p>
          <w:p w14:paraId="63DB1BA6">
            <w:pPr>
              <w:pStyle w:val="22"/>
              <w:spacing w:before="31" w:beforeLines="10" w:beforeAutospacing="0" w:after="31" w:afterLines="10" w:afterAutospacing="0" w:line="372" w:lineRule="auto"/>
              <w:ind w:firstLine="482" w:firstLineChars="200"/>
              <w:jc w:val="both"/>
              <w:rPr>
                <w:rFonts w:ascii="Times New Roman" w:hAnsi="Times New Roman" w:cs="宋体"/>
                <w:color w:val="auto"/>
                <w:szCs w:val="24"/>
              </w:rPr>
            </w:pPr>
            <w:r>
              <w:rPr>
                <w:rFonts w:hint="eastAsia" w:ascii="Times New Roman" w:hAnsi="Times New Roman" w:cs="宋体"/>
                <w:b/>
                <w:bCs/>
                <w:color w:val="auto"/>
                <w:szCs w:val="24"/>
              </w:rPr>
              <w:t>1）常规污染物</w:t>
            </w:r>
          </w:p>
          <w:p w14:paraId="67C09F05">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评价引用重庆市生态环境局公布的《2024重庆市生态环境状况公报》中九龙坡区</w:t>
            </w:r>
            <w:r>
              <w:rPr>
                <w:rFonts w:hint="eastAsia" w:ascii="Times New Roman" w:hAnsi="Times New Roman" w:cs="宋体"/>
                <w:color w:val="auto"/>
                <w:szCs w:val="24"/>
                <w:lang w:eastAsia="zh-CN"/>
              </w:rPr>
              <w:t>环境空气质量</w:t>
            </w:r>
            <w:r>
              <w:rPr>
                <w:rFonts w:hint="eastAsia" w:ascii="Times New Roman" w:hAnsi="Times New Roman" w:cs="宋体"/>
                <w:color w:val="auto"/>
                <w:szCs w:val="24"/>
              </w:rPr>
              <w:t>状况数据，项目区域环境空气质量状况评价见表3-1。</w:t>
            </w:r>
          </w:p>
          <w:p w14:paraId="63A17C59">
            <w:pPr>
              <w:pStyle w:val="22"/>
              <w:spacing w:before="0" w:beforeAutospacing="0" w:after="0" w:afterAutospacing="0" w:line="372"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表3-1  区域空气质量现状评价表 单位μg/m</w:t>
            </w:r>
            <w:r>
              <w:rPr>
                <w:rFonts w:ascii="Times New Roman" w:hAnsi="Times New Roman" w:eastAsia="宋体" w:cs="Times New Roman"/>
                <w:color w:val="auto"/>
                <w:szCs w:val="24"/>
                <w:vertAlign w:val="superscript"/>
              </w:rPr>
              <w:t>3</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31"/>
              <w:gridCol w:w="2518"/>
              <w:gridCol w:w="1180"/>
              <w:gridCol w:w="1180"/>
              <w:gridCol w:w="1180"/>
              <w:gridCol w:w="1186"/>
            </w:tblGrid>
            <w:tr w14:paraId="14AB6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52C5400">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w:t>
                  </w:r>
                </w:p>
              </w:tc>
              <w:tc>
                <w:tcPr>
                  <w:tcW w:w="1434" w:type="pct"/>
                  <w:tcBorders>
                    <w:tl2br w:val="nil"/>
                    <w:tr2bl w:val="nil"/>
                  </w:tcBorders>
                  <w:vAlign w:val="center"/>
                </w:tcPr>
                <w:p w14:paraId="509F4C88">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年评价指标</w:t>
                  </w:r>
                </w:p>
              </w:tc>
              <w:tc>
                <w:tcPr>
                  <w:tcW w:w="672" w:type="pct"/>
                  <w:tcBorders>
                    <w:tl2br w:val="nil"/>
                    <w:tr2bl w:val="nil"/>
                  </w:tcBorders>
                  <w:vAlign w:val="center"/>
                </w:tcPr>
                <w:p w14:paraId="0A47D0A8">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现状浓度</w:t>
                  </w:r>
                </w:p>
              </w:tc>
              <w:tc>
                <w:tcPr>
                  <w:tcW w:w="672" w:type="pct"/>
                  <w:tcBorders>
                    <w:tl2br w:val="nil"/>
                    <w:tr2bl w:val="nil"/>
                  </w:tcBorders>
                  <w:vAlign w:val="center"/>
                </w:tcPr>
                <w:p w14:paraId="001C68F2">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标准值</w:t>
                  </w:r>
                </w:p>
              </w:tc>
              <w:tc>
                <w:tcPr>
                  <w:tcW w:w="672" w:type="pct"/>
                  <w:tcBorders>
                    <w:tl2br w:val="nil"/>
                    <w:tr2bl w:val="nil"/>
                  </w:tcBorders>
                  <w:vAlign w:val="center"/>
                </w:tcPr>
                <w:p w14:paraId="5CF2A9F5">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占标率%</w:t>
                  </w:r>
                </w:p>
              </w:tc>
              <w:tc>
                <w:tcPr>
                  <w:tcW w:w="675" w:type="pct"/>
                  <w:tcBorders>
                    <w:tl2br w:val="nil"/>
                    <w:tr2bl w:val="nil"/>
                  </w:tcBorders>
                  <w:vAlign w:val="center"/>
                </w:tcPr>
                <w:p w14:paraId="646F15FD">
                  <w:pPr>
                    <w:pStyle w:val="22"/>
                    <w:spacing w:before="78" w:beforeLines="25" w:beforeAutospacing="0" w:after="78" w:afterLines="25" w:afterAutospacing="0" w:line="300"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达标情况</w:t>
                  </w:r>
                </w:p>
              </w:tc>
            </w:tr>
            <w:tr w14:paraId="76C86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0EC365BC">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PM</w:t>
                  </w:r>
                  <w:r>
                    <w:rPr>
                      <w:rFonts w:hint="eastAsia" w:ascii="Times New Roman" w:hAnsi="Times New Roman" w:eastAsia="宋体" w:cs="宋体"/>
                      <w:color w:val="auto"/>
                      <w:sz w:val="21"/>
                      <w:szCs w:val="21"/>
                      <w:vertAlign w:val="subscript"/>
                    </w:rPr>
                    <w:t>10</w:t>
                  </w:r>
                </w:p>
              </w:tc>
              <w:tc>
                <w:tcPr>
                  <w:tcW w:w="1434" w:type="pct"/>
                  <w:vMerge w:val="restart"/>
                  <w:tcBorders>
                    <w:tl2br w:val="nil"/>
                    <w:tr2bl w:val="nil"/>
                  </w:tcBorders>
                  <w:vAlign w:val="center"/>
                </w:tcPr>
                <w:p w14:paraId="79229ACF">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年均质量浓度</w:t>
                  </w:r>
                </w:p>
              </w:tc>
              <w:tc>
                <w:tcPr>
                  <w:tcW w:w="672" w:type="pct"/>
                  <w:tcBorders>
                    <w:tl2br w:val="nil"/>
                    <w:tr2bl w:val="nil"/>
                  </w:tcBorders>
                  <w:vAlign w:val="center"/>
                </w:tcPr>
                <w:p w14:paraId="3F99FC46">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cs="宋体"/>
                      <w:color w:val="auto"/>
                      <w:sz w:val="21"/>
                      <w:szCs w:val="21"/>
                    </w:rPr>
                    <w:t>51</w:t>
                  </w:r>
                </w:p>
              </w:tc>
              <w:tc>
                <w:tcPr>
                  <w:tcW w:w="672" w:type="pct"/>
                  <w:tcBorders>
                    <w:tl2br w:val="nil"/>
                    <w:tr2bl w:val="nil"/>
                  </w:tcBorders>
                  <w:vAlign w:val="center"/>
                </w:tcPr>
                <w:p w14:paraId="116FD3B0">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70</w:t>
                  </w:r>
                </w:p>
              </w:tc>
              <w:tc>
                <w:tcPr>
                  <w:tcW w:w="672" w:type="pct"/>
                  <w:tcBorders>
                    <w:tl2br w:val="nil"/>
                    <w:tr2bl w:val="nil"/>
                  </w:tcBorders>
                  <w:vAlign w:val="center"/>
                </w:tcPr>
                <w:p w14:paraId="0A18BAA4">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85.7</w:t>
                  </w:r>
                </w:p>
              </w:tc>
              <w:tc>
                <w:tcPr>
                  <w:tcW w:w="675" w:type="pct"/>
                  <w:tcBorders>
                    <w:tl2br w:val="nil"/>
                    <w:tr2bl w:val="nil"/>
                  </w:tcBorders>
                  <w:vAlign w:val="center"/>
                </w:tcPr>
                <w:p w14:paraId="71BCE5CA">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6386C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018EA048">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PM</w:t>
                  </w:r>
                  <w:r>
                    <w:rPr>
                      <w:rFonts w:hint="eastAsia" w:ascii="Times New Roman" w:hAnsi="Times New Roman" w:eastAsia="宋体" w:cs="宋体"/>
                      <w:color w:val="auto"/>
                      <w:sz w:val="21"/>
                      <w:szCs w:val="21"/>
                      <w:vertAlign w:val="subscript"/>
                    </w:rPr>
                    <w:t>2.5</w:t>
                  </w:r>
                </w:p>
              </w:tc>
              <w:tc>
                <w:tcPr>
                  <w:tcW w:w="1434" w:type="pct"/>
                  <w:vMerge w:val="continue"/>
                  <w:tcBorders>
                    <w:tl2br w:val="nil"/>
                    <w:tr2bl w:val="nil"/>
                  </w:tcBorders>
                  <w:vAlign w:val="center"/>
                </w:tcPr>
                <w:p w14:paraId="57A7AB6B">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p>
              </w:tc>
              <w:tc>
                <w:tcPr>
                  <w:tcW w:w="672" w:type="pct"/>
                  <w:tcBorders>
                    <w:tl2br w:val="nil"/>
                    <w:tr2bl w:val="nil"/>
                  </w:tcBorders>
                  <w:vAlign w:val="center"/>
                </w:tcPr>
                <w:p w14:paraId="566809BA">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32.3</w:t>
                  </w:r>
                </w:p>
              </w:tc>
              <w:tc>
                <w:tcPr>
                  <w:tcW w:w="672" w:type="pct"/>
                  <w:tcBorders>
                    <w:tl2br w:val="nil"/>
                    <w:tr2bl w:val="nil"/>
                  </w:tcBorders>
                  <w:vAlign w:val="center"/>
                </w:tcPr>
                <w:p w14:paraId="704A126A">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35</w:t>
                  </w:r>
                </w:p>
              </w:tc>
              <w:tc>
                <w:tcPr>
                  <w:tcW w:w="672" w:type="pct"/>
                  <w:tcBorders>
                    <w:tl2br w:val="nil"/>
                    <w:tr2bl w:val="nil"/>
                  </w:tcBorders>
                  <w:vAlign w:val="center"/>
                </w:tcPr>
                <w:p w14:paraId="64B15149">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92.3</w:t>
                  </w:r>
                </w:p>
              </w:tc>
              <w:tc>
                <w:tcPr>
                  <w:tcW w:w="675" w:type="pct"/>
                  <w:tcBorders>
                    <w:tl2br w:val="nil"/>
                    <w:tr2bl w:val="nil"/>
                  </w:tcBorders>
                  <w:vAlign w:val="center"/>
                </w:tcPr>
                <w:p w14:paraId="01884334">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0692D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3C04AD6">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NO</w:t>
                  </w:r>
                  <w:r>
                    <w:rPr>
                      <w:rFonts w:hint="eastAsia" w:ascii="Times New Roman" w:hAnsi="Times New Roman" w:eastAsia="宋体" w:cs="宋体"/>
                      <w:color w:val="auto"/>
                      <w:sz w:val="21"/>
                      <w:szCs w:val="21"/>
                      <w:vertAlign w:val="subscript"/>
                    </w:rPr>
                    <w:t>2</w:t>
                  </w:r>
                </w:p>
              </w:tc>
              <w:tc>
                <w:tcPr>
                  <w:tcW w:w="1434" w:type="pct"/>
                  <w:vMerge w:val="continue"/>
                  <w:tcBorders>
                    <w:tl2br w:val="nil"/>
                    <w:tr2bl w:val="nil"/>
                  </w:tcBorders>
                  <w:vAlign w:val="center"/>
                </w:tcPr>
                <w:p w14:paraId="4303BBE6">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p>
              </w:tc>
              <w:tc>
                <w:tcPr>
                  <w:tcW w:w="672" w:type="pct"/>
                  <w:tcBorders>
                    <w:tl2br w:val="nil"/>
                    <w:tr2bl w:val="nil"/>
                  </w:tcBorders>
                  <w:vAlign w:val="center"/>
                </w:tcPr>
                <w:p w14:paraId="014C3D53">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cs="宋体"/>
                      <w:color w:val="auto"/>
                      <w:sz w:val="21"/>
                      <w:szCs w:val="21"/>
                    </w:rPr>
                    <w:t>34</w:t>
                  </w:r>
                </w:p>
              </w:tc>
              <w:tc>
                <w:tcPr>
                  <w:tcW w:w="672" w:type="pct"/>
                  <w:tcBorders>
                    <w:tl2br w:val="nil"/>
                    <w:tr2bl w:val="nil"/>
                  </w:tcBorders>
                  <w:vAlign w:val="center"/>
                </w:tcPr>
                <w:p w14:paraId="64D959AA">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40</w:t>
                  </w:r>
                </w:p>
              </w:tc>
              <w:tc>
                <w:tcPr>
                  <w:tcW w:w="672" w:type="pct"/>
                  <w:tcBorders>
                    <w:tl2br w:val="nil"/>
                    <w:tr2bl w:val="nil"/>
                  </w:tcBorders>
                  <w:vAlign w:val="center"/>
                </w:tcPr>
                <w:p w14:paraId="0151B7AA">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85.0</w:t>
                  </w:r>
                </w:p>
              </w:tc>
              <w:tc>
                <w:tcPr>
                  <w:tcW w:w="675" w:type="pct"/>
                  <w:tcBorders>
                    <w:tl2br w:val="nil"/>
                    <w:tr2bl w:val="nil"/>
                  </w:tcBorders>
                  <w:vAlign w:val="center"/>
                </w:tcPr>
                <w:p w14:paraId="36FF98B9">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5B37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9985C14">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SO</w:t>
                  </w:r>
                  <w:r>
                    <w:rPr>
                      <w:rFonts w:hint="eastAsia" w:ascii="Times New Roman" w:hAnsi="Times New Roman" w:eastAsia="宋体" w:cs="宋体"/>
                      <w:color w:val="auto"/>
                      <w:sz w:val="21"/>
                      <w:szCs w:val="21"/>
                      <w:vertAlign w:val="subscript"/>
                    </w:rPr>
                    <w:t>2</w:t>
                  </w:r>
                </w:p>
              </w:tc>
              <w:tc>
                <w:tcPr>
                  <w:tcW w:w="1434" w:type="pct"/>
                  <w:vMerge w:val="continue"/>
                  <w:tcBorders>
                    <w:tl2br w:val="nil"/>
                    <w:tr2bl w:val="nil"/>
                  </w:tcBorders>
                  <w:vAlign w:val="center"/>
                </w:tcPr>
                <w:p w14:paraId="75115702">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p>
              </w:tc>
              <w:tc>
                <w:tcPr>
                  <w:tcW w:w="672" w:type="pct"/>
                  <w:tcBorders>
                    <w:tl2br w:val="nil"/>
                    <w:tr2bl w:val="nil"/>
                  </w:tcBorders>
                  <w:vAlign w:val="center"/>
                </w:tcPr>
                <w:p w14:paraId="3543EF93">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8</w:t>
                  </w:r>
                </w:p>
              </w:tc>
              <w:tc>
                <w:tcPr>
                  <w:tcW w:w="672" w:type="pct"/>
                  <w:tcBorders>
                    <w:tl2br w:val="nil"/>
                    <w:tr2bl w:val="nil"/>
                  </w:tcBorders>
                  <w:vAlign w:val="center"/>
                </w:tcPr>
                <w:p w14:paraId="0A4A9A05">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60</w:t>
                  </w:r>
                </w:p>
              </w:tc>
              <w:tc>
                <w:tcPr>
                  <w:tcW w:w="672" w:type="pct"/>
                  <w:tcBorders>
                    <w:tl2br w:val="nil"/>
                    <w:tr2bl w:val="nil"/>
                  </w:tcBorders>
                  <w:vAlign w:val="center"/>
                </w:tcPr>
                <w:p w14:paraId="6B036D75">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13.3</w:t>
                  </w:r>
                </w:p>
              </w:tc>
              <w:tc>
                <w:tcPr>
                  <w:tcW w:w="675" w:type="pct"/>
                  <w:tcBorders>
                    <w:tl2br w:val="nil"/>
                    <w:tr2bl w:val="nil"/>
                  </w:tcBorders>
                  <w:vAlign w:val="center"/>
                </w:tcPr>
                <w:p w14:paraId="7D8B11D1">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13ACC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7CB2D41C">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CO（mg/m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c>
                <w:tcPr>
                  <w:tcW w:w="1434" w:type="pct"/>
                  <w:tcBorders>
                    <w:tl2br w:val="nil"/>
                    <w:tr2bl w:val="nil"/>
                  </w:tcBorders>
                  <w:vAlign w:val="center"/>
                </w:tcPr>
                <w:p w14:paraId="73802AE8">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日均浓度的第95百分位</w:t>
                  </w:r>
                </w:p>
              </w:tc>
              <w:tc>
                <w:tcPr>
                  <w:tcW w:w="672" w:type="pct"/>
                  <w:tcBorders>
                    <w:tl2br w:val="nil"/>
                    <w:tr2bl w:val="nil"/>
                  </w:tcBorders>
                  <w:vAlign w:val="center"/>
                </w:tcPr>
                <w:p w14:paraId="16FB067D">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1.2</w:t>
                  </w:r>
                </w:p>
              </w:tc>
              <w:tc>
                <w:tcPr>
                  <w:tcW w:w="672" w:type="pct"/>
                  <w:tcBorders>
                    <w:tl2br w:val="nil"/>
                    <w:tr2bl w:val="nil"/>
                  </w:tcBorders>
                  <w:vAlign w:val="center"/>
                </w:tcPr>
                <w:p w14:paraId="373494CB">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672" w:type="pct"/>
                  <w:tcBorders>
                    <w:tl2br w:val="nil"/>
                    <w:tr2bl w:val="nil"/>
                  </w:tcBorders>
                  <w:vAlign w:val="center"/>
                </w:tcPr>
                <w:p w14:paraId="773D101A">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30.0</w:t>
                  </w:r>
                </w:p>
              </w:tc>
              <w:tc>
                <w:tcPr>
                  <w:tcW w:w="675" w:type="pct"/>
                  <w:tcBorders>
                    <w:tl2br w:val="nil"/>
                    <w:tr2bl w:val="nil"/>
                  </w:tcBorders>
                  <w:vAlign w:val="center"/>
                </w:tcPr>
                <w:p w14:paraId="7C9FA5E9">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1A65F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676FBD1D">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O</w:t>
                  </w:r>
                  <w:r>
                    <w:rPr>
                      <w:rFonts w:hint="eastAsia" w:ascii="Times New Roman" w:hAnsi="Times New Roman" w:eastAsia="宋体" w:cs="宋体"/>
                      <w:color w:val="auto"/>
                      <w:sz w:val="21"/>
                      <w:szCs w:val="21"/>
                      <w:vertAlign w:val="subscript"/>
                    </w:rPr>
                    <w:t>3</w:t>
                  </w:r>
                </w:p>
              </w:tc>
              <w:tc>
                <w:tcPr>
                  <w:tcW w:w="1434" w:type="pct"/>
                  <w:tcBorders>
                    <w:tl2br w:val="nil"/>
                    <w:tr2bl w:val="nil"/>
                  </w:tcBorders>
                  <w:vAlign w:val="center"/>
                </w:tcPr>
                <w:p w14:paraId="44B6F706">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日均最大8h平均浓度的第90百分位</w:t>
                  </w:r>
                </w:p>
              </w:tc>
              <w:tc>
                <w:tcPr>
                  <w:tcW w:w="672" w:type="pct"/>
                  <w:tcBorders>
                    <w:tl2br w:val="nil"/>
                    <w:tr2bl w:val="nil"/>
                  </w:tcBorders>
                  <w:vAlign w:val="center"/>
                </w:tcPr>
                <w:p w14:paraId="3A2F73D4">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cs="宋体"/>
                      <w:color w:val="auto"/>
                      <w:sz w:val="21"/>
                      <w:szCs w:val="21"/>
                    </w:rPr>
                    <w:t>140</w:t>
                  </w:r>
                </w:p>
              </w:tc>
              <w:tc>
                <w:tcPr>
                  <w:tcW w:w="672" w:type="pct"/>
                  <w:tcBorders>
                    <w:tl2br w:val="nil"/>
                    <w:tr2bl w:val="nil"/>
                  </w:tcBorders>
                  <w:vAlign w:val="center"/>
                </w:tcPr>
                <w:p w14:paraId="497B4CE7">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160</w:t>
                  </w:r>
                </w:p>
              </w:tc>
              <w:tc>
                <w:tcPr>
                  <w:tcW w:w="672" w:type="pct"/>
                  <w:tcBorders>
                    <w:tl2br w:val="nil"/>
                    <w:tr2bl w:val="nil"/>
                  </w:tcBorders>
                  <w:vAlign w:val="center"/>
                </w:tcPr>
                <w:p w14:paraId="1A421F4C">
                  <w:pPr>
                    <w:widowControl/>
                    <w:spacing w:before="78" w:beforeLines="25" w:after="78" w:afterLines="25" w:line="300" w:lineRule="auto"/>
                    <w:jc w:val="center"/>
                    <w:rPr>
                      <w:rFonts w:ascii="Times New Roman" w:hAnsi="Times New Roman" w:eastAsia="宋体" w:cs="宋体"/>
                      <w:color w:val="auto"/>
                      <w:szCs w:val="21"/>
                    </w:rPr>
                  </w:pPr>
                  <w:r>
                    <w:rPr>
                      <w:rFonts w:hint="eastAsia" w:ascii="Times New Roman" w:hAnsi="Times New Roman" w:cs="Times New Roman"/>
                      <w:color w:val="auto"/>
                      <w:kern w:val="0"/>
                      <w:szCs w:val="21"/>
                      <w:lang w:bidi="ar"/>
                    </w:rPr>
                    <w:t>87.5</w:t>
                  </w:r>
                </w:p>
              </w:tc>
              <w:tc>
                <w:tcPr>
                  <w:tcW w:w="675" w:type="pct"/>
                  <w:tcBorders>
                    <w:tl2br w:val="nil"/>
                    <w:tr2bl w:val="nil"/>
                  </w:tcBorders>
                  <w:vAlign w:val="center"/>
                </w:tcPr>
                <w:p w14:paraId="75B7773B">
                  <w:pPr>
                    <w:pStyle w:val="22"/>
                    <w:spacing w:before="78" w:beforeLines="25" w:beforeAutospacing="0" w:after="78" w:afterLines="25" w:afterAutospacing="0" w:line="300"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bl>
          <w:p w14:paraId="55B56DB0">
            <w:pPr>
              <w:pStyle w:val="22"/>
              <w:spacing w:before="31" w:beforeLines="1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由上表可知，九龙坡区2024年全区环境空气质量中PM</w:t>
            </w:r>
            <w:r>
              <w:rPr>
                <w:rFonts w:hint="eastAsia" w:ascii="Times New Roman" w:hAnsi="Times New Roman" w:cs="宋体"/>
                <w:color w:val="auto"/>
                <w:szCs w:val="24"/>
                <w:vertAlign w:val="subscript"/>
              </w:rPr>
              <w:t>10</w:t>
            </w:r>
            <w:r>
              <w:rPr>
                <w:rFonts w:hint="eastAsia" w:ascii="Times New Roman" w:hAnsi="Times New Roman" w:cs="宋体"/>
                <w:color w:val="auto"/>
                <w:szCs w:val="24"/>
              </w:rPr>
              <w:t>、SO</w:t>
            </w:r>
            <w:r>
              <w:rPr>
                <w:rFonts w:hint="eastAsia" w:ascii="Times New Roman" w:hAnsi="Times New Roman" w:cs="宋体"/>
                <w:color w:val="auto"/>
                <w:szCs w:val="24"/>
                <w:vertAlign w:val="subscript"/>
              </w:rPr>
              <w:t>2</w:t>
            </w:r>
            <w:r>
              <w:rPr>
                <w:rFonts w:hint="eastAsia" w:ascii="Times New Roman" w:hAnsi="Times New Roman" w:cs="宋体"/>
                <w:color w:val="auto"/>
                <w:szCs w:val="24"/>
              </w:rPr>
              <w:t>、CO、O</w:t>
            </w:r>
            <w:r>
              <w:rPr>
                <w:rFonts w:hint="eastAsia" w:ascii="Times New Roman" w:hAnsi="Times New Roman" w:cs="宋体"/>
                <w:color w:val="auto"/>
                <w:szCs w:val="24"/>
                <w:vertAlign w:val="subscript"/>
              </w:rPr>
              <w:t>3</w:t>
            </w:r>
            <w:r>
              <w:rPr>
                <w:rFonts w:hint="eastAsia" w:ascii="Times New Roman" w:hAnsi="Times New Roman" w:cs="宋体"/>
                <w:color w:val="auto"/>
                <w:szCs w:val="24"/>
              </w:rPr>
              <w:t>、PM</w:t>
            </w:r>
            <w:r>
              <w:rPr>
                <w:rFonts w:hint="eastAsia" w:ascii="Times New Roman" w:hAnsi="Times New Roman" w:cs="宋体"/>
                <w:color w:val="auto"/>
                <w:szCs w:val="24"/>
                <w:vertAlign w:val="subscript"/>
              </w:rPr>
              <w:t>2.5</w:t>
            </w:r>
            <w:r>
              <w:rPr>
                <w:rFonts w:hint="eastAsia" w:ascii="Times New Roman" w:hAnsi="Times New Roman" w:cs="宋体"/>
                <w:color w:val="auto"/>
                <w:szCs w:val="24"/>
              </w:rPr>
              <w:t>、NO</w:t>
            </w:r>
            <w:r>
              <w:rPr>
                <w:rFonts w:hint="eastAsia" w:ascii="Times New Roman" w:hAnsi="Times New Roman" w:cs="宋体"/>
                <w:color w:val="auto"/>
                <w:szCs w:val="24"/>
                <w:vertAlign w:val="subscript"/>
              </w:rPr>
              <w:t>2</w:t>
            </w:r>
            <w:r>
              <w:rPr>
                <w:rFonts w:hint="eastAsia" w:ascii="Times New Roman" w:hAnsi="Times New Roman" w:cs="宋体"/>
                <w:color w:val="auto"/>
                <w:szCs w:val="24"/>
              </w:rPr>
              <w:t>均满足《环境空气质量标准》（GB3095-2012）二类区域标准，为达标区。</w:t>
            </w:r>
          </w:p>
          <w:p w14:paraId="2C3DECC7">
            <w:pPr>
              <w:pStyle w:val="22"/>
              <w:spacing w:before="31" w:beforeLines="10" w:beforeAutospacing="0" w:after="31" w:afterLines="10" w:afterAutospacing="0" w:line="372" w:lineRule="auto"/>
              <w:ind w:firstLine="482" w:firstLineChars="200"/>
              <w:jc w:val="both"/>
              <w:rPr>
                <w:rFonts w:ascii="Times New Roman" w:hAnsi="Times New Roman" w:cs="宋体"/>
                <w:color w:val="auto"/>
                <w:szCs w:val="24"/>
              </w:rPr>
            </w:pPr>
            <w:r>
              <w:rPr>
                <w:rFonts w:hint="eastAsia" w:ascii="Times New Roman" w:hAnsi="Times New Roman" w:cs="宋体"/>
                <w:b/>
                <w:bCs/>
                <w:color w:val="auto"/>
                <w:szCs w:val="24"/>
              </w:rPr>
              <w:t>2）其他污染物</w:t>
            </w:r>
          </w:p>
          <w:p w14:paraId="56B00D1A">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为进一步了解项目影响范围内的环境空气质量现状，评价特征因子非甲烷总烃引用《西彭工业园区</w:t>
            </w:r>
            <w:r>
              <w:rPr>
                <w:rFonts w:hint="eastAsia" w:ascii="Times New Roman" w:hAnsi="Times New Roman" w:cs="Times New Roman"/>
                <w:color w:val="auto"/>
                <w:sz w:val="24"/>
                <w:szCs w:val="24"/>
                <w:lang w:val="en-US" w:eastAsia="zh-CN"/>
              </w:rPr>
              <w:t>C、D标准分区</w:t>
            </w:r>
            <w:r>
              <w:rPr>
                <w:rFonts w:hint="default" w:ascii="Times New Roman" w:hAnsi="Times New Roman" w:cs="Times New Roman"/>
                <w:color w:val="auto"/>
                <w:sz w:val="24"/>
                <w:szCs w:val="24"/>
              </w:rPr>
              <w:t>规划环境影响报告书》中环境质量现状监测报告（港庆（监）字〔202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〕第</w:t>
            </w:r>
            <w:r>
              <w:rPr>
                <w:rFonts w:hint="eastAsia" w:ascii="Times New Roman" w:hAnsi="Times New Roman" w:cs="Times New Roman"/>
                <w:color w:val="auto"/>
                <w:sz w:val="24"/>
                <w:szCs w:val="24"/>
                <w:lang w:val="en-US" w:eastAsia="zh-CN"/>
              </w:rPr>
              <w:t>07003-1</w:t>
            </w:r>
            <w:r>
              <w:rPr>
                <w:rFonts w:hint="default" w:ascii="Times New Roman" w:hAnsi="Times New Roman" w:cs="Times New Roman"/>
                <w:color w:val="auto"/>
                <w:sz w:val="24"/>
                <w:szCs w:val="24"/>
              </w:rPr>
              <w:t>-HP号，</w:t>
            </w:r>
            <w:r>
              <w:rPr>
                <w:rFonts w:hint="default" w:ascii="Times New Roman" w:hAnsi="Times New Roman" w:cs="Times New Roman"/>
                <w:color w:val="auto"/>
                <w:sz w:val="24"/>
                <w:szCs w:val="24"/>
                <w:highlight w:val="none"/>
              </w:rPr>
              <w:t>详见附件</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lang w:eastAsia="zh-CN"/>
              </w:rPr>
              <w:t>“规划区内规划居住用地”</w:t>
            </w:r>
            <w:r>
              <w:rPr>
                <w:rFonts w:hint="default" w:ascii="Times New Roman" w:hAnsi="Times New Roman" w:cs="Times New Roman"/>
                <w:color w:val="auto"/>
                <w:sz w:val="24"/>
                <w:szCs w:val="24"/>
              </w:rPr>
              <w:t>监测数据。监测时间为202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8月22</w:t>
            </w:r>
            <w:r>
              <w:rPr>
                <w:rFonts w:hint="default" w:ascii="Times New Roman" w:hAnsi="Times New Roman" w:cs="Times New Roman"/>
                <w:color w:val="auto"/>
                <w:sz w:val="24"/>
                <w:szCs w:val="24"/>
              </w:rPr>
              <w:t>日，监测数据未超过三年，监测点位于本项目</w:t>
            </w:r>
            <w:r>
              <w:rPr>
                <w:rFonts w:hint="eastAsia" w:ascii="Times New Roman" w:hAnsi="Times New Roman" w:cs="Times New Roman"/>
                <w:color w:val="auto"/>
                <w:sz w:val="24"/>
                <w:szCs w:val="24"/>
                <w:lang w:eastAsia="zh-CN"/>
              </w:rPr>
              <w:t>东南侧约</w:t>
            </w:r>
            <w:r>
              <w:rPr>
                <w:rFonts w:hint="eastAsia" w:ascii="Times New Roman" w:hAnsi="Times New Roman" w:cs="Times New Roman"/>
                <w:color w:val="auto"/>
                <w:sz w:val="24"/>
                <w:szCs w:val="24"/>
                <w:lang w:val="en-US" w:eastAsia="zh-CN"/>
              </w:rPr>
              <w:t>4.7</w:t>
            </w:r>
            <w:r>
              <w:rPr>
                <w:rFonts w:hint="default" w:ascii="Times New Roman" w:hAnsi="Times New Roman" w:cs="Times New Roman"/>
                <w:color w:val="auto"/>
                <w:sz w:val="24"/>
                <w:szCs w:val="24"/>
              </w:rPr>
              <w:t>km处，引用监测数据可行。具体情况如下：</w:t>
            </w:r>
          </w:p>
          <w:p w14:paraId="6F0CA4E1">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①监测方案</w:t>
            </w:r>
          </w:p>
          <w:p w14:paraId="01B05886">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监测地点：项目</w:t>
            </w:r>
            <w:r>
              <w:rPr>
                <w:rFonts w:hint="eastAsia" w:ascii="Times New Roman" w:hAnsi="Times New Roman" w:cs="Times New Roman"/>
                <w:color w:val="auto"/>
                <w:sz w:val="24"/>
                <w:szCs w:val="24"/>
                <w:lang w:eastAsia="zh-CN"/>
              </w:rPr>
              <w:t>东南侧约</w:t>
            </w:r>
            <w:r>
              <w:rPr>
                <w:rFonts w:hint="eastAsia" w:ascii="Times New Roman" w:hAnsi="Times New Roman" w:cs="Times New Roman"/>
                <w:color w:val="auto"/>
                <w:sz w:val="24"/>
                <w:szCs w:val="24"/>
                <w:lang w:val="en-US" w:eastAsia="zh-CN"/>
              </w:rPr>
              <w:t>4.6</w:t>
            </w:r>
            <w:r>
              <w:rPr>
                <w:rFonts w:hint="default" w:ascii="Times New Roman" w:hAnsi="Times New Roman" w:cs="Times New Roman"/>
                <w:color w:val="auto"/>
                <w:sz w:val="24"/>
                <w:szCs w:val="24"/>
              </w:rPr>
              <w:t>km</w:t>
            </w:r>
            <w:r>
              <w:rPr>
                <w:rFonts w:hint="eastAsia" w:ascii="Times New Roman" w:hAnsi="Times New Roman" w:cs="Times New Roman"/>
                <w:color w:val="auto"/>
                <w:sz w:val="24"/>
                <w:szCs w:val="24"/>
                <w:lang w:eastAsia="zh-CN"/>
              </w:rPr>
              <w:t>，园区规划居住用地</w:t>
            </w:r>
            <w:r>
              <w:rPr>
                <w:rFonts w:hint="default" w:ascii="Times New Roman" w:hAnsi="Times New Roman" w:cs="Times New Roman"/>
                <w:color w:val="auto"/>
                <w:sz w:val="24"/>
                <w:szCs w:val="24"/>
              </w:rPr>
              <w:t>；</w:t>
            </w:r>
          </w:p>
          <w:p w14:paraId="253B9FE7">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引用监测因子：非甲烷总烃</w:t>
            </w:r>
            <w:r>
              <w:rPr>
                <w:rFonts w:hint="eastAsia" w:ascii="Times New Roman" w:hAnsi="Times New Roman" w:cs="Times New Roman"/>
                <w:color w:val="auto"/>
                <w:sz w:val="24"/>
                <w:szCs w:val="24"/>
                <w:lang w:eastAsia="zh-CN"/>
              </w:rPr>
              <w:t>、甲醛</w:t>
            </w:r>
            <w:r>
              <w:rPr>
                <w:rFonts w:hint="default" w:ascii="Times New Roman" w:hAnsi="Times New Roman" w:cs="Times New Roman"/>
                <w:color w:val="auto"/>
                <w:sz w:val="24"/>
                <w:szCs w:val="24"/>
              </w:rPr>
              <w:t>；</w:t>
            </w:r>
          </w:p>
          <w:p w14:paraId="1F989398">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监测时间及频率：202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8月22</w:t>
            </w:r>
            <w:r>
              <w:rPr>
                <w:rFonts w:hint="default" w:ascii="Times New Roman" w:hAnsi="Times New Roman" w:cs="Times New Roman"/>
                <w:color w:val="auto"/>
                <w:sz w:val="24"/>
                <w:szCs w:val="24"/>
              </w:rPr>
              <w:t>日，连续监测7天，每天监测4次小时浓度。</w:t>
            </w:r>
          </w:p>
          <w:p w14:paraId="7F459B66">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②评价方法</w:t>
            </w:r>
          </w:p>
          <w:p w14:paraId="7DAEE906">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大气环境》（HJ2.2-2018），采用占标率对项目所在区域环境空气质量进行评价。计算公式如下：</w:t>
            </w:r>
          </w:p>
          <w:p w14:paraId="3EE606C7">
            <w:pPr>
              <w:pStyle w:val="45"/>
              <w:ind w:firstLine="0" w:firstLineChars="0"/>
              <w:jc w:val="center"/>
              <w:rPr>
                <w:color w:val="auto"/>
              </w:rPr>
            </w:pPr>
            <w:r>
              <w:rPr>
                <w:color w:val="auto"/>
              </w:rPr>
              <w:drawing>
                <wp:inline distT="0" distB="0" distL="114300" distR="114300">
                  <wp:extent cx="1419860" cy="497840"/>
                  <wp:effectExtent l="0" t="0" r="1270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rcRect t="9636" b="6424"/>
                          <a:stretch>
                            <a:fillRect/>
                          </a:stretch>
                        </pic:blipFill>
                        <pic:spPr>
                          <a:xfrm>
                            <a:off x="0" y="0"/>
                            <a:ext cx="1419860" cy="497840"/>
                          </a:xfrm>
                          <a:prstGeom prst="rect">
                            <a:avLst/>
                          </a:prstGeom>
                          <a:noFill/>
                          <a:ln>
                            <a:noFill/>
                          </a:ln>
                        </pic:spPr>
                      </pic:pic>
                    </a:graphicData>
                  </a:graphic>
                </wp:inline>
              </w:drawing>
            </w:r>
          </w:p>
          <w:p w14:paraId="016696D8">
            <w:pPr>
              <w:pStyle w:val="45"/>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——第i个污染物监测最大浓度占相应标准浓度限值的百分比，%；</w:t>
            </w:r>
          </w:p>
          <w:p w14:paraId="46A3BBB3">
            <w:pPr>
              <w:pStyle w:val="45"/>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——第i个污染物的监测浓度值，mg/m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9FC2764">
            <w:pPr>
              <w:pStyle w:val="45"/>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0i</w:t>
            </w:r>
            <w:r>
              <w:rPr>
                <w:rFonts w:hint="default" w:ascii="Times New Roman" w:hAnsi="Times New Roman" w:cs="Times New Roman"/>
                <w:color w:val="auto"/>
                <w:sz w:val="24"/>
                <w:szCs w:val="24"/>
              </w:rPr>
              <w:t>——第i个污染物的环境空气质量标准，mg/m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E24F2A6">
            <w:pPr>
              <w:pStyle w:val="45"/>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③监测结果及分析</w:t>
            </w:r>
          </w:p>
          <w:p w14:paraId="779C19BC">
            <w:pPr>
              <w:pStyle w:val="45"/>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监测点环境空气质量现状监测结果统计见</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REF _Ref20055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表3-2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p>
          <w:p w14:paraId="6C721E26">
            <w:pPr>
              <w:pStyle w:val="46"/>
              <w:keepNext w:val="0"/>
              <w:keepLines w:val="0"/>
              <w:pageBreakBefore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 xml:space="preserve"> 其他污染物环境质量现状表</w:t>
            </w:r>
          </w:p>
          <w:tbl>
            <w:tblPr>
              <w:tblStyle w:val="27"/>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39"/>
              <w:gridCol w:w="990"/>
              <w:gridCol w:w="1139"/>
              <w:gridCol w:w="873"/>
              <w:gridCol w:w="1452"/>
              <w:gridCol w:w="1097"/>
              <w:gridCol w:w="945"/>
            </w:tblGrid>
            <w:tr w14:paraId="15E76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tblHeader/>
                <w:jc w:val="center"/>
              </w:trPr>
              <w:tc>
                <w:tcPr>
                  <w:tcW w:w="776" w:type="dxa"/>
                  <w:tcBorders>
                    <w:tl2br w:val="nil"/>
                    <w:tr2bl w:val="nil"/>
                  </w:tcBorders>
                  <w:vAlign w:val="center"/>
                </w:tcPr>
                <w:p w14:paraId="2CC82B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点位名称</w:t>
                  </w:r>
                </w:p>
              </w:tc>
              <w:tc>
                <w:tcPr>
                  <w:tcW w:w="1339" w:type="dxa"/>
                  <w:tcBorders>
                    <w:tl2br w:val="nil"/>
                    <w:tr2bl w:val="nil"/>
                  </w:tcBorders>
                  <w:vAlign w:val="center"/>
                </w:tcPr>
                <w:p w14:paraId="61A170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990" w:type="dxa"/>
                  <w:tcBorders>
                    <w:tl2br w:val="nil"/>
                    <w:tr2bl w:val="nil"/>
                  </w:tcBorders>
                  <w:vAlign w:val="center"/>
                </w:tcPr>
                <w:p w14:paraId="1C7B2D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139" w:type="dxa"/>
                  <w:tcBorders>
                    <w:tl2br w:val="nil"/>
                    <w:tr2bl w:val="nil"/>
                  </w:tcBorders>
                  <w:vAlign w:val="center"/>
                </w:tcPr>
                <w:p w14:paraId="73AD65A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w:t>
                  </w:r>
                </w:p>
                <w:p w14:paraId="5E4F40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873" w:type="dxa"/>
                  <w:tcBorders>
                    <w:tl2br w:val="nil"/>
                    <w:tr2bl w:val="nil"/>
                  </w:tcBorders>
                  <w:vAlign w:val="center"/>
                </w:tcPr>
                <w:p w14:paraId="6B7C69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w:t>
                  </w:r>
                </w:p>
              </w:tc>
              <w:tc>
                <w:tcPr>
                  <w:tcW w:w="1452" w:type="dxa"/>
                  <w:tcBorders>
                    <w:tl2br w:val="nil"/>
                    <w:tr2bl w:val="nil"/>
                  </w:tcBorders>
                  <w:vAlign w:val="center"/>
                </w:tcPr>
                <w:p w14:paraId="4C58959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现状浓度</w:t>
                  </w:r>
                </w:p>
              </w:tc>
              <w:tc>
                <w:tcPr>
                  <w:tcW w:w="1097" w:type="dxa"/>
                  <w:tcBorders>
                    <w:tl2br w:val="nil"/>
                    <w:tr2bl w:val="nil"/>
                  </w:tcBorders>
                  <w:vAlign w:val="center"/>
                </w:tcPr>
                <w:p w14:paraId="1444B0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最大浓度占标率</w:t>
                  </w:r>
                </w:p>
              </w:tc>
              <w:tc>
                <w:tcPr>
                  <w:tcW w:w="945" w:type="dxa"/>
                  <w:tcBorders>
                    <w:tl2br w:val="nil"/>
                    <w:tr2bl w:val="nil"/>
                  </w:tcBorders>
                  <w:vAlign w:val="center"/>
                </w:tcPr>
                <w:p w14:paraId="4AF9004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34B97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76" w:type="dxa"/>
                  <w:vMerge w:val="restart"/>
                  <w:tcBorders>
                    <w:tl2br w:val="nil"/>
                    <w:tr2bl w:val="nil"/>
                  </w:tcBorders>
                  <w:vAlign w:val="center"/>
                </w:tcPr>
                <w:p w14:paraId="19B16CC4">
                  <w:pPr>
                    <w:adjustRightInd w:val="0"/>
                    <w:snapToGrid w:val="0"/>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bCs/>
                      <w:color w:val="auto"/>
                      <w:sz w:val="21"/>
                      <w:szCs w:val="21"/>
                      <w:lang w:eastAsia="zh-CN"/>
                    </w:rPr>
                    <w:t>园区规划居住用地</w:t>
                  </w:r>
                </w:p>
              </w:tc>
              <w:tc>
                <w:tcPr>
                  <w:tcW w:w="1339" w:type="dxa"/>
                  <w:tcBorders>
                    <w:tl2br w:val="nil"/>
                    <w:tr2bl w:val="nil"/>
                  </w:tcBorders>
                  <w:vAlign w:val="center"/>
                </w:tcPr>
                <w:p w14:paraId="74544F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990" w:type="dxa"/>
                  <w:tcBorders>
                    <w:tl2br w:val="nil"/>
                    <w:tr2bl w:val="nil"/>
                  </w:tcBorders>
                  <w:vAlign w:val="center"/>
                </w:tcPr>
                <w:p w14:paraId="0CE9CF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139" w:type="dxa"/>
                  <w:tcBorders>
                    <w:tl2br w:val="nil"/>
                    <w:tr2bl w:val="nil"/>
                  </w:tcBorders>
                  <w:vAlign w:val="center"/>
                </w:tcPr>
                <w:p w14:paraId="34A26A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1h平均</w:t>
                  </w:r>
                </w:p>
              </w:tc>
              <w:tc>
                <w:tcPr>
                  <w:tcW w:w="873" w:type="dxa"/>
                  <w:tcBorders>
                    <w:tl2br w:val="nil"/>
                    <w:tr2bl w:val="nil"/>
                  </w:tcBorders>
                  <w:vAlign w:val="center"/>
                </w:tcPr>
                <w:p w14:paraId="480EC2F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452" w:type="dxa"/>
                  <w:tcBorders>
                    <w:tl2br w:val="nil"/>
                    <w:tr2bl w:val="nil"/>
                  </w:tcBorders>
                  <w:vAlign w:val="center"/>
                </w:tcPr>
                <w:p w14:paraId="49C17642">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r>
                    <w:rPr>
                      <w:rFonts w:hint="eastAsia" w:ascii="Times New Roman" w:hAnsi="Times New Roman" w:cs="Times New Roman"/>
                      <w:color w:val="auto"/>
                      <w:kern w:val="0"/>
                      <w:sz w:val="21"/>
                      <w:szCs w:val="21"/>
                      <w:lang w:val="en-US" w:eastAsia="zh-CN"/>
                    </w:rPr>
                    <w:t>52</w:t>
                  </w:r>
                  <w:r>
                    <w:rPr>
                      <w:rFonts w:hint="default" w:ascii="Times New Roman" w:hAnsi="Times New Roman" w:cs="Times New Roman"/>
                      <w:color w:val="auto"/>
                      <w:kern w:val="0"/>
                      <w:sz w:val="21"/>
                      <w:szCs w:val="21"/>
                    </w:rPr>
                    <w:t>~0.</w:t>
                  </w:r>
                  <w:r>
                    <w:rPr>
                      <w:rFonts w:hint="eastAsia" w:ascii="Times New Roman" w:hAnsi="Times New Roman" w:cs="Times New Roman"/>
                      <w:color w:val="auto"/>
                      <w:kern w:val="0"/>
                      <w:sz w:val="21"/>
                      <w:szCs w:val="21"/>
                      <w:lang w:val="en-US" w:eastAsia="zh-CN"/>
                    </w:rPr>
                    <w:t>77</w:t>
                  </w:r>
                </w:p>
              </w:tc>
              <w:tc>
                <w:tcPr>
                  <w:tcW w:w="1097" w:type="dxa"/>
                  <w:tcBorders>
                    <w:tl2br w:val="nil"/>
                    <w:tr2bl w:val="nil"/>
                  </w:tcBorders>
                  <w:vAlign w:val="center"/>
                </w:tcPr>
                <w:p w14:paraId="557AEA17">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38.9</w:t>
                  </w:r>
                  <w:r>
                    <w:rPr>
                      <w:rFonts w:hint="default" w:ascii="Times New Roman" w:hAnsi="Times New Roman" w:cs="Times New Roman"/>
                      <w:color w:val="auto"/>
                      <w:sz w:val="21"/>
                      <w:szCs w:val="21"/>
                    </w:rPr>
                    <w:t>%</w:t>
                  </w:r>
                </w:p>
              </w:tc>
              <w:tc>
                <w:tcPr>
                  <w:tcW w:w="945" w:type="dxa"/>
                  <w:tcBorders>
                    <w:tl2br w:val="nil"/>
                    <w:tr2bl w:val="nil"/>
                  </w:tcBorders>
                  <w:vAlign w:val="center"/>
                </w:tcPr>
                <w:p w14:paraId="48B17E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04B4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Merge w:val="continue"/>
                  <w:tcBorders>
                    <w:tl2br w:val="nil"/>
                    <w:tr2bl w:val="nil"/>
                  </w:tcBorders>
                  <w:vAlign w:val="center"/>
                </w:tcPr>
                <w:p w14:paraId="6E064B32">
                  <w:pPr>
                    <w:adjustRightInd w:val="0"/>
                    <w:snapToGrid w:val="0"/>
                    <w:jc w:val="center"/>
                    <w:rPr>
                      <w:rFonts w:hint="eastAsia" w:ascii="Times New Roman" w:hAnsi="Times New Roman" w:cs="Times New Roman"/>
                      <w:bCs/>
                      <w:color w:val="auto"/>
                      <w:sz w:val="21"/>
                      <w:szCs w:val="21"/>
                      <w:lang w:eastAsia="zh-CN"/>
                    </w:rPr>
                  </w:pPr>
                </w:p>
              </w:tc>
              <w:tc>
                <w:tcPr>
                  <w:tcW w:w="1339" w:type="dxa"/>
                  <w:tcBorders>
                    <w:tl2br w:val="nil"/>
                    <w:tr2bl w:val="nil"/>
                  </w:tcBorders>
                  <w:vAlign w:val="center"/>
                </w:tcPr>
                <w:p w14:paraId="5D25F4DF">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甲醛</w:t>
                  </w:r>
                </w:p>
              </w:tc>
              <w:tc>
                <w:tcPr>
                  <w:tcW w:w="990" w:type="dxa"/>
                  <w:tcBorders>
                    <w:tl2br w:val="nil"/>
                    <w:tr2bl w:val="nil"/>
                  </w:tcBorders>
                  <w:shd w:val="clear" w:color="auto" w:fill="auto"/>
                  <w:vAlign w:val="center"/>
                </w:tcPr>
                <w:p w14:paraId="0712780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139" w:type="dxa"/>
                  <w:tcBorders>
                    <w:tl2br w:val="nil"/>
                    <w:tr2bl w:val="nil"/>
                  </w:tcBorders>
                  <w:shd w:val="clear" w:color="auto" w:fill="auto"/>
                  <w:vAlign w:val="center"/>
                </w:tcPr>
                <w:p w14:paraId="42A565D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1h平均</w:t>
                  </w:r>
                </w:p>
              </w:tc>
              <w:tc>
                <w:tcPr>
                  <w:tcW w:w="873" w:type="dxa"/>
                  <w:tcBorders>
                    <w:tl2br w:val="nil"/>
                    <w:tr2bl w:val="nil"/>
                  </w:tcBorders>
                  <w:shd w:val="clear" w:color="auto" w:fill="auto"/>
                  <w:vAlign w:val="center"/>
                </w:tcPr>
                <w:p w14:paraId="2559DF5F">
                  <w:pPr>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50</w:t>
                  </w:r>
                </w:p>
              </w:tc>
              <w:tc>
                <w:tcPr>
                  <w:tcW w:w="1452" w:type="dxa"/>
                  <w:tcBorders>
                    <w:tl2br w:val="nil"/>
                    <w:tr2bl w:val="nil"/>
                  </w:tcBorders>
                  <w:shd w:val="clear" w:color="auto" w:fill="auto"/>
                  <w:vAlign w:val="center"/>
                </w:tcPr>
                <w:p w14:paraId="07BC9994">
                  <w:pPr>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val="en-US" w:eastAsia="zh-CN"/>
                    </w:rPr>
                    <w:t>20</w:t>
                  </w:r>
                </w:p>
              </w:tc>
              <w:tc>
                <w:tcPr>
                  <w:tcW w:w="1097" w:type="dxa"/>
                  <w:tcBorders>
                    <w:tl2br w:val="nil"/>
                    <w:tr2bl w:val="nil"/>
                  </w:tcBorders>
                  <w:shd w:val="clear" w:color="auto" w:fill="auto"/>
                  <w:vAlign w:val="center"/>
                </w:tcPr>
                <w:p w14:paraId="62F46CA2">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w:t>
                  </w:r>
                </w:p>
              </w:tc>
              <w:tc>
                <w:tcPr>
                  <w:tcW w:w="945" w:type="dxa"/>
                  <w:tcBorders>
                    <w:tl2br w:val="nil"/>
                    <w:tr2bl w:val="nil"/>
                  </w:tcBorders>
                  <w:shd w:val="clear" w:color="auto" w:fill="auto"/>
                  <w:vAlign w:val="center"/>
                </w:tcPr>
                <w:p w14:paraId="1FCD852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达标</w:t>
                  </w:r>
                </w:p>
              </w:tc>
            </w:tr>
          </w:tbl>
          <w:p w14:paraId="299D1351">
            <w:pPr>
              <w:pStyle w:val="4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根据表3-2，项目所在区域项目特征污染物非甲烷总烃满足《环境空气质量 非甲烷总烃限值》（DB 13/1577-2012）中二级标准限值要求</w:t>
            </w:r>
            <w:r>
              <w:rPr>
                <w:rFonts w:hint="eastAsia" w:ascii="Times New Roman" w:hAnsi="Times New Roman" w:cs="Times New Roman"/>
                <w:color w:val="auto"/>
                <w:sz w:val="24"/>
                <w:szCs w:val="24"/>
                <w:lang w:eastAsia="zh-CN"/>
              </w:rPr>
              <w:t>，甲醛满足《环境影响评价技术导则</w:t>
            </w:r>
            <w:r>
              <w:rPr>
                <w:rFonts w:hint="eastAsia" w:ascii="Times New Roman" w:hAnsi="Times New Roman" w:cs="Times New Roman"/>
                <w:color w:val="auto"/>
                <w:sz w:val="24"/>
                <w:szCs w:val="24"/>
                <w:lang w:val="en-US" w:eastAsia="zh-CN"/>
              </w:rPr>
              <w:t xml:space="preserve"> 大气环境</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HJ2.2-2018</w:t>
            </w:r>
            <w:r>
              <w:rPr>
                <w:rFonts w:hint="eastAsia" w:ascii="Times New Roman" w:hAnsi="Times New Roman" w:cs="Times New Roman"/>
                <w:color w:val="auto"/>
                <w:sz w:val="24"/>
                <w:szCs w:val="24"/>
                <w:lang w:eastAsia="zh-CN"/>
              </w:rPr>
              <w:t>）附录</w:t>
            </w:r>
            <w:r>
              <w:rPr>
                <w:rFonts w:hint="eastAsia" w:ascii="Times New Roman" w:hAnsi="Times New Roman" w:cs="Times New Roman"/>
                <w:color w:val="auto"/>
                <w:sz w:val="24"/>
                <w:szCs w:val="24"/>
                <w:lang w:val="en-US" w:eastAsia="zh-CN"/>
              </w:rPr>
              <w:t>D其他污染物空气质量浓度参考取值</w:t>
            </w:r>
            <w:r>
              <w:rPr>
                <w:rFonts w:hint="default" w:ascii="Times New Roman" w:hAnsi="Times New Roman" w:cs="Times New Roman"/>
                <w:color w:val="auto"/>
                <w:sz w:val="24"/>
                <w:szCs w:val="24"/>
              </w:rPr>
              <w:t>。</w:t>
            </w:r>
          </w:p>
          <w:p w14:paraId="415D32C0">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rPr>
              <w:t>3.2、地表水环境质量现状</w:t>
            </w:r>
          </w:p>
          <w:p w14:paraId="2F70D581">
            <w:pPr>
              <w:pStyle w:val="22"/>
              <w:spacing w:before="0" w:beforeAutospacing="0" w:after="0" w:afterAutospacing="0" w:line="370"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本项目运营期排放废水主要为生活污水，依托</w:t>
            </w:r>
            <w:r>
              <w:rPr>
                <w:rFonts w:hint="eastAsia" w:ascii="Times New Roman" w:hAnsi="Times New Roman" w:cs="宋体"/>
                <w:color w:val="auto"/>
                <w:szCs w:val="24"/>
                <w:lang w:eastAsia="zh-CN"/>
              </w:rPr>
              <w:t>盛德佳公司</w:t>
            </w:r>
            <w:r>
              <w:rPr>
                <w:rFonts w:hint="eastAsia" w:ascii="Times New Roman" w:hAnsi="Times New Roman" w:cs="宋体"/>
                <w:color w:val="auto"/>
                <w:szCs w:val="24"/>
              </w:rPr>
              <w:t>已建生化池预处理达《污水综合排放标准》（GB 8978-1996）三级标准，经市政污水管网进入西彭园区污水处理厂深度处理后经桥头河汇入长江。</w:t>
            </w:r>
          </w:p>
          <w:p w14:paraId="16BB82F8">
            <w:pPr>
              <w:spacing w:line="360" w:lineRule="auto"/>
              <w:ind w:firstLine="480" w:firstLineChars="200"/>
              <w:rPr>
                <w:color w:val="auto"/>
                <w:sz w:val="24"/>
              </w:rPr>
            </w:pPr>
            <w:r>
              <w:rPr>
                <w:rFonts w:ascii="Times New Roman" w:hAnsi="Times New Roman" w:cs="Times New Roman"/>
                <w:color w:val="auto"/>
                <w:sz w:val="24"/>
              </w:rPr>
              <w:t>根据《重庆西彭工业园区规划环境影响报告书》，项目所在区域</w:t>
            </w:r>
            <w:r>
              <w:rPr>
                <w:rFonts w:hint="eastAsia" w:ascii="Times New Roman" w:hAnsi="Times New Roman" w:cs="Times New Roman"/>
                <w:color w:val="auto"/>
                <w:sz w:val="24"/>
              </w:rPr>
              <w:t>受纳水体</w:t>
            </w:r>
            <w:r>
              <w:rPr>
                <w:rFonts w:ascii="Times New Roman" w:hAnsi="Times New Roman" w:cs="Times New Roman"/>
                <w:color w:val="auto"/>
                <w:sz w:val="24"/>
              </w:rPr>
              <w:t>桥头河未划分水域功能，长江江津区和艾桥至新瓦房河段（水质控制断面：黄磏断面）适用类别为</w:t>
            </w:r>
            <w:r>
              <w:rPr>
                <w:rFonts w:hint="eastAsia" w:ascii="Times New Roman" w:hAnsi="Times New Roman" w:cs="Times New Roman"/>
                <w:color w:val="auto"/>
                <w:sz w:val="24"/>
              </w:rPr>
              <w:t>Ⅲ</w:t>
            </w:r>
            <w:r>
              <w:rPr>
                <w:rFonts w:ascii="Times New Roman" w:hAnsi="Times New Roman" w:cs="Times New Roman"/>
                <w:color w:val="auto"/>
                <w:sz w:val="24"/>
              </w:rPr>
              <w:t>类</w:t>
            </w:r>
            <w:r>
              <w:rPr>
                <w:rFonts w:hint="eastAsia" w:ascii="Times New Roman" w:hAnsi="Times New Roman" w:cs="Times New Roman"/>
                <w:color w:val="auto"/>
                <w:sz w:val="24"/>
              </w:rPr>
              <w:t>，</w:t>
            </w:r>
            <w:r>
              <w:rPr>
                <w:rFonts w:ascii="Times New Roman" w:hAnsi="Times New Roman" w:cs="Times New Roman"/>
                <w:color w:val="auto"/>
                <w:sz w:val="24"/>
              </w:rPr>
              <w:t>长江新瓦房-大溪河口段水域范围属Ⅱ类水域。桥头河汇入长江口上游500m至大溪河口长江段属于Ⅱ类水域，执行《地表水环境质量标准》（GB3838-2002）Ⅱ类标准要求。</w:t>
            </w:r>
          </w:p>
          <w:p w14:paraId="329C140D">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项目环境影响报告表编制技术指南（污染影响类）》（试行）中地表水环境质量现状调查要求，可引用与建设项目距离近的有效数据，包括近3年的规划环境影响评价的监测数据，所在流域控制单元内国家、地方控制断面监测数据，生态环境主管部门发布的水环境质量数据或地表水达标情况的结论。由</w:t>
            </w:r>
            <w:r>
              <w:rPr>
                <w:rFonts w:ascii="Times New Roman" w:hAnsi="Times New Roman" w:cs="Times New Roman"/>
                <w:bCs/>
                <w:color w:val="auto"/>
                <w:sz w:val="24"/>
              </w:rPr>
              <w:t>《202</w:t>
            </w:r>
            <w:r>
              <w:rPr>
                <w:rFonts w:hint="eastAsia" w:ascii="Times New Roman" w:hAnsi="Times New Roman" w:cs="Times New Roman"/>
                <w:bCs/>
                <w:color w:val="auto"/>
                <w:sz w:val="24"/>
              </w:rPr>
              <w:t>4</w:t>
            </w:r>
            <w:r>
              <w:rPr>
                <w:rFonts w:ascii="Times New Roman" w:hAnsi="Times New Roman" w:cs="Times New Roman"/>
                <w:bCs/>
                <w:color w:val="auto"/>
                <w:sz w:val="24"/>
              </w:rPr>
              <w:t>年重庆市生态环境状况公报》可知，</w:t>
            </w:r>
            <w:r>
              <w:rPr>
                <w:rFonts w:ascii="Times New Roman" w:hAnsi="Times New Roman" w:cs="Times New Roman"/>
                <w:color w:val="auto"/>
                <w:sz w:val="24"/>
              </w:rPr>
              <w:t>长江干流重庆段水质为优，20个监测断面水质均为Ⅱ类。</w:t>
            </w:r>
          </w:p>
          <w:p w14:paraId="28B9F3CA">
            <w:pPr>
              <w:pStyle w:val="22"/>
              <w:spacing w:before="0" w:beforeAutospacing="0" w:after="0" w:afterAutospacing="0" w:line="370" w:lineRule="auto"/>
              <w:ind w:firstLine="480" w:firstLineChars="200"/>
              <w:jc w:val="both"/>
              <w:rPr>
                <w:rFonts w:ascii="Times New Roman" w:hAnsi="Times New Roman" w:cs="Times New Roman"/>
                <w:color w:val="auto"/>
              </w:rPr>
            </w:pPr>
            <w:r>
              <w:rPr>
                <w:rFonts w:ascii="Times New Roman" w:hAnsi="Times New Roman" w:cs="Times New Roman"/>
                <w:color w:val="auto"/>
              </w:rPr>
              <w:t>根据</w:t>
            </w:r>
            <w:r>
              <w:rPr>
                <w:rFonts w:ascii="Times New Roman" w:hAnsi="Times New Roman" w:cs="Times New Roman"/>
                <w:bCs/>
                <w:color w:val="auto"/>
              </w:rPr>
              <w:t>重庆市生态环境局公布的地表水达标情况结论，区域地表水满足</w:t>
            </w:r>
            <w:r>
              <w:rPr>
                <w:rFonts w:ascii="Times New Roman" w:hAnsi="Times New Roman" w:cs="Times New Roman"/>
                <w:color w:val="auto"/>
              </w:rPr>
              <w:t>《地表水环境质量标准》（GB3838-2002）Ⅱ类水域水质标准。</w:t>
            </w:r>
          </w:p>
          <w:p w14:paraId="00CA67A6">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rPr>
              <w:t>3.3、声环境质量现状</w:t>
            </w:r>
          </w:p>
          <w:p w14:paraId="6FF707E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重庆市西彭镇西彭工业园区，根据《重庆市中心城区声环境功能区划方案》（2023年），项目所在区域声功能区划为3类，声环境质量执行《声环境质量标准》（GB3096-2008）3类标准。声功能区划图详见附图9。</w:t>
            </w:r>
          </w:p>
          <w:p w14:paraId="72F7C08C">
            <w:pPr>
              <w:pStyle w:val="45"/>
              <w:spacing w:line="360" w:lineRule="auto"/>
              <w:rPr>
                <w:rFonts w:hint="default" w:ascii="Times New Roman" w:hAnsi="Times New Roman" w:eastAsia="宋体" w:cs="Times New Roman"/>
                <w:color w:val="auto"/>
                <w:sz w:val="24"/>
              </w:rPr>
            </w:pPr>
            <w:r>
              <w:rPr>
                <w:rFonts w:hint="default" w:ascii="Times New Roman" w:hAnsi="Times New Roman" w:cs="Times New Roman"/>
                <w:color w:val="auto"/>
                <w:sz w:val="24"/>
              </w:rPr>
              <w:t>根据《建设项目环境影响报告表编制技术指南（污染影响类）（试行）》可知，声环境质量现状应监测项目厂界外周边50米范围内的声环境保护目标，根据现场调查，项目厂界外周边50米范围内无声环境保护目标，因此本次评价不对声环境质量现状进行监测。</w:t>
            </w:r>
          </w:p>
          <w:p w14:paraId="25A2C21B">
            <w:pPr>
              <w:pStyle w:val="22"/>
              <w:spacing w:before="31" w:beforeLines="10" w:beforeAutospacing="0" w:after="31" w:afterLines="10" w:afterAutospacing="0" w:line="372" w:lineRule="auto"/>
              <w:jc w:val="both"/>
              <w:rPr>
                <w:rFonts w:ascii="Times New Roman" w:hAnsi="Times New Roman" w:cs="宋体"/>
                <w:b/>
                <w:bCs/>
                <w:color w:val="auto"/>
                <w:szCs w:val="24"/>
              </w:rPr>
            </w:pPr>
            <w:r>
              <w:rPr>
                <w:rFonts w:hint="eastAsia" w:ascii="Times New Roman" w:hAnsi="Times New Roman" w:cs="宋体"/>
                <w:b/>
                <w:bCs/>
                <w:color w:val="auto"/>
                <w:szCs w:val="24"/>
              </w:rPr>
              <w:t>3.</w:t>
            </w:r>
            <w:r>
              <w:rPr>
                <w:rFonts w:ascii="Times New Roman" w:hAnsi="Times New Roman" w:cs="宋体"/>
                <w:b/>
                <w:bCs/>
                <w:color w:val="auto"/>
                <w:szCs w:val="24"/>
              </w:rPr>
              <w:t>4</w:t>
            </w:r>
            <w:r>
              <w:rPr>
                <w:rFonts w:hint="eastAsia" w:ascii="Times New Roman" w:hAnsi="Times New Roman" w:cs="宋体"/>
                <w:b/>
                <w:bCs/>
                <w:color w:val="auto"/>
                <w:szCs w:val="24"/>
              </w:rPr>
              <w:t>、土壤及地下水环境现状</w:t>
            </w:r>
          </w:p>
          <w:p w14:paraId="6FFD5A66">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项目位于西彭工业园区内，周边无地下水保护目标。各类堆场均在封闭建筑内，项目按照国家有关标准和规范的要求，设计、建设和安装有关防泄漏、防渗设施；建设项目危废贮存点地面均进行防渗处理，危废间废油液盛装容器下方均设置防漏托盘液体原料盛装容器下方均设防漏托盘，正常情况下不存在土壤、地下水环境污染途径。</w:t>
            </w:r>
          </w:p>
          <w:p w14:paraId="6581FE07">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故根据《建设项目环境影响报告表编制技术指南</w:t>
            </w:r>
            <w:r>
              <w:rPr>
                <w:rFonts w:ascii="Times New Roman" w:hAnsi="Times New Roman" w:cs="宋体"/>
                <w:color w:val="auto"/>
                <w:szCs w:val="24"/>
              </w:rPr>
              <w:t>（污染影响类）</w:t>
            </w:r>
            <w:r>
              <w:rPr>
                <w:rFonts w:hint="eastAsia" w:ascii="Times New Roman" w:hAnsi="Times New Roman" w:cs="宋体"/>
                <w:color w:val="auto"/>
                <w:szCs w:val="24"/>
              </w:rPr>
              <w:t>》，原则上不开展土壤及地下水环境质量现状调查。</w:t>
            </w:r>
          </w:p>
          <w:p w14:paraId="46FB3FDD">
            <w:pPr>
              <w:pStyle w:val="22"/>
              <w:spacing w:before="31" w:beforeLines="10" w:beforeAutospacing="0" w:after="31" w:afterLines="10" w:afterAutospacing="0" w:line="372" w:lineRule="auto"/>
              <w:jc w:val="both"/>
              <w:rPr>
                <w:rFonts w:ascii="Times New Roman" w:hAnsi="Times New Roman" w:cs="宋体"/>
                <w:b/>
                <w:bCs/>
                <w:color w:val="auto"/>
                <w:szCs w:val="24"/>
              </w:rPr>
            </w:pPr>
            <w:r>
              <w:rPr>
                <w:rFonts w:hint="eastAsia" w:ascii="Times New Roman" w:hAnsi="Times New Roman" w:cs="宋体"/>
                <w:b/>
                <w:bCs/>
                <w:color w:val="auto"/>
                <w:szCs w:val="24"/>
              </w:rPr>
              <w:t>3.5、生态环境</w:t>
            </w:r>
          </w:p>
          <w:p w14:paraId="2FCDDBA6">
            <w:pPr>
              <w:spacing w:line="377" w:lineRule="auto"/>
              <w:ind w:firstLine="480" w:firstLineChars="200"/>
              <w:rPr>
                <w:rFonts w:ascii="Times New Roman" w:hAnsi="Times New Roman"/>
                <w:color w:val="auto"/>
              </w:rPr>
            </w:pPr>
            <w:r>
              <w:rPr>
                <w:rFonts w:hint="eastAsia" w:ascii="Times New Roman" w:hAnsi="Times New Roman" w:cs="宋体"/>
                <w:color w:val="auto"/>
                <w:kern w:val="0"/>
                <w:sz w:val="24"/>
              </w:rPr>
              <w:t>本项目所在场地周围生态结构较为简单，未发现珍稀野生动植物。场界内无重点文物保护单位，无名胜古迹和珍贵野生动植物等分布，周边无需要特殊保护的环境敏感目标。</w:t>
            </w:r>
          </w:p>
        </w:tc>
      </w:tr>
      <w:tr w14:paraId="71C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58" w:hRule="atLeast"/>
        </w:trPr>
        <w:tc>
          <w:tcPr>
            <w:tcW w:w="190" w:type="pct"/>
            <w:vAlign w:val="center"/>
          </w:tcPr>
          <w:p w14:paraId="7A091E3B">
            <w:pPr>
              <w:spacing w:line="360" w:lineRule="auto"/>
              <w:jc w:val="center"/>
              <w:rPr>
                <w:rFonts w:ascii="Times New Roman" w:hAnsi="Times New Roman" w:cs="宋体"/>
                <w:b/>
                <w:bCs/>
                <w:color w:val="auto"/>
                <w:kern w:val="0"/>
                <w:sz w:val="24"/>
              </w:rPr>
            </w:pPr>
            <w:r>
              <w:rPr>
                <w:rFonts w:hint="eastAsia" w:ascii="Times New Roman" w:hAnsi="Times New Roman" w:cs="宋体"/>
                <w:b/>
                <w:bCs/>
                <w:color w:val="auto"/>
                <w:kern w:val="0"/>
                <w:sz w:val="24"/>
              </w:rPr>
              <w:t>环境保护目标</w:t>
            </w:r>
          </w:p>
        </w:tc>
        <w:tc>
          <w:tcPr>
            <w:tcW w:w="4809" w:type="pct"/>
          </w:tcPr>
          <w:p w14:paraId="4AD9B4A5">
            <w:pPr>
              <w:pStyle w:val="22"/>
              <w:spacing w:before="31" w:beforeLines="10" w:beforeAutospacing="0" w:after="31" w:afterLines="10" w:afterAutospacing="0" w:line="372" w:lineRule="auto"/>
              <w:ind w:firstLine="482" w:firstLineChars="200"/>
              <w:jc w:val="both"/>
              <w:rPr>
                <w:rFonts w:ascii="Times New Roman" w:hAnsi="Times New Roman" w:cs="宋体"/>
                <w:b/>
                <w:bCs/>
                <w:color w:val="auto"/>
                <w:szCs w:val="24"/>
              </w:rPr>
            </w:pPr>
            <w:r>
              <w:rPr>
                <w:rFonts w:hint="eastAsia" w:ascii="Times New Roman" w:hAnsi="Times New Roman" w:cs="宋体"/>
                <w:b/>
                <w:bCs/>
                <w:color w:val="auto"/>
                <w:szCs w:val="24"/>
              </w:rPr>
              <w:t>（1）目与周边关系</w:t>
            </w:r>
          </w:p>
          <w:p w14:paraId="1CF3F77C">
            <w:pPr>
              <w:pStyle w:val="22"/>
              <w:spacing w:before="0" w:beforeAutospacing="0" w:after="0" w:afterAutospacing="0" w:line="375" w:lineRule="auto"/>
              <w:ind w:firstLine="480" w:firstLineChars="200"/>
              <w:jc w:val="both"/>
              <w:rPr>
                <w:rFonts w:hint="default" w:ascii="Times New Roman" w:hAnsi="Times New Roman" w:cs="宋体" w:eastAsiaTheme="minorEastAsia"/>
                <w:color w:val="auto"/>
                <w:szCs w:val="24"/>
                <w:lang w:val="en-US" w:eastAsia="zh-CN"/>
              </w:rPr>
            </w:pPr>
            <w:r>
              <w:rPr>
                <w:rFonts w:hint="eastAsia" w:ascii="Times New Roman" w:hAnsi="Times New Roman" w:cs="宋体"/>
                <w:color w:val="auto"/>
                <w:szCs w:val="24"/>
              </w:rPr>
              <w:t>本项目位于重庆市西彭工业园，租用</w:t>
            </w:r>
            <w:r>
              <w:rPr>
                <w:rFonts w:hint="eastAsia" w:ascii="Times New Roman" w:hAnsi="Times New Roman" w:cs="宋体"/>
                <w:color w:val="auto"/>
                <w:szCs w:val="24"/>
                <w:lang w:eastAsia="zh-CN"/>
              </w:rPr>
              <w:t>盛德佳公司</w:t>
            </w:r>
            <w:r>
              <w:rPr>
                <w:rFonts w:hint="eastAsia" w:ascii="Times New Roman" w:hAnsi="Times New Roman" w:cs="宋体"/>
                <w:color w:val="auto"/>
                <w:szCs w:val="24"/>
              </w:rPr>
              <w:t>现有厂房进行布置实施，项目与周边关系如表</w:t>
            </w:r>
            <w:r>
              <w:rPr>
                <w:rFonts w:hint="eastAsia" w:ascii="Times New Roman" w:hAnsi="Times New Roman" w:cs="宋体"/>
                <w:color w:val="auto"/>
                <w:szCs w:val="24"/>
                <w:lang w:val="en-US" w:eastAsia="zh-CN"/>
              </w:rPr>
              <w:t>3-4，项目外环境关系图详见附图7。</w:t>
            </w:r>
          </w:p>
          <w:p w14:paraId="566A05D8">
            <w:pPr>
              <w:pStyle w:val="22"/>
              <w:spacing w:before="0" w:beforeAutospacing="0" w:after="0" w:afterAutospacing="0"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表3-4  项目</w:t>
            </w:r>
            <w:r>
              <w:rPr>
                <w:rFonts w:hint="eastAsia" w:ascii="Times New Roman" w:hAnsi="Times New Roman" w:eastAsia="宋体" w:cs="Times New Roman"/>
                <w:color w:val="auto"/>
                <w:szCs w:val="24"/>
              </w:rPr>
              <w:t>与</w:t>
            </w:r>
            <w:r>
              <w:rPr>
                <w:rFonts w:ascii="Times New Roman" w:hAnsi="Times New Roman" w:eastAsia="宋体" w:cs="Times New Roman"/>
                <w:color w:val="auto"/>
                <w:szCs w:val="24"/>
              </w:rPr>
              <w:t>周边关系一览表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8"/>
              <w:gridCol w:w="3396"/>
              <w:gridCol w:w="1556"/>
              <w:gridCol w:w="1556"/>
              <w:gridCol w:w="1299"/>
            </w:tblGrid>
            <w:tr w14:paraId="43314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3C6F1958">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935" w:type="pct"/>
                  <w:tcBorders>
                    <w:tl2br w:val="nil"/>
                    <w:tr2bl w:val="nil"/>
                  </w:tcBorders>
                  <w:vAlign w:val="center"/>
                </w:tcPr>
                <w:p w14:paraId="0D2C11B3">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名称</w:t>
                  </w:r>
                </w:p>
              </w:tc>
              <w:tc>
                <w:tcPr>
                  <w:tcW w:w="886" w:type="pct"/>
                  <w:tcBorders>
                    <w:tl2br w:val="nil"/>
                    <w:tr2bl w:val="nil"/>
                  </w:tcBorders>
                  <w:vAlign w:val="center"/>
                </w:tcPr>
                <w:p w14:paraId="6EAFB380">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相对厂址方位</w:t>
                  </w:r>
                </w:p>
              </w:tc>
              <w:tc>
                <w:tcPr>
                  <w:tcW w:w="886" w:type="pct"/>
                  <w:tcBorders>
                    <w:tl2br w:val="nil"/>
                    <w:tr2bl w:val="nil"/>
                  </w:tcBorders>
                  <w:vAlign w:val="center"/>
                </w:tcPr>
                <w:p w14:paraId="65862D88">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b/>
                      <w:bCs/>
                      <w:color w:val="auto"/>
                      <w:sz w:val="21"/>
                      <w:szCs w:val="21"/>
                    </w:rPr>
                    <w:t>相对厂界距离</w:t>
                  </w:r>
                </w:p>
              </w:tc>
              <w:tc>
                <w:tcPr>
                  <w:tcW w:w="740" w:type="pct"/>
                  <w:tcBorders>
                    <w:tl2br w:val="nil"/>
                    <w:tr2bl w:val="nil"/>
                  </w:tcBorders>
                  <w:vAlign w:val="center"/>
                </w:tcPr>
                <w:p w14:paraId="678DBA4F">
                  <w:pPr>
                    <w:pStyle w:val="22"/>
                    <w:spacing w:before="78" w:beforeLines="25" w:beforeAutospacing="0" w:after="78" w:afterLines="25" w:afterAutospacing="0" w:line="303" w:lineRule="auto"/>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备注</w:t>
                  </w:r>
                </w:p>
              </w:tc>
            </w:tr>
            <w:tr w14:paraId="32E7E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542B95CB">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1935" w:type="pct"/>
                  <w:tcBorders>
                    <w:tl2br w:val="nil"/>
                    <w:tr2bl w:val="nil"/>
                  </w:tcBorders>
                  <w:vAlign w:val="center"/>
                </w:tcPr>
                <w:p w14:paraId="271E7FD6">
                  <w:pPr>
                    <w:pStyle w:val="22"/>
                    <w:spacing w:before="78" w:beforeLines="25" w:beforeAutospacing="0" w:after="78" w:afterLines="25" w:afterAutospacing="0" w:line="303" w:lineRule="auto"/>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重庆盛德佳工贸公司生产厂房</w:t>
                  </w:r>
                </w:p>
              </w:tc>
              <w:tc>
                <w:tcPr>
                  <w:tcW w:w="886" w:type="pct"/>
                  <w:tcBorders>
                    <w:tl2br w:val="nil"/>
                    <w:tr2bl w:val="nil"/>
                  </w:tcBorders>
                  <w:vAlign w:val="center"/>
                </w:tcPr>
                <w:p w14:paraId="581B0E94">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W</w:t>
                  </w:r>
                </w:p>
              </w:tc>
              <w:tc>
                <w:tcPr>
                  <w:tcW w:w="886" w:type="pct"/>
                  <w:tcBorders>
                    <w:tl2br w:val="nil"/>
                    <w:tr2bl w:val="nil"/>
                  </w:tcBorders>
                  <w:vAlign w:val="center"/>
                </w:tcPr>
                <w:p w14:paraId="210B3BCE">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紧邻</w:t>
                  </w:r>
                </w:p>
              </w:tc>
              <w:tc>
                <w:tcPr>
                  <w:tcW w:w="740" w:type="pct"/>
                  <w:tcBorders>
                    <w:tl2br w:val="nil"/>
                    <w:tr2bl w:val="nil"/>
                  </w:tcBorders>
                  <w:vAlign w:val="center"/>
                </w:tcPr>
                <w:p w14:paraId="470200DD">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工业企业</w:t>
                  </w:r>
                </w:p>
              </w:tc>
            </w:tr>
            <w:tr w14:paraId="432CA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shd w:val="clear" w:color="auto" w:fill="auto"/>
                  <w:vAlign w:val="center"/>
                </w:tcPr>
                <w:p w14:paraId="3F295C6D">
                  <w:pPr>
                    <w:pStyle w:val="22"/>
                    <w:spacing w:before="78" w:beforeLines="25" w:beforeAutospacing="0" w:after="78" w:afterLines="25" w:afterAutospacing="0" w:line="303" w:lineRule="auto"/>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rPr>
                    <w:t>2</w:t>
                  </w:r>
                </w:p>
              </w:tc>
              <w:tc>
                <w:tcPr>
                  <w:tcW w:w="1935" w:type="pct"/>
                  <w:tcBorders>
                    <w:tl2br w:val="nil"/>
                    <w:tr2bl w:val="nil"/>
                  </w:tcBorders>
                  <w:shd w:val="clear" w:color="auto" w:fill="auto"/>
                  <w:vAlign w:val="center"/>
                </w:tcPr>
                <w:p w14:paraId="25A336F6">
                  <w:pPr>
                    <w:pStyle w:val="22"/>
                    <w:spacing w:before="78" w:beforeLines="25" w:beforeAutospacing="0" w:after="78" w:afterLines="25" w:afterAutospacing="0" w:line="303" w:lineRule="auto"/>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lang w:eastAsia="zh-CN"/>
                    </w:rPr>
                    <w:t>重庆盛德佳工贸公司综合办公楼</w:t>
                  </w:r>
                </w:p>
              </w:tc>
              <w:tc>
                <w:tcPr>
                  <w:tcW w:w="886" w:type="pct"/>
                  <w:tcBorders>
                    <w:tl2br w:val="nil"/>
                    <w:tr2bl w:val="nil"/>
                  </w:tcBorders>
                  <w:shd w:val="clear" w:color="auto" w:fill="auto"/>
                  <w:vAlign w:val="center"/>
                </w:tcPr>
                <w:p w14:paraId="107B8AA9">
                  <w:pPr>
                    <w:pStyle w:val="22"/>
                    <w:spacing w:before="78" w:beforeLines="25" w:beforeAutospacing="0" w:after="78" w:afterLines="25" w:afterAutospacing="0" w:line="303" w:lineRule="auto"/>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lang w:val="en-US" w:eastAsia="zh-CN"/>
                    </w:rPr>
                    <w:t>N</w:t>
                  </w:r>
                </w:p>
              </w:tc>
              <w:tc>
                <w:tcPr>
                  <w:tcW w:w="886" w:type="pct"/>
                  <w:tcBorders>
                    <w:tl2br w:val="nil"/>
                    <w:tr2bl w:val="nil"/>
                  </w:tcBorders>
                  <w:shd w:val="clear" w:color="auto" w:fill="auto"/>
                  <w:vAlign w:val="center"/>
                </w:tcPr>
                <w:p w14:paraId="3EE3B09F">
                  <w:pPr>
                    <w:pStyle w:val="22"/>
                    <w:spacing w:before="78" w:beforeLines="25" w:beforeAutospacing="0" w:after="78" w:afterLines="25" w:afterAutospacing="0" w:line="303" w:lineRule="auto"/>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rPr>
                    <w:t>紧邻</w:t>
                  </w:r>
                </w:p>
              </w:tc>
              <w:tc>
                <w:tcPr>
                  <w:tcW w:w="740" w:type="pct"/>
                  <w:tcBorders>
                    <w:tl2br w:val="nil"/>
                    <w:tr2bl w:val="nil"/>
                  </w:tcBorders>
                  <w:shd w:val="clear" w:color="auto" w:fill="auto"/>
                  <w:vAlign w:val="center"/>
                </w:tcPr>
                <w:p w14:paraId="5C25045D">
                  <w:pPr>
                    <w:pStyle w:val="22"/>
                    <w:spacing w:before="78" w:beforeLines="25" w:beforeAutospacing="0" w:after="78" w:afterLines="25" w:afterAutospacing="0" w:line="303" w:lineRule="auto"/>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rPr>
                    <w:t>工业企业</w:t>
                  </w:r>
                </w:p>
              </w:tc>
            </w:tr>
            <w:tr w14:paraId="0123E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shd w:val="clear" w:color="auto" w:fill="auto"/>
                  <w:vAlign w:val="center"/>
                </w:tcPr>
                <w:p w14:paraId="06692959">
                  <w:pPr>
                    <w:pStyle w:val="22"/>
                    <w:spacing w:before="78" w:beforeLines="25" w:beforeAutospacing="0" w:after="78" w:afterLines="25" w:afterAutospacing="0" w:line="303" w:lineRule="auto"/>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rPr>
                    <w:t>3</w:t>
                  </w:r>
                </w:p>
              </w:tc>
              <w:tc>
                <w:tcPr>
                  <w:tcW w:w="1935" w:type="pct"/>
                  <w:tcBorders>
                    <w:tl2br w:val="nil"/>
                    <w:tr2bl w:val="nil"/>
                  </w:tcBorders>
                  <w:vAlign w:val="center"/>
                </w:tcPr>
                <w:p w14:paraId="0B63E0F3">
                  <w:pPr>
                    <w:widowControl/>
                    <w:spacing w:before="78" w:beforeLines="25" w:after="78" w:afterLines="25" w:line="303" w:lineRule="auto"/>
                    <w:jc w:val="center"/>
                    <w:rPr>
                      <w:rFonts w:hint="eastAsia" w:ascii="Times New Roman" w:hAnsi="Times New Roman" w:eastAsia="宋体" w:cs="宋体"/>
                      <w:color w:val="auto"/>
                      <w:szCs w:val="21"/>
                      <w:lang w:eastAsia="zh-CN"/>
                    </w:rPr>
                  </w:pPr>
                  <w:r>
                    <w:rPr>
                      <w:rFonts w:hint="eastAsia" w:ascii="Times New Roman" w:hAnsi="Times New Roman" w:eastAsia="宋体" w:cs="宋体"/>
                      <w:color w:val="auto"/>
                      <w:szCs w:val="21"/>
                      <w:lang w:eastAsia="zh-CN"/>
                    </w:rPr>
                    <w:t>重庆安淇儿全屋定制家居有限公司</w:t>
                  </w:r>
                </w:p>
              </w:tc>
              <w:tc>
                <w:tcPr>
                  <w:tcW w:w="886" w:type="pct"/>
                  <w:tcBorders>
                    <w:tl2br w:val="nil"/>
                    <w:tr2bl w:val="nil"/>
                  </w:tcBorders>
                  <w:vAlign w:val="center"/>
                </w:tcPr>
                <w:p w14:paraId="11B984CD">
                  <w:pPr>
                    <w:pStyle w:val="22"/>
                    <w:spacing w:before="78" w:beforeLines="25" w:beforeAutospacing="0" w:after="78" w:afterLines="25" w:afterAutospacing="0" w:line="303" w:lineRule="auto"/>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S</w:t>
                  </w:r>
                </w:p>
              </w:tc>
              <w:tc>
                <w:tcPr>
                  <w:tcW w:w="886" w:type="pct"/>
                  <w:tcBorders>
                    <w:tl2br w:val="nil"/>
                    <w:tr2bl w:val="nil"/>
                  </w:tcBorders>
                  <w:vAlign w:val="center"/>
                </w:tcPr>
                <w:p w14:paraId="15285AA2">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olor w:val="auto"/>
                      <w:sz w:val="21"/>
                      <w:szCs w:val="21"/>
                    </w:rPr>
                    <w:t>紧邻</w:t>
                  </w:r>
                </w:p>
              </w:tc>
              <w:tc>
                <w:tcPr>
                  <w:tcW w:w="740" w:type="pct"/>
                  <w:tcBorders>
                    <w:tl2br w:val="nil"/>
                    <w:tr2bl w:val="nil"/>
                  </w:tcBorders>
                  <w:vAlign w:val="center"/>
                </w:tcPr>
                <w:p w14:paraId="4829A822">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工业企业</w:t>
                  </w:r>
                </w:p>
              </w:tc>
            </w:tr>
            <w:tr w14:paraId="4CBA3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0" w:hRule="atLeast"/>
                <w:jc w:val="center"/>
              </w:trPr>
              <w:tc>
                <w:tcPr>
                  <w:tcW w:w="551" w:type="pct"/>
                  <w:tcBorders>
                    <w:tl2br w:val="nil"/>
                    <w:tr2bl w:val="nil"/>
                  </w:tcBorders>
                  <w:shd w:val="clear" w:color="auto" w:fill="auto"/>
                  <w:vAlign w:val="center"/>
                </w:tcPr>
                <w:p w14:paraId="5A0BB4F3">
                  <w:pPr>
                    <w:pStyle w:val="22"/>
                    <w:spacing w:before="78" w:beforeLines="25" w:beforeAutospacing="0" w:after="78" w:afterLines="25" w:afterAutospacing="0" w:line="303" w:lineRule="auto"/>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sz w:val="21"/>
                      <w:szCs w:val="21"/>
                    </w:rPr>
                    <w:t>4</w:t>
                  </w:r>
                </w:p>
              </w:tc>
              <w:tc>
                <w:tcPr>
                  <w:tcW w:w="1935" w:type="pct"/>
                  <w:tcBorders>
                    <w:tl2br w:val="nil"/>
                    <w:tr2bl w:val="nil"/>
                  </w:tcBorders>
                  <w:vAlign w:val="center"/>
                </w:tcPr>
                <w:p w14:paraId="0E29ADE4">
                  <w:pPr>
                    <w:widowControl/>
                    <w:spacing w:before="78" w:beforeLines="25" w:after="78" w:afterLines="25" w:line="303" w:lineRule="auto"/>
                    <w:jc w:val="center"/>
                    <w:rPr>
                      <w:rFonts w:hint="eastAsia" w:ascii="Times New Roman" w:hAnsi="Times New Roman" w:eastAsia="宋体" w:cs="宋体"/>
                      <w:color w:val="auto"/>
                      <w:szCs w:val="21"/>
                      <w:lang w:eastAsia="zh-CN"/>
                    </w:rPr>
                  </w:pPr>
                  <w:r>
                    <w:rPr>
                      <w:rFonts w:hint="eastAsia" w:ascii="Times New Roman" w:hAnsi="Times New Roman" w:eastAsia="宋体"/>
                      <w:color w:val="auto"/>
                      <w:szCs w:val="21"/>
                      <w:lang w:eastAsia="zh-CN"/>
                    </w:rPr>
                    <w:t>重庆利佳木业有限公司</w:t>
                  </w:r>
                </w:p>
              </w:tc>
              <w:tc>
                <w:tcPr>
                  <w:tcW w:w="886" w:type="pct"/>
                  <w:tcBorders>
                    <w:tl2br w:val="nil"/>
                    <w:tr2bl w:val="nil"/>
                  </w:tcBorders>
                  <w:vAlign w:val="center"/>
                </w:tcPr>
                <w:p w14:paraId="7000BA13">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E</w:t>
                  </w:r>
                </w:p>
              </w:tc>
              <w:tc>
                <w:tcPr>
                  <w:tcW w:w="886" w:type="pct"/>
                  <w:tcBorders>
                    <w:tl2br w:val="nil"/>
                    <w:tr2bl w:val="nil"/>
                  </w:tcBorders>
                  <w:vAlign w:val="center"/>
                </w:tcPr>
                <w:p w14:paraId="66EF5838">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20</w:t>
                  </w:r>
                  <w:r>
                    <w:rPr>
                      <w:rFonts w:hint="eastAsia" w:ascii="Times New Roman" w:hAnsi="Times New Roman" w:eastAsia="宋体"/>
                      <w:color w:val="auto"/>
                      <w:sz w:val="21"/>
                      <w:szCs w:val="21"/>
                    </w:rPr>
                    <w:t>m</w:t>
                  </w:r>
                </w:p>
              </w:tc>
              <w:tc>
                <w:tcPr>
                  <w:tcW w:w="740" w:type="pct"/>
                  <w:tcBorders>
                    <w:tl2br w:val="nil"/>
                    <w:tr2bl w:val="nil"/>
                  </w:tcBorders>
                  <w:vAlign w:val="center"/>
                </w:tcPr>
                <w:p w14:paraId="07185D26">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工业企业</w:t>
                  </w:r>
                </w:p>
              </w:tc>
            </w:tr>
          </w:tbl>
          <w:p w14:paraId="46D4C4D1">
            <w:pPr>
              <w:pStyle w:val="22"/>
              <w:spacing w:before="31" w:beforeLines="10" w:beforeAutospacing="0" w:after="31" w:afterLines="10" w:afterAutospacing="0" w:line="372" w:lineRule="auto"/>
              <w:ind w:firstLine="482" w:firstLineChars="200"/>
              <w:jc w:val="both"/>
              <w:rPr>
                <w:rFonts w:ascii="Times New Roman" w:hAnsi="Times New Roman" w:cs="宋体"/>
                <w:b/>
                <w:bCs/>
                <w:color w:val="auto"/>
                <w:szCs w:val="24"/>
              </w:rPr>
            </w:pPr>
            <w:r>
              <w:rPr>
                <w:rFonts w:hint="eastAsia" w:ascii="Times New Roman" w:hAnsi="Times New Roman" w:cs="宋体"/>
                <w:b/>
                <w:bCs/>
                <w:color w:val="auto"/>
                <w:szCs w:val="24"/>
              </w:rPr>
              <w:t>（2）大气环境保护目标</w:t>
            </w:r>
          </w:p>
          <w:p w14:paraId="08D52928">
            <w:pPr>
              <w:pStyle w:val="22"/>
              <w:spacing w:before="31" w:beforeLines="10" w:beforeAutospacing="0" w:after="31" w:afterLines="10" w:afterAutospacing="0" w:line="372" w:lineRule="auto"/>
              <w:ind w:firstLine="480" w:firstLineChars="200"/>
              <w:jc w:val="both"/>
              <w:rPr>
                <w:rFonts w:hint="eastAsia" w:ascii="Times New Roman" w:hAnsi="Times New Roman" w:cs="宋体"/>
                <w:color w:val="auto"/>
                <w:szCs w:val="24"/>
                <w:lang w:eastAsia="zh-CN"/>
              </w:rPr>
            </w:pPr>
            <w:r>
              <w:rPr>
                <w:rFonts w:hint="eastAsia" w:ascii="Times New Roman" w:hAnsi="Times New Roman" w:cs="宋体"/>
                <w:color w:val="auto"/>
                <w:szCs w:val="24"/>
                <w:lang w:eastAsia="zh-CN"/>
              </w:rPr>
              <w:t>详见大气专项评价。</w:t>
            </w:r>
          </w:p>
          <w:p w14:paraId="31F0073E">
            <w:pPr>
              <w:pStyle w:val="22"/>
              <w:spacing w:before="31" w:beforeLines="10" w:beforeAutospacing="0" w:after="31" w:afterLines="10" w:afterAutospacing="0" w:line="372" w:lineRule="auto"/>
              <w:ind w:firstLine="482" w:firstLineChars="200"/>
              <w:jc w:val="both"/>
              <w:rPr>
                <w:rFonts w:ascii="Times New Roman" w:hAnsi="Times New Roman" w:cs="宋体"/>
                <w:b/>
                <w:bCs/>
                <w:color w:val="auto"/>
                <w:szCs w:val="24"/>
              </w:rPr>
            </w:pPr>
            <w:r>
              <w:rPr>
                <w:rFonts w:hint="eastAsia" w:ascii="Times New Roman" w:hAnsi="Times New Roman" w:cs="宋体"/>
                <w:b/>
                <w:bCs/>
                <w:color w:val="auto"/>
                <w:szCs w:val="24"/>
              </w:rPr>
              <w:t>（3）声环境保护目标</w:t>
            </w:r>
          </w:p>
          <w:p w14:paraId="6052B1AF">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项目厂界外50米范围内无声环境保护目标。</w:t>
            </w:r>
          </w:p>
          <w:p w14:paraId="5F777072">
            <w:pPr>
              <w:pStyle w:val="22"/>
              <w:spacing w:before="31" w:beforeLines="10" w:beforeAutospacing="0" w:after="31" w:afterLines="10" w:afterAutospacing="0" w:line="372" w:lineRule="auto"/>
              <w:ind w:firstLine="482" w:firstLineChars="200"/>
              <w:jc w:val="both"/>
              <w:rPr>
                <w:rFonts w:ascii="Times New Roman" w:hAnsi="Times New Roman" w:cs="宋体"/>
                <w:b/>
                <w:bCs/>
                <w:color w:val="auto"/>
                <w:szCs w:val="24"/>
              </w:rPr>
            </w:pPr>
            <w:r>
              <w:rPr>
                <w:rFonts w:hint="eastAsia" w:ascii="Times New Roman" w:hAnsi="Times New Roman" w:cs="宋体"/>
                <w:b/>
                <w:bCs/>
                <w:color w:val="auto"/>
                <w:szCs w:val="24"/>
              </w:rPr>
              <w:t>（4）地表水环境保护目标</w:t>
            </w:r>
          </w:p>
          <w:p w14:paraId="0421B882">
            <w:pPr>
              <w:pStyle w:val="22"/>
              <w:widowControl w:val="0"/>
              <w:spacing w:before="0" w:beforeAutospacing="0" w:after="0" w:afterAutospacing="0" w:line="375"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项目地表水环境保护目标见下表：</w:t>
            </w:r>
          </w:p>
          <w:p w14:paraId="1CB006B4">
            <w:pPr>
              <w:pStyle w:val="22"/>
              <w:spacing w:before="0" w:beforeAutospacing="0" w:after="0" w:afterAutospacing="0"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表3-</w:t>
            </w:r>
            <w:r>
              <w:rPr>
                <w:rFonts w:hint="eastAsia" w:ascii="Times New Roman" w:hAnsi="Times New Roman" w:eastAsia="宋体" w:cs="Times New Roman"/>
                <w:color w:val="auto"/>
                <w:szCs w:val="24"/>
              </w:rPr>
              <w:t>6</w:t>
            </w:r>
            <w:r>
              <w:rPr>
                <w:rFonts w:ascii="Times New Roman" w:hAnsi="Times New Roman" w:eastAsia="宋体" w:cs="Times New Roman"/>
                <w:color w:val="auto"/>
                <w:szCs w:val="24"/>
              </w:rPr>
              <w:t xml:space="preserve">  地表水环境保护目标一览表</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52"/>
              <w:gridCol w:w="1460"/>
              <w:gridCol w:w="1461"/>
              <w:gridCol w:w="1009"/>
              <w:gridCol w:w="1339"/>
              <w:gridCol w:w="2051"/>
            </w:tblGrid>
            <w:tr w14:paraId="69F9E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828" w:type="pct"/>
                  <w:vMerge w:val="restart"/>
                  <w:tcBorders>
                    <w:tl2br w:val="nil"/>
                    <w:tr2bl w:val="nil"/>
                  </w:tcBorders>
                  <w:vAlign w:val="center"/>
                </w:tcPr>
                <w:p w14:paraId="27FDF910">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保护目标名称</w:t>
                  </w:r>
                </w:p>
              </w:tc>
              <w:tc>
                <w:tcPr>
                  <w:tcW w:w="1665" w:type="pct"/>
                  <w:gridSpan w:val="2"/>
                  <w:tcBorders>
                    <w:tl2br w:val="nil"/>
                    <w:tr2bl w:val="nil"/>
                  </w:tcBorders>
                  <w:vAlign w:val="center"/>
                </w:tcPr>
                <w:p w14:paraId="5548B433">
                  <w:pPr>
                    <w:pStyle w:val="22"/>
                    <w:spacing w:before="71" w:beforeLines="23" w:beforeAutospacing="0" w:after="71" w:afterLines="23"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坐标</w:t>
                  </w:r>
                </w:p>
              </w:tc>
              <w:tc>
                <w:tcPr>
                  <w:tcW w:w="575" w:type="pct"/>
                  <w:vMerge w:val="restart"/>
                  <w:tcBorders>
                    <w:tl2br w:val="nil"/>
                    <w:tr2bl w:val="nil"/>
                  </w:tcBorders>
                  <w:vAlign w:val="center"/>
                </w:tcPr>
                <w:p w14:paraId="6135FD1D">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方位</w:t>
                  </w:r>
                </w:p>
              </w:tc>
              <w:tc>
                <w:tcPr>
                  <w:tcW w:w="763" w:type="pct"/>
                  <w:vMerge w:val="restart"/>
                  <w:tcBorders>
                    <w:tl2br w:val="nil"/>
                    <w:tr2bl w:val="nil"/>
                  </w:tcBorders>
                  <w:vAlign w:val="center"/>
                </w:tcPr>
                <w:p w14:paraId="6F3C33A6">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距厂界最近距离/m</w:t>
                  </w:r>
                </w:p>
              </w:tc>
              <w:tc>
                <w:tcPr>
                  <w:tcW w:w="1167" w:type="pct"/>
                  <w:vMerge w:val="restart"/>
                  <w:tcBorders>
                    <w:tl2br w:val="nil"/>
                    <w:tr2bl w:val="nil"/>
                  </w:tcBorders>
                  <w:vAlign w:val="center"/>
                </w:tcPr>
                <w:p w14:paraId="739659A4">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特征</w:t>
                  </w:r>
                </w:p>
              </w:tc>
            </w:tr>
            <w:tr w14:paraId="3A87E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vMerge w:val="continue"/>
                  <w:tcBorders>
                    <w:tl2br w:val="nil"/>
                    <w:tr2bl w:val="nil"/>
                  </w:tcBorders>
                  <w:vAlign w:val="center"/>
                </w:tcPr>
                <w:p w14:paraId="347805FD">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p>
              </w:tc>
              <w:tc>
                <w:tcPr>
                  <w:tcW w:w="832" w:type="pct"/>
                  <w:tcBorders>
                    <w:tl2br w:val="nil"/>
                    <w:tr2bl w:val="nil"/>
                  </w:tcBorders>
                  <w:vAlign w:val="center"/>
                </w:tcPr>
                <w:p w14:paraId="7B8A8F47">
                  <w:pPr>
                    <w:pStyle w:val="22"/>
                    <w:spacing w:before="71" w:beforeLines="23" w:beforeAutospacing="0" w:after="71" w:afterLines="23"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X</w:t>
                  </w:r>
                </w:p>
              </w:tc>
              <w:tc>
                <w:tcPr>
                  <w:tcW w:w="833" w:type="pct"/>
                  <w:tcBorders>
                    <w:tl2br w:val="nil"/>
                    <w:tr2bl w:val="nil"/>
                  </w:tcBorders>
                  <w:vAlign w:val="center"/>
                </w:tcPr>
                <w:p w14:paraId="0DA784DE">
                  <w:pPr>
                    <w:pStyle w:val="22"/>
                    <w:spacing w:before="71" w:beforeLines="23" w:beforeAutospacing="0" w:after="71" w:afterLines="23" w:afterAutospacing="0" w:line="303" w:lineRule="auto"/>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Y</w:t>
                  </w:r>
                </w:p>
              </w:tc>
              <w:tc>
                <w:tcPr>
                  <w:tcW w:w="575" w:type="pct"/>
                  <w:vMerge w:val="continue"/>
                  <w:tcBorders>
                    <w:tl2br w:val="nil"/>
                    <w:tr2bl w:val="nil"/>
                  </w:tcBorders>
                  <w:vAlign w:val="center"/>
                </w:tcPr>
                <w:p w14:paraId="6EA0E5AE">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p>
              </w:tc>
              <w:tc>
                <w:tcPr>
                  <w:tcW w:w="763" w:type="pct"/>
                  <w:vMerge w:val="continue"/>
                  <w:tcBorders>
                    <w:tl2br w:val="nil"/>
                    <w:tr2bl w:val="nil"/>
                  </w:tcBorders>
                  <w:vAlign w:val="center"/>
                </w:tcPr>
                <w:p w14:paraId="2D98246C">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p>
              </w:tc>
              <w:tc>
                <w:tcPr>
                  <w:tcW w:w="1167" w:type="pct"/>
                  <w:vMerge w:val="continue"/>
                  <w:tcBorders>
                    <w:tl2br w:val="nil"/>
                    <w:tr2bl w:val="nil"/>
                  </w:tcBorders>
                  <w:vAlign w:val="center"/>
                </w:tcPr>
                <w:p w14:paraId="40B9FF67">
                  <w:pPr>
                    <w:pStyle w:val="22"/>
                    <w:spacing w:before="78" w:beforeLines="25" w:beforeAutospacing="0" w:after="78" w:afterLines="25" w:afterAutospacing="0" w:line="303" w:lineRule="auto"/>
                    <w:jc w:val="center"/>
                    <w:rPr>
                      <w:rFonts w:ascii="Times New Roman" w:hAnsi="Times New Roman" w:eastAsia="宋体" w:cs="宋体"/>
                      <w:b/>
                      <w:bCs/>
                      <w:color w:val="auto"/>
                      <w:sz w:val="21"/>
                      <w:szCs w:val="21"/>
                    </w:rPr>
                  </w:pPr>
                </w:p>
              </w:tc>
            </w:tr>
            <w:tr w14:paraId="64869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tcBorders>
                    <w:tl2br w:val="nil"/>
                    <w:tr2bl w:val="nil"/>
                  </w:tcBorders>
                  <w:vAlign w:val="center"/>
                </w:tcPr>
                <w:p w14:paraId="0AAD9B18">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长江</w:t>
                  </w:r>
                </w:p>
              </w:tc>
              <w:tc>
                <w:tcPr>
                  <w:tcW w:w="832" w:type="pct"/>
                  <w:tcBorders>
                    <w:tl2br w:val="nil"/>
                    <w:tr2bl w:val="nil"/>
                  </w:tcBorders>
                  <w:vAlign w:val="center"/>
                </w:tcPr>
                <w:p w14:paraId="412394AD">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-3550</w:t>
                  </w:r>
                </w:p>
              </w:tc>
              <w:tc>
                <w:tcPr>
                  <w:tcW w:w="833" w:type="pct"/>
                  <w:tcBorders>
                    <w:tl2br w:val="nil"/>
                    <w:tr2bl w:val="nil"/>
                  </w:tcBorders>
                  <w:vAlign w:val="center"/>
                </w:tcPr>
                <w:p w14:paraId="0D0B8A17">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-4000</w:t>
                  </w:r>
                </w:p>
              </w:tc>
              <w:tc>
                <w:tcPr>
                  <w:tcW w:w="575" w:type="pct"/>
                  <w:tcBorders>
                    <w:tl2br w:val="nil"/>
                    <w:tr2bl w:val="nil"/>
                  </w:tcBorders>
                  <w:vAlign w:val="center"/>
                </w:tcPr>
                <w:p w14:paraId="0EBD54A6">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SW</w:t>
                  </w:r>
                </w:p>
              </w:tc>
              <w:tc>
                <w:tcPr>
                  <w:tcW w:w="763" w:type="pct"/>
                  <w:tcBorders>
                    <w:tl2br w:val="nil"/>
                    <w:tr2bl w:val="nil"/>
                  </w:tcBorders>
                  <w:vAlign w:val="center"/>
                </w:tcPr>
                <w:p w14:paraId="106511F0">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5300</w:t>
                  </w:r>
                </w:p>
              </w:tc>
              <w:tc>
                <w:tcPr>
                  <w:tcW w:w="1167" w:type="pct"/>
                  <w:tcBorders>
                    <w:tl2br w:val="nil"/>
                    <w:tr2bl w:val="nil"/>
                  </w:tcBorders>
                  <w:vAlign w:val="center"/>
                </w:tcPr>
                <w:p w14:paraId="106DEF6B">
                  <w:pPr>
                    <w:pStyle w:val="22"/>
                    <w:spacing w:before="78" w:beforeLines="25" w:beforeAutospacing="0" w:after="78" w:afterLines="25" w:afterAutospacing="0" w:line="303" w:lineRule="auto"/>
                    <w:jc w:val="center"/>
                    <w:rPr>
                      <w:rFonts w:ascii="Times New Roman" w:hAnsi="Times New Roman" w:eastAsia="宋体" w:cs="宋体"/>
                      <w:color w:val="auto"/>
                      <w:sz w:val="21"/>
                      <w:szCs w:val="21"/>
                    </w:rPr>
                  </w:pPr>
                  <w:r>
                    <w:rPr>
                      <w:rFonts w:hint="eastAsia" w:ascii="Times New Roman" w:hAnsi="Times New Roman" w:eastAsia="宋体"/>
                      <w:color w:val="auto"/>
                      <w:sz w:val="21"/>
                      <w:szCs w:val="21"/>
                    </w:rPr>
                    <w:t>Ⅲ</w:t>
                  </w:r>
                  <w:r>
                    <w:rPr>
                      <w:rFonts w:ascii="Times New Roman" w:hAnsi="Times New Roman" w:eastAsia="宋体"/>
                      <w:color w:val="auto"/>
                      <w:sz w:val="21"/>
                      <w:szCs w:val="21"/>
                    </w:rPr>
                    <w:t>类水域功能</w:t>
                  </w:r>
                </w:p>
              </w:tc>
            </w:tr>
            <w:tr w14:paraId="476C9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000" w:type="pct"/>
                  <w:gridSpan w:val="6"/>
                  <w:tcBorders>
                    <w:tl2br w:val="nil"/>
                    <w:tr2bl w:val="nil"/>
                  </w:tcBorders>
                  <w:vAlign w:val="center"/>
                </w:tcPr>
                <w:p w14:paraId="1B5282B1">
                  <w:pPr>
                    <w:pStyle w:val="22"/>
                    <w:spacing w:before="78" w:beforeLines="25" w:beforeAutospacing="0" w:after="78" w:afterLines="25" w:afterAutospacing="0" w:line="303" w:lineRule="auto"/>
                    <w:ind w:firstLine="422" w:firstLineChars="200"/>
                    <w:jc w:val="both"/>
                    <w:rPr>
                      <w:rFonts w:ascii="Times New Roman" w:hAnsi="Times New Roman" w:eastAsia="宋体" w:cs="宋体"/>
                      <w:color w:val="auto"/>
                      <w:sz w:val="21"/>
                      <w:szCs w:val="21"/>
                    </w:rPr>
                  </w:pPr>
                  <w:r>
                    <w:rPr>
                      <w:rFonts w:hint="eastAsia" w:ascii="Times New Roman" w:hAnsi="Times New Roman" w:eastAsia="宋体"/>
                      <w:b/>
                      <w:bCs/>
                      <w:color w:val="auto"/>
                      <w:sz w:val="21"/>
                      <w:szCs w:val="21"/>
                    </w:rPr>
                    <w:t>注</w:t>
                  </w:r>
                  <w:r>
                    <w:rPr>
                      <w:rFonts w:hint="eastAsia" w:ascii="Times New Roman" w:hAnsi="Times New Roman" w:eastAsia="宋体"/>
                      <w:color w:val="auto"/>
                      <w:sz w:val="21"/>
                      <w:szCs w:val="21"/>
                    </w:rPr>
                    <w:t>：采用相对坐标，</w:t>
                  </w:r>
                  <w:r>
                    <w:rPr>
                      <w:rFonts w:ascii="Times New Roman" w:hAnsi="Times New Roman" w:eastAsia="宋体"/>
                      <w:color w:val="auto"/>
                      <w:sz w:val="21"/>
                      <w:szCs w:val="21"/>
                    </w:rPr>
                    <w:t>坐标原点为厂区中心</w:t>
                  </w:r>
                  <w:r>
                    <w:rPr>
                      <w:rFonts w:hint="eastAsia" w:ascii="Times New Roman" w:hAnsi="Times New Roman" w:eastAsia="宋体"/>
                      <w:color w:val="auto"/>
                      <w:sz w:val="21"/>
                      <w:szCs w:val="21"/>
                    </w:rPr>
                    <w:t>。</w:t>
                  </w:r>
                </w:p>
              </w:tc>
            </w:tr>
          </w:tbl>
          <w:p w14:paraId="2B317676">
            <w:pPr>
              <w:pStyle w:val="22"/>
              <w:spacing w:before="31" w:beforeLines="10" w:beforeAutospacing="0" w:after="31" w:afterLines="10" w:afterAutospacing="0" w:line="372" w:lineRule="auto"/>
              <w:ind w:firstLine="482" w:firstLineChars="200"/>
              <w:jc w:val="both"/>
              <w:rPr>
                <w:rFonts w:ascii="Times New Roman" w:hAnsi="Times New Roman" w:cs="宋体"/>
                <w:b/>
                <w:bCs/>
                <w:color w:val="auto"/>
                <w:szCs w:val="24"/>
              </w:rPr>
            </w:pPr>
            <w:r>
              <w:rPr>
                <w:rFonts w:hint="eastAsia" w:ascii="Times New Roman" w:hAnsi="Times New Roman" w:cs="宋体"/>
                <w:b/>
                <w:bCs/>
                <w:color w:val="auto"/>
                <w:szCs w:val="24"/>
              </w:rPr>
              <w:t>（5）地下水环境保护目标</w:t>
            </w:r>
          </w:p>
          <w:p w14:paraId="239A4EBB">
            <w:pPr>
              <w:spacing w:line="368" w:lineRule="auto"/>
              <w:ind w:firstLine="480" w:firstLineChars="200"/>
              <w:rPr>
                <w:rFonts w:ascii="Times New Roman" w:hAnsi="Times New Roman"/>
                <w:color w:val="auto"/>
                <w:sz w:val="24"/>
              </w:rPr>
            </w:pPr>
            <w:r>
              <w:rPr>
                <w:rFonts w:hint="eastAsia" w:ascii="Times New Roman" w:hAnsi="Times New Roman" w:cs="宋体"/>
                <w:color w:val="auto"/>
                <w:kern w:val="0"/>
                <w:sz w:val="24"/>
              </w:rPr>
              <w:t>本项目厂界外500m范围内无地下水集中式饮用水水源和热水、矿泉水、温泉等特殊地下水资源。</w:t>
            </w:r>
          </w:p>
        </w:tc>
      </w:tr>
      <w:tr w14:paraId="0C19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12" w:hRule="atLeast"/>
        </w:trPr>
        <w:tc>
          <w:tcPr>
            <w:tcW w:w="190" w:type="pct"/>
            <w:vAlign w:val="center"/>
          </w:tcPr>
          <w:p w14:paraId="19E974FA">
            <w:pPr>
              <w:spacing w:line="360" w:lineRule="auto"/>
              <w:jc w:val="center"/>
              <w:rPr>
                <w:rFonts w:ascii="Times New Roman" w:hAnsi="Times New Roman" w:cs="宋体"/>
                <w:b/>
                <w:bCs/>
                <w:color w:val="auto"/>
                <w:kern w:val="0"/>
                <w:sz w:val="24"/>
              </w:rPr>
            </w:pPr>
            <w:r>
              <w:rPr>
                <w:rFonts w:hint="eastAsia" w:ascii="Times New Roman" w:hAnsi="Times New Roman" w:cs="宋体"/>
                <w:b/>
                <w:bCs/>
                <w:color w:val="auto"/>
                <w:kern w:val="0"/>
                <w:sz w:val="24"/>
              </w:rPr>
              <w:t>污染物排放控制标准</w:t>
            </w:r>
          </w:p>
        </w:tc>
        <w:tc>
          <w:tcPr>
            <w:tcW w:w="4809" w:type="pct"/>
          </w:tcPr>
          <w:p w14:paraId="2C396454">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rPr>
              <w:t>（1）大气污染物排放标准</w:t>
            </w:r>
          </w:p>
          <w:p w14:paraId="30CAA543">
            <w:pPr>
              <w:spacing w:line="375" w:lineRule="auto"/>
              <w:ind w:firstLine="480" w:firstLineChars="200"/>
              <w:rPr>
                <w:rFonts w:ascii="Times New Roman" w:hAnsi="Times New Roman" w:cs="宋体"/>
                <w:color w:val="auto"/>
                <w:sz w:val="24"/>
              </w:rPr>
            </w:pPr>
            <w:r>
              <w:rPr>
                <w:rFonts w:hint="eastAsia" w:ascii="Times New Roman" w:hAnsi="Times New Roman" w:cs="宋体"/>
                <w:color w:val="auto"/>
                <w:sz w:val="24"/>
              </w:rPr>
              <w:t>1）废气有组织排放标准</w:t>
            </w:r>
          </w:p>
          <w:p w14:paraId="4E3AC62D">
            <w:pPr>
              <w:pStyle w:val="22"/>
              <w:spacing w:before="0" w:beforeAutospacing="0" w:after="0" w:afterAutospacing="0" w:line="375" w:lineRule="auto"/>
              <w:ind w:firstLine="480" w:firstLineChars="200"/>
              <w:jc w:val="both"/>
              <w:rPr>
                <w:rFonts w:hint="eastAsia" w:ascii="Times New Roman" w:hAnsi="Times New Roman" w:cs="宋体" w:eastAsiaTheme="minorEastAsia"/>
                <w:color w:val="auto"/>
                <w:szCs w:val="24"/>
                <w:lang w:eastAsia="zh-CN"/>
              </w:rPr>
            </w:pPr>
            <w:r>
              <w:rPr>
                <w:rFonts w:hint="eastAsia" w:ascii="Times New Roman" w:hAnsi="Times New Roman" w:cs="宋体"/>
                <w:color w:val="auto"/>
                <w:szCs w:val="24"/>
                <w:lang w:val="en-US" w:eastAsia="zh-CN"/>
              </w:rPr>
              <w:t>根据《家具制造业大气污染物排放标准》（DB 50/757-2017），</w:t>
            </w:r>
            <w:r>
              <w:rPr>
                <w:rFonts w:hint="eastAsia" w:ascii="Times New Roman" w:hAnsi="Times New Roman" w:cs="宋体"/>
                <w:b/>
                <w:bCs/>
                <w:color w:val="auto"/>
                <w:szCs w:val="24"/>
                <w:lang w:val="en-US" w:eastAsia="zh-CN"/>
              </w:rPr>
              <w:t>家具制造业指家具、木门、橱柜、金属门窗、人造板</w:t>
            </w:r>
            <w:r>
              <w:rPr>
                <w:rFonts w:hint="eastAsia" w:ascii="Times New Roman" w:hAnsi="Times New Roman" w:cs="宋体"/>
                <w:color w:val="auto"/>
                <w:szCs w:val="24"/>
                <w:lang w:val="en-US" w:eastAsia="zh-CN"/>
              </w:rPr>
              <w:t>等产品的生产企业集合，包括GB/T4754中的家具制造4.木材加工、人造板制造、金属门窗制造和除建筑用木料及木材组件加工以外的木制品制造。本项目属于人造板类别，位于九龙坡区西彭园区D标准分区，生产过程中产生的废气应执行《家具制造业大气污染物排放标准》（DB 50/757-2017）主城区标准。</w:t>
            </w:r>
            <w:r>
              <w:rPr>
                <w:rFonts w:hint="eastAsia" w:ascii="Times New Roman" w:hAnsi="Times New Roman" w:cs="Times New Roman"/>
                <w:bCs/>
                <w:color w:val="auto"/>
                <w:szCs w:val="24"/>
              </w:rPr>
              <w:t>但标准中SO</w:t>
            </w:r>
            <w:r>
              <w:rPr>
                <w:rFonts w:hint="eastAsia" w:ascii="Times New Roman" w:hAnsi="Times New Roman" w:cs="Times New Roman"/>
                <w:bCs/>
                <w:color w:val="auto"/>
                <w:szCs w:val="24"/>
                <w:vertAlign w:val="subscript"/>
              </w:rPr>
              <w:t>2</w:t>
            </w:r>
            <w:r>
              <w:rPr>
                <w:rFonts w:hint="eastAsia" w:ascii="Times New Roman" w:hAnsi="Times New Roman" w:cs="Times New Roman"/>
                <w:bCs/>
                <w:color w:val="auto"/>
                <w:szCs w:val="24"/>
              </w:rPr>
              <w:t>、NO</w:t>
            </w:r>
            <w:r>
              <w:rPr>
                <w:rFonts w:hint="eastAsia" w:ascii="Times New Roman" w:hAnsi="Times New Roman" w:cs="Times New Roman"/>
                <w:bCs/>
                <w:color w:val="auto"/>
                <w:szCs w:val="24"/>
                <w:vertAlign w:val="subscript"/>
              </w:rPr>
              <w:t>X</w:t>
            </w:r>
            <w:r>
              <w:rPr>
                <w:rFonts w:hint="eastAsia" w:ascii="Times New Roman" w:hAnsi="Times New Roman" w:cs="Times New Roman"/>
                <w:bCs/>
                <w:color w:val="auto"/>
                <w:szCs w:val="24"/>
              </w:rPr>
              <w:t>排放限值</w:t>
            </w:r>
            <w:r>
              <w:rPr>
                <w:rFonts w:hint="eastAsia" w:ascii="Times New Roman" w:hAnsi="Times New Roman" w:cs="Times New Roman"/>
                <w:color w:val="auto"/>
                <w:szCs w:val="24"/>
              </w:rPr>
              <w:t>仅适用于燃烧类处理设施，</w:t>
            </w:r>
            <w:r>
              <w:rPr>
                <w:rFonts w:hint="eastAsia" w:ascii="Times New Roman" w:hAnsi="Times New Roman" w:cs="Times New Roman"/>
                <w:color w:val="auto"/>
                <w:szCs w:val="24"/>
                <w:lang w:eastAsia="zh-CN"/>
              </w:rPr>
              <w:t>且根据热温机工作原理，符合《锅炉大气污染物排放标准》(DB50/658-2016)对锅炉的定义“锅炉是利用燃料燃烧释放的热能或其他热能加热热水或其他工质，以生产规定参数(温度，压力)和品质的蒸汽、热水或其他工质的设备”，故本项目热温机产生的烟气执行《锅炉大气污染物排放标准》(DB50/658-2016)特别排放限值。</w:t>
            </w:r>
          </w:p>
          <w:p w14:paraId="0D0217DC">
            <w:pPr>
              <w:pStyle w:val="22"/>
              <w:spacing w:before="0" w:beforeAutospacing="0" w:after="0" w:afterAutospacing="0" w:line="372"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lang w:val="en-US" w:eastAsia="zh-CN"/>
              </w:rPr>
              <w:t>本项目运营期排放废气主要为工艺废气包括甲醛、非甲烷总烃等，天然气燃烧废气为颗粒物、二氧化硫、氮氧化物。有组织排放工艺废气中甲醛、非甲烷总烃执行重庆市地方标准《家具制造业大气污染物排放标准》（DB 50/757-2017）中表2排放限值要求；热温机排放天然气燃烧废气中颗粒物、二氧化硫、氮氧化物执行重庆市地方标准《锅炉大气污染物排放标准》（DB50/658-2016）中表3排放限值要求，及“DB50/658-2016《锅炉大气污染物排放标准》重庆市地方标准第1号修改单”表3氮氧化物排放限值要求。具体排放限值见下表</w:t>
            </w:r>
            <w:r>
              <w:rPr>
                <w:rFonts w:hint="eastAsia" w:ascii="Times New Roman" w:hAnsi="Times New Roman" w:cs="宋体"/>
                <w:color w:val="auto"/>
                <w:szCs w:val="24"/>
              </w:rPr>
              <w:t>。</w:t>
            </w:r>
          </w:p>
          <w:p w14:paraId="245A1B14">
            <w:pPr>
              <w:pStyle w:val="22"/>
              <w:spacing w:before="0" w:beforeAutospacing="0" w:after="0" w:afterAutospacing="0" w:line="360" w:lineRule="auto"/>
              <w:jc w:val="center"/>
              <w:rPr>
                <w:rFonts w:hint="eastAsia" w:ascii="Times New Roman" w:hAnsi="Times New Roman" w:eastAsia="宋体" w:cs="Times New Roman"/>
                <w:color w:val="auto"/>
                <w:szCs w:val="24"/>
                <w:lang w:eastAsia="zh-CN"/>
              </w:rPr>
            </w:pPr>
            <w:r>
              <w:rPr>
                <w:rFonts w:ascii="Times New Roman" w:hAnsi="Times New Roman" w:eastAsia="宋体" w:cs="Times New Roman"/>
                <w:color w:val="auto"/>
                <w:szCs w:val="24"/>
              </w:rPr>
              <w:t>表3-</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lang w:eastAsia="zh-CN"/>
              </w:rPr>
              <w:t>有组织废气排放标准限值</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79"/>
              <w:gridCol w:w="1214"/>
              <w:gridCol w:w="1785"/>
              <w:gridCol w:w="1710"/>
              <w:gridCol w:w="2918"/>
            </w:tblGrid>
            <w:tr w14:paraId="0CDF3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noWrap w:val="0"/>
                  <w:vAlign w:val="center"/>
                </w:tcPr>
                <w:p w14:paraId="465A28FD">
                  <w:pPr>
                    <w:pStyle w:val="22"/>
                    <w:spacing w:before="46" w:beforeLines="15" w:beforeAutospacing="0" w:after="46" w:afterLines="15" w:afterAutospacing="0" w:line="252" w:lineRule="auto"/>
                    <w:jc w:val="center"/>
                    <w:rPr>
                      <w:rFonts w:hint="eastAsia" w:ascii="Times New Roman" w:hAnsi="Times New Roman" w:cs="宋体"/>
                      <w:b/>
                      <w:bCs/>
                      <w:color w:val="auto"/>
                      <w:sz w:val="21"/>
                      <w:szCs w:val="21"/>
                      <w:lang w:val="en-US" w:eastAsia="zh-CN"/>
                    </w:rPr>
                  </w:pPr>
                  <w:r>
                    <w:rPr>
                      <w:rFonts w:hint="eastAsia" w:ascii="Times New Roman" w:hAnsi="Times New Roman" w:cs="宋体"/>
                      <w:b/>
                      <w:bCs/>
                      <w:color w:val="auto"/>
                      <w:sz w:val="21"/>
                      <w:szCs w:val="21"/>
                      <w:lang w:val="en-US" w:eastAsia="zh-CN"/>
                    </w:rPr>
                    <w:t>废气类型</w:t>
                  </w:r>
                </w:p>
              </w:tc>
              <w:tc>
                <w:tcPr>
                  <w:tcW w:w="1214" w:type="dxa"/>
                  <w:noWrap w:val="0"/>
                  <w:vAlign w:val="center"/>
                </w:tcPr>
                <w:p w14:paraId="356104EC">
                  <w:pPr>
                    <w:pStyle w:val="22"/>
                    <w:spacing w:before="46" w:beforeLines="15" w:beforeAutospacing="0" w:after="46" w:afterLines="15" w:afterAutospacing="0" w:line="252" w:lineRule="auto"/>
                    <w:jc w:val="center"/>
                    <w:rPr>
                      <w:rFonts w:hint="eastAsia" w:ascii="Times New Roman" w:hAnsi="Times New Roman" w:cs="宋体"/>
                      <w:b/>
                      <w:bCs/>
                      <w:color w:val="auto"/>
                      <w:sz w:val="21"/>
                      <w:szCs w:val="21"/>
                      <w:lang w:val="en-US" w:eastAsia="zh-CN"/>
                    </w:rPr>
                  </w:pPr>
                  <w:r>
                    <w:rPr>
                      <w:rFonts w:hint="eastAsia" w:ascii="Times New Roman" w:hAnsi="Times New Roman" w:cs="宋体"/>
                      <w:b/>
                      <w:bCs/>
                      <w:color w:val="auto"/>
                      <w:sz w:val="21"/>
                      <w:szCs w:val="21"/>
                      <w:lang w:val="en-US" w:eastAsia="zh-CN"/>
                    </w:rPr>
                    <w:t>污染因子</w:t>
                  </w:r>
                </w:p>
              </w:tc>
              <w:tc>
                <w:tcPr>
                  <w:tcW w:w="1785" w:type="dxa"/>
                  <w:noWrap w:val="0"/>
                  <w:vAlign w:val="center"/>
                </w:tcPr>
                <w:p w14:paraId="75E5A45E">
                  <w:pPr>
                    <w:pStyle w:val="22"/>
                    <w:spacing w:before="62" w:beforeLines="20" w:beforeAutospacing="0" w:after="62" w:afterLines="20" w:afterAutospacing="0" w:line="252" w:lineRule="auto"/>
                    <w:jc w:val="center"/>
                    <w:rPr>
                      <w:rFonts w:hint="eastAsia" w:ascii="Times New Roman" w:hAnsi="Times New Roman" w:cs="宋体"/>
                      <w:b/>
                      <w:bCs/>
                      <w:color w:val="auto"/>
                      <w:sz w:val="21"/>
                      <w:szCs w:val="21"/>
                      <w:lang w:val="en-US" w:eastAsia="zh-CN"/>
                    </w:rPr>
                  </w:pPr>
                  <w:r>
                    <w:rPr>
                      <w:rFonts w:hint="eastAsia" w:ascii="Times New Roman" w:hAnsi="Times New Roman" w:cs="宋体"/>
                      <w:b/>
                      <w:bCs/>
                      <w:color w:val="auto"/>
                      <w:sz w:val="21"/>
                      <w:szCs w:val="21"/>
                      <w:lang w:val="en-US" w:eastAsia="zh-CN"/>
                    </w:rPr>
                    <w:t>排放浓度限值（mg/m</w:t>
                  </w:r>
                  <w:r>
                    <w:rPr>
                      <w:rFonts w:hint="eastAsia" w:ascii="Times New Roman" w:hAnsi="Times New Roman" w:cs="宋体"/>
                      <w:b/>
                      <w:bCs/>
                      <w:color w:val="auto"/>
                      <w:sz w:val="21"/>
                      <w:szCs w:val="21"/>
                      <w:vertAlign w:val="superscript"/>
                      <w:lang w:val="en-US" w:eastAsia="zh-CN"/>
                    </w:rPr>
                    <w:t>3</w:t>
                  </w:r>
                  <w:r>
                    <w:rPr>
                      <w:rFonts w:hint="eastAsia" w:ascii="Times New Roman" w:hAnsi="Times New Roman" w:cs="宋体"/>
                      <w:b/>
                      <w:bCs/>
                      <w:color w:val="auto"/>
                      <w:sz w:val="21"/>
                      <w:szCs w:val="21"/>
                      <w:lang w:val="en-US" w:eastAsia="zh-CN"/>
                    </w:rPr>
                    <w:t>）</w:t>
                  </w:r>
                </w:p>
              </w:tc>
              <w:tc>
                <w:tcPr>
                  <w:tcW w:w="1710" w:type="dxa"/>
                  <w:noWrap w:val="0"/>
                  <w:vAlign w:val="center"/>
                </w:tcPr>
                <w:p w14:paraId="1EC65529">
                  <w:pPr>
                    <w:pStyle w:val="22"/>
                    <w:spacing w:before="62" w:beforeLines="20" w:beforeAutospacing="0" w:after="62" w:afterLines="20" w:afterAutospacing="0" w:line="252" w:lineRule="auto"/>
                    <w:jc w:val="center"/>
                    <w:rPr>
                      <w:rFonts w:hint="eastAsia" w:ascii="Times New Roman" w:hAnsi="Times New Roman" w:cs="宋体"/>
                      <w:b/>
                      <w:bCs/>
                      <w:color w:val="auto"/>
                      <w:sz w:val="21"/>
                      <w:szCs w:val="21"/>
                      <w:lang w:val="en-US" w:eastAsia="zh-CN"/>
                    </w:rPr>
                  </w:pPr>
                  <w:r>
                    <w:rPr>
                      <w:rFonts w:hint="eastAsia" w:ascii="Times New Roman" w:hAnsi="Times New Roman" w:cs="宋体"/>
                      <w:b/>
                      <w:bCs/>
                      <w:color w:val="auto"/>
                      <w:sz w:val="21"/>
                      <w:szCs w:val="21"/>
                      <w:lang w:val="en-US" w:eastAsia="zh-CN"/>
                    </w:rPr>
                    <w:t>最高允许排放速率（kg/h）</w:t>
                  </w:r>
                </w:p>
              </w:tc>
              <w:tc>
                <w:tcPr>
                  <w:tcW w:w="2918" w:type="dxa"/>
                  <w:noWrap w:val="0"/>
                  <w:vAlign w:val="center"/>
                </w:tcPr>
                <w:p w14:paraId="26F3E297">
                  <w:pPr>
                    <w:pStyle w:val="22"/>
                    <w:spacing w:before="46" w:beforeLines="15" w:beforeAutospacing="0" w:after="46" w:afterLines="15" w:afterAutospacing="0" w:line="252" w:lineRule="auto"/>
                    <w:jc w:val="center"/>
                    <w:rPr>
                      <w:rFonts w:hint="eastAsia" w:ascii="Times New Roman" w:hAnsi="Times New Roman" w:cs="宋体"/>
                      <w:b/>
                      <w:bCs/>
                      <w:color w:val="auto"/>
                      <w:sz w:val="21"/>
                      <w:szCs w:val="21"/>
                      <w:lang w:val="en-US" w:eastAsia="zh-CN"/>
                    </w:rPr>
                  </w:pPr>
                  <w:r>
                    <w:rPr>
                      <w:rFonts w:hint="eastAsia" w:ascii="Times New Roman" w:hAnsi="Times New Roman" w:cs="宋体"/>
                      <w:b/>
                      <w:bCs/>
                      <w:color w:val="auto"/>
                      <w:sz w:val="21"/>
                      <w:szCs w:val="21"/>
                      <w:lang w:val="en-US" w:eastAsia="zh-CN"/>
                    </w:rPr>
                    <w:t>执行标准</w:t>
                  </w:r>
                </w:p>
              </w:tc>
            </w:tr>
            <w:tr w14:paraId="355D7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vMerge w:val="restart"/>
                  <w:noWrap w:val="0"/>
                  <w:vAlign w:val="center"/>
                </w:tcPr>
                <w:p w14:paraId="5F209156">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工艺废气</w:t>
                  </w:r>
                </w:p>
              </w:tc>
              <w:tc>
                <w:tcPr>
                  <w:tcW w:w="1214" w:type="dxa"/>
                  <w:shd w:val="clear" w:color="auto" w:fill="auto"/>
                  <w:noWrap w:val="0"/>
                  <w:vAlign w:val="center"/>
                </w:tcPr>
                <w:p w14:paraId="5B7F81E7">
                  <w:pPr>
                    <w:pStyle w:val="22"/>
                    <w:spacing w:before="78" w:beforeLines="25" w:beforeAutospacing="0" w:after="78" w:afterLines="25" w:afterAutospacing="0" w:line="276" w:lineRule="auto"/>
                    <w:jc w:val="center"/>
                    <w:rPr>
                      <w:rFonts w:hint="eastAsia"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非甲烷总烃</w:t>
                  </w:r>
                </w:p>
              </w:tc>
              <w:tc>
                <w:tcPr>
                  <w:tcW w:w="1785" w:type="dxa"/>
                  <w:shd w:val="clear" w:color="auto" w:fill="auto"/>
                  <w:noWrap w:val="0"/>
                  <w:vAlign w:val="center"/>
                </w:tcPr>
                <w:p w14:paraId="49DE05D0">
                  <w:pPr>
                    <w:pStyle w:val="22"/>
                    <w:spacing w:before="78" w:beforeLines="25" w:beforeAutospacing="0" w:after="78" w:afterLines="25" w:afterAutospacing="0" w:line="276" w:lineRule="auto"/>
                    <w:jc w:val="center"/>
                    <w:rPr>
                      <w:rFonts w:hint="eastAsia"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30</w:t>
                  </w:r>
                </w:p>
              </w:tc>
              <w:tc>
                <w:tcPr>
                  <w:tcW w:w="1710" w:type="dxa"/>
                  <w:shd w:val="clear" w:color="auto" w:fill="auto"/>
                  <w:noWrap w:val="0"/>
                  <w:vAlign w:val="center"/>
                </w:tcPr>
                <w:p w14:paraId="14ADCE03">
                  <w:pPr>
                    <w:pStyle w:val="22"/>
                    <w:spacing w:before="78" w:beforeLines="25" w:beforeAutospacing="0" w:after="78" w:afterLines="25" w:afterAutospacing="0" w:line="276" w:lineRule="auto"/>
                    <w:jc w:val="center"/>
                    <w:rPr>
                      <w:rFonts w:hint="eastAsia"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5.4</w:t>
                  </w:r>
                </w:p>
              </w:tc>
              <w:tc>
                <w:tcPr>
                  <w:tcW w:w="2918" w:type="dxa"/>
                  <w:vMerge w:val="restart"/>
                  <w:noWrap w:val="0"/>
                  <w:vAlign w:val="center"/>
                </w:tcPr>
                <w:p w14:paraId="24E503F5">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《家具制造业大气污染物排放标准》（DB 50/757-2017）</w:t>
                  </w:r>
                </w:p>
              </w:tc>
            </w:tr>
            <w:tr w14:paraId="752D5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vMerge w:val="continue"/>
                  <w:noWrap w:val="0"/>
                  <w:vAlign w:val="center"/>
                </w:tcPr>
                <w:p w14:paraId="1FC602FF">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c>
                <w:tcPr>
                  <w:tcW w:w="1214" w:type="dxa"/>
                  <w:shd w:val="clear" w:color="auto" w:fill="auto"/>
                  <w:noWrap w:val="0"/>
                  <w:vAlign w:val="center"/>
                </w:tcPr>
                <w:p w14:paraId="365C5021">
                  <w:pPr>
                    <w:pStyle w:val="22"/>
                    <w:spacing w:before="78" w:beforeLines="25" w:beforeAutospacing="0" w:after="78" w:afterLines="25" w:afterAutospacing="0" w:line="276" w:lineRule="auto"/>
                    <w:jc w:val="center"/>
                    <w:rPr>
                      <w:rFonts w:hint="eastAsia"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甲醛</w:t>
                  </w:r>
                </w:p>
              </w:tc>
              <w:tc>
                <w:tcPr>
                  <w:tcW w:w="1785" w:type="dxa"/>
                  <w:shd w:val="clear" w:color="auto" w:fill="auto"/>
                  <w:noWrap w:val="0"/>
                  <w:vAlign w:val="center"/>
                </w:tcPr>
                <w:p w14:paraId="7EAB2AB4">
                  <w:pPr>
                    <w:pStyle w:val="22"/>
                    <w:spacing w:before="78" w:beforeLines="25" w:beforeAutospacing="0" w:after="78" w:afterLines="25" w:afterAutospacing="0" w:line="276" w:lineRule="auto"/>
                    <w:jc w:val="center"/>
                    <w:rPr>
                      <w:rFonts w:hint="default"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25</w:t>
                  </w:r>
                </w:p>
              </w:tc>
              <w:tc>
                <w:tcPr>
                  <w:tcW w:w="1710" w:type="dxa"/>
                  <w:shd w:val="clear" w:color="auto" w:fill="auto"/>
                  <w:noWrap w:val="0"/>
                  <w:vAlign w:val="center"/>
                </w:tcPr>
                <w:p w14:paraId="0656C11F">
                  <w:pPr>
                    <w:pStyle w:val="22"/>
                    <w:spacing w:before="78" w:beforeLines="25" w:beforeAutospacing="0" w:after="78" w:afterLines="25" w:afterAutospacing="0" w:line="276" w:lineRule="auto"/>
                    <w:jc w:val="center"/>
                    <w:rPr>
                      <w:rFonts w:hint="default" w:ascii="Times New Roman" w:hAnsi="Times New Roman" w:cs="宋体" w:eastAsiaTheme="minorEastAsia"/>
                      <w:color w:val="auto"/>
                      <w:kern w:val="0"/>
                      <w:sz w:val="21"/>
                      <w:szCs w:val="21"/>
                      <w:lang w:val="en-US" w:eastAsia="zh-CN" w:bidi="ar-SA"/>
                    </w:rPr>
                  </w:pPr>
                  <w:r>
                    <w:rPr>
                      <w:rFonts w:hint="eastAsia" w:ascii="Times New Roman" w:hAnsi="Times New Roman" w:cs="宋体"/>
                      <w:color w:val="auto"/>
                      <w:sz w:val="21"/>
                      <w:szCs w:val="21"/>
                      <w:lang w:val="en-US" w:eastAsia="zh-CN"/>
                    </w:rPr>
                    <w:t>0.26</w:t>
                  </w:r>
                </w:p>
              </w:tc>
              <w:tc>
                <w:tcPr>
                  <w:tcW w:w="2918" w:type="dxa"/>
                  <w:vMerge w:val="continue"/>
                  <w:noWrap w:val="0"/>
                  <w:vAlign w:val="center"/>
                </w:tcPr>
                <w:p w14:paraId="6DDDD470">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r>
            <w:tr w14:paraId="526FA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vMerge w:val="restart"/>
                  <w:noWrap w:val="0"/>
                  <w:vAlign w:val="center"/>
                </w:tcPr>
                <w:p w14:paraId="61BCAF2F">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燃烧废气</w:t>
                  </w:r>
                </w:p>
              </w:tc>
              <w:tc>
                <w:tcPr>
                  <w:tcW w:w="1214" w:type="dxa"/>
                  <w:noWrap w:val="0"/>
                  <w:vAlign w:val="center"/>
                </w:tcPr>
                <w:p w14:paraId="2964017E">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颗粒物</w:t>
                  </w:r>
                </w:p>
              </w:tc>
              <w:tc>
                <w:tcPr>
                  <w:tcW w:w="1785" w:type="dxa"/>
                  <w:noWrap w:val="0"/>
                  <w:vAlign w:val="center"/>
                </w:tcPr>
                <w:p w14:paraId="522B2CA6">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20</w:t>
                  </w:r>
                </w:p>
              </w:tc>
              <w:tc>
                <w:tcPr>
                  <w:tcW w:w="1710" w:type="dxa"/>
                  <w:noWrap w:val="0"/>
                  <w:vAlign w:val="center"/>
                </w:tcPr>
                <w:p w14:paraId="1D30FA92">
                  <w:pPr>
                    <w:pStyle w:val="22"/>
                    <w:spacing w:before="78" w:beforeLines="25" w:beforeAutospacing="0" w:after="78" w:afterLines="25" w:afterAutospacing="0" w:line="276" w:lineRule="auto"/>
                    <w:jc w:val="center"/>
                    <w:rPr>
                      <w:rFonts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2918" w:type="dxa"/>
                  <w:vMerge w:val="restart"/>
                  <w:noWrap w:val="0"/>
                  <w:vAlign w:val="center"/>
                </w:tcPr>
                <w:p w14:paraId="44004BAC">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《锅炉大气污染物排放标准》（DB50/658-2016）及“DB50/658-2016《锅炉大气污染物排放标准》重庆市地方标准第1号修改单”</w:t>
                  </w:r>
                </w:p>
              </w:tc>
            </w:tr>
            <w:tr w14:paraId="5B96D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vMerge w:val="continue"/>
                  <w:noWrap w:val="0"/>
                  <w:vAlign w:val="center"/>
                </w:tcPr>
                <w:p w14:paraId="26D2DC5F">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c>
                <w:tcPr>
                  <w:tcW w:w="1214" w:type="dxa"/>
                  <w:noWrap w:val="0"/>
                  <w:vAlign w:val="center"/>
                </w:tcPr>
                <w:p w14:paraId="7C664BB7">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SO</w:t>
                  </w:r>
                  <w:r>
                    <w:rPr>
                      <w:rFonts w:hint="eastAsia" w:ascii="Times New Roman" w:hAnsi="Times New Roman" w:cs="宋体"/>
                      <w:color w:val="auto"/>
                      <w:sz w:val="21"/>
                      <w:szCs w:val="21"/>
                      <w:vertAlign w:val="subscript"/>
                      <w:lang w:val="en-US" w:eastAsia="zh-CN"/>
                    </w:rPr>
                    <w:t>2</w:t>
                  </w:r>
                </w:p>
              </w:tc>
              <w:tc>
                <w:tcPr>
                  <w:tcW w:w="1785" w:type="dxa"/>
                  <w:noWrap w:val="0"/>
                  <w:vAlign w:val="center"/>
                </w:tcPr>
                <w:p w14:paraId="043F7E0E">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50</w:t>
                  </w:r>
                </w:p>
              </w:tc>
              <w:tc>
                <w:tcPr>
                  <w:tcW w:w="1710" w:type="dxa"/>
                  <w:noWrap w:val="0"/>
                  <w:vAlign w:val="center"/>
                </w:tcPr>
                <w:p w14:paraId="469FE739">
                  <w:pPr>
                    <w:pStyle w:val="22"/>
                    <w:spacing w:before="78" w:beforeLines="25" w:beforeAutospacing="0" w:after="78" w:afterLines="25" w:afterAutospacing="0" w:line="276" w:lineRule="auto"/>
                    <w:jc w:val="center"/>
                    <w:rPr>
                      <w:rFonts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2918" w:type="dxa"/>
                  <w:vMerge w:val="continue"/>
                  <w:noWrap w:val="0"/>
                  <w:vAlign w:val="center"/>
                </w:tcPr>
                <w:p w14:paraId="3124B478">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r>
            <w:tr w14:paraId="198F0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79" w:type="dxa"/>
                  <w:vMerge w:val="continue"/>
                  <w:noWrap w:val="0"/>
                  <w:vAlign w:val="center"/>
                </w:tcPr>
                <w:p w14:paraId="2958CA1B">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c>
                <w:tcPr>
                  <w:tcW w:w="1214" w:type="dxa"/>
                  <w:noWrap w:val="0"/>
                  <w:vAlign w:val="center"/>
                </w:tcPr>
                <w:p w14:paraId="74D6D03A">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NOx</w:t>
                  </w:r>
                </w:p>
              </w:tc>
              <w:tc>
                <w:tcPr>
                  <w:tcW w:w="1785" w:type="dxa"/>
                  <w:noWrap w:val="0"/>
                  <w:vAlign w:val="center"/>
                </w:tcPr>
                <w:p w14:paraId="73914765">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30</w:t>
                  </w:r>
                </w:p>
              </w:tc>
              <w:tc>
                <w:tcPr>
                  <w:tcW w:w="1710" w:type="dxa"/>
                  <w:noWrap w:val="0"/>
                  <w:vAlign w:val="center"/>
                </w:tcPr>
                <w:p w14:paraId="63E3314F">
                  <w:pPr>
                    <w:pStyle w:val="22"/>
                    <w:spacing w:before="78" w:beforeLines="25" w:beforeAutospacing="0" w:after="78" w:afterLines="25" w:afterAutospacing="0" w:line="276" w:lineRule="auto"/>
                    <w:jc w:val="center"/>
                    <w:rPr>
                      <w:rFonts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2918" w:type="dxa"/>
                  <w:vMerge w:val="continue"/>
                  <w:noWrap w:val="0"/>
                  <w:vAlign w:val="center"/>
                </w:tcPr>
                <w:p w14:paraId="6CEBD887">
                  <w:pPr>
                    <w:pStyle w:val="22"/>
                    <w:spacing w:before="78" w:beforeLines="25" w:beforeAutospacing="0" w:after="78" w:afterLines="25" w:afterAutospacing="0" w:line="276" w:lineRule="auto"/>
                    <w:jc w:val="center"/>
                    <w:rPr>
                      <w:rFonts w:hint="eastAsia" w:ascii="Times New Roman" w:hAnsi="Times New Roman" w:cs="宋体"/>
                      <w:color w:val="auto"/>
                      <w:sz w:val="21"/>
                      <w:szCs w:val="21"/>
                      <w:lang w:val="en-US" w:eastAsia="zh-CN"/>
                    </w:rPr>
                  </w:pPr>
                </w:p>
              </w:tc>
            </w:tr>
          </w:tbl>
          <w:p w14:paraId="2C70CA90">
            <w:pPr>
              <w:spacing w:line="375" w:lineRule="auto"/>
              <w:ind w:firstLine="480" w:firstLineChars="200"/>
              <w:rPr>
                <w:rFonts w:ascii="Times New Roman" w:hAnsi="Times New Roman" w:cs="宋体"/>
                <w:color w:val="auto"/>
                <w:sz w:val="24"/>
              </w:rPr>
            </w:pPr>
            <w:r>
              <w:rPr>
                <w:rFonts w:hint="eastAsia" w:ascii="Times New Roman" w:hAnsi="Times New Roman" w:cs="宋体"/>
                <w:color w:val="auto"/>
                <w:sz w:val="24"/>
              </w:rPr>
              <w:t>2）废气无组织排放标准</w:t>
            </w:r>
          </w:p>
          <w:p w14:paraId="7E17BED7">
            <w:pPr>
              <w:spacing w:line="375" w:lineRule="auto"/>
              <w:ind w:firstLine="480" w:firstLineChars="200"/>
              <w:rPr>
                <w:rFonts w:ascii="Times New Roman" w:hAnsi="Times New Roman" w:cs="宋体"/>
                <w:color w:val="auto"/>
                <w:sz w:val="24"/>
              </w:rPr>
            </w:pPr>
            <w:r>
              <w:rPr>
                <w:rFonts w:ascii="Times New Roman" w:hAnsi="Times New Roman" w:cs="宋体"/>
                <w:color w:val="auto"/>
                <w:sz w:val="24"/>
              </w:rPr>
              <w:t>①</w:t>
            </w:r>
            <w:r>
              <w:rPr>
                <w:rFonts w:hint="eastAsia" w:ascii="Times New Roman" w:hAnsi="Times New Roman" w:cs="宋体"/>
                <w:color w:val="auto"/>
                <w:sz w:val="24"/>
              </w:rPr>
              <w:t>厂房外。非甲烷总烃厂区内非甲烷总烃无组织排放应满足《挥发性有机物无组织排放控制标准》（GB 37822-2019）特别排放限值。</w:t>
            </w:r>
          </w:p>
          <w:p w14:paraId="700137B6">
            <w:pPr>
              <w:spacing w:line="375" w:lineRule="auto"/>
              <w:ind w:firstLine="480" w:firstLineChars="200"/>
              <w:rPr>
                <w:rFonts w:hint="eastAsia" w:ascii="Times New Roman" w:hAnsi="Times New Roman" w:cs="宋体"/>
                <w:color w:val="auto"/>
                <w:sz w:val="24"/>
              </w:rPr>
            </w:pPr>
            <w:r>
              <w:rPr>
                <w:rFonts w:ascii="Times New Roman" w:hAnsi="Times New Roman" w:cs="宋体"/>
                <w:color w:val="auto"/>
                <w:sz w:val="24"/>
              </w:rPr>
              <w:t>②</w:t>
            </w:r>
            <w:r>
              <w:rPr>
                <w:rFonts w:hint="eastAsia" w:ascii="Times New Roman" w:hAnsi="Times New Roman" w:cs="宋体"/>
                <w:color w:val="auto"/>
                <w:sz w:val="24"/>
              </w:rPr>
              <w:t>厂界。</w:t>
            </w:r>
            <w:r>
              <w:rPr>
                <w:rFonts w:hint="eastAsia" w:ascii="Times New Roman" w:hAnsi="Times New Roman" w:cs="宋体"/>
                <w:color w:val="auto"/>
                <w:sz w:val="24"/>
                <w:lang w:val="en-US" w:eastAsia="zh-CN"/>
              </w:rPr>
              <w:t>排放的颗粒物、甲醛、非甲烷总烃执行重庆市地方标准《家具制造业大气污染物排放标准》（DB 50/757-2017）中表3排放限值要求</w:t>
            </w:r>
            <w:r>
              <w:rPr>
                <w:rFonts w:hint="eastAsia" w:ascii="Times New Roman" w:hAnsi="Times New Roman" w:cs="宋体"/>
                <w:color w:val="auto"/>
                <w:sz w:val="24"/>
              </w:rPr>
              <w:t>。</w:t>
            </w:r>
          </w:p>
          <w:p w14:paraId="79C339D3">
            <w:pPr>
              <w:spacing w:line="360" w:lineRule="auto"/>
              <w:ind w:firstLine="480" w:firstLineChars="200"/>
              <w:rPr>
                <w:rFonts w:ascii="Times New Roman" w:hAnsi="Times New Roman" w:cs="宋体"/>
                <w:color w:val="auto"/>
                <w:sz w:val="24"/>
              </w:rPr>
            </w:pPr>
            <w:r>
              <w:rPr>
                <w:rFonts w:hint="eastAsia" w:ascii="Times New Roman" w:hAnsi="Times New Roman" w:cs="宋体"/>
                <w:color w:val="auto"/>
                <w:sz w:val="24"/>
              </w:rPr>
              <w:t>综上，项目废气无组织排放标准汇总如下：</w:t>
            </w:r>
          </w:p>
          <w:p w14:paraId="518E4578">
            <w:pPr>
              <w:pStyle w:val="46"/>
              <w:spacing w:beforeLines="0" w:line="360" w:lineRule="auto"/>
              <w:rPr>
                <w:rFonts w:ascii="Times New Roman" w:hAnsi="Times New Roman" w:eastAsia="宋体"/>
                <w:color w:val="auto"/>
                <w:sz w:val="24"/>
              </w:rPr>
            </w:pPr>
            <w:r>
              <w:rPr>
                <w:rFonts w:ascii="Times New Roman" w:hAnsi="Times New Roman" w:eastAsia="宋体"/>
                <w:color w:val="auto"/>
                <w:sz w:val="24"/>
              </w:rPr>
              <w:t>表3-</w:t>
            </w:r>
            <w:r>
              <w:rPr>
                <w:rFonts w:hint="eastAsia" w:ascii="Times New Roman" w:hAnsi="Times New Roman" w:eastAsia="宋体"/>
                <w:color w:val="auto"/>
                <w:sz w:val="24"/>
                <w:lang w:val="en-US" w:eastAsia="zh-CN"/>
              </w:rPr>
              <w:t>8</w:t>
            </w:r>
            <w:r>
              <w:rPr>
                <w:rFonts w:hint="eastAsia" w:ascii="Times New Roman" w:hAnsi="Times New Roman" w:eastAsia="宋体"/>
                <w:color w:val="auto"/>
                <w:sz w:val="24"/>
              </w:rPr>
              <w:t xml:space="preserve">  污染物无组织排放执行标准</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13"/>
              <w:gridCol w:w="1936"/>
              <w:gridCol w:w="2977"/>
              <w:gridCol w:w="2664"/>
            </w:tblGrid>
            <w:tr w14:paraId="377D1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1013" w:type="dxa"/>
                  <w:tcBorders>
                    <w:tl2br w:val="nil"/>
                    <w:tr2bl w:val="nil"/>
                  </w:tcBorders>
                  <w:vAlign w:val="center"/>
                </w:tcPr>
                <w:p w14:paraId="5A0BE322">
                  <w:pPr>
                    <w:pStyle w:val="42"/>
                    <w:spacing w:before="31"/>
                    <w:rPr>
                      <w:rFonts w:ascii="Times New Roman" w:hAnsi="Times New Roman" w:eastAsia="宋体" w:cs="Times New Roman"/>
                      <w:b/>
                      <w:bCs/>
                      <w:color w:val="auto"/>
                    </w:rPr>
                  </w:pPr>
                  <w:r>
                    <w:rPr>
                      <w:rFonts w:ascii="Times New Roman" w:hAnsi="Times New Roman" w:eastAsia="宋体" w:cs="Times New Roman"/>
                      <w:b/>
                      <w:bCs/>
                      <w:color w:val="auto"/>
                    </w:rPr>
                    <w:t>监测点</w:t>
                  </w:r>
                </w:p>
              </w:tc>
              <w:tc>
                <w:tcPr>
                  <w:tcW w:w="1936" w:type="dxa"/>
                  <w:tcBorders>
                    <w:tl2br w:val="nil"/>
                    <w:tr2bl w:val="nil"/>
                  </w:tcBorders>
                  <w:vAlign w:val="center"/>
                </w:tcPr>
                <w:p w14:paraId="151587B0">
                  <w:pPr>
                    <w:pStyle w:val="42"/>
                    <w:spacing w:before="31"/>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2977" w:type="dxa"/>
                  <w:tcBorders>
                    <w:tl2br w:val="nil"/>
                    <w:tr2bl w:val="nil"/>
                  </w:tcBorders>
                  <w:vAlign w:val="center"/>
                </w:tcPr>
                <w:p w14:paraId="760339D6">
                  <w:pPr>
                    <w:pStyle w:val="42"/>
                    <w:spacing w:before="31"/>
                    <w:rPr>
                      <w:rFonts w:ascii="Times New Roman" w:hAnsi="Times New Roman" w:eastAsia="宋体" w:cs="Times New Roman"/>
                      <w:b/>
                      <w:bCs/>
                      <w:color w:val="auto"/>
                    </w:rPr>
                  </w:pPr>
                  <w:r>
                    <w:rPr>
                      <w:rFonts w:ascii="Times New Roman" w:hAnsi="Times New Roman" w:eastAsia="宋体" w:cs="Times New Roman"/>
                      <w:b/>
                      <w:bCs/>
                      <w:color w:val="auto"/>
                    </w:rPr>
                    <w:t>无组织排放监控点浓度限值（mg/m</w:t>
                  </w:r>
                  <w:r>
                    <w:rPr>
                      <w:rFonts w:ascii="Times New Roman" w:hAnsi="Times New Roman" w:eastAsia="宋体" w:cs="Times New Roman"/>
                      <w:b/>
                      <w:bCs/>
                      <w:color w:val="auto"/>
                      <w:vertAlign w:val="superscript"/>
                    </w:rPr>
                    <w:t>3</w:t>
                  </w:r>
                  <w:r>
                    <w:rPr>
                      <w:rFonts w:ascii="Times New Roman" w:hAnsi="Times New Roman" w:eastAsia="宋体" w:cs="Times New Roman"/>
                      <w:b/>
                      <w:bCs/>
                      <w:color w:val="auto"/>
                    </w:rPr>
                    <w:t>）</w:t>
                  </w:r>
                </w:p>
              </w:tc>
              <w:tc>
                <w:tcPr>
                  <w:tcW w:w="2664" w:type="dxa"/>
                  <w:tcBorders>
                    <w:tl2br w:val="nil"/>
                    <w:tr2bl w:val="nil"/>
                  </w:tcBorders>
                  <w:vAlign w:val="center"/>
                </w:tcPr>
                <w:p w14:paraId="74CEAAD8">
                  <w:pPr>
                    <w:pStyle w:val="42"/>
                    <w:spacing w:before="31"/>
                    <w:rPr>
                      <w:rFonts w:ascii="Times New Roman" w:hAnsi="Times New Roman" w:eastAsia="宋体" w:cs="Times New Roman"/>
                      <w:b/>
                      <w:bCs/>
                      <w:color w:val="auto"/>
                    </w:rPr>
                  </w:pPr>
                  <w:r>
                    <w:rPr>
                      <w:rFonts w:ascii="Times New Roman" w:hAnsi="Times New Roman" w:eastAsia="宋体" w:cs="Times New Roman"/>
                      <w:b/>
                      <w:bCs/>
                      <w:color w:val="auto"/>
                    </w:rPr>
                    <w:t>执行标准</w:t>
                  </w:r>
                </w:p>
              </w:tc>
            </w:tr>
            <w:tr w14:paraId="049E7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1013" w:type="dxa"/>
                  <w:vMerge w:val="restart"/>
                  <w:tcBorders>
                    <w:tl2br w:val="nil"/>
                    <w:tr2bl w:val="nil"/>
                  </w:tcBorders>
                  <w:vAlign w:val="center"/>
                </w:tcPr>
                <w:p w14:paraId="54784DF5">
                  <w:pPr>
                    <w:pStyle w:val="42"/>
                    <w:spacing w:before="31"/>
                    <w:rPr>
                      <w:rFonts w:ascii="Times New Roman" w:hAnsi="Times New Roman" w:eastAsia="宋体" w:cs="Times New Roman"/>
                      <w:color w:val="auto"/>
                    </w:rPr>
                  </w:pPr>
                  <w:r>
                    <w:rPr>
                      <w:rFonts w:ascii="Times New Roman" w:hAnsi="Times New Roman" w:eastAsia="宋体" w:cs="Times New Roman"/>
                      <w:color w:val="auto"/>
                    </w:rPr>
                    <w:t>厂房外</w:t>
                  </w:r>
                </w:p>
              </w:tc>
              <w:tc>
                <w:tcPr>
                  <w:tcW w:w="1936" w:type="dxa"/>
                  <w:vMerge w:val="restart"/>
                  <w:tcBorders>
                    <w:tl2br w:val="nil"/>
                    <w:tr2bl w:val="nil"/>
                  </w:tcBorders>
                  <w:vAlign w:val="center"/>
                </w:tcPr>
                <w:p w14:paraId="26539229">
                  <w:pPr>
                    <w:pStyle w:val="42"/>
                    <w:spacing w:before="31"/>
                    <w:rPr>
                      <w:rFonts w:ascii="Times New Roman" w:hAnsi="Times New Roman" w:eastAsia="宋体" w:cs="Times New Roman"/>
                      <w:color w:val="auto"/>
                    </w:rPr>
                  </w:pPr>
                  <w:r>
                    <w:rPr>
                      <w:rFonts w:ascii="Times New Roman" w:hAnsi="Times New Roman" w:eastAsia="宋体" w:cs="Times New Roman"/>
                      <w:color w:val="auto"/>
                    </w:rPr>
                    <w:t>非甲烷总烃</w:t>
                  </w:r>
                </w:p>
              </w:tc>
              <w:tc>
                <w:tcPr>
                  <w:tcW w:w="2977" w:type="dxa"/>
                  <w:tcBorders>
                    <w:tl2br w:val="nil"/>
                    <w:tr2bl w:val="nil"/>
                  </w:tcBorders>
                  <w:vAlign w:val="center"/>
                </w:tcPr>
                <w:p w14:paraId="6F1B06C8">
                  <w:pPr>
                    <w:pStyle w:val="42"/>
                    <w:spacing w:before="31"/>
                    <w:rPr>
                      <w:rFonts w:ascii="Times New Roman" w:hAnsi="Times New Roman" w:eastAsia="宋体" w:cs="Times New Roman"/>
                      <w:color w:val="auto"/>
                    </w:rPr>
                  </w:pPr>
                  <w:r>
                    <w:rPr>
                      <w:rFonts w:ascii="Times New Roman" w:hAnsi="Times New Roman" w:eastAsia="宋体" w:cs="Times New Roman"/>
                      <w:color w:val="auto"/>
                    </w:rPr>
                    <w:t>6（监控点处1h平均浓度值）</w:t>
                  </w:r>
                </w:p>
              </w:tc>
              <w:tc>
                <w:tcPr>
                  <w:tcW w:w="2664" w:type="dxa"/>
                  <w:vMerge w:val="restart"/>
                  <w:tcBorders>
                    <w:tl2br w:val="nil"/>
                    <w:tr2bl w:val="nil"/>
                  </w:tcBorders>
                  <w:vAlign w:val="center"/>
                </w:tcPr>
                <w:p w14:paraId="7AE02954">
                  <w:pPr>
                    <w:pStyle w:val="42"/>
                    <w:spacing w:before="31"/>
                    <w:rPr>
                      <w:rFonts w:ascii="Times New Roman" w:hAnsi="Times New Roman" w:eastAsia="宋体" w:cs="Times New Roman"/>
                      <w:color w:val="auto"/>
                    </w:rPr>
                  </w:pPr>
                  <w:r>
                    <w:rPr>
                      <w:rFonts w:ascii="Times New Roman" w:hAnsi="Times New Roman" w:eastAsia="宋体" w:cs="Times New Roman"/>
                      <w:color w:val="auto"/>
                    </w:rPr>
                    <w:t>《挥发性有机物无组织排放控制标准》（GB37822-2019）</w:t>
                  </w:r>
                </w:p>
              </w:tc>
            </w:tr>
            <w:tr w14:paraId="2FE33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1013" w:type="dxa"/>
                  <w:vMerge w:val="continue"/>
                  <w:tcBorders>
                    <w:tl2br w:val="nil"/>
                    <w:tr2bl w:val="nil"/>
                  </w:tcBorders>
                  <w:vAlign w:val="center"/>
                </w:tcPr>
                <w:p w14:paraId="4DBB2213">
                  <w:pPr>
                    <w:pStyle w:val="42"/>
                    <w:spacing w:before="31"/>
                    <w:rPr>
                      <w:rFonts w:ascii="Times New Roman" w:hAnsi="Times New Roman" w:eastAsia="宋体" w:cs="Times New Roman"/>
                      <w:color w:val="auto"/>
                    </w:rPr>
                  </w:pPr>
                </w:p>
              </w:tc>
              <w:tc>
                <w:tcPr>
                  <w:tcW w:w="1936" w:type="dxa"/>
                  <w:vMerge w:val="continue"/>
                  <w:tcBorders>
                    <w:tl2br w:val="nil"/>
                    <w:tr2bl w:val="nil"/>
                  </w:tcBorders>
                  <w:vAlign w:val="center"/>
                </w:tcPr>
                <w:p w14:paraId="1F171476">
                  <w:pPr>
                    <w:pStyle w:val="42"/>
                    <w:spacing w:before="31"/>
                    <w:rPr>
                      <w:rFonts w:ascii="Times New Roman" w:hAnsi="Times New Roman" w:eastAsia="宋体" w:cs="Times New Roman"/>
                      <w:color w:val="auto"/>
                    </w:rPr>
                  </w:pPr>
                </w:p>
              </w:tc>
              <w:tc>
                <w:tcPr>
                  <w:tcW w:w="2977" w:type="dxa"/>
                  <w:tcBorders>
                    <w:tl2br w:val="nil"/>
                    <w:tr2bl w:val="nil"/>
                  </w:tcBorders>
                  <w:vAlign w:val="center"/>
                </w:tcPr>
                <w:p w14:paraId="5378B960">
                  <w:pPr>
                    <w:pStyle w:val="42"/>
                    <w:spacing w:before="31"/>
                    <w:rPr>
                      <w:rFonts w:ascii="Times New Roman" w:hAnsi="Times New Roman" w:eastAsia="宋体" w:cs="Times New Roman"/>
                      <w:color w:val="auto"/>
                    </w:rPr>
                  </w:pPr>
                  <w:r>
                    <w:rPr>
                      <w:rFonts w:ascii="Times New Roman" w:hAnsi="Times New Roman" w:eastAsia="宋体" w:cs="Times New Roman"/>
                      <w:color w:val="auto"/>
                    </w:rPr>
                    <w:t>20（监控点处任意一次浓度值）</w:t>
                  </w:r>
                </w:p>
              </w:tc>
              <w:tc>
                <w:tcPr>
                  <w:tcW w:w="2664" w:type="dxa"/>
                  <w:vMerge w:val="continue"/>
                  <w:tcBorders>
                    <w:tl2br w:val="nil"/>
                    <w:tr2bl w:val="nil"/>
                  </w:tcBorders>
                  <w:vAlign w:val="center"/>
                </w:tcPr>
                <w:p w14:paraId="596C6ECA">
                  <w:pPr>
                    <w:pStyle w:val="42"/>
                    <w:spacing w:before="31"/>
                    <w:rPr>
                      <w:rFonts w:ascii="Times New Roman" w:hAnsi="Times New Roman" w:eastAsia="宋体" w:cs="Times New Roman"/>
                      <w:color w:val="auto"/>
                    </w:rPr>
                  </w:pPr>
                </w:p>
              </w:tc>
            </w:tr>
            <w:tr w14:paraId="2BB88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13" w:type="dxa"/>
                  <w:vMerge w:val="restart"/>
                  <w:tcBorders>
                    <w:tl2br w:val="nil"/>
                    <w:tr2bl w:val="nil"/>
                  </w:tcBorders>
                  <w:vAlign w:val="center"/>
                </w:tcPr>
                <w:p w14:paraId="39BCCED3">
                  <w:pPr>
                    <w:pStyle w:val="42"/>
                    <w:spacing w:before="31"/>
                    <w:rPr>
                      <w:rFonts w:ascii="Times New Roman" w:hAnsi="Times New Roman" w:eastAsia="宋体" w:cs="Times New Roman"/>
                      <w:color w:val="auto"/>
                    </w:rPr>
                  </w:pPr>
                  <w:r>
                    <w:rPr>
                      <w:rFonts w:ascii="Times New Roman" w:hAnsi="Times New Roman" w:eastAsia="宋体" w:cs="Times New Roman"/>
                      <w:color w:val="auto"/>
                    </w:rPr>
                    <w:t>厂界</w:t>
                  </w:r>
                </w:p>
              </w:tc>
              <w:tc>
                <w:tcPr>
                  <w:tcW w:w="1936" w:type="dxa"/>
                  <w:tcBorders>
                    <w:tl2br w:val="nil"/>
                    <w:tr2bl w:val="nil"/>
                  </w:tcBorders>
                  <w:vAlign w:val="center"/>
                </w:tcPr>
                <w:p w14:paraId="1B573445">
                  <w:pPr>
                    <w:pStyle w:val="42"/>
                    <w:spacing w:before="31"/>
                    <w:rPr>
                      <w:rFonts w:ascii="Times New Roman" w:hAnsi="Times New Roman" w:eastAsia="宋体" w:cs="Times New Roman"/>
                      <w:color w:val="auto"/>
                    </w:rPr>
                  </w:pPr>
                  <w:r>
                    <w:rPr>
                      <w:rFonts w:ascii="Times New Roman" w:hAnsi="Times New Roman" w:eastAsia="宋体" w:cs="Times New Roman"/>
                      <w:color w:val="auto"/>
                    </w:rPr>
                    <w:t>颗粒物</w:t>
                  </w:r>
                </w:p>
              </w:tc>
              <w:tc>
                <w:tcPr>
                  <w:tcW w:w="2977" w:type="dxa"/>
                  <w:tcBorders>
                    <w:tl2br w:val="nil"/>
                    <w:tr2bl w:val="nil"/>
                  </w:tcBorders>
                  <w:vAlign w:val="center"/>
                </w:tcPr>
                <w:p w14:paraId="7B7CF6B5">
                  <w:pPr>
                    <w:pStyle w:val="42"/>
                    <w:spacing w:before="31"/>
                    <w:rPr>
                      <w:rFonts w:ascii="Times New Roman" w:hAnsi="Times New Roman" w:eastAsia="宋体" w:cs="Times New Roman"/>
                      <w:color w:val="auto"/>
                    </w:rPr>
                  </w:pPr>
                  <w:r>
                    <w:rPr>
                      <w:rFonts w:ascii="Times New Roman" w:hAnsi="Times New Roman" w:eastAsia="宋体" w:cs="Times New Roman"/>
                      <w:color w:val="auto"/>
                    </w:rPr>
                    <w:t>1.0</w:t>
                  </w:r>
                </w:p>
              </w:tc>
              <w:tc>
                <w:tcPr>
                  <w:tcW w:w="2664" w:type="dxa"/>
                  <w:vMerge w:val="restart"/>
                  <w:tcBorders>
                    <w:tl2br w:val="nil"/>
                    <w:tr2bl w:val="nil"/>
                  </w:tcBorders>
                  <w:vAlign w:val="center"/>
                </w:tcPr>
                <w:p w14:paraId="04116E13">
                  <w:pPr>
                    <w:pStyle w:val="42"/>
                    <w:spacing w:before="31"/>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《家具制造业大气污染物排放标准》（DB 50/757-2017）</w:t>
                  </w:r>
                </w:p>
              </w:tc>
            </w:tr>
            <w:tr w14:paraId="62C76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13" w:type="dxa"/>
                  <w:vMerge w:val="continue"/>
                  <w:tcBorders>
                    <w:tl2br w:val="nil"/>
                    <w:tr2bl w:val="nil"/>
                  </w:tcBorders>
                  <w:vAlign w:val="center"/>
                </w:tcPr>
                <w:p w14:paraId="04C08C10">
                  <w:pPr>
                    <w:pStyle w:val="42"/>
                    <w:spacing w:before="31"/>
                    <w:rPr>
                      <w:rFonts w:ascii="Times New Roman" w:hAnsi="Times New Roman" w:eastAsia="宋体" w:cs="Times New Roman"/>
                      <w:color w:val="auto"/>
                    </w:rPr>
                  </w:pPr>
                </w:p>
              </w:tc>
              <w:tc>
                <w:tcPr>
                  <w:tcW w:w="1936" w:type="dxa"/>
                  <w:tcBorders>
                    <w:tl2br w:val="nil"/>
                    <w:tr2bl w:val="nil"/>
                  </w:tcBorders>
                  <w:vAlign w:val="center"/>
                </w:tcPr>
                <w:p w14:paraId="69C9E434">
                  <w:pPr>
                    <w:pStyle w:val="42"/>
                    <w:spacing w:before="31"/>
                    <w:rPr>
                      <w:rFonts w:ascii="Times New Roman" w:hAnsi="Times New Roman" w:eastAsia="宋体" w:cs="Times New Roman"/>
                      <w:color w:val="auto"/>
                    </w:rPr>
                  </w:pPr>
                  <w:r>
                    <w:rPr>
                      <w:rFonts w:ascii="Times New Roman" w:hAnsi="Times New Roman" w:eastAsia="宋体" w:cs="Times New Roman"/>
                      <w:color w:val="auto"/>
                    </w:rPr>
                    <w:t>非甲烷总烃</w:t>
                  </w:r>
                </w:p>
              </w:tc>
              <w:tc>
                <w:tcPr>
                  <w:tcW w:w="2977" w:type="dxa"/>
                  <w:tcBorders>
                    <w:tl2br w:val="nil"/>
                    <w:tr2bl w:val="nil"/>
                  </w:tcBorders>
                  <w:vAlign w:val="center"/>
                </w:tcPr>
                <w:p w14:paraId="0144870C">
                  <w:pPr>
                    <w:pStyle w:val="42"/>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w:t>
                  </w:r>
                </w:p>
              </w:tc>
              <w:tc>
                <w:tcPr>
                  <w:tcW w:w="2664" w:type="dxa"/>
                  <w:vMerge w:val="continue"/>
                  <w:tcBorders>
                    <w:tl2br w:val="nil"/>
                    <w:tr2bl w:val="nil"/>
                  </w:tcBorders>
                  <w:vAlign w:val="center"/>
                </w:tcPr>
                <w:p w14:paraId="3CFD76E8">
                  <w:pPr>
                    <w:pStyle w:val="42"/>
                    <w:spacing w:before="31"/>
                    <w:rPr>
                      <w:rFonts w:ascii="Times New Roman" w:hAnsi="Times New Roman" w:eastAsia="宋体" w:cs="Times New Roman"/>
                      <w:color w:val="auto"/>
                    </w:rPr>
                  </w:pPr>
                </w:p>
              </w:tc>
            </w:tr>
            <w:tr w14:paraId="0E557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13" w:type="dxa"/>
                  <w:vMerge w:val="continue"/>
                  <w:tcBorders>
                    <w:tl2br w:val="nil"/>
                    <w:tr2bl w:val="nil"/>
                  </w:tcBorders>
                  <w:vAlign w:val="center"/>
                </w:tcPr>
                <w:p w14:paraId="15C9409C">
                  <w:pPr>
                    <w:pStyle w:val="42"/>
                    <w:spacing w:before="31"/>
                    <w:rPr>
                      <w:rFonts w:ascii="Times New Roman" w:hAnsi="Times New Roman" w:eastAsia="宋体" w:cs="Times New Roman"/>
                      <w:color w:val="auto"/>
                    </w:rPr>
                  </w:pPr>
                </w:p>
              </w:tc>
              <w:tc>
                <w:tcPr>
                  <w:tcW w:w="1936" w:type="dxa"/>
                  <w:tcBorders>
                    <w:tl2br w:val="nil"/>
                    <w:tr2bl w:val="nil"/>
                  </w:tcBorders>
                  <w:vAlign w:val="center"/>
                </w:tcPr>
                <w:p w14:paraId="1311814E">
                  <w:pPr>
                    <w:pStyle w:val="42"/>
                    <w:spacing w:before="31"/>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甲醛</w:t>
                  </w:r>
                </w:p>
              </w:tc>
              <w:tc>
                <w:tcPr>
                  <w:tcW w:w="2977" w:type="dxa"/>
                  <w:tcBorders>
                    <w:tl2br w:val="nil"/>
                    <w:tr2bl w:val="nil"/>
                  </w:tcBorders>
                  <w:vAlign w:val="center"/>
                </w:tcPr>
                <w:p w14:paraId="40CE2F8A">
                  <w:pPr>
                    <w:pStyle w:val="42"/>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w:t>
                  </w:r>
                </w:p>
              </w:tc>
              <w:tc>
                <w:tcPr>
                  <w:tcW w:w="2664" w:type="dxa"/>
                  <w:vMerge w:val="continue"/>
                  <w:tcBorders>
                    <w:tl2br w:val="nil"/>
                    <w:tr2bl w:val="nil"/>
                  </w:tcBorders>
                  <w:vAlign w:val="center"/>
                </w:tcPr>
                <w:p w14:paraId="47AFB6C9">
                  <w:pPr>
                    <w:pStyle w:val="42"/>
                    <w:spacing w:before="31"/>
                    <w:rPr>
                      <w:rFonts w:ascii="Times New Roman" w:hAnsi="Times New Roman" w:eastAsia="宋体" w:cs="Times New Roman"/>
                      <w:color w:val="auto"/>
                    </w:rPr>
                  </w:pPr>
                </w:p>
              </w:tc>
            </w:tr>
          </w:tbl>
          <w:p w14:paraId="16E69173">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rPr>
              <w:t>2水污染物排放标准</w:t>
            </w:r>
          </w:p>
          <w:p w14:paraId="2666980F">
            <w:pPr>
              <w:pStyle w:val="22"/>
              <w:spacing w:before="0" w:beforeAutospacing="0" w:after="0" w:afterAutospacing="0" w:line="368"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项目运营期无工艺废水排放，地面清洁采用清扫方式清洁，员工办公生活产生的污水</w:t>
            </w:r>
            <w:r>
              <w:rPr>
                <w:rFonts w:hint="eastAsia" w:ascii="Times New Roman" w:hAnsi="Times New Roman" w:cs="宋体"/>
                <w:color w:val="auto"/>
                <w:szCs w:val="24"/>
                <w:lang w:eastAsia="zh-CN"/>
              </w:rPr>
              <w:t>盛德佳公司</w:t>
            </w:r>
            <w:r>
              <w:rPr>
                <w:rFonts w:hint="eastAsia" w:ascii="Times New Roman" w:hAnsi="Times New Roman" w:cs="宋体"/>
                <w:color w:val="auto"/>
                <w:szCs w:val="24"/>
              </w:rPr>
              <w:t>现有生化池预处理达《污水综合排放标准》（</w:t>
            </w:r>
            <w:r>
              <w:rPr>
                <w:rFonts w:ascii="Times New Roman" w:hAnsi="Times New Roman" w:cs="宋体"/>
                <w:color w:val="auto"/>
                <w:szCs w:val="24"/>
              </w:rPr>
              <w:t>GB8978-1996</w:t>
            </w:r>
            <w:r>
              <w:rPr>
                <w:rFonts w:hint="eastAsia" w:ascii="Times New Roman" w:hAnsi="Times New Roman" w:cs="宋体"/>
                <w:color w:val="auto"/>
                <w:szCs w:val="24"/>
              </w:rPr>
              <w:t>）三级标准后，再经市政污水管网进入西彭园区污水处理厂处理达标后排入桥头河，再汇入长江。</w:t>
            </w:r>
          </w:p>
          <w:p w14:paraId="48E44287">
            <w:pPr>
              <w:pStyle w:val="22"/>
              <w:spacing w:before="0" w:beforeAutospacing="0" w:after="0" w:afterAutospacing="0" w:line="368" w:lineRule="auto"/>
              <w:ind w:firstLine="480" w:firstLineChars="200"/>
              <w:jc w:val="both"/>
              <w:rPr>
                <w:rFonts w:ascii="Times New Roman" w:hAnsi="Times New Roman" w:cs="宋体"/>
                <w:color w:val="auto"/>
                <w:sz w:val="24"/>
                <w:szCs w:val="24"/>
              </w:rPr>
            </w:pPr>
            <w:r>
              <w:rPr>
                <w:rFonts w:hint="eastAsia" w:ascii="Times New Roman" w:hAnsi="Times New Roman" w:cs="宋体"/>
                <w:color w:val="auto"/>
                <w:szCs w:val="24"/>
              </w:rPr>
              <w:t>西彭工业园区污水处理厂处理能力达到15000m</w:t>
            </w:r>
            <w:r>
              <w:rPr>
                <w:rFonts w:hint="eastAsia" w:ascii="Times New Roman" w:hAnsi="Times New Roman" w:cs="宋体"/>
                <w:color w:val="auto"/>
                <w:szCs w:val="24"/>
                <w:vertAlign w:val="superscript"/>
              </w:rPr>
              <w:t>3</w:t>
            </w:r>
            <w:r>
              <w:rPr>
                <w:rFonts w:hint="eastAsia" w:ascii="Times New Roman" w:hAnsi="Times New Roman" w:cs="宋体"/>
                <w:color w:val="auto"/>
                <w:szCs w:val="24"/>
              </w:rPr>
              <w:t>/d，排放标准提高到《城镇污水处理厂污染物排放标准》（GB18918-2002）一级A标</w:t>
            </w:r>
            <w:r>
              <w:rPr>
                <w:rFonts w:hint="eastAsia" w:ascii="Times New Roman" w:hAnsi="Times New Roman" w:cs="宋体"/>
                <w:color w:val="auto"/>
                <w:sz w:val="24"/>
                <w:szCs w:val="24"/>
              </w:rPr>
              <w:t>准，其中COD、NH</w:t>
            </w:r>
            <w:r>
              <w:rPr>
                <w:rFonts w:hint="eastAsia" w:ascii="Times New Roman" w:hAnsi="Times New Roman" w:cs="宋体"/>
                <w:color w:val="auto"/>
                <w:sz w:val="24"/>
                <w:szCs w:val="24"/>
                <w:vertAlign w:val="subscript"/>
              </w:rPr>
              <w:t>3</w:t>
            </w:r>
            <w:r>
              <w:rPr>
                <w:rFonts w:hint="eastAsia" w:ascii="Times New Roman" w:hAnsi="Times New Roman" w:cs="宋体"/>
                <w:color w:val="auto"/>
                <w:sz w:val="24"/>
                <w:szCs w:val="24"/>
              </w:rPr>
              <w:t>-N提高到《地表水环境质量标准》（GB3838-2002）</w:t>
            </w:r>
            <w:r>
              <w:rPr>
                <w:rFonts w:hint="eastAsia" w:ascii="Times New Roman" w:hAnsi="Times New Roman" w:cs="宋体"/>
                <w:color w:val="auto"/>
                <w:sz w:val="24"/>
                <w:szCs w:val="24"/>
                <w:lang w:eastAsia="zh-CN"/>
              </w:rPr>
              <w:t>Ⅳ类</w:t>
            </w:r>
            <w:r>
              <w:rPr>
                <w:rFonts w:hint="eastAsia" w:ascii="Times New Roman" w:hAnsi="Times New Roman" w:cs="宋体"/>
                <w:color w:val="auto"/>
                <w:sz w:val="24"/>
                <w:szCs w:val="24"/>
              </w:rPr>
              <w:t>标准。</w:t>
            </w:r>
          </w:p>
          <w:p w14:paraId="77D90F07">
            <w:pPr>
              <w:pStyle w:val="22"/>
              <w:spacing w:before="0" w:beforeAutospacing="0" w:after="0" w:afterAutospacing="0" w:line="368"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本项目排入水环境标准近期执行《污水综合排放标准》（GB8978-1996）一级标准，远期执行《城镇污水处理厂污染物排放标准》（GB18918-2002）一级A标准（其中COD、NH</w:t>
            </w:r>
            <w:r>
              <w:rPr>
                <w:rFonts w:hint="eastAsia" w:ascii="Times New Roman" w:hAnsi="Times New Roman" w:cs="宋体"/>
                <w:color w:val="auto"/>
                <w:szCs w:val="24"/>
                <w:vertAlign w:val="subscript"/>
              </w:rPr>
              <w:t>3</w:t>
            </w:r>
            <w:r>
              <w:rPr>
                <w:rFonts w:hint="eastAsia" w:ascii="Times New Roman" w:hAnsi="Times New Roman" w:cs="宋体"/>
                <w:color w:val="auto"/>
                <w:szCs w:val="24"/>
              </w:rPr>
              <w:t>-N执行《地表水环境质量标准》（GB3838-2002）IV类标准）。</w:t>
            </w:r>
          </w:p>
          <w:p w14:paraId="5D228583">
            <w:pPr>
              <w:pStyle w:val="22"/>
              <w:spacing w:before="0" w:beforeAutospacing="0" w:after="0" w:afterAutospacing="0" w:line="368"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执行标准限值详见表3-</w:t>
            </w:r>
            <w:r>
              <w:rPr>
                <w:rFonts w:hint="eastAsia" w:ascii="Times New Roman" w:hAnsi="Times New Roman" w:cs="宋体"/>
                <w:color w:val="auto"/>
                <w:szCs w:val="24"/>
                <w:lang w:val="en-US" w:eastAsia="zh-CN"/>
              </w:rPr>
              <w:t>9</w:t>
            </w:r>
            <w:r>
              <w:rPr>
                <w:rFonts w:hint="eastAsia" w:ascii="Times New Roman" w:hAnsi="Times New Roman" w:cs="宋体"/>
                <w:color w:val="auto"/>
                <w:szCs w:val="24"/>
              </w:rPr>
              <w:t>。</w:t>
            </w:r>
          </w:p>
          <w:p w14:paraId="4CC93634">
            <w:pPr>
              <w:pStyle w:val="22"/>
              <w:spacing w:before="0" w:beforeAutospacing="0" w:after="0" w:afterAutospacing="0" w:line="360" w:lineRule="auto"/>
              <w:jc w:val="center"/>
              <w:rPr>
                <w:rFonts w:ascii="Times New Roman" w:hAnsi="Times New Roman" w:eastAsia="宋体" w:cs="Times New Roman"/>
                <w:color w:val="auto"/>
                <w:szCs w:val="24"/>
              </w:rPr>
            </w:pPr>
          </w:p>
          <w:p w14:paraId="63A1432C">
            <w:pPr>
              <w:pStyle w:val="22"/>
              <w:spacing w:before="0" w:beforeAutospacing="0" w:after="0" w:afterAutospacing="0" w:line="360" w:lineRule="auto"/>
              <w:jc w:val="center"/>
              <w:rPr>
                <w:rFonts w:ascii="Times New Roman" w:hAnsi="Times New Roman" w:eastAsia="宋体" w:cs="Times New Roman"/>
                <w:color w:val="auto"/>
                <w:szCs w:val="24"/>
              </w:rPr>
            </w:pPr>
          </w:p>
          <w:p w14:paraId="3FE059AB">
            <w:pPr>
              <w:pStyle w:val="22"/>
              <w:spacing w:before="0" w:beforeAutospacing="0" w:after="0" w:afterAutospacing="0" w:line="360" w:lineRule="auto"/>
              <w:jc w:val="center"/>
              <w:rPr>
                <w:rFonts w:ascii="Times New Roman" w:hAnsi="Times New Roman" w:eastAsia="宋体" w:cs="Times New Roman"/>
                <w:color w:val="auto"/>
                <w:szCs w:val="24"/>
              </w:rPr>
            </w:pPr>
          </w:p>
          <w:p w14:paraId="1068EA1B">
            <w:pPr>
              <w:pStyle w:val="22"/>
              <w:spacing w:before="0" w:beforeAutospacing="0" w:after="0" w:afterAutospacing="0"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表3-</w:t>
            </w:r>
            <w:r>
              <w:rPr>
                <w:rFonts w:hint="eastAsia" w:ascii="Times New Roman" w:hAnsi="Times New Roman" w:eastAsia="宋体" w:cs="Times New Roman"/>
                <w:color w:val="auto"/>
                <w:szCs w:val="24"/>
                <w:lang w:val="en-US" w:eastAsia="zh-CN"/>
              </w:rPr>
              <w:t>9</w:t>
            </w:r>
            <w:r>
              <w:rPr>
                <w:rFonts w:ascii="Times New Roman" w:hAnsi="Times New Roman" w:eastAsia="宋体" w:cs="Times New Roman"/>
                <w:color w:val="auto"/>
                <w:szCs w:val="24"/>
              </w:rPr>
              <w:t xml:space="preserve">  项目污水排放标准限值 单位：mg/L</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972"/>
              <w:gridCol w:w="1014"/>
              <w:gridCol w:w="1190"/>
              <w:gridCol w:w="1190"/>
              <w:gridCol w:w="1190"/>
              <w:gridCol w:w="1218"/>
            </w:tblGrid>
            <w:tr w14:paraId="7ADE6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694" w:type="pct"/>
                  <w:tcBorders>
                    <w:tl2br w:val="nil"/>
                    <w:tr2bl w:val="nil"/>
                  </w:tcBorders>
                  <w:vAlign w:val="center"/>
                </w:tcPr>
                <w:p w14:paraId="23E9B66C">
                  <w:pPr>
                    <w:widowControl/>
                    <w:spacing w:before="71" w:beforeLines="23" w:after="71" w:afterLines="23" w:line="300" w:lineRule="auto"/>
                    <w:jc w:val="center"/>
                    <w:rPr>
                      <w:rFonts w:ascii="Times New Roman" w:hAnsi="Times New Roman" w:eastAsia="宋体" w:cs="宋体"/>
                      <w:b/>
                      <w:bCs/>
                      <w:color w:val="auto"/>
                      <w:kern w:val="0"/>
                      <w:szCs w:val="21"/>
                    </w:rPr>
                  </w:pPr>
                  <w:r>
                    <w:rPr>
                      <w:rFonts w:hint="eastAsia" w:ascii="Times New Roman" w:hAnsi="Times New Roman" w:eastAsia="宋体" w:cs="Times New Roman"/>
                      <w:b/>
                      <w:bCs/>
                      <w:color w:val="auto"/>
                      <w:kern w:val="0"/>
                      <w:szCs w:val="21"/>
                      <w:lang w:bidi="ar"/>
                    </w:rPr>
                    <w:t>污染物名称</w:t>
                  </w:r>
                </w:p>
              </w:tc>
              <w:tc>
                <w:tcPr>
                  <w:tcW w:w="578" w:type="pct"/>
                  <w:tcBorders>
                    <w:tl2br w:val="nil"/>
                    <w:tr2bl w:val="nil"/>
                  </w:tcBorders>
                  <w:vAlign w:val="center"/>
                </w:tcPr>
                <w:p w14:paraId="580811F1">
                  <w:pPr>
                    <w:widowControl/>
                    <w:spacing w:before="71" w:beforeLines="23" w:after="71" w:afterLines="23" w:line="300" w:lineRule="auto"/>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pH</w:t>
                  </w:r>
                </w:p>
              </w:tc>
              <w:tc>
                <w:tcPr>
                  <w:tcW w:w="678" w:type="pct"/>
                  <w:tcBorders>
                    <w:tl2br w:val="nil"/>
                    <w:tr2bl w:val="nil"/>
                  </w:tcBorders>
                  <w:vAlign w:val="center"/>
                </w:tcPr>
                <w:p w14:paraId="48A53A0B">
                  <w:pPr>
                    <w:widowControl/>
                    <w:spacing w:before="71" w:beforeLines="23" w:after="71" w:afterLines="23" w:line="300" w:lineRule="auto"/>
                    <w:jc w:val="center"/>
                    <w:rPr>
                      <w:rFonts w:ascii="Times New Roman" w:hAnsi="Times New Roman" w:eastAsia="宋体" w:cs="宋体"/>
                      <w:b/>
                      <w:bCs/>
                      <w:color w:val="auto"/>
                      <w:szCs w:val="21"/>
                    </w:rPr>
                  </w:pPr>
                  <w:r>
                    <w:rPr>
                      <w:rFonts w:ascii="Times New Roman" w:hAnsi="Times New Roman" w:eastAsia="宋体" w:cs="Times New Roman"/>
                      <w:b/>
                      <w:bCs/>
                      <w:color w:val="auto"/>
                      <w:kern w:val="0"/>
                      <w:szCs w:val="21"/>
                      <w:lang w:bidi="ar"/>
                    </w:rPr>
                    <w:t>COD</w:t>
                  </w:r>
                </w:p>
              </w:tc>
              <w:tc>
                <w:tcPr>
                  <w:tcW w:w="678" w:type="pct"/>
                  <w:tcBorders>
                    <w:tl2br w:val="nil"/>
                    <w:tr2bl w:val="nil"/>
                  </w:tcBorders>
                  <w:vAlign w:val="center"/>
                </w:tcPr>
                <w:p w14:paraId="05B09CA1">
                  <w:pPr>
                    <w:widowControl/>
                    <w:spacing w:before="71" w:beforeLines="23" w:after="71" w:afterLines="23" w:line="300" w:lineRule="auto"/>
                    <w:jc w:val="center"/>
                    <w:rPr>
                      <w:rFonts w:ascii="Times New Roman" w:hAnsi="Times New Roman" w:eastAsia="宋体" w:cs="宋体"/>
                      <w:b/>
                      <w:bCs/>
                      <w:color w:val="auto"/>
                      <w:szCs w:val="21"/>
                    </w:rPr>
                  </w:pPr>
                  <w:r>
                    <w:rPr>
                      <w:rFonts w:ascii="Times New Roman" w:hAnsi="Times New Roman" w:eastAsia="宋体" w:cs="Times New Roman"/>
                      <w:b/>
                      <w:bCs/>
                      <w:color w:val="auto"/>
                      <w:kern w:val="0"/>
                      <w:szCs w:val="21"/>
                      <w:lang w:bidi="ar"/>
                    </w:rPr>
                    <w:t>BOD</w:t>
                  </w:r>
                  <w:r>
                    <w:rPr>
                      <w:rFonts w:ascii="Times New Roman" w:hAnsi="Times New Roman" w:eastAsia="宋体" w:cs="Times New Roman"/>
                      <w:b/>
                      <w:bCs/>
                      <w:color w:val="auto"/>
                      <w:kern w:val="0"/>
                      <w:szCs w:val="21"/>
                      <w:vertAlign w:val="subscript"/>
                      <w:lang w:bidi="ar"/>
                    </w:rPr>
                    <w:t>5</w:t>
                  </w:r>
                </w:p>
              </w:tc>
              <w:tc>
                <w:tcPr>
                  <w:tcW w:w="678" w:type="pct"/>
                  <w:tcBorders>
                    <w:tl2br w:val="nil"/>
                    <w:tr2bl w:val="nil"/>
                  </w:tcBorders>
                  <w:vAlign w:val="center"/>
                </w:tcPr>
                <w:p w14:paraId="63757DCA">
                  <w:pPr>
                    <w:widowControl/>
                    <w:spacing w:before="71" w:beforeLines="23" w:after="71" w:afterLines="23" w:line="300" w:lineRule="auto"/>
                    <w:jc w:val="center"/>
                    <w:rPr>
                      <w:rFonts w:ascii="Times New Roman" w:hAnsi="Times New Roman" w:eastAsia="宋体" w:cs="宋体"/>
                      <w:b/>
                      <w:bCs/>
                      <w:color w:val="auto"/>
                      <w:szCs w:val="21"/>
                    </w:rPr>
                  </w:pPr>
                  <w:r>
                    <w:rPr>
                      <w:rFonts w:ascii="Times New Roman" w:hAnsi="Times New Roman" w:eastAsia="宋体" w:cs="Times New Roman"/>
                      <w:b/>
                      <w:bCs/>
                      <w:color w:val="auto"/>
                      <w:kern w:val="0"/>
                      <w:szCs w:val="21"/>
                      <w:lang w:bidi="ar"/>
                    </w:rPr>
                    <w:t>SS</w:t>
                  </w:r>
                </w:p>
              </w:tc>
              <w:tc>
                <w:tcPr>
                  <w:tcW w:w="692" w:type="pct"/>
                  <w:tcBorders>
                    <w:tl2br w:val="nil"/>
                    <w:tr2bl w:val="nil"/>
                  </w:tcBorders>
                  <w:vAlign w:val="center"/>
                </w:tcPr>
                <w:p w14:paraId="2D679C27">
                  <w:pPr>
                    <w:widowControl/>
                    <w:spacing w:before="71" w:beforeLines="23" w:after="71" w:afterLines="23" w:line="300" w:lineRule="auto"/>
                    <w:jc w:val="center"/>
                    <w:rPr>
                      <w:rFonts w:ascii="Times New Roman" w:hAnsi="Times New Roman" w:eastAsia="宋体" w:cs="宋体"/>
                      <w:b/>
                      <w:bCs/>
                      <w:color w:val="auto"/>
                      <w:szCs w:val="21"/>
                    </w:rPr>
                  </w:pPr>
                  <w:r>
                    <w:rPr>
                      <w:rFonts w:ascii="Times New Roman" w:hAnsi="Times New Roman" w:eastAsia="宋体" w:cs="Times New Roman"/>
                      <w:b/>
                      <w:bCs/>
                      <w:color w:val="auto"/>
                      <w:kern w:val="0"/>
                      <w:szCs w:val="21"/>
                      <w:lang w:bidi="ar"/>
                    </w:rPr>
                    <w:t>NH</w:t>
                  </w:r>
                  <w:r>
                    <w:rPr>
                      <w:rFonts w:ascii="Times New Roman" w:hAnsi="Times New Roman" w:eastAsia="宋体" w:cs="Times New Roman"/>
                      <w:b/>
                      <w:bCs/>
                      <w:color w:val="auto"/>
                      <w:kern w:val="0"/>
                      <w:szCs w:val="21"/>
                      <w:vertAlign w:val="subscript"/>
                      <w:lang w:bidi="ar"/>
                    </w:rPr>
                    <w:t>3</w:t>
                  </w:r>
                  <w:r>
                    <w:rPr>
                      <w:rFonts w:ascii="Times New Roman" w:hAnsi="Times New Roman" w:eastAsia="宋体" w:cs="Times New Roman"/>
                      <w:b/>
                      <w:bCs/>
                      <w:color w:val="auto"/>
                      <w:kern w:val="0"/>
                      <w:szCs w:val="21"/>
                      <w:lang w:bidi="ar"/>
                    </w:rPr>
                    <w:t>-N</w:t>
                  </w:r>
                </w:p>
              </w:tc>
            </w:tr>
            <w:tr w14:paraId="396E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1694" w:type="pct"/>
                  <w:tcBorders>
                    <w:tl2br w:val="nil"/>
                    <w:tr2bl w:val="nil"/>
                  </w:tcBorders>
                  <w:vAlign w:val="center"/>
                </w:tcPr>
                <w:p w14:paraId="40619D8B">
                  <w:pPr>
                    <w:widowControl/>
                    <w:spacing w:before="71" w:beforeLines="23" w:after="71" w:afterLines="23" w:line="300" w:lineRule="auto"/>
                    <w:jc w:val="center"/>
                    <w:rPr>
                      <w:rFonts w:ascii="Times New Roman" w:hAnsi="Times New Roman" w:eastAsia="宋体" w:cs="Times New Roman"/>
                      <w:b/>
                      <w:bCs/>
                      <w:color w:val="auto"/>
                      <w:kern w:val="0"/>
                      <w:szCs w:val="21"/>
                      <w:lang w:bidi="ar"/>
                    </w:rPr>
                  </w:pPr>
                  <w:r>
                    <w:rPr>
                      <w:rFonts w:hint="eastAsia" w:ascii="Times New Roman" w:hAnsi="Times New Roman" w:eastAsia="宋体" w:cs="宋体"/>
                      <w:color w:val="auto"/>
                      <w:kern w:val="0"/>
                      <w:szCs w:val="21"/>
                      <w:lang w:bidi="ar"/>
                    </w:rPr>
                    <w:t>（</w:t>
                  </w:r>
                  <w:r>
                    <w:rPr>
                      <w:rFonts w:ascii="Times New Roman" w:hAnsi="Times New Roman" w:eastAsia="宋体" w:cs="Times New Roman"/>
                      <w:color w:val="auto"/>
                      <w:kern w:val="0"/>
                      <w:szCs w:val="21"/>
                      <w:lang w:bidi="ar"/>
                    </w:rPr>
                    <w:t>GB</w:t>
                  </w:r>
                  <w:r>
                    <w:rPr>
                      <w:rFonts w:hint="eastAsia" w:ascii="Times New Roman" w:hAnsi="Times New Roman" w:eastAsia="宋体" w:cs="Times New Roman"/>
                      <w:color w:val="auto"/>
                      <w:kern w:val="0"/>
                      <w:szCs w:val="21"/>
                      <w:lang w:bidi="ar"/>
                    </w:rPr>
                    <w:t xml:space="preserve"> </w:t>
                  </w:r>
                  <w:r>
                    <w:rPr>
                      <w:rFonts w:ascii="Times New Roman" w:hAnsi="Times New Roman" w:eastAsia="宋体" w:cs="Times New Roman"/>
                      <w:color w:val="auto"/>
                      <w:kern w:val="0"/>
                      <w:szCs w:val="21"/>
                      <w:lang w:bidi="ar"/>
                    </w:rPr>
                    <w:t>8978-1996</w:t>
                  </w:r>
                  <w:r>
                    <w:rPr>
                      <w:rFonts w:hint="eastAsia" w:ascii="Times New Roman" w:hAnsi="Times New Roman" w:eastAsia="宋体" w:cs="宋体"/>
                      <w:color w:val="auto"/>
                      <w:kern w:val="0"/>
                      <w:szCs w:val="21"/>
                      <w:lang w:bidi="ar"/>
                    </w:rPr>
                    <w:t>）三级标准</w:t>
                  </w:r>
                </w:p>
              </w:tc>
              <w:tc>
                <w:tcPr>
                  <w:tcW w:w="578" w:type="pct"/>
                  <w:tcBorders>
                    <w:tl2br w:val="nil"/>
                    <w:tr2bl w:val="nil"/>
                  </w:tcBorders>
                  <w:vAlign w:val="center"/>
                </w:tcPr>
                <w:p w14:paraId="7BE5C2B9">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6-9</w:t>
                  </w:r>
                </w:p>
              </w:tc>
              <w:tc>
                <w:tcPr>
                  <w:tcW w:w="678" w:type="pct"/>
                  <w:tcBorders>
                    <w:tl2br w:val="nil"/>
                    <w:tr2bl w:val="nil"/>
                  </w:tcBorders>
                  <w:vAlign w:val="center"/>
                </w:tcPr>
                <w:p w14:paraId="386C1C42">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500</w:t>
                  </w:r>
                </w:p>
              </w:tc>
              <w:tc>
                <w:tcPr>
                  <w:tcW w:w="678" w:type="pct"/>
                  <w:tcBorders>
                    <w:tl2br w:val="nil"/>
                    <w:tr2bl w:val="nil"/>
                  </w:tcBorders>
                  <w:vAlign w:val="center"/>
                </w:tcPr>
                <w:p w14:paraId="2684DCEE">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300</w:t>
                  </w:r>
                </w:p>
              </w:tc>
              <w:tc>
                <w:tcPr>
                  <w:tcW w:w="678" w:type="pct"/>
                  <w:tcBorders>
                    <w:tl2br w:val="nil"/>
                    <w:tr2bl w:val="nil"/>
                  </w:tcBorders>
                  <w:vAlign w:val="center"/>
                </w:tcPr>
                <w:p w14:paraId="521C5ED7">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400</w:t>
                  </w:r>
                </w:p>
              </w:tc>
              <w:tc>
                <w:tcPr>
                  <w:tcW w:w="692" w:type="pct"/>
                  <w:tcBorders>
                    <w:tl2br w:val="nil"/>
                    <w:tr2bl w:val="nil"/>
                  </w:tcBorders>
                  <w:vAlign w:val="center"/>
                </w:tcPr>
                <w:p w14:paraId="256F49C8">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45*</w:t>
                  </w:r>
                </w:p>
              </w:tc>
            </w:tr>
            <w:tr w14:paraId="3AFD1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vAlign w:val="center"/>
                </w:tcPr>
                <w:p w14:paraId="537995DC">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（GB 8978-1996）</w:t>
                  </w:r>
                  <w:r>
                    <w:rPr>
                      <w:rFonts w:hint="eastAsia" w:ascii="Times New Roman" w:hAnsi="Times New Roman" w:eastAsia="宋体" w:cs="Times New Roman"/>
                      <w:color w:val="auto"/>
                      <w:kern w:val="0"/>
                      <w:szCs w:val="21"/>
                      <w:lang w:bidi="ar"/>
                    </w:rPr>
                    <w:t>一</w:t>
                  </w:r>
                  <w:r>
                    <w:rPr>
                      <w:rFonts w:ascii="Times New Roman" w:hAnsi="Times New Roman" w:eastAsia="宋体" w:cs="Times New Roman"/>
                      <w:color w:val="auto"/>
                      <w:kern w:val="0"/>
                      <w:szCs w:val="21"/>
                      <w:lang w:bidi="ar"/>
                    </w:rPr>
                    <w:t>级标准</w:t>
                  </w:r>
                </w:p>
              </w:tc>
              <w:tc>
                <w:tcPr>
                  <w:tcW w:w="578" w:type="pct"/>
                  <w:tcBorders>
                    <w:tl2br w:val="nil"/>
                    <w:tr2bl w:val="nil"/>
                  </w:tcBorders>
                  <w:vAlign w:val="center"/>
                </w:tcPr>
                <w:p w14:paraId="7A76F395">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6-9</w:t>
                  </w:r>
                </w:p>
              </w:tc>
              <w:tc>
                <w:tcPr>
                  <w:tcW w:w="678" w:type="pct"/>
                  <w:tcBorders>
                    <w:tl2br w:val="nil"/>
                    <w:tr2bl w:val="nil"/>
                  </w:tcBorders>
                  <w:vAlign w:val="center"/>
                </w:tcPr>
                <w:p w14:paraId="406B9317">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100</w:t>
                  </w:r>
                </w:p>
              </w:tc>
              <w:tc>
                <w:tcPr>
                  <w:tcW w:w="678" w:type="pct"/>
                  <w:tcBorders>
                    <w:tl2br w:val="nil"/>
                    <w:tr2bl w:val="nil"/>
                  </w:tcBorders>
                  <w:vAlign w:val="center"/>
                </w:tcPr>
                <w:p w14:paraId="79F6ABD9">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30</w:t>
                  </w:r>
                </w:p>
              </w:tc>
              <w:tc>
                <w:tcPr>
                  <w:tcW w:w="678" w:type="pct"/>
                  <w:tcBorders>
                    <w:tl2br w:val="nil"/>
                    <w:tr2bl w:val="nil"/>
                  </w:tcBorders>
                  <w:vAlign w:val="center"/>
                </w:tcPr>
                <w:p w14:paraId="072BA383">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70</w:t>
                  </w:r>
                </w:p>
              </w:tc>
              <w:tc>
                <w:tcPr>
                  <w:tcW w:w="692" w:type="pct"/>
                  <w:tcBorders>
                    <w:tl2br w:val="nil"/>
                    <w:tr2bl w:val="nil"/>
                  </w:tcBorders>
                  <w:vAlign w:val="center"/>
                </w:tcPr>
                <w:p w14:paraId="302C9FD9">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15</w:t>
                  </w:r>
                </w:p>
              </w:tc>
            </w:tr>
            <w:tr w14:paraId="30F32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vAlign w:val="center"/>
                </w:tcPr>
                <w:p w14:paraId="1A83465C">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宋体"/>
                      <w:color w:val="auto"/>
                      <w:kern w:val="0"/>
                      <w:szCs w:val="21"/>
                      <w:lang w:bidi="ar"/>
                    </w:rPr>
                    <w:t>（GB18918-2002）一级A标准</w:t>
                  </w:r>
                </w:p>
              </w:tc>
              <w:tc>
                <w:tcPr>
                  <w:tcW w:w="578" w:type="pct"/>
                  <w:tcBorders>
                    <w:tl2br w:val="nil"/>
                    <w:tr2bl w:val="nil"/>
                  </w:tcBorders>
                  <w:vAlign w:val="center"/>
                </w:tcPr>
                <w:p w14:paraId="392EF577">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6~9</w:t>
                  </w:r>
                </w:p>
              </w:tc>
              <w:tc>
                <w:tcPr>
                  <w:tcW w:w="678" w:type="pct"/>
                  <w:tcBorders>
                    <w:tl2br w:val="nil"/>
                    <w:tr2bl w:val="nil"/>
                  </w:tcBorders>
                  <w:vAlign w:val="center"/>
                </w:tcPr>
                <w:p w14:paraId="598B98FE">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30**</w:t>
                  </w:r>
                </w:p>
              </w:tc>
              <w:tc>
                <w:tcPr>
                  <w:tcW w:w="678" w:type="pct"/>
                  <w:tcBorders>
                    <w:tl2br w:val="nil"/>
                    <w:tr2bl w:val="nil"/>
                  </w:tcBorders>
                  <w:vAlign w:val="center"/>
                </w:tcPr>
                <w:p w14:paraId="5B791C0B">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10</w:t>
                  </w:r>
                </w:p>
              </w:tc>
              <w:tc>
                <w:tcPr>
                  <w:tcW w:w="678" w:type="pct"/>
                  <w:tcBorders>
                    <w:tl2br w:val="nil"/>
                    <w:tr2bl w:val="nil"/>
                  </w:tcBorders>
                  <w:vAlign w:val="center"/>
                </w:tcPr>
                <w:p w14:paraId="5035AEAF">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10</w:t>
                  </w:r>
                </w:p>
              </w:tc>
              <w:tc>
                <w:tcPr>
                  <w:tcW w:w="692" w:type="pct"/>
                  <w:tcBorders>
                    <w:tl2br w:val="nil"/>
                    <w:tr2bl w:val="nil"/>
                  </w:tcBorders>
                  <w:vAlign w:val="center"/>
                </w:tcPr>
                <w:p w14:paraId="367B3D80">
                  <w:pPr>
                    <w:widowControl/>
                    <w:spacing w:before="71" w:beforeLines="23" w:after="71" w:afterLines="23" w:line="300" w:lineRule="auto"/>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1.5**</w:t>
                  </w:r>
                </w:p>
              </w:tc>
            </w:tr>
            <w:tr w14:paraId="69DF2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7C2EAE7B">
                  <w:pPr>
                    <w:widowControl/>
                    <w:rPr>
                      <w:rFonts w:ascii="Times New Roman" w:hAnsi="Times New Roman" w:eastAsia="宋体"/>
                      <w:color w:val="auto"/>
                      <w:szCs w:val="21"/>
                    </w:rPr>
                  </w:pPr>
                  <w:r>
                    <w:rPr>
                      <w:rFonts w:hint="eastAsia" w:ascii="Times New Roman" w:hAnsi="Times New Roman" w:eastAsia="宋体"/>
                      <w:b/>
                      <w:bCs/>
                      <w:color w:val="auto"/>
                      <w:szCs w:val="21"/>
                    </w:rPr>
                    <w:t>注</w:t>
                  </w:r>
                  <w:r>
                    <w:rPr>
                      <w:rFonts w:hint="eastAsia" w:ascii="Times New Roman" w:hAnsi="Times New Roman" w:eastAsia="宋体"/>
                      <w:color w:val="auto"/>
                      <w:szCs w:val="21"/>
                    </w:rPr>
                    <w:t>：“*”氨氮参照执行《污水排入城镇下水道水质标准》（GB/T 31962-2015）；</w:t>
                  </w:r>
                </w:p>
                <w:p w14:paraId="25E8AA6F">
                  <w:pPr>
                    <w:widowControl/>
                    <w:ind w:firstLine="420" w:firstLineChars="200"/>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“**”执行《地表水环境质量标准》（GB3838-2002）IV类标准。</w:t>
                  </w:r>
                </w:p>
              </w:tc>
            </w:tr>
          </w:tbl>
          <w:p w14:paraId="2FF415E3">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rPr>
              <w:t>3、噪声排放标准</w:t>
            </w:r>
          </w:p>
          <w:p w14:paraId="41F864EE">
            <w:pPr>
              <w:pStyle w:val="22"/>
              <w:spacing w:before="0" w:beforeAutospacing="0" w:after="0" w:afterAutospacing="0" w:line="368"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本项目运营期噪声排放执行《工业企业厂界环境噪声排放标准》（GB 12348-2008）3类标准。</w:t>
            </w:r>
          </w:p>
          <w:p w14:paraId="7144D287">
            <w:pPr>
              <w:pStyle w:val="22"/>
              <w:spacing w:before="0" w:beforeAutospacing="0" w:after="0" w:afterAutospacing="0" w:line="368" w:lineRule="auto"/>
              <w:ind w:firstLine="480" w:firstLineChars="200"/>
              <w:jc w:val="both"/>
              <w:rPr>
                <w:rFonts w:ascii="Times New Roman" w:hAnsi="Times New Roman" w:cs="宋体"/>
                <w:color w:val="auto"/>
                <w:szCs w:val="24"/>
              </w:rPr>
            </w:pPr>
            <w:r>
              <w:rPr>
                <w:rFonts w:hint="eastAsia" w:ascii="Times New Roman" w:hAnsi="Times New Roman" w:cs="宋体"/>
                <w:color w:val="auto"/>
                <w:szCs w:val="24"/>
              </w:rPr>
              <w:t>执行标准限值详见表3-11。</w:t>
            </w:r>
          </w:p>
          <w:p w14:paraId="784D7D99">
            <w:pPr>
              <w:pStyle w:val="22"/>
              <w:spacing w:before="0" w:beforeAutospacing="0" w:after="0" w:afterAutospacing="0"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表3-1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 xml:space="preserve">  工业企业厂界环境噪声排放限值 单位：Leq[dB(A)]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802"/>
              <w:gridCol w:w="3046"/>
              <w:gridCol w:w="2927"/>
            </w:tblGrid>
            <w:tr w14:paraId="05175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596" w:type="pct"/>
                  <w:tcBorders>
                    <w:tl2br w:val="nil"/>
                    <w:tr2bl w:val="nil"/>
                  </w:tcBorders>
                  <w:vAlign w:val="center"/>
                </w:tcPr>
                <w:p w14:paraId="4FD860D3">
                  <w:pPr>
                    <w:pStyle w:val="22"/>
                    <w:spacing w:before="71" w:beforeLines="23" w:beforeAutospacing="0" w:after="71" w:afterLines="23" w:afterAutospacing="0" w:line="300" w:lineRule="auto"/>
                    <w:jc w:val="center"/>
                    <w:rPr>
                      <w:rFonts w:ascii="Times New Roman" w:hAnsi="Times New Roman" w:cs="宋体"/>
                      <w:b/>
                      <w:bCs/>
                      <w:color w:val="auto"/>
                      <w:sz w:val="21"/>
                      <w:szCs w:val="21"/>
                    </w:rPr>
                  </w:pPr>
                  <w:r>
                    <w:rPr>
                      <w:rFonts w:hint="eastAsia" w:ascii="Times New Roman" w:hAnsi="Times New Roman" w:cs="宋体"/>
                      <w:b/>
                      <w:bCs/>
                      <w:color w:val="auto"/>
                      <w:sz w:val="21"/>
                      <w:szCs w:val="21"/>
                    </w:rPr>
                    <w:t>声环境功能区类别</w:t>
                  </w:r>
                </w:p>
              </w:tc>
              <w:tc>
                <w:tcPr>
                  <w:tcW w:w="1735" w:type="pct"/>
                  <w:tcBorders>
                    <w:tl2br w:val="nil"/>
                    <w:tr2bl w:val="nil"/>
                  </w:tcBorders>
                  <w:vAlign w:val="center"/>
                </w:tcPr>
                <w:p w14:paraId="3B075D70">
                  <w:pPr>
                    <w:pStyle w:val="22"/>
                    <w:spacing w:before="71" w:beforeLines="23" w:beforeAutospacing="0" w:after="71" w:afterLines="23" w:afterAutospacing="0" w:line="300" w:lineRule="auto"/>
                    <w:jc w:val="center"/>
                    <w:rPr>
                      <w:rFonts w:ascii="Times New Roman" w:hAnsi="Times New Roman" w:cs="宋体"/>
                      <w:b/>
                      <w:bCs/>
                      <w:color w:val="auto"/>
                      <w:sz w:val="21"/>
                      <w:szCs w:val="21"/>
                    </w:rPr>
                  </w:pPr>
                  <w:r>
                    <w:rPr>
                      <w:rFonts w:hint="eastAsia" w:ascii="Times New Roman" w:hAnsi="Times New Roman" w:cs="宋体"/>
                      <w:b/>
                      <w:bCs/>
                      <w:color w:val="auto"/>
                      <w:sz w:val="21"/>
                      <w:szCs w:val="21"/>
                    </w:rPr>
                    <w:t>昼间</w:t>
                  </w:r>
                </w:p>
              </w:tc>
              <w:tc>
                <w:tcPr>
                  <w:tcW w:w="1667" w:type="pct"/>
                  <w:tcBorders>
                    <w:tl2br w:val="nil"/>
                    <w:tr2bl w:val="nil"/>
                  </w:tcBorders>
                  <w:vAlign w:val="center"/>
                </w:tcPr>
                <w:p w14:paraId="249862E9">
                  <w:pPr>
                    <w:pStyle w:val="22"/>
                    <w:spacing w:before="71" w:beforeLines="23" w:beforeAutospacing="0" w:after="71" w:afterLines="23" w:afterAutospacing="0" w:line="300" w:lineRule="auto"/>
                    <w:jc w:val="center"/>
                    <w:rPr>
                      <w:rFonts w:ascii="Times New Roman" w:hAnsi="Times New Roman" w:cs="宋体"/>
                      <w:b/>
                      <w:bCs/>
                      <w:color w:val="auto"/>
                      <w:sz w:val="21"/>
                      <w:szCs w:val="21"/>
                    </w:rPr>
                  </w:pPr>
                  <w:r>
                    <w:rPr>
                      <w:rFonts w:ascii="Times New Roman" w:hAnsi="Times New Roman" w:cs="宋体"/>
                      <w:b/>
                      <w:bCs/>
                      <w:color w:val="auto"/>
                      <w:sz w:val="21"/>
                      <w:szCs w:val="21"/>
                    </w:rPr>
                    <w:t>夜间</w:t>
                  </w:r>
                </w:p>
              </w:tc>
            </w:tr>
            <w:tr w14:paraId="04437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96" w:type="pct"/>
                  <w:tcBorders>
                    <w:tl2br w:val="nil"/>
                    <w:tr2bl w:val="nil"/>
                  </w:tcBorders>
                  <w:vAlign w:val="center"/>
                </w:tcPr>
                <w:p w14:paraId="6BFB1371">
                  <w:pPr>
                    <w:pStyle w:val="22"/>
                    <w:spacing w:before="71" w:beforeLines="23" w:beforeAutospacing="0" w:after="71" w:afterLines="23" w:afterAutospacing="0" w:line="300" w:lineRule="auto"/>
                    <w:jc w:val="center"/>
                    <w:rPr>
                      <w:rFonts w:ascii="Times New Roman" w:hAnsi="Times New Roman" w:cs="宋体"/>
                      <w:color w:val="auto"/>
                      <w:sz w:val="21"/>
                      <w:szCs w:val="21"/>
                    </w:rPr>
                  </w:pPr>
                  <w:r>
                    <w:rPr>
                      <w:rFonts w:hint="eastAsia" w:ascii="Times New Roman" w:hAnsi="Times New Roman" w:cs="宋体"/>
                      <w:color w:val="auto"/>
                      <w:sz w:val="21"/>
                      <w:szCs w:val="21"/>
                    </w:rPr>
                    <w:t>3类</w:t>
                  </w:r>
                </w:p>
              </w:tc>
              <w:tc>
                <w:tcPr>
                  <w:tcW w:w="1735" w:type="pct"/>
                  <w:tcBorders>
                    <w:tl2br w:val="nil"/>
                    <w:tr2bl w:val="nil"/>
                  </w:tcBorders>
                  <w:vAlign w:val="center"/>
                </w:tcPr>
                <w:p w14:paraId="1A25C5EC">
                  <w:pPr>
                    <w:pStyle w:val="22"/>
                    <w:spacing w:before="71" w:beforeLines="23" w:beforeAutospacing="0" w:after="71" w:afterLines="23" w:afterAutospacing="0" w:line="300" w:lineRule="auto"/>
                    <w:jc w:val="center"/>
                    <w:rPr>
                      <w:rFonts w:ascii="Times New Roman" w:hAnsi="Times New Roman" w:cs="宋体"/>
                      <w:color w:val="auto"/>
                      <w:sz w:val="21"/>
                      <w:szCs w:val="21"/>
                    </w:rPr>
                  </w:pPr>
                  <w:r>
                    <w:rPr>
                      <w:rFonts w:hint="eastAsia" w:ascii="Times New Roman" w:hAnsi="Times New Roman" w:cs="宋体"/>
                      <w:color w:val="auto"/>
                      <w:sz w:val="21"/>
                      <w:szCs w:val="21"/>
                    </w:rPr>
                    <w:t>65</w:t>
                  </w:r>
                </w:p>
              </w:tc>
              <w:tc>
                <w:tcPr>
                  <w:tcW w:w="1667" w:type="pct"/>
                  <w:tcBorders>
                    <w:tl2br w:val="nil"/>
                    <w:tr2bl w:val="nil"/>
                  </w:tcBorders>
                  <w:vAlign w:val="center"/>
                </w:tcPr>
                <w:p w14:paraId="3626A98E">
                  <w:pPr>
                    <w:pStyle w:val="22"/>
                    <w:spacing w:before="71" w:beforeLines="23" w:beforeAutospacing="0" w:after="71" w:afterLines="23" w:afterAutospacing="0" w:line="300" w:lineRule="auto"/>
                    <w:jc w:val="center"/>
                    <w:rPr>
                      <w:rFonts w:ascii="Times New Roman" w:hAnsi="Times New Roman" w:cs="宋体"/>
                      <w:color w:val="auto"/>
                      <w:sz w:val="21"/>
                      <w:szCs w:val="21"/>
                    </w:rPr>
                  </w:pPr>
                  <w:r>
                    <w:rPr>
                      <w:rFonts w:ascii="Times New Roman" w:hAnsi="Times New Roman" w:cs="宋体"/>
                      <w:color w:val="auto"/>
                      <w:sz w:val="21"/>
                      <w:szCs w:val="21"/>
                    </w:rPr>
                    <w:t>55</w:t>
                  </w:r>
                </w:p>
              </w:tc>
            </w:tr>
          </w:tbl>
          <w:p w14:paraId="2B2A508F">
            <w:pPr>
              <w:pStyle w:val="22"/>
              <w:spacing w:before="31" w:beforeLines="10" w:beforeAutospacing="0" w:after="31" w:afterLines="10" w:afterAutospacing="0" w:line="360" w:lineRule="auto"/>
              <w:jc w:val="both"/>
              <w:rPr>
                <w:rFonts w:ascii="Times New Roman" w:hAnsi="Times New Roman" w:cs="宋体"/>
                <w:b/>
                <w:bCs/>
                <w:color w:val="auto"/>
                <w:szCs w:val="24"/>
              </w:rPr>
            </w:pPr>
            <w:r>
              <w:rPr>
                <w:rFonts w:hint="eastAsia" w:ascii="Times New Roman" w:hAnsi="Times New Roman" w:cs="宋体"/>
                <w:b/>
                <w:bCs/>
                <w:color w:val="auto"/>
                <w:szCs w:val="24"/>
                <w:lang w:eastAsia="zh-CN"/>
              </w:rPr>
              <w:t>4.</w:t>
            </w:r>
            <w:r>
              <w:rPr>
                <w:rFonts w:hint="eastAsia" w:ascii="Times New Roman" w:hAnsi="Times New Roman" w:cs="宋体"/>
                <w:b/>
                <w:bCs/>
                <w:color w:val="auto"/>
                <w:szCs w:val="24"/>
              </w:rPr>
              <w:t>固废贮存标准</w:t>
            </w:r>
          </w:p>
          <w:p w14:paraId="11614A87">
            <w:pPr>
              <w:pStyle w:val="45"/>
              <w:spacing w:line="360" w:lineRule="auto"/>
              <w:rPr>
                <w:rFonts w:ascii="Times New Roman" w:hAnsi="Times New Roman" w:cs="Times New Roman"/>
                <w:color w:val="auto"/>
                <w:sz w:val="24"/>
              </w:rPr>
            </w:pPr>
            <w:r>
              <w:rPr>
                <w:rFonts w:ascii="Times New Roman" w:hAnsi="Times New Roman" w:cs="Times New Roman"/>
                <w:color w:val="auto"/>
                <w:sz w:val="24"/>
              </w:rPr>
              <w:t>一般工业固废：按照生态环境部公告2024年第4号发布的《固体废物分类与代码目录》进行识别，其贮存过程应满足相应防渗漏、防雨淋、防扬尘等环境保护要求。</w:t>
            </w:r>
          </w:p>
          <w:p w14:paraId="5C74E8F2">
            <w:pPr>
              <w:pStyle w:val="22"/>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s="Times New Roman"/>
                <w:color w:val="auto"/>
                <w:szCs w:val="24"/>
              </w:rPr>
              <w:t>危险废物：应按《国家危险废物名录》（202</w:t>
            </w:r>
            <w:r>
              <w:rPr>
                <w:rFonts w:hint="eastAsia" w:ascii="Times New Roman" w:hAnsi="Times New Roman" w:cs="Times New Roman"/>
                <w:color w:val="auto"/>
                <w:szCs w:val="24"/>
              </w:rPr>
              <w:t>5</w:t>
            </w:r>
            <w:r>
              <w:rPr>
                <w:rFonts w:ascii="Times New Roman" w:hAnsi="Times New Roman" w:cs="Times New Roman"/>
                <w:color w:val="auto"/>
                <w:szCs w:val="24"/>
              </w:rPr>
              <w:t>年版）、《危险废物鉴别标准通则》（GB5085.7-2019）、《危险废物贮存污染控制标准》（GB18597-2023）《危险废物识别标志设置技术规范》（HJ1276-2022）等相关文件，进行识别、贮存和管理。</w:t>
            </w:r>
          </w:p>
        </w:tc>
      </w:tr>
      <w:tr w14:paraId="2A2D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97" w:hRule="atLeast"/>
        </w:trPr>
        <w:tc>
          <w:tcPr>
            <w:tcW w:w="190" w:type="pct"/>
            <w:vAlign w:val="center"/>
          </w:tcPr>
          <w:p w14:paraId="45644EA8">
            <w:pPr>
              <w:spacing w:line="360" w:lineRule="auto"/>
              <w:jc w:val="center"/>
              <w:rPr>
                <w:rFonts w:ascii="Times New Roman" w:hAnsi="Times New Roman" w:cs="宋体"/>
                <w:b/>
                <w:bCs/>
                <w:color w:val="auto"/>
                <w:kern w:val="0"/>
                <w:sz w:val="24"/>
              </w:rPr>
            </w:pPr>
            <w:r>
              <w:rPr>
                <w:rFonts w:hint="eastAsia" w:ascii="Times New Roman" w:hAnsi="Times New Roman" w:cs="宋体"/>
                <w:b/>
                <w:bCs/>
                <w:color w:val="auto"/>
                <w:kern w:val="0"/>
                <w:sz w:val="24"/>
              </w:rPr>
              <w:t>总量控制指标</w:t>
            </w:r>
          </w:p>
        </w:tc>
        <w:tc>
          <w:tcPr>
            <w:tcW w:w="4809" w:type="pct"/>
            <w:vAlign w:val="center"/>
          </w:tcPr>
          <w:p w14:paraId="342A584D">
            <w:pPr>
              <w:widowControl/>
              <w:spacing w:line="372" w:lineRule="auto"/>
              <w:ind w:firstLine="480" w:firstLineChars="200"/>
              <w:rPr>
                <w:rFonts w:ascii="Times New Roman" w:hAnsi="Times New Roman" w:cs="宋体"/>
                <w:color w:val="auto"/>
                <w:kern w:val="0"/>
                <w:sz w:val="24"/>
              </w:rPr>
            </w:pPr>
            <w:r>
              <w:rPr>
                <w:rFonts w:hint="eastAsia" w:ascii="Times New Roman" w:hAnsi="Times New Roman" w:cs="宋体"/>
                <w:color w:val="auto"/>
                <w:kern w:val="0"/>
                <w:sz w:val="24"/>
              </w:rPr>
              <w:t>项目建成后污染物排放总量指标建议如下：</w:t>
            </w:r>
          </w:p>
          <w:p w14:paraId="578A5092">
            <w:pPr>
              <w:widowControl/>
              <w:spacing w:before="31" w:beforeLines="10" w:after="31" w:afterLines="10" w:line="372" w:lineRule="auto"/>
              <w:ind w:firstLine="482" w:firstLineChars="200"/>
              <w:rPr>
                <w:rFonts w:ascii="Times New Roman" w:hAnsi="Times New Roman" w:cs="宋体"/>
                <w:color w:val="auto"/>
                <w:kern w:val="0"/>
                <w:sz w:val="24"/>
              </w:rPr>
            </w:pPr>
            <w:r>
              <w:rPr>
                <w:rFonts w:hint="eastAsia" w:ascii="Times New Roman" w:hAnsi="Times New Roman" w:cs="宋体"/>
                <w:b/>
                <w:bCs/>
                <w:color w:val="auto"/>
                <w:kern w:val="0"/>
                <w:sz w:val="24"/>
              </w:rPr>
              <w:t>废气</w:t>
            </w:r>
            <w:r>
              <w:rPr>
                <w:rFonts w:hint="eastAsia" w:ascii="Times New Roman" w:hAnsi="Times New Roman" w:cs="宋体"/>
                <w:color w:val="auto"/>
                <w:kern w:val="0"/>
                <w:sz w:val="24"/>
              </w:rPr>
              <w:t>：</w:t>
            </w:r>
            <w:r>
              <w:rPr>
                <w:rFonts w:hint="eastAsia" w:ascii="Times New Roman" w:hAnsi="Times New Roman" w:cs="宋体"/>
                <w:color w:val="auto"/>
                <w:kern w:val="0"/>
                <w:sz w:val="24"/>
                <w:u w:val="single"/>
              </w:rPr>
              <w:t>颗粒物：</w:t>
            </w:r>
            <w:r>
              <w:rPr>
                <w:rFonts w:hint="eastAsia" w:ascii="Times New Roman" w:hAnsi="Times New Roman" w:cs="宋体"/>
                <w:color w:val="auto"/>
                <w:kern w:val="0"/>
                <w:sz w:val="24"/>
                <w:u w:val="single"/>
                <w:lang w:val="en-US" w:eastAsia="zh-CN"/>
              </w:rPr>
              <w:t>0.029</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、非甲烷总烃</w:t>
            </w:r>
            <w:r>
              <w:rPr>
                <w:rFonts w:hint="eastAsia" w:ascii="Times New Roman" w:hAnsi="Times New Roman" w:cs="宋体"/>
                <w:color w:val="auto"/>
                <w:kern w:val="0"/>
                <w:sz w:val="24"/>
                <w:u w:val="single"/>
                <w:lang w:val="en-US" w:eastAsia="zh-CN"/>
              </w:rPr>
              <w:t>0.207</w:t>
            </w:r>
            <w:r>
              <w:rPr>
                <w:rFonts w:hint="eastAsia" w:ascii="Times New Roman" w:hAnsi="Times New Roman" w:cs="宋体"/>
                <w:color w:val="auto"/>
                <w:kern w:val="0"/>
                <w:sz w:val="24"/>
                <w:u w:val="single"/>
              </w:rPr>
              <w:t>t/a、二氧化硫</w:t>
            </w:r>
            <w:r>
              <w:rPr>
                <w:rFonts w:hint="eastAsia" w:ascii="Times New Roman" w:hAnsi="Times New Roman" w:cs="宋体"/>
                <w:color w:val="auto"/>
                <w:kern w:val="0"/>
                <w:sz w:val="24"/>
                <w:u w:val="single"/>
                <w:lang w:val="en-US" w:eastAsia="zh-CN"/>
              </w:rPr>
              <w:t>0.024</w:t>
            </w:r>
            <w:r>
              <w:rPr>
                <w:rFonts w:hint="eastAsia" w:ascii="Times New Roman" w:hAnsi="Times New Roman" w:cs="宋体"/>
                <w:color w:val="auto"/>
                <w:kern w:val="0"/>
                <w:sz w:val="24"/>
                <w:u w:val="single"/>
              </w:rPr>
              <w:t>t/a，氮氧化物</w:t>
            </w:r>
            <w:r>
              <w:rPr>
                <w:rFonts w:hint="eastAsia" w:ascii="Times New Roman" w:hAnsi="Times New Roman" w:cs="宋体"/>
                <w:color w:val="auto"/>
                <w:kern w:val="0"/>
                <w:sz w:val="24"/>
                <w:u w:val="single"/>
                <w:lang w:val="en-US" w:eastAsia="zh-CN"/>
              </w:rPr>
              <w:t>0.039</w:t>
            </w:r>
            <w:r>
              <w:rPr>
                <w:rFonts w:hint="eastAsia" w:ascii="Times New Roman" w:hAnsi="Times New Roman" w:cs="宋体"/>
                <w:color w:val="auto"/>
                <w:kern w:val="0"/>
                <w:sz w:val="24"/>
                <w:u w:val="single"/>
              </w:rPr>
              <w:t>t/a</w:t>
            </w:r>
            <w:r>
              <w:rPr>
                <w:rFonts w:hint="eastAsia" w:ascii="Times New Roman" w:hAnsi="Times New Roman" w:cs="宋体"/>
                <w:color w:val="auto"/>
                <w:kern w:val="0"/>
                <w:sz w:val="24"/>
              </w:rPr>
              <w:t>。</w:t>
            </w:r>
          </w:p>
          <w:p w14:paraId="7041DFA1">
            <w:pPr>
              <w:widowControl/>
              <w:spacing w:before="31" w:beforeLines="10" w:after="31" w:afterLines="10" w:line="372" w:lineRule="auto"/>
              <w:ind w:firstLine="482" w:firstLineChars="200"/>
              <w:rPr>
                <w:rFonts w:ascii="Times New Roman" w:hAnsi="Times New Roman" w:cs="宋体"/>
                <w:color w:val="auto"/>
                <w:kern w:val="0"/>
                <w:sz w:val="24"/>
              </w:rPr>
            </w:pPr>
            <w:r>
              <w:rPr>
                <w:rFonts w:hint="eastAsia" w:ascii="Times New Roman" w:hAnsi="Times New Roman" w:cs="宋体"/>
                <w:b/>
                <w:bCs/>
                <w:color w:val="auto"/>
                <w:kern w:val="0"/>
                <w:sz w:val="24"/>
              </w:rPr>
              <w:t>废水</w:t>
            </w:r>
            <w:r>
              <w:rPr>
                <w:rFonts w:hint="eastAsia" w:ascii="Times New Roman" w:hAnsi="Times New Roman" w:cs="宋体"/>
                <w:color w:val="auto"/>
                <w:kern w:val="0"/>
                <w:sz w:val="24"/>
              </w:rPr>
              <w:t>：</w:t>
            </w:r>
            <w:r>
              <w:rPr>
                <w:rFonts w:hint="eastAsia" w:ascii="Times New Roman" w:hAnsi="Times New Roman" w:cs="宋体"/>
                <w:color w:val="auto"/>
                <w:kern w:val="0"/>
                <w:sz w:val="24"/>
                <w:lang w:eastAsia="zh-CN"/>
              </w:rPr>
              <w:t>纳管总量：</w:t>
            </w:r>
            <w:r>
              <w:rPr>
                <w:rFonts w:ascii="Times New Roman" w:hAnsi="Times New Roman" w:cs="宋体"/>
                <w:color w:val="auto"/>
                <w:kern w:val="0"/>
                <w:sz w:val="24"/>
                <w:u w:val="single"/>
              </w:rPr>
              <w:t>COD</w:t>
            </w:r>
            <w:r>
              <w:rPr>
                <w:rFonts w:hint="eastAsia" w:ascii="Times New Roman" w:hAnsi="Times New Roman" w:cs="宋体"/>
                <w:color w:val="auto"/>
                <w:kern w:val="0"/>
                <w:sz w:val="24"/>
                <w:u w:val="single"/>
              </w:rPr>
              <w:t>：</w:t>
            </w:r>
            <w:r>
              <w:rPr>
                <w:rFonts w:hint="eastAsia" w:ascii="Times New Roman" w:hAnsi="Times New Roman" w:cs="宋体"/>
                <w:color w:val="auto"/>
                <w:kern w:val="0"/>
                <w:sz w:val="24"/>
                <w:u w:val="single"/>
                <w:lang w:val="en-US" w:eastAsia="zh-CN"/>
              </w:rPr>
              <w:t>0.125</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，氨氮：</w:t>
            </w:r>
            <w:r>
              <w:rPr>
                <w:rFonts w:hint="eastAsia" w:ascii="Times New Roman" w:hAnsi="Times New Roman" w:cs="宋体"/>
                <w:color w:val="auto"/>
                <w:kern w:val="0"/>
                <w:sz w:val="24"/>
                <w:u w:val="single"/>
                <w:lang w:val="en-US" w:eastAsia="zh-CN"/>
              </w:rPr>
              <w:t>0.011</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w:t>
            </w:r>
            <w:r>
              <w:rPr>
                <w:rFonts w:hint="eastAsia" w:ascii="Times New Roman" w:hAnsi="Times New Roman" w:cs="宋体"/>
                <w:color w:val="auto"/>
                <w:kern w:val="0"/>
                <w:sz w:val="24"/>
                <w:u w:val="single"/>
                <w:lang w:eastAsia="zh-CN"/>
              </w:rPr>
              <w:t>排入环境总量：</w:t>
            </w:r>
            <w:r>
              <w:rPr>
                <w:rFonts w:hint="eastAsia" w:ascii="Times New Roman" w:hAnsi="Times New Roman" w:cs="宋体"/>
                <w:color w:val="auto"/>
                <w:kern w:val="0"/>
                <w:sz w:val="24"/>
              </w:rPr>
              <w:t>近期：</w:t>
            </w:r>
            <w:r>
              <w:rPr>
                <w:rFonts w:ascii="Times New Roman" w:hAnsi="Times New Roman" w:cs="宋体"/>
                <w:color w:val="auto"/>
                <w:kern w:val="0"/>
                <w:sz w:val="24"/>
                <w:u w:val="single"/>
              </w:rPr>
              <w:t>COD</w:t>
            </w:r>
            <w:r>
              <w:rPr>
                <w:rFonts w:hint="eastAsia" w:ascii="Times New Roman" w:hAnsi="Times New Roman" w:cs="宋体"/>
                <w:color w:val="auto"/>
                <w:kern w:val="0"/>
                <w:sz w:val="24"/>
                <w:u w:val="single"/>
              </w:rPr>
              <w:t>：</w:t>
            </w:r>
            <w:r>
              <w:rPr>
                <w:rFonts w:hint="eastAsia" w:ascii="Times New Roman" w:hAnsi="Times New Roman" w:cs="宋体"/>
                <w:color w:val="auto"/>
                <w:kern w:val="0"/>
                <w:sz w:val="24"/>
                <w:u w:val="single"/>
                <w:lang w:val="en-US" w:eastAsia="zh-CN"/>
              </w:rPr>
              <w:t>0.023</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，氨氮：0.00</w:t>
            </w:r>
            <w:r>
              <w:rPr>
                <w:rFonts w:hint="eastAsia" w:ascii="Times New Roman" w:hAnsi="Times New Roman" w:cs="宋体"/>
                <w:color w:val="auto"/>
                <w:kern w:val="0"/>
                <w:sz w:val="24"/>
                <w:u w:val="single"/>
                <w:lang w:val="en-US" w:eastAsia="zh-CN"/>
              </w:rPr>
              <w:t>3</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；远期：</w:t>
            </w:r>
            <w:r>
              <w:rPr>
                <w:rFonts w:ascii="Times New Roman" w:hAnsi="Times New Roman" w:cs="宋体"/>
                <w:color w:val="auto"/>
                <w:kern w:val="0"/>
                <w:sz w:val="24"/>
                <w:u w:val="single"/>
              </w:rPr>
              <w:t>COD</w:t>
            </w:r>
            <w:r>
              <w:rPr>
                <w:rFonts w:hint="eastAsia" w:ascii="Times New Roman" w:hAnsi="Times New Roman" w:cs="宋体"/>
                <w:color w:val="auto"/>
                <w:kern w:val="0"/>
                <w:sz w:val="24"/>
                <w:u w:val="single"/>
              </w:rPr>
              <w:t>：</w:t>
            </w:r>
            <w:r>
              <w:rPr>
                <w:rFonts w:hint="eastAsia" w:ascii="Times New Roman" w:hAnsi="Times New Roman" w:cs="宋体"/>
                <w:color w:val="auto"/>
                <w:kern w:val="0"/>
                <w:sz w:val="24"/>
                <w:u w:val="single"/>
                <w:lang w:val="en-US" w:eastAsia="zh-CN"/>
              </w:rPr>
              <w:t>0.012</w:t>
            </w:r>
            <w:r>
              <w:rPr>
                <w:rFonts w:ascii="Times New Roman" w:hAnsi="Times New Roman" w:cs="宋体"/>
                <w:color w:val="auto"/>
                <w:kern w:val="0"/>
                <w:sz w:val="24"/>
                <w:u w:val="single"/>
              </w:rPr>
              <w:t>t/a</w:t>
            </w:r>
            <w:r>
              <w:rPr>
                <w:rFonts w:hint="eastAsia" w:ascii="Times New Roman" w:hAnsi="Times New Roman" w:cs="宋体"/>
                <w:color w:val="auto"/>
                <w:kern w:val="0"/>
                <w:sz w:val="24"/>
                <w:u w:val="single"/>
              </w:rPr>
              <w:t>，氨氮：0.000</w:t>
            </w:r>
            <w:r>
              <w:rPr>
                <w:rFonts w:hint="eastAsia" w:ascii="Times New Roman" w:hAnsi="Times New Roman" w:cs="宋体"/>
                <w:color w:val="auto"/>
                <w:kern w:val="0"/>
                <w:sz w:val="24"/>
                <w:u w:val="single"/>
                <w:lang w:val="en-US" w:eastAsia="zh-CN"/>
              </w:rPr>
              <w:t>1</w:t>
            </w:r>
            <w:r>
              <w:rPr>
                <w:rFonts w:ascii="Times New Roman" w:hAnsi="Times New Roman" w:cs="宋体"/>
                <w:color w:val="auto"/>
                <w:kern w:val="0"/>
                <w:sz w:val="24"/>
                <w:u w:val="single"/>
              </w:rPr>
              <w:t>t/a</w:t>
            </w:r>
            <w:r>
              <w:rPr>
                <w:rFonts w:hint="eastAsia" w:ascii="Times New Roman" w:hAnsi="Times New Roman" w:cs="宋体"/>
                <w:color w:val="auto"/>
                <w:kern w:val="0"/>
                <w:sz w:val="24"/>
              </w:rPr>
              <w:t>。</w:t>
            </w:r>
          </w:p>
        </w:tc>
      </w:tr>
    </w:tbl>
    <w:p w14:paraId="21548853">
      <w:pPr>
        <w:spacing w:before="31" w:beforeLines="10" w:after="31" w:afterLines="10"/>
        <w:jc w:val="center"/>
        <w:outlineLvl w:val="0"/>
        <w:rPr>
          <w:rFonts w:ascii="Times New Roman" w:hAnsi="Times New Roman" w:eastAsia="宋体" w:cs="Times New Roman"/>
          <w:snapToGrid w:val="0"/>
          <w:sz w:val="30"/>
          <w:szCs w:val="30"/>
        </w:rPr>
      </w:pPr>
      <w:bookmarkStart w:id="7" w:name="_Toc1193"/>
    </w:p>
    <w:p w14:paraId="42FEA208">
      <w:pPr>
        <w:spacing w:before="31" w:beforeLines="10" w:after="31" w:afterLines="10"/>
        <w:jc w:val="center"/>
        <w:outlineLvl w:val="0"/>
        <w:rPr>
          <w:rFonts w:ascii="Times New Roman" w:hAnsi="Times New Roman" w:eastAsia="宋体" w:cs="Times New Roman"/>
          <w:snapToGrid w:val="0"/>
          <w:sz w:val="30"/>
          <w:szCs w:val="30"/>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D9AEA7E">
      <w:pPr>
        <w:spacing w:before="31" w:beforeLines="10" w:after="31" w:afterLines="10"/>
        <w:jc w:val="center"/>
        <w:outlineLvl w:val="0"/>
        <w:rPr>
          <w:rFonts w:ascii="Times New Roman" w:hAnsi="Times New Roman" w:eastAsia="宋体" w:cs="Times New Roman"/>
          <w:sz w:val="30"/>
          <w:szCs w:val="30"/>
        </w:rPr>
      </w:pPr>
      <w:r>
        <w:rPr>
          <w:rFonts w:ascii="Times New Roman" w:hAnsi="Times New Roman" w:eastAsia="宋体" w:cs="Times New Roman"/>
          <w:snapToGrid w:val="0"/>
          <w:sz w:val="30"/>
          <w:szCs w:val="30"/>
        </w:rPr>
        <w:t>四、主要环境影响和保护措施</w:t>
      </w:r>
      <w:bookmarkEnd w:id="7"/>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9"/>
        <w:gridCol w:w="8468"/>
      </w:tblGrid>
      <w:tr w14:paraId="071E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76" w:type="pct"/>
            <w:vAlign w:val="center"/>
          </w:tcPr>
          <w:p w14:paraId="7B22B897">
            <w:pPr>
              <w:spacing w:line="360" w:lineRule="auto"/>
              <w:jc w:val="center"/>
              <w:rPr>
                <w:rFonts w:ascii="Times New Roman" w:hAnsi="Times New Roman"/>
                <w:sz w:val="24"/>
              </w:rPr>
            </w:pPr>
            <w:r>
              <w:rPr>
                <w:rFonts w:hint="eastAsia" w:ascii="Times New Roman" w:hAnsi="Times New Roman" w:cs="宋体"/>
                <w:b/>
                <w:bCs/>
                <w:sz w:val="24"/>
              </w:rPr>
              <w:t>施工期环境保护措施</w:t>
            </w:r>
          </w:p>
        </w:tc>
        <w:tc>
          <w:tcPr>
            <w:tcW w:w="4623" w:type="pct"/>
            <w:vAlign w:val="center"/>
          </w:tcPr>
          <w:p w14:paraId="7E106A5E">
            <w:pPr>
              <w:spacing w:line="360" w:lineRule="auto"/>
              <w:ind w:firstLine="480" w:firstLineChars="200"/>
              <w:rPr>
                <w:rFonts w:ascii="Times New Roman" w:hAnsi="Times New Roman" w:cs="宋体"/>
                <w:sz w:val="24"/>
              </w:rPr>
            </w:pPr>
            <w:r>
              <w:rPr>
                <w:rFonts w:hint="eastAsia" w:ascii="Times New Roman" w:hAnsi="Times New Roman" w:cs="宋体"/>
                <w:sz w:val="24"/>
              </w:rPr>
              <w:t>项目位于重庆市西彭工业园区D标准分区，租用</w:t>
            </w:r>
            <w:r>
              <w:rPr>
                <w:rFonts w:hint="eastAsia" w:ascii="Times New Roman" w:hAnsi="Times New Roman" w:cs="宋体"/>
                <w:sz w:val="24"/>
                <w:lang w:eastAsia="zh-CN"/>
              </w:rPr>
              <w:t>盛德佳公司</w:t>
            </w:r>
            <w:r>
              <w:rPr>
                <w:rFonts w:hint="eastAsia" w:ascii="Times New Roman" w:hAnsi="Times New Roman" w:cs="宋体"/>
                <w:sz w:val="24"/>
              </w:rPr>
              <w:t>厂房实施，施工期仅进行装修及设备安装，施工期环境保护措施如下：</w:t>
            </w:r>
          </w:p>
          <w:p w14:paraId="56CD9F8B">
            <w:pPr>
              <w:adjustRightInd w:val="0"/>
              <w:snapToGrid w:val="0"/>
              <w:spacing w:line="360" w:lineRule="auto"/>
              <w:ind w:firstLine="442" w:firstLineChars="200"/>
              <w:rPr>
                <w:rFonts w:ascii="Times New Roman" w:hAnsi="Times New Roman" w:cs="Times New Roman"/>
                <w:bCs/>
                <w:spacing w:val="-10"/>
                <w:sz w:val="24"/>
              </w:rPr>
            </w:pPr>
            <w:r>
              <w:rPr>
                <w:rFonts w:hint="eastAsia" w:ascii="Times New Roman" w:hAnsi="Times New Roman" w:cs="Times New Roman"/>
                <w:b/>
                <w:spacing w:val="-10"/>
                <w:sz w:val="24"/>
                <w:lang w:eastAsia="zh-CN"/>
              </w:rPr>
              <w:t>（1）</w:t>
            </w:r>
            <w:r>
              <w:rPr>
                <w:rFonts w:ascii="Times New Roman" w:hAnsi="Times New Roman" w:cs="Times New Roman"/>
                <w:b/>
                <w:spacing w:val="-10"/>
                <w:sz w:val="24"/>
              </w:rPr>
              <w:t>水环境</w:t>
            </w:r>
          </w:p>
          <w:p w14:paraId="296E7A07">
            <w:pPr>
              <w:adjustRightInd w:val="0"/>
              <w:snapToGrid w:val="0"/>
              <w:spacing w:line="360" w:lineRule="auto"/>
              <w:ind w:firstLine="440" w:firstLineChars="200"/>
              <w:rPr>
                <w:rFonts w:ascii="Times New Roman" w:hAnsi="Times New Roman" w:cs="Times New Roman"/>
                <w:bCs/>
                <w:spacing w:val="-10"/>
                <w:sz w:val="24"/>
              </w:rPr>
            </w:pPr>
            <w:r>
              <w:rPr>
                <w:rFonts w:ascii="Times New Roman" w:hAnsi="Times New Roman" w:cs="Times New Roman"/>
                <w:bCs/>
                <w:spacing w:val="-10"/>
                <w:sz w:val="24"/>
              </w:rPr>
              <w:t>施工期废水主要为施工人员生活污水。项目所在区域市政设施完善，施工人员生活污水依托现有生化池处理后接入市政污水管网，进入</w:t>
            </w:r>
            <w:r>
              <w:rPr>
                <w:rFonts w:hint="eastAsia" w:cs="Times New Roman"/>
                <w:bCs/>
                <w:spacing w:val="-10"/>
                <w:sz w:val="24"/>
              </w:rPr>
              <w:t>西彭园区污水</w:t>
            </w:r>
            <w:r>
              <w:rPr>
                <w:rFonts w:ascii="Times New Roman" w:hAnsi="Times New Roman" w:cs="Times New Roman"/>
                <w:sz w:val="24"/>
              </w:rPr>
              <w:t>处理厂</w:t>
            </w:r>
            <w:r>
              <w:rPr>
                <w:rFonts w:ascii="Times New Roman" w:hAnsi="Times New Roman" w:cs="Times New Roman"/>
                <w:bCs/>
                <w:spacing w:val="-10"/>
                <w:sz w:val="24"/>
              </w:rPr>
              <w:t>处理，处置措施合理。</w:t>
            </w:r>
          </w:p>
          <w:p w14:paraId="0E4C32EA">
            <w:pPr>
              <w:adjustRightInd w:val="0"/>
              <w:snapToGrid w:val="0"/>
              <w:spacing w:line="360" w:lineRule="auto"/>
              <w:ind w:firstLine="442" w:firstLineChars="200"/>
              <w:rPr>
                <w:rFonts w:ascii="Times New Roman" w:hAnsi="Times New Roman" w:cs="Times New Roman"/>
                <w:b/>
                <w:spacing w:val="-10"/>
                <w:sz w:val="24"/>
              </w:rPr>
            </w:pPr>
            <w:r>
              <w:rPr>
                <w:rFonts w:hint="eastAsia" w:ascii="Times New Roman" w:hAnsi="Times New Roman" w:cs="Times New Roman"/>
                <w:b/>
                <w:spacing w:val="-10"/>
                <w:sz w:val="24"/>
                <w:lang w:eastAsia="zh-CN"/>
              </w:rPr>
              <w:t>（2）</w:t>
            </w:r>
            <w:r>
              <w:rPr>
                <w:rFonts w:ascii="Times New Roman" w:hAnsi="Times New Roman" w:cs="Times New Roman"/>
                <w:b/>
                <w:spacing w:val="-10"/>
                <w:sz w:val="24"/>
              </w:rPr>
              <w:t>大气环境</w:t>
            </w:r>
          </w:p>
          <w:p w14:paraId="1C4A02B7">
            <w:pPr>
              <w:adjustRightInd w:val="0"/>
              <w:snapToGrid w:val="0"/>
              <w:spacing w:line="360" w:lineRule="auto"/>
              <w:ind w:firstLine="440" w:firstLineChars="200"/>
              <w:rPr>
                <w:rFonts w:ascii="Times New Roman" w:hAnsi="Times New Roman" w:cs="Times New Roman"/>
                <w:bCs/>
                <w:spacing w:val="-10"/>
                <w:sz w:val="24"/>
              </w:rPr>
            </w:pPr>
            <w:r>
              <w:rPr>
                <w:rFonts w:ascii="Times New Roman" w:hAnsi="Times New Roman" w:cs="Times New Roman"/>
                <w:bCs/>
                <w:spacing w:val="-10"/>
                <w:sz w:val="24"/>
              </w:rPr>
              <w:t>施工期产生的废气主要是厂房内部装饰、设备安装调试产生的粉尘废气。项目</w:t>
            </w:r>
            <w:r>
              <w:rPr>
                <w:rFonts w:ascii="Times New Roman" w:hAnsi="Times New Roman" w:cs="Times New Roman"/>
                <w:bCs/>
                <w:sz w:val="24"/>
              </w:rPr>
              <w:t>利用</w:t>
            </w:r>
            <w:r>
              <w:rPr>
                <w:rFonts w:ascii="Times New Roman" w:hAnsi="Times New Roman" w:cs="Times New Roman"/>
                <w:bCs/>
                <w:spacing w:val="-10"/>
                <w:sz w:val="24"/>
              </w:rPr>
              <w:t>已建成的厂房，室内装饰等工程量较小，施工期间产生的粉尘量小。</w:t>
            </w:r>
          </w:p>
          <w:p w14:paraId="5E56F9CD">
            <w:pPr>
              <w:adjustRightInd w:val="0"/>
              <w:snapToGrid w:val="0"/>
              <w:spacing w:line="360" w:lineRule="auto"/>
              <w:ind w:firstLine="442" w:firstLineChars="200"/>
              <w:rPr>
                <w:rFonts w:ascii="Times New Roman" w:hAnsi="Times New Roman" w:cs="Times New Roman"/>
                <w:b/>
                <w:spacing w:val="-10"/>
                <w:sz w:val="24"/>
              </w:rPr>
            </w:pPr>
            <w:r>
              <w:rPr>
                <w:rFonts w:hint="eastAsia" w:ascii="Times New Roman" w:hAnsi="Times New Roman" w:cs="Times New Roman"/>
                <w:b/>
                <w:spacing w:val="-10"/>
                <w:sz w:val="24"/>
                <w:lang w:eastAsia="zh-CN"/>
              </w:rPr>
              <w:t>（3）</w:t>
            </w:r>
            <w:r>
              <w:rPr>
                <w:rFonts w:ascii="Times New Roman" w:hAnsi="Times New Roman" w:cs="Times New Roman"/>
                <w:b/>
                <w:spacing w:val="-10"/>
                <w:sz w:val="24"/>
              </w:rPr>
              <w:t>声环境</w:t>
            </w:r>
          </w:p>
          <w:p w14:paraId="49BA06B6">
            <w:pPr>
              <w:adjustRightInd w:val="0"/>
              <w:snapToGrid w:val="0"/>
              <w:spacing w:line="360" w:lineRule="auto"/>
              <w:ind w:firstLine="440" w:firstLineChars="200"/>
              <w:rPr>
                <w:rFonts w:ascii="Times New Roman" w:hAnsi="Times New Roman" w:cs="Times New Roman"/>
                <w:bCs/>
                <w:spacing w:val="-10"/>
                <w:sz w:val="24"/>
              </w:rPr>
            </w:pPr>
            <w:r>
              <w:rPr>
                <w:rFonts w:ascii="Times New Roman" w:hAnsi="Times New Roman" w:cs="Times New Roman"/>
                <w:bCs/>
                <w:spacing w:val="-10"/>
                <w:sz w:val="24"/>
              </w:rPr>
              <w:t>施工期间的噪声主要是运输车辆的噪声、设备安装等产生的噪声，噪声值在70~85dB(A)之间。由于施工主要集中在车间内部，只对内部进行装饰、设备安装调试，噪声产生时间短，施工噪声对周边环境影响很小，不会发生施工扰民现象。</w:t>
            </w:r>
          </w:p>
          <w:p w14:paraId="00A05AC6">
            <w:pPr>
              <w:adjustRightInd w:val="0"/>
              <w:snapToGrid w:val="0"/>
              <w:spacing w:line="360" w:lineRule="auto"/>
              <w:ind w:firstLine="442" w:firstLineChars="200"/>
              <w:rPr>
                <w:rFonts w:ascii="Times New Roman" w:hAnsi="Times New Roman" w:cs="Times New Roman"/>
                <w:b/>
                <w:spacing w:val="-10"/>
                <w:sz w:val="24"/>
              </w:rPr>
            </w:pPr>
            <w:r>
              <w:rPr>
                <w:rFonts w:hint="eastAsia" w:ascii="Times New Roman" w:hAnsi="Times New Roman" w:cs="Times New Roman"/>
                <w:b/>
                <w:spacing w:val="-10"/>
                <w:sz w:val="24"/>
                <w:lang w:eastAsia="zh-CN"/>
              </w:rPr>
              <w:t>（4）</w:t>
            </w:r>
            <w:r>
              <w:rPr>
                <w:rFonts w:ascii="Times New Roman" w:hAnsi="Times New Roman" w:cs="Times New Roman"/>
                <w:b/>
                <w:spacing w:val="-10"/>
                <w:sz w:val="24"/>
              </w:rPr>
              <w:t>固废</w:t>
            </w:r>
          </w:p>
          <w:p w14:paraId="22C70B90">
            <w:pPr>
              <w:adjustRightInd w:val="0"/>
              <w:snapToGrid w:val="0"/>
              <w:spacing w:line="360" w:lineRule="auto"/>
              <w:ind w:firstLine="440" w:firstLineChars="200"/>
              <w:rPr>
                <w:rFonts w:hint="eastAsia" w:ascii="宋体" w:hAnsi="宋体" w:cs="宋体"/>
                <w:bCs/>
                <w:spacing w:val="-10"/>
                <w:sz w:val="24"/>
              </w:rPr>
            </w:pPr>
            <w:r>
              <w:rPr>
                <w:rFonts w:hint="eastAsia" w:ascii="宋体" w:hAnsi="宋体" w:cs="宋体"/>
                <w:bCs/>
                <w:spacing w:val="-10"/>
                <w:sz w:val="24"/>
              </w:rPr>
              <w:t>施工期间产生的固体废物主要是设备的包装废料、室内装修材料弃渣和生活垃圾等。装修施工废弃物料、建渣应按重庆市有关固体废弃物处理的规定要求，在施工完成后由施工单位负责清运。在工程竣工以后，施工单位应负责将工地剩余的建筑垃圾、工程渣土处理干净。生活垃圾交由环卫部门统一收集送城市垃圾场卫生填埋。</w:t>
            </w:r>
          </w:p>
          <w:p w14:paraId="49135E8B">
            <w:pPr>
              <w:adjustRightInd w:val="0"/>
              <w:snapToGrid w:val="0"/>
              <w:spacing w:line="360" w:lineRule="auto"/>
              <w:ind w:firstLine="440" w:firstLineChars="200"/>
            </w:pPr>
            <w:r>
              <w:rPr>
                <w:rFonts w:hint="eastAsia" w:ascii="宋体" w:hAnsi="宋体" w:cs="宋体"/>
                <w:bCs/>
                <w:spacing w:val="-10"/>
                <w:sz w:val="24"/>
              </w:rPr>
              <w:t>采取上述措施后，本项目施工产生的固体废物对周围环境影响较小。</w:t>
            </w:r>
          </w:p>
        </w:tc>
      </w:tr>
      <w:tr w14:paraId="6D5A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7" w:hRule="atLeast"/>
        </w:trPr>
        <w:tc>
          <w:tcPr>
            <w:tcW w:w="376" w:type="pct"/>
            <w:vAlign w:val="center"/>
          </w:tcPr>
          <w:p w14:paraId="42DA9F00">
            <w:pPr>
              <w:spacing w:line="360" w:lineRule="auto"/>
              <w:jc w:val="center"/>
              <w:rPr>
                <w:rFonts w:ascii="Times New Roman" w:hAnsi="Times New Roman" w:cs="宋体"/>
                <w:b/>
                <w:bCs/>
                <w:sz w:val="24"/>
              </w:rPr>
            </w:pPr>
            <w:r>
              <w:rPr>
                <w:rFonts w:hint="eastAsia" w:ascii="Times New Roman" w:hAnsi="Times New Roman" w:cs="宋体"/>
                <w:b/>
                <w:bCs/>
                <w:sz w:val="24"/>
              </w:rPr>
              <w:t>运营期环境影响和保护措施</w:t>
            </w:r>
          </w:p>
        </w:tc>
        <w:tc>
          <w:tcPr>
            <w:tcW w:w="4623" w:type="pct"/>
          </w:tcPr>
          <w:p w14:paraId="5812ABF9">
            <w:pPr>
              <w:numPr>
                <w:ilvl w:val="0"/>
                <w:numId w:val="6"/>
              </w:numPr>
              <w:spacing w:before="31" w:beforeLines="10" w:after="31" w:afterLines="10" w:line="360" w:lineRule="auto"/>
              <w:rPr>
                <w:rFonts w:ascii="Times New Roman" w:hAnsi="Times New Roman" w:eastAsia="宋体"/>
                <w:b/>
                <w:bCs/>
                <w:sz w:val="24"/>
              </w:rPr>
            </w:pPr>
            <w:r>
              <w:rPr>
                <w:rFonts w:hint="eastAsia" w:ascii="Times New Roman" w:hAnsi="Times New Roman" w:eastAsia="宋体"/>
                <w:b/>
                <w:bCs/>
                <w:sz w:val="24"/>
              </w:rPr>
              <w:t>废气</w:t>
            </w:r>
          </w:p>
          <w:p w14:paraId="0C7E8CC3">
            <w:pPr>
              <w:spacing w:line="372" w:lineRule="auto"/>
              <w:ind w:firstLine="480" w:firstLineChars="200"/>
              <w:rPr>
                <w:rFonts w:hint="eastAsia" w:ascii="Times New Roman" w:hAnsi="Times New Roman" w:eastAsia="宋体"/>
                <w:sz w:val="24"/>
                <w:lang w:eastAsia="zh-CN"/>
              </w:rPr>
            </w:pPr>
            <w:r>
              <w:rPr>
                <w:rFonts w:hint="eastAsia" w:ascii="Times New Roman" w:hAnsi="Times New Roman" w:eastAsia="宋体"/>
                <w:sz w:val="24"/>
                <w:lang w:eastAsia="zh-CN"/>
              </w:rPr>
              <w:t>废气运营期环境影响和保护措施分析详见《</w:t>
            </w:r>
            <w:r>
              <w:rPr>
                <w:rFonts w:hint="default" w:ascii="Times New Roman" w:hAnsi="Times New Roman" w:eastAsia="宋体"/>
                <w:sz w:val="24"/>
                <w:lang w:val="en-US" w:eastAsia="zh-CN"/>
              </w:rPr>
              <w:t>重庆惠才板材有限公司</w:t>
            </w:r>
            <w:r>
              <w:rPr>
                <w:rFonts w:hint="default" w:ascii="Times New Roman" w:hAnsi="Times New Roman" w:eastAsia="宋体"/>
                <w:sz w:val="24"/>
                <w:lang w:eastAsia="zh-CN"/>
              </w:rPr>
              <w:t>人造板材（免漆门面饰板）项目</w:t>
            </w:r>
            <w:r>
              <w:rPr>
                <w:rFonts w:hint="eastAsia" w:ascii="Times New Roman" w:hAnsi="Times New Roman" w:eastAsia="宋体"/>
                <w:sz w:val="24"/>
                <w:lang w:eastAsia="zh-CN"/>
              </w:rPr>
              <w:t>环境影响</w:t>
            </w:r>
            <w:r>
              <w:rPr>
                <w:rFonts w:hint="eastAsia" w:ascii="Times New Roman" w:hAnsi="Times New Roman" w:eastAsia="宋体"/>
                <w:sz w:val="24"/>
                <w:lang w:val="en-US" w:eastAsia="zh-CN"/>
              </w:rPr>
              <w:t>-</w:t>
            </w:r>
            <w:r>
              <w:rPr>
                <w:rFonts w:hint="eastAsia" w:ascii="Times New Roman" w:hAnsi="Times New Roman" w:eastAsia="宋体"/>
                <w:sz w:val="24"/>
                <w:lang w:eastAsia="zh-CN"/>
              </w:rPr>
              <w:t>大气专项评价》。</w:t>
            </w:r>
          </w:p>
          <w:p w14:paraId="6DEACBE9">
            <w:pPr>
              <w:spacing w:line="372" w:lineRule="auto"/>
              <w:ind w:firstLine="480" w:firstLineChars="200"/>
              <w:rPr>
                <w:rFonts w:hint="eastAsia" w:ascii="Times New Roman" w:hAnsi="Times New Roman" w:eastAsia="宋体"/>
                <w:sz w:val="24"/>
                <w:lang w:eastAsia="zh-CN"/>
              </w:rPr>
            </w:pPr>
          </w:p>
          <w:p w14:paraId="639D96E3">
            <w:pPr>
              <w:spacing w:line="372" w:lineRule="auto"/>
              <w:ind w:firstLine="480" w:firstLineChars="200"/>
              <w:rPr>
                <w:rFonts w:ascii="Times New Roman" w:hAnsi="Times New Roman" w:eastAsia="宋体"/>
                <w:sz w:val="24"/>
              </w:rPr>
            </w:pPr>
          </w:p>
          <w:p w14:paraId="2FB27C60">
            <w:pPr>
              <w:spacing w:line="372" w:lineRule="auto"/>
              <w:ind w:firstLine="480" w:firstLineChars="200"/>
              <w:rPr>
                <w:rFonts w:ascii="Times New Roman" w:hAnsi="Times New Roman" w:eastAsia="宋体"/>
                <w:sz w:val="24"/>
              </w:rPr>
            </w:pPr>
          </w:p>
        </w:tc>
      </w:tr>
    </w:tbl>
    <w:p w14:paraId="38EFA552">
      <w:pPr>
        <w:pStyle w:val="35"/>
        <w:adjustRightInd/>
        <w:spacing w:line="40" w:lineRule="exact"/>
        <w:rPr>
          <w:rFonts w:ascii="Times New Roman" w:hAnsi="Times New Roman" w:eastAsia="宋体"/>
          <w:color w:val="auto"/>
          <w:szCs w:val="24"/>
        </w:rPr>
      </w:pPr>
    </w:p>
    <w:p w14:paraId="5CA60FFB">
      <w:pPr>
        <w:spacing w:line="40" w:lineRule="exact"/>
        <w:rPr>
          <w:rFonts w:ascii="Times New Roman" w:hAnsi="Times New Roman" w:eastAsia="宋体"/>
          <w:sz w:val="24"/>
        </w:rPr>
      </w:pPr>
    </w:p>
    <w:p w14:paraId="69BFFE2D">
      <w:pPr>
        <w:pStyle w:val="26"/>
        <w:rPr>
          <w:rFonts w:eastAsia="宋体"/>
          <w:sz w:val="24"/>
          <w:szCs w:val="24"/>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7"/>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0"/>
        <w:gridCol w:w="8569"/>
      </w:tblGrid>
      <w:tr w14:paraId="2EC6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33" w:hRule="atLeast"/>
          <w:jc w:val="center"/>
        </w:trPr>
        <w:tc>
          <w:tcPr>
            <w:tcW w:w="322" w:type="pct"/>
            <w:tcMar>
              <w:left w:w="28" w:type="dxa"/>
              <w:right w:w="28" w:type="dxa"/>
            </w:tcMar>
            <w:vAlign w:val="center"/>
          </w:tcPr>
          <w:p w14:paraId="0E9BA191">
            <w:pPr>
              <w:pStyle w:val="50"/>
              <w:spacing w:before="93" w:after="93"/>
              <w:rPr>
                <w:rFonts w:cs="宋体"/>
                <w:b/>
                <w:bCs/>
              </w:rPr>
            </w:pPr>
            <w:r>
              <w:rPr>
                <w:rFonts w:hint="eastAsia"/>
                <w:b/>
                <w:bCs/>
              </w:rPr>
              <w:t>运营期环境影响和保护措施</w:t>
            </w:r>
          </w:p>
        </w:tc>
        <w:tc>
          <w:tcPr>
            <w:tcW w:w="4677" w:type="pct"/>
            <w:vAlign w:val="center"/>
          </w:tcPr>
          <w:p w14:paraId="0391EEE7">
            <w:pPr>
              <w:spacing w:before="31" w:beforeLines="10" w:after="31" w:afterLines="10" w:line="360" w:lineRule="auto"/>
              <w:rPr>
                <w:rFonts w:ascii="Times New Roman" w:hAnsi="Times New Roman" w:eastAsia="宋体"/>
                <w:b/>
                <w:bCs/>
                <w:sz w:val="24"/>
              </w:rPr>
            </w:pPr>
            <w:r>
              <w:rPr>
                <w:rFonts w:hint="eastAsia" w:ascii="Times New Roman" w:hAnsi="Times New Roman" w:eastAsia="宋体"/>
                <w:b/>
                <w:bCs/>
                <w:sz w:val="24"/>
                <w:lang w:eastAsia="zh-CN"/>
              </w:rPr>
              <w:t>2.</w:t>
            </w:r>
            <w:r>
              <w:rPr>
                <w:rFonts w:hint="eastAsia" w:ascii="Times New Roman" w:hAnsi="Times New Roman" w:eastAsia="宋体"/>
                <w:b/>
                <w:bCs/>
                <w:sz w:val="24"/>
              </w:rPr>
              <w:t>运营期废水环境影响及环保措施：</w:t>
            </w:r>
          </w:p>
          <w:p w14:paraId="1086C260">
            <w:pPr>
              <w:spacing w:before="31" w:beforeLines="10" w:after="31" w:afterLines="10"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1）废水产生情况</w:t>
            </w:r>
          </w:p>
          <w:p w14:paraId="1CDBA808">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项目厂区车间地面采用干式清扫，不进行地面冲洗，</w:t>
            </w:r>
            <w:r>
              <w:rPr>
                <w:szCs w:val="28"/>
              </w:rPr>
              <w:t>项目</w:t>
            </w:r>
            <w:r>
              <w:rPr>
                <w:rFonts w:hint="eastAsia" w:ascii="Times New Roman" w:hAnsi="Times New Roman" w:cs="宋体"/>
                <w:szCs w:val="24"/>
              </w:rPr>
              <w:t>运营期</w:t>
            </w:r>
            <w:r>
              <w:rPr>
                <w:rFonts w:hint="eastAsia"/>
                <w:szCs w:val="28"/>
              </w:rPr>
              <w:t>无生产废水产生，</w:t>
            </w:r>
            <w:r>
              <w:rPr>
                <w:rFonts w:hint="eastAsia" w:ascii="Times New Roman" w:hAnsi="Times New Roman" w:cs="宋体"/>
                <w:szCs w:val="24"/>
              </w:rPr>
              <w:t>外排污废水主要为生活污水。</w:t>
            </w:r>
          </w:p>
          <w:p w14:paraId="31C9F580">
            <w:pPr>
              <w:pStyle w:val="22"/>
              <w:spacing w:before="31" w:beforeLines="10" w:beforeAutospacing="0" w:after="31" w:afterLines="10" w:afterAutospacing="0" w:line="360" w:lineRule="auto"/>
              <w:ind w:firstLine="482" w:firstLineChars="200"/>
              <w:jc w:val="both"/>
              <w:rPr>
                <w:rFonts w:ascii="Times New Roman" w:hAnsi="Times New Roman" w:cs="宋体"/>
                <w:szCs w:val="24"/>
              </w:rPr>
            </w:pPr>
            <w:r>
              <w:rPr>
                <w:rFonts w:hint="eastAsia" w:ascii="Times New Roman" w:hAnsi="Times New Roman" w:cs="宋体"/>
                <w:b/>
                <w:bCs/>
                <w:szCs w:val="24"/>
              </w:rPr>
              <w:t xml:space="preserve">① </w:t>
            </w:r>
            <w:r>
              <w:rPr>
                <w:rFonts w:hint="eastAsia" w:ascii="Times New Roman" w:hAnsi="Times New Roman" w:cs="宋体"/>
                <w:szCs w:val="24"/>
                <w:u w:val="single"/>
              </w:rPr>
              <w:t>生活污水</w:t>
            </w:r>
            <w:r>
              <w:rPr>
                <w:rFonts w:hint="eastAsia" w:ascii="Times New Roman" w:hAnsi="Times New Roman" w:cs="宋体"/>
                <w:szCs w:val="24"/>
              </w:rPr>
              <w:t>：</w:t>
            </w:r>
          </w:p>
          <w:p w14:paraId="2BDC0AFD">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项目运营期劳动定员</w:t>
            </w:r>
            <w:r>
              <w:rPr>
                <w:rFonts w:hint="eastAsia" w:ascii="Times New Roman" w:hAnsi="Times New Roman" w:cs="宋体"/>
                <w:szCs w:val="24"/>
                <w:lang w:val="en-US" w:eastAsia="zh-CN"/>
              </w:rPr>
              <w:t>20</w:t>
            </w:r>
            <w:r>
              <w:rPr>
                <w:rFonts w:hint="eastAsia" w:ascii="Times New Roman" w:hAnsi="Times New Roman" w:cs="宋体"/>
                <w:szCs w:val="24"/>
              </w:rPr>
              <w:t>人，不设食宿。额定用水量按50L/d，产污系数按0.9计，则生活污水产生量约</w:t>
            </w:r>
            <w:r>
              <w:rPr>
                <w:rFonts w:hint="eastAsia" w:ascii="Times New Roman" w:hAnsi="Times New Roman" w:cs="宋体"/>
                <w:szCs w:val="24"/>
                <w:lang w:val="en-US" w:eastAsia="zh-CN"/>
              </w:rPr>
              <w:t>0.9</w:t>
            </w:r>
            <w:r>
              <w:rPr>
                <w:rFonts w:hint="eastAsia" w:ascii="Times New Roman" w:hAnsi="Times New Roman" w:cs="宋体"/>
                <w:szCs w:val="24"/>
              </w:rPr>
              <w:t>m</w:t>
            </w:r>
            <w:r>
              <w:rPr>
                <w:rFonts w:hint="eastAsia" w:ascii="Times New Roman" w:hAnsi="Times New Roman" w:cs="宋体"/>
                <w:szCs w:val="24"/>
                <w:vertAlign w:val="superscript"/>
              </w:rPr>
              <w:t>3</w:t>
            </w:r>
            <w:r>
              <w:rPr>
                <w:rFonts w:hint="eastAsia" w:ascii="Times New Roman" w:hAnsi="Times New Roman" w:cs="宋体"/>
                <w:szCs w:val="24"/>
              </w:rPr>
              <w:t>/d。其主要污染物为COD、BOD</w:t>
            </w:r>
            <w:r>
              <w:rPr>
                <w:rFonts w:hint="eastAsia" w:ascii="Times New Roman" w:hAnsi="Times New Roman" w:cs="宋体"/>
                <w:szCs w:val="24"/>
                <w:vertAlign w:val="subscript"/>
              </w:rPr>
              <w:t>5</w:t>
            </w:r>
            <w:r>
              <w:rPr>
                <w:rFonts w:hint="eastAsia" w:ascii="Times New Roman" w:hAnsi="Times New Roman" w:cs="宋体"/>
                <w:szCs w:val="24"/>
              </w:rPr>
              <w:t>、SS、氨氮等，各污染物浓度约550mg/L、350mg/L、450mg/L、50mg/L。</w:t>
            </w:r>
          </w:p>
          <w:p w14:paraId="339E5D6F">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项目运营期生活污水</w:t>
            </w:r>
            <w:r>
              <w:rPr>
                <w:rFonts w:hint="eastAsia" w:ascii="Times New Roman" w:hAnsi="Times New Roman" w:cs="宋体"/>
                <w:szCs w:val="24"/>
                <w:lang w:eastAsia="zh-CN"/>
              </w:rPr>
              <w:t>依托盛德佳</w:t>
            </w:r>
            <w:r>
              <w:rPr>
                <w:rFonts w:hint="eastAsia" w:ascii="Times New Roman" w:hAnsi="Times New Roman" w:cs="宋体"/>
                <w:szCs w:val="24"/>
              </w:rPr>
              <w:t>公司已建成生化池预处理达《污水综合排放标准》（GB 8978-1996）三级标准后排入园区市政污水管网，进入西彭污水处理厂深度处理达标后排放，最终汇入长江。</w:t>
            </w:r>
          </w:p>
          <w:p w14:paraId="5D7336C7">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项目废水污染物产生、排放情况见下表：</w:t>
            </w:r>
          </w:p>
          <w:p w14:paraId="280946C3">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表4-1</w:t>
            </w:r>
            <w:r>
              <w:rPr>
                <w:rFonts w:hint="eastAsia" w:ascii="Times New Roman" w:hAnsi="Times New Roman" w:eastAsia="宋体" w:cs="Times New Roman"/>
                <w:szCs w:val="24"/>
              </w:rPr>
              <w:t>4</w:t>
            </w:r>
            <w:r>
              <w:rPr>
                <w:rFonts w:ascii="Times New Roman" w:hAnsi="Times New Roman" w:eastAsia="宋体" w:cs="Times New Roman"/>
                <w:szCs w:val="24"/>
              </w:rPr>
              <w:t xml:space="preserve">  项目废水污染物产生、排放情况汇总表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57"/>
              <w:gridCol w:w="928"/>
              <w:gridCol w:w="1043"/>
              <w:gridCol w:w="1045"/>
              <w:gridCol w:w="1043"/>
              <w:gridCol w:w="1045"/>
              <w:gridCol w:w="1043"/>
              <w:gridCol w:w="1050"/>
            </w:tblGrid>
            <w:tr w14:paraId="1A00D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06EC71D9">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废水产生量</w:t>
                  </w:r>
                </w:p>
              </w:tc>
              <w:tc>
                <w:tcPr>
                  <w:tcW w:w="548" w:type="pct"/>
                  <w:vMerge w:val="restart"/>
                  <w:tcBorders>
                    <w:tl2br w:val="nil"/>
                    <w:tr2bl w:val="nil"/>
                  </w:tcBorders>
                  <w:vAlign w:val="center"/>
                </w:tcPr>
                <w:p w14:paraId="37D83E7D">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污染物</w:t>
                  </w:r>
                </w:p>
              </w:tc>
              <w:tc>
                <w:tcPr>
                  <w:tcW w:w="1234" w:type="pct"/>
                  <w:gridSpan w:val="2"/>
                  <w:tcBorders>
                    <w:tl2br w:val="nil"/>
                    <w:tr2bl w:val="nil"/>
                  </w:tcBorders>
                  <w:vAlign w:val="center"/>
                </w:tcPr>
                <w:p w14:paraId="7DE22523">
                  <w:pPr>
                    <w:pStyle w:val="22"/>
                    <w:spacing w:before="62" w:beforeLines="20" w:beforeAutospacing="0" w:after="62" w:afterLines="2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产生情况</w:t>
                  </w:r>
                </w:p>
              </w:tc>
              <w:tc>
                <w:tcPr>
                  <w:tcW w:w="1234" w:type="pct"/>
                  <w:gridSpan w:val="2"/>
                  <w:tcBorders>
                    <w:tl2br w:val="nil"/>
                    <w:tr2bl w:val="nil"/>
                  </w:tcBorders>
                  <w:vAlign w:val="center"/>
                </w:tcPr>
                <w:p w14:paraId="67B7A6D9">
                  <w:pPr>
                    <w:pStyle w:val="22"/>
                    <w:spacing w:before="62" w:beforeLines="20" w:beforeAutospacing="0" w:after="62" w:afterLines="2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接管情况</w:t>
                  </w:r>
                </w:p>
              </w:tc>
              <w:tc>
                <w:tcPr>
                  <w:tcW w:w="1237" w:type="pct"/>
                  <w:gridSpan w:val="2"/>
                  <w:tcBorders>
                    <w:tl2br w:val="nil"/>
                    <w:tr2bl w:val="nil"/>
                  </w:tcBorders>
                  <w:vAlign w:val="center"/>
                </w:tcPr>
                <w:p w14:paraId="0B88CBD8">
                  <w:pPr>
                    <w:pStyle w:val="22"/>
                    <w:spacing w:before="62" w:beforeLines="20" w:beforeAutospacing="0" w:after="62" w:afterLines="2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排入环境情况</w:t>
                  </w:r>
                </w:p>
              </w:tc>
            </w:tr>
            <w:tr w14:paraId="16111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2E5F2E70">
                  <w:pPr>
                    <w:pStyle w:val="22"/>
                    <w:spacing w:before="78" w:beforeLines="25" w:beforeAutospacing="0" w:after="78" w:afterLines="25" w:afterAutospacing="0" w:line="300" w:lineRule="auto"/>
                    <w:jc w:val="center"/>
                    <w:rPr>
                      <w:rFonts w:ascii="Times New Roman" w:hAnsi="Times New Roman" w:eastAsia="宋体" w:cs="宋体"/>
                      <w:sz w:val="21"/>
                      <w:szCs w:val="21"/>
                    </w:rPr>
                  </w:pPr>
                </w:p>
              </w:tc>
              <w:tc>
                <w:tcPr>
                  <w:tcW w:w="548" w:type="pct"/>
                  <w:vMerge w:val="continue"/>
                  <w:tcBorders>
                    <w:tl2br w:val="nil"/>
                    <w:tr2bl w:val="nil"/>
                  </w:tcBorders>
                  <w:vAlign w:val="center"/>
                </w:tcPr>
                <w:p w14:paraId="14854F50">
                  <w:pPr>
                    <w:pStyle w:val="22"/>
                    <w:spacing w:before="78" w:beforeLines="25" w:beforeAutospacing="0" w:after="78" w:afterLines="25" w:afterAutospacing="0" w:line="300" w:lineRule="auto"/>
                    <w:jc w:val="center"/>
                    <w:rPr>
                      <w:rFonts w:ascii="Times New Roman" w:hAnsi="Times New Roman" w:eastAsia="宋体" w:cs="宋体"/>
                      <w:sz w:val="21"/>
                      <w:szCs w:val="21"/>
                    </w:rPr>
                  </w:pPr>
                </w:p>
              </w:tc>
              <w:tc>
                <w:tcPr>
                  <w:tcW w:w="616" w:type="pct"/>
                  <w:tcBorders>
                    <w:tl2br w:val="nil"/>
                    <w:tr2bl w:val="nil"/>
                  </w:tcBorders>
                  <w:vAlign w:val="center"/>
                </w:tcPr>
                <w:p w14:paraId="5940749F">
                  <w:pPr>
                    <w:widowControl/>
                    <w:spacing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浓度</w:t>
                  </w:r>
                </w:p>
                <w:p w14:paraId="18C6D952">
                  <w:pPr>
                    <w:pStyle w:val="22"/>
                    <w:spacing w:before="0" w:beforeAutospacing="0" w:after="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（mg/L）</w:t>
                  </w:r>
                </w:p>
              </w:tc>
              <w:tc>
                <w:tcPr>
                  <w:tcW w:w="618" w:type="pct"/>
                  <w:tcBorders>
                    <w:tl2br w:val="nil"/>
                    <w:tr2bl w:val="nil"/>
                  </w:tcBorders>
                  <w:vAlign w:val="center"/>
                </w:tcPr>
                <w:p w14:paraId="1F8BE54D">
                  <w:pPr>
                    <w:widowControl/>
                    <w:spacing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总量</w:t>
                  </w:r>
                </w:p>
                <w:p w14:paraId="54E86B86">
                  <w:pPr>
                    <w:pStyle w:val="22"/>
                    <w:spacing w:before="0" w:beforeAutospacing="0" w:after="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（t/a）</w:t>
                  </w:r>
                </w:p>
              </w:tc>
              <w:tc>
                <w:tcPr>
                  <w:tcW w:w="616" w:type="pct"/>
                  <w:tcBorders>
                    <w:tl2br w:val="nil"/>
                    <w:tr2bl w:val="nil"/>
                  </w:tcBorders>
                  <w:vAlign w:val="center"/>
                </w:tcPr>
                <w:p w14:paraId="7371E87D">
                  <w:pPr>
                    <w:widowControl/>
                    <w:spacing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浓度</w:t>
                  </w:r>
                </w:p>
                <w:p w14:paraId="73F10A6E">
                  <w:pPr>
                    <w:pStyle w:val="22"/>
                    <w:spacing w:before="0" w:beforeAutospacing="0" w:after="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（mg/L）</w:t>
                  </w:r>
                </w:p>
              </w:tc>
              <w:tc>
                <w:tcPr>
                  <w:tcW w:w="618" w:type="pct"/>
                  <w:tcBorders>
                    <w:tl2br w:val="nil"/>
                    <w:tr2bl w:val="nil"/>
                  </w:tcBorders>
                  <w:vAlign w:val="center"/>
                </w:tcPr>
                <w:p w14:paraId="012A0418">
                  <w:pPr>
                    <w:widowControl/>
                    <w:spacing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总量</w:t>
                  </w:r>
                </w:p>
                <w:p w14:paraId="43EBB003">
                  <w:pPr>
                    <w:pStyle w:val="22"/>
                    <w:spacing w:before="0" w:beforeAutospacing="0" w:after="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（t/a）</w:t>
                  </w:r>
                </w:p>
              </w:tc>
              <w:tc>
                <w:tcPr>
                  <w:tcW w:w="616" w:type="pct"/>
                  <w:tcBorders>
                    <w:tl2br w:val="nil"/>
                    <w:tr2bl w:val="nil"/>
                  </w:tcBorders>
                  <w:vAlign w:val="center"/>
                </w:tcPr>
                <w:p w14:paraId="43CC2BC6">
                  <w:pPr>
                    <w:widowControl/>
                    <w:spacing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浓度</w:t>
                  </w:r>
                </w:p>
                <w:p w14:paraId="0AB81137">
                  <w:pPr>
                    <w:pStyle w:val="22"/>
                    <w:spacing w:before="0" w:beforeAutospacing="0" w:after="0"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（mg/L）</w:t>
                  </w:r>
                </w:p>
              </w:tc>
              <w:tc>
                <w:tcPr>
                  <w:tcW w:w="621" w:type="pct"/>
                  <w:tcBorders>
                    <w:tl2br w:val="nil"/>
                    <w:tr2bl w:val="nil"/>
                  </w:tcBorders>
                  <w:vAlign w:val="center"/>
                </w:tcPr>
                <w:p w14:paraId="52792CFE">
                  <w:pPr>
                    <w:widowControl/>
                    <w:spacing w:before="78" w:beforeLines="25" w:line="300" w:lineRule="auto"/>
                    <w:jc w:val="center"/>
                    <w:rPr>
                      <w:rFonts w:ascii="Times New Roman" w:hAnsi="Times New Roman" w:eastAsia="宋体" w:cs="宋体"/>
                      <w:b/>
                      <w:bCs/>
                      <w:szCs w:val="21"/>
                    </w:rPr>
                  </w:pPr>
                  <w:r>
                    <w:rPr>
                      <w:rFonts w:hint="eastAsia" w:ascii="Times New Roman" w:hAnsi="Times New Roman" w:eastAsia="宋体" w:cs="宋体"/>
                      <w:b/>
                      <w:bCs/>
                      <w:szCs w:val="21"/>
                    </w:rPr>
                    <w:t>总量</w:t>
                  </w:r>
                </w:p>
                <w:p w14:paraId="0DBFE717">
                  <w:pPr>
                    <w:pStyle w:val="22"/>
                    <w:spacing w:before="0"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b/>
                      <w:bCs/>
                      <w:sz w:val="21"/>
                      <w:szCs w:val="21"/>
                    </w:rPr>
                    <w:t>（t/a）</w:t>
                  </w:r>
                </w:p>
              </w:tc>
            </w:tr>
            <w:tr w14:paraId="0B86E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289A0339">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生活污水</w:t>
                  </w:r>
                  <w:r>
                    <w:rPr>
                      <w:rFonts w:hint="eastAsia" w:ascii="Times New Roman" w:hAnsi="Times New Roman" w:eastAsia="宋体" w:cs="宋体"/>
                      <w:sz w:val="21"/>
                      <w:szCs w:val="21"/>
                      <w:lang w:val="en-US" w:eastAsia="zh-CN"/>
                    </w:rPr>
                    <w:t>225</w:t>
                  </w:r>
                  <w:r>
                    <w:rPr>
                      <w:rFonts w:hint="eastAsia" w:ascii="Times New Roman" w:hAnsi="Times New Roman" w:eastAsia="宋体" w:cs="宋体"/>
                      <w:sz w:val="21"/>
                      <w:szCs w:val="21"/>
                    </w:rPr>
                    <w:t>m</w:t>
                  </w:r>
                  <w:r>
                    <w:rPr>
                      <w:rFonts w:hint="eastAsia" w:ascii="Times New Roman" w:hAnsi="Times New Roman" w:eastAsia="宋体" w:cs="宋体"/>
                      <w:sz w:val="21"/>
                      <w:szCs w:val="21"/>
                      <w:vertAlign w:val="superscript"/>
                    </w:rPr>
                    <w:t>3</w:t>
                  </w:r>
                  <w:r>
                    <w:rPr>
                      <w:rFonts w:hint="eastAsia" w:ascii="Times New Roman" w:hAnsi="Times New Roman" w:eastAsia="宋体" w:cs="宋体"/>
                      <w:sz w:val="21"/>
                      <w:szCs w:val="21"/>
                    </w:rPr>
                    <w:t>/a</w:t>
                  </w:r>
                </w:p>
              </w:tc>
              <w:tc>
                <w:tcPr>
                  <w:tcW w:w="548" w:type="pct"/>
                  <w:tcBorders>
                    <w:tl2br w:val="nil"/>
                    <w:tr2bl w:val="nil"/>
                  </w:tcBorders>
                  <w:vAlign w:val="center"/>
                </w:tcPr>
                <w:p w14:paraId="377A74CE">
                  <w:pPr>
                    <w:widowControl/>
                    <w:spacing w:before="78" w:beforeLines="25" w:after="78" w:afterLines="25" w:line="300" w:lineRule="auto"/>
                    <w:jc w:val="center"/>
                    <w:rPr>
                      <w:rFonts w:ascii="Times New Roman" w:hAnsi="Times New Roman" w:eastAsia="宋体" w:cs="宋体"/>
                      <w:szCs w:val="21"/>
                    </w:rPr>
                  </w:pPr>
                  <w:r>
                    <w:rPr>
                      <w:rFonts w:hint="eastAsia" w:ascii="Times New Roman" w:hAnsi="Times New Roman" w:eastAsia="宋体" w:cs="宋体"/>
                      <w:szCs w:val="21"/>
                    </w:rPr>
                    <w:t>COD</w:t>
                  </w:r>
                </w:p>
              </w:tc>
              <w:tc>
                <w:tcPr>
                  <w:tcW w:w="616" w:type="pct"/>
                  <w:tcBorders>
                    <w:tl2br w:val="nil"/>
                    <w:tr2bl w:val="nil"/>
                  </w:tcBorders>
                  <w:vAlign w:val="center"/>
                </w:tcPr>
                <w:p w14:paraId="6FDFC72B">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550</w:t>
                  </w:r>
                </w:p>
              </w:tc>
              <w:tc>
                <w:tcPr>
                  <w:tcW w:w="618" w:type="pct"/>
                  <w:tcBorders>
                    <w:tl2br w:val="nil"/>
                    <w:tr2bl w:val="nil"/>
                  </w:tcBorders>
                  <w:vAlign w:val="bottom"/>
                </w:tcPr>
                <w:p w14:paraId="76E8AFA2">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0.124</w:t>
                  </w:r>
                </w:p>
              </w:tc>
              <w:tc>
                <w:tcPr>
                  <w:tcW w:w="616" w:type="pct"/>
                  <w:tcBorders>
                    <w:tl2br w:val="nil"/>
                    <w:tr2bl w:val="nil"/>
                  </w:tcBorders>
                  <w:vAlign w:val="center"/>
                </w:tcPr>
                <w:p w14:paraId="57A6D329">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500</w:t>
                  </w:r>
                </w:p>
              </w:tc>
              <w:tc>
                <w:tcPr>
                  <w:tcW w:w="618" w:type="pct"/>
                  <w:tcBorders>
                    <w:tl2br w:val="nil"/>
                    <w:tr2bl w:val="nil"/>
                  </w:tcBorders>
                  <w:vAlign w:val="bottom"/>
                </w:tcPr>
                <w:p w14:paraId="35FFA8BB">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0.125</w:t>
                  </w:r>
                </w:p>
              </w:tc>
              <w:tc>
                <w:tcPr>
                  <w:tcW w:w="616" w:type="pct"/>
                  <w:tcBorders>
                    <w:tl2br w:val="nil"/>
                    <w:tr2bl w:val="nil"/>
                  </w:tcBorders>
                  <w:vAlign w:val="center"/>
                </w:tcPr>
                <w:p w14:paraId="2BF8E9CC">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100</w:t>
                  </w:r>
                </w:p>
              </w:tc>
              <w:tc>
                <w:tcPr>
                  <w:tcW w:w="621" w:type="pct"/>
                  <w:tcBorders>
                    <w:tl2br w:val="nil"/>
                    <w:tr2bl w:val="nil"/>
                  </w:tcBorders>
                  <w:vAlign w:val="center"/>
                </w:tcPr>
                <w:p w14:paraId="072E051D">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0.023</w:t>
                  </w:r>
                </w:p>
              </w:tc>
            </w:tr>
            <w:tr w14:paraId="1C35F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05AE7F1">
                  <w:pPr>
                    <w:pStyle w:val="22"/>
                    <w:spacing w:before="78" w:beforeLines="25" w:beforeAutospacing="0" w:after="78" w:afterLines="25" w:afterAutospacing="0" w:line="300" w:lineRule="auto"/>
                    <w:jc w:val="center"/>
                    <w:rPr>
                      <w:rFonts w:ascii="Times New Roman" w:hAnsi="Times New Roman" w:eastAsia="宋体" w:cs="宋体"/>
                      <w:sz w:val="21"/>
                      <w:szCs w:val="21"/>
                    </w:rPr>
                  </w:pPr>
                </w:p>
              </w:tc>
              <w:tc>
                <w:tcPr>
                  <w:tcW w:w="548" w:type="pct"/>
                  <w:tcBorders>
                    <w:tl2br w:val="nil"/>
                    <w:tr2bl w:val="nil"/>
                  </w:tcBorders>
                  <w:vAlign w:val="center"/>
                </w:tcPr>
                <w:p w14:paraId="4A80E84F">
                  <w:pPr>
                    <w:widowControl/>
                    <w:spacing w:before="78" w:beforeLines="25" w:after="78" w:afterLines="25" w:line="300" w:lineRule="auto"/>
                    <w:jc w:val="center"/>
                    <w:rPr>
                      <w:rFonts w:ascii="Times New Roman" w:hAnsi="Times New Roman" w:eastAsia="宋体" w:cs="宋体"/>
                      <w:szCs w:val="21"/>
                    </w:rPr>
                  </w:pPr>
                  <w:r>
                    <w:rPr>
                      <w:rFonts w:hint="eastAsia" w:ascii="Times New Roman" w:hAnsi="Times New Roman" w:eastAsia="宋体" w:cs="宋体"/>
                      <w:szCs w:val="21"/>
                    </w:rPr>
                    <w:t>BOD</w:t>
                  </w:r>
                  <w:r>
                    <w:rPr>
                      <w:rFonts w:hint="eastAsia" w:ascii="Times New Roman" w:hAnsi="Times New Roman" w:eastAsia="宋体" w:cs="宋体"/>
                      <w:szCs w:val="21"/>
                      <w:vertAlign w:val="subscript"/>
                    </w:rPr>
                    <w:t>5</w:t>
                  </w:r>
                </w:p>
              </w:tc>
              <w:tc>
                <w:tcPr>
                  <w:tcW w:w="616" w:type="pct"/>
                  <w:tcBorders>
                    <w:tl2br w:val="nil"/>
                    <w:tr2bl w:val="nil"/>
                  </w:tcBorders>
                  <w:vAlign w:val="center"/>
                </w:tcPr>
                <w:p w14:paraId="4E5CFDC8">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350</w:t>
                  </w:r>
                </w:p>
              </w:tc>
              <w:tc>
                <w:tcPr>
                  <w:tcW w:w="618" w:type="pct"/>
                  <w:tcBorders>
                    <w:tl2br w:val="nil"/>
                    <w:tr2bl w:val="nil"/>
                  </w:tcBorders>
                  <w:vAlign w:val="bottom"/>
                </w:tcPr>
                <w:p w14:paraId="6080CEC0">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0.079</w:t>
                  </w:r>
                </w:p>
              </w:tc>
              <w:tc>
                <w:tcPr>
                  <w:tcW w:w="616" w:type="pct"/>
                  <w:tcBorders>
                    <w:tl2br w:val="nil"/>
                    <w:tr2bl w:val="nil"/>
                  </w:tcBorders>
                  <w:vAlign w:val="center"/>
                </w:tcPr>
                <w:p w14:paraId="48888792">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300</w:t>
                  </w:r>
                </w:p>
              </w:tc>
              <w:tc>
                <w:tcPr>
                  <w:tcW w:w="618" w:type="pct"/>
                  <w:tcBorders>
                    <w:tl2br w:val="nil"/>
                    <w:tr2bl w:val="nil"/>
                  </w:tcBorders>
                  <w:vAlign w:val="bottom"/>
                </w:tcPr>
                <w:p w14:paraId="38C5D47D">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0.075</w:t>
                  </w:r>
                </w:p>
              </w:tc>
              <w:tc>
                <w:tcPr>
                  <w:tcW w:w="616" w:type="pct"/>
                  <w:tcBorders>
                    <w:tl2br w:val="nil"/>
                    <w:tr2bl w:val="nil"/>
                  </w:tcBorders>
                  <w:vAlign w:val="center"/>
                </w:tcPr>
                <w:p w14:paraId="1875A132">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30</w:t>
                  </w:r>
                </w:p>
              </w:tc>
              <w:tc>
                <w:tcPr>
                  <w:tcW w:w="621" w:type="pct"/>
                  <w:tcBorders>
                    <w:tl2br w:val="nil"/>
                    <w:tr2bl w:val="nil"/>
                  </w:tcBorders>
                  <w:vAlign w:val="center"/>
                </w:tcPr>
                <w:p w14:paraId="73B5B036">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0.007</w:t>
                  </w:r>
                </w:p>
              </w:tc>
            </w:tr>
            <w:tr w14:paraId="4C470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D8C6F6B">
                  <w:pPr>
                    <w:pStyle w:val="22"/>
                    <w:spacing w:before="78" w:beforeLines="25" w:beforeAutospacing="0" w:after="78" w:afterLines="25" w:afterAutospacing="0" w:line="300" w:lineRule="auto"/>
                    <w:jc w:val="center"/>
                    <w:rPr>
                      <w:rFonts w:ascii="Times New Roman" w:hAnsi="Times New Roman" w:eastAsia="宋体" w:cs="宋体"/>
                      <w:sz w:val="21"/>
                      <w:szCs w:val="21"/>
                    </w:rPr>
                  </w:pPr>
                </w:p>
              </w:tc>
              <w:tc>
                <w:tcPr>
                  <w:tcW w:w="548" w:type="pct"/>
                  <w:tcBorders>
                    <w:tl2br w:val="nil"/>
                    <w:tr2bl w:val="nil"/>
                  </w:tcBorders>
                  <w:vAlign w:val="center"/>
                </w:tcPr>
                <w:p w14:paraId="6F9B38EE">
                  <w:pPr>
                    <w:widowControl/>
                    <w:spacing w:before="78" w:beforeLines="25" w:after="78" w:afterLines="25" w:line="300" w:lineRule="auto"/>
                    <w:jc w:val="center"/>
                    <w:rPr>
                      <w:rFonts w:ascii="Times New Roman" w:hAnsi="Times New Roman" w:eastAsia="宋体" w:cs="宋体"/>
                      <w:szCs w:val="21"/>
                    </w:rPr>
                  </w:pPr>
                  <w:r>
                    <w:rPr>
                      <w:rFonts w:hint="eastAsia" w:ascii="Times New Roman" w:hAnsi="Times New Roman" w:eastAsia="宋体" w:cs="宋体"/>
                      <w:szCs w:val="21"/>
                    </w:rPr>
                    <w:t>SS</w:t>
                  </w:r>
                </w:p>
              </w:tc>
              <w:tc>
                <w:tcPr>
                  <w:tcW w:w="616" w:type="pct"/>
                  <w:tcBorders>
                    <w:tl2br w:val="nil"/>
                    <w:tr2bl w:val="nil"/>
                  </w:tcBorders>
                  <w:vAlign w:val="center"/>
                </w:tcPr>
                <w:p w14:paraId="30E3F33B">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450</w:t>
                  </w:r>
                </w:p>
              </w:tc>
              <w:tc>
                <w:tcPr>
                  <w:tcW w:w="618" w:type="pct"/>
                  <w:tcBorders>
                    <w:tl2br w:val="nil"/>
                    <w:tr2bl w:val="nil"/>
                  </w:tcBorders>
                  <w:vAlign w:val="bottom"/>
                </w:tcPr>
                <w:p w14:paraId="33F6E026">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0.101</w:t>
                  </w:r>
                </w:p>
              </w:tc>
              <w:tc>
                <w:tcPr>
                  <w:tcW w:w="616" w:type="pct"/>
                  <w:tcBorders>
                    <w:tl2br w:val="nil"/>
                    <w:tr2bl w:val="nil"/>
                  </w:tcBorders>
                  <w:vAlign w:val="center"/>
                </w:tcPr>
                <w:p w14:paraId="2101D0BF">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400</w:t>
                  </w:r>
                </w:p>
              </w:tc>
              <w:tc>
                <w:tcPr>
                  <w:tcW w:w="618" w:type="pct"/>
                  <w:tcBorders>
                    <w:tl2br w:val="nil"/>
                    <w:tr2bl w:val="nil"/>
                  </w:tcBorders>
                  <w:vAlign w:val="bottom"/>
                </w:tcPr>
                <w:p w14:paraId="5DB1F90A">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w:t>
                  </w:r>
                </w:p>
              </w:tc>
              <w:tc>
                <w:tcPr>
                  <w:tcW w:w="616" w:type="pct"/>
                  <w:tcBorders>
                    <w:tl2br w:val="nil"/>
                    <w:tr2bl w:val="nil"/>
                  </w:tcBorders>
                  <w:vAlign w:val="center"/>
                </w:tcPr>
                <w:p w14:paraId="0FABE3AE">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70</w:t>
                  </w:r>
                </w:p>
              </w:tc>
              <w:tc>
                <w:tcPr>
                  <w:tcW w:w="621" w:type="pct"/>
                  <w:tcBorders>
                    <w:tl2br w:val="nil"/>
                    <w:tr2bl w:val="nil"/>
                  </w:tcBorders>
                  <w:vAlign w:val="center"/>
                </w:tcPr>
                <w:p w14:paraId="504A4507">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0.016</w:t>
                  </w:r>
                </w:p>
              </w:tc>
            </w:tr>
            <w:tr w14:paraId="35CCB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CEE7558">
                  <w:pPr>
                    <w:pStyle w:val="22"/>
                    <w:spacing w:before="78" w:beforeLines="25" w:beforeAutospacing="0" w:after="78" w:afterLines="25" w:afterAutospacing="0" w:line="300" w:lineRule="auto"/>
                    <w:jc w:val="center"/>
                    <w:rPr>
                      <w:rFonts w:ascii="Times New Roman" w:hAnsi="Times New Roman" w:eastAsia="宋体" w:cs="宋体"/>
                      <w:sz w:val="21"/>
                      <w:szCs w:val="21"/>
                    </w:rPr>
                  </w:pPr>
                </w:p>
              </w:tc>
              <w:tc>
                <w:tcPr>
                  <w:tcW w:w="548" w:type="pct"/>
                  <w:tcBorders>
                    <w:tl2br w:val="nil"/>
                    <w:tr2bl w:val="nil"/>
                  </w:tcBorders>
                  <w:vAlign w:val="center"/>
                </w:tcPr>
                <w:p w14:paraId="4318A3E9">
                  <w:pPr>
                    <w:widowControl/>
                    <w:spacing w:before="78" w:beforeLines="25" w:after="78" w:afterLines="25" w:line="300" w:lineRule="auto"/>
                    <w:jc w:val="center"/>
                    <w:rPr>
                      <w:rFonts w:ascii="Times New Roman" w:hAnsi="Times New Roman" w:eastAsia="宋体" w:cs="宋体"/>
                      <w:szCs w:val="21"/>
                    </w:rPr>
                  </w:pPr>
                  <w:r>
                    <w:rPr>
                      <w:rFonts w:hint="eastAsia" w:ascii="Times New Roman" w:hAnsi="Times New Roman" w:eastAsia="宋体" w:cs="宋体"/>
                      <w:szCs w:val="21"/>
                    </w:rPr>
                    <w:t>氨氮</w:t>
                  </w:r>
                </w:p>
              </w:tc>
              <w:tc>
                <w:tcPr>
                  <w:tcW w:w="616" w:type="pct"/>
                  <w:tcBorders>
                    <w:tl2br w:val="nil"/>
                    <w:tr2bl w:val="nil"/>
                  </w:tcBorders>
                  <w:vAlign w:val="center"/>
                </w:tcPr>
                <w:p w14:paraId="2354ED8D">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50</w:t>
                  </w:r>
                </w:p>
              </w:tc>
              <w:tc>
                <w:tcPr>
                  <w:tcW w:w="618" w:type="pct"/>
                  <w:tcBorders>
                    <w:tl2br w:val="nil"/>
                    <w:tr2bl w:val="nil"/>
                  </w:tcBorders>
                  <w:vAlign w:val="bottom"/>
                </w:tcPr>
                <w:p w14:paraId="0C29EDC7">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0.011</w:t>
                  </w:r>
                </w:p>
              </w:tc>
              <w:tc>
                <w:tcPr>
                  <w:tcW w:w="616" w:type="pct"/>
                  <w:tcBorders>
                    <w:tl2br w:val="nil"/>
                    <w:tr2bl w:val="nil"/>
                  </w:tcBorders>
                  <w:vAlign w:val="center"/>
                </w:tcPr>
                <w:p w14:paraId="3F939D92">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45</w:t>
                  </w:r>
                </w:p>
              </w:tc>
              <w:tc>
                <w:tcPr>
                  <w:tcW w:w="618" w:type="pct"/>
                  <w:tcBorders>
                    <w:tl2br w:val="nil"/>
                    <w:tr2bl w:val="nil"/>
                  </w:tcBorders>
                  <w:vAlign w:val="bottom"/>
                </w:tcPr>
                <w:p w14:paraId="1D10BF4F">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0.011</w:t>
                  </w:r>
                </w:p>
              </w:tc>
              <w:tc>
                <w:tcPr>
                  <w:tcW w:w="616" w:type="pct"/>
                  <w:tcBorders>
                    <w:tl2br w:val="nil"/>
                    <w:tr2bl w:val="nil"/>
                  </w:tcBorders>
                  <w:vAlign w:val="center"/>
                </w:tcPr>
                <w:p w14:paraId="2688084D">
                  <w:pPr>
                    <w:pStyle w:val="22"/>
                    <w:spacing w:before="78" w:beforeLines="25" w:beforeAutospacing="0" w:after="78" w:afterLines="25" w:afterAutospacing="0" w:line="300" w:lineRule="auto"/>
                    <w:jc w:val="center"/>
                    <w:rPr>
                      <w:rFonts w:ascii="Times New Roman" w:hAnsi="Times New Roman" w:eastAsia="宋体" w:cs="宋体"/>
                      <w:sz w:val="21"/>
                      <w:szCs w:val="21"/>
                    </w:rPr>
                  </w:pPr>
                  <w:r>
                    <w:rPr>
                      <w:rFonts w:hint="eastAsia" w:ascii="Times New Roman" w:hAnsi="Times New Roman" w:eastAsia="宋体" w:cs="宋体"/>
                      <w:sz w:val="21"/>
                      <w:szCs w:val="21"/>
                    </w:rPr>
                    <w:t>15</w:t>
                  </w:r>
                </w:p>
              </w:tc>
              <w:tc>
                <w:tcPr>
                  <w:tcW w:w="621" w:type="pct"/>
                  <w:tcBorders>
                    <w:tl2br w:val="nil"/>
                    <w:tr2bl w:val="nil"/>
                  </w:tcBorders>
                  <w:vAlign w:val="center"/>
                </w:tcPr>
                <w:p w14:paraId="4BB33A34">
                  <w:pPr>
                    <w:pStyle w:val="22"/>
                    <w:spacing w:before="78" w:beforeLines="25" w:beforeAutospacing="0" w:after="78" w:afterLines="25" w:afterAutospacing="0" w:line="300" w:lineRule="auto"/>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0.003</w:t>
                  </w:r>
                </w:p>
              </w:tc>
            </w:tr>
            <w:tr w14:paraId="194A9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8"/>
                  <w:tcBorders>
                    <w:tl2br w:val="nil"/>
                    <w:tr2bl w:val="nil"/>
                  </w:tcBorders>
                  <w:vAlign w:val="center"/>
                </w:tcPr>
                <w:p w14:paraId="0A206EE2">
                  <w:pPr>
                    <w:pStyle w:val="22"/>
                    <w:spacing w:before="78" w:beforeLines="25" w:beforeAutospacing="0" w:after="78" w:afterLines="25" w:afterAutospacing="0" w:line="300" w:lineRule="auto"/>
                    <w:jc w:val="both"/>
                    <w:rPr>
                      <w:rFonts w:ascii="Times New Roman" w:hAnsi="Times New Roman" w:eastAsia="宋体" w:cs="宋体"/>
                      <w:sz w:val="21"/>
                      <w:szCs w:val="21"/>
                    </w:rPr>
                  </w:pPr>
                  <w:r>
                    <w:rPr>
                      <w:rFonts w:hint="eastAsia" w:ascii="Times New Roman" w:hAnsi="Times New Roman" w:eastAsia="宋体" w:cs="宋体"/>
                      <w:b/>
                      <w:bCs/>
                      <w:sz w:val="21"/>
                      <w:szCs w:val="21"/>
                    </w:rPr>
                    <w:t>注</w:t>
                  </w:r>
                  <w:r>
                    <w:rPr>
                      <w:rFonts w:hint="eastAsia" w:ascii="Times New Roman" w:hAnsi="Times New Roman" w:eastAsia="宋体" w:cs="宋体"/>
                      <w:sz w:val="21"/>
                      <w:szCs w:val="21"/>
                    </w:rPr>
                    <w:t>：项目生活污水中污染物执行《污水综合排放标准》（GB8978-1996）三级标准，COD 500mg/L、BOD</w:t>
                  </w:r>
                  <w:r>
                    <w:rPr>
                      <w:rFonts w:hint="eastAsia" w:ascii="Times New Roman" w:hAnsi="Times New Roman" w:eastAsia="宋体" w:cs="宋体"/>
                      <w:sz w:val="21"/>
                      <w:szCs w:val="21"/>
                      <w:vertAlign w:val="subscript"/>
                    </w:rPr>
                    <w:t>5</w:t>
                  </w:r>
                  <w:r>
                    <w:rPr>
                      <w:rFonts w:hint="eastAsia" w:ascii="Times New Roman" w:hAnsi="Times New Roman" w:eastAsia="宋体" w:cs="宋体"/>
                      <w:sz w:val="21"/>
                      <w:szCs w:val="21"/>
                    </w:rPr>
                    <w:t>300mg/L、SS400mg/L，氨氮参照执行《污水排入城镇下水道水质标准》（GB/T 31962-2015），限值为45mg/L。</w:t>
                  </w:r>
                </w:p>
              </w:tc>
            </w:tr>
          </w:tbl>
          <w:p w14:paraId="5D902FCB">
            <w:pPr>
              <w:spacing w:before="31" w:beforeLines="10" w:after="31" w:afterLines="10"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2）污染防治措施可行性分析</w:t>
            </w:r>
          </w:p>
          <w:p w14:paraId="7F86798D">
            <w:pPr>
              <w:pStyle w:val="22"/>
              <w:spacing w:before="31" w:beforeLines="10" w:beforeAutospacing="0" w:after="31" w:afterLines="10" w:afterAutospacing="0" w:line="360" w:lineRule="auto"/>
              <w:ind w:firstLine="482" w:firstLineChars="200"/>
              <w:jc w:val="both"/>
              <w:rPr>
                <w:rFonts w:ascii="Times New Roman" w:hAnsi="Times New Roman" w:cs="宋体"/>
                <w:szCs w:val="24"/>
              </w:rPr>
            </w:pPr>
            <w:r>
              <w:rPr>
                <w:rFonts w:hint="eastAsia" w:ascii="Times New Roman" w:hAnsi="Times New Roman" w:cs="宋体"/>
                <w:b/>
                <w:bCs/>
                <w:szCs w:val="24"/>
              </w:rPr>
              <w:t xml:space="preserve">① </w:t>
            </w:r>
            <w:r>
              <w:rPr>
                <w:rFonts w:hint="eastAsia" w:ascii="Times New Roman" w:hAnsi="Times New Roman" w:cs="宋体"/>
                <w:szCs w:val="24"/>
                <w:u w:val="single"/>
              </w:rPr>
              <w:t>生化池依托可行性</w:t>
            </w:r>
            <w:r>
              <w:rPr>
                <w:rFonts w:hint="eastAsia" w:ascii="Times New Roman" w:hAnsi="Times New Roman" w:cs="宋体"/>
                <w:szCs w:val="24"/>
              </w:rPr>
              <w:t>：</w:t>
            </w:r>
          </w:p>
          <w:p w14:paraId="64F20B42">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lang w:eastAsia="zh-CN"/>
              </w:rPr>
              <w:t>盛德佳</w:t>
            </w:r>
            <w:r>
              <w:rPr>
                <w:rFonts w:hint="eastAsia" w:ascii="Times New Roman" w:hAnsi="Times New Roman" w:cs="宋体"/>
                <w:szCs w:val="24"/>
              </w:rPr>
              <w:t>农业有限公司生化池处理能力</w:t>
            </w:r>
            <w:r>
              <w:rPr>
                <w:rFonts w:hint="eastAsia" w:ascii="Times New Roman" w:hAnsi="Times New Roman" w:cs="宋体"/>
                <w:szCs w:val="24"/>
                <w:lang w:val="en-US" w:eastAsia="zh-CN"/>
              </w:rPr>
              <w:t>90</w:t>
            </w:r>
            <w:r>
              <w:rPr>
                <w:rFonts w:hint="eastAsia" w:ascii="Times New Roman" w:hAnsi="Times New Roman" w:cs="宋体"/>
                <w:szCs w:val="24"/>
              </w:rPr>
              <w:t>m</w:t>
            </w:r>
            <w:r>
              <w:rPr>
                <w:rFonts w:hint="eastAsia" w:ascii="Times New Roman" w:hAnsi="Times New Roman" w:cs="宋体"/>
                <w:szCs w:val="24"/>
                <w:vertAlign w:val="superscript"/>
              </w:rPr>
              <w:t>3</w:t>
            </w:r>
            <w:r>
              <w:rPr>
                <w:rFonts w:hint="eastAsia" w:ascii="Times New Roman" w:hAnsi="Times New Roman" w:cs="宋体"/>
                <w:szCs w:val="24"/>
              </w:rPr>
              <w:t>/d，生化池目前运行正常。项目运营期生活污水排放量</w:t>
            </w:r>
            <w:r>
              <w:rPr>
                <w:rFonts w:hint="eastAsia" w:ascii="Times New Roman" w:hAnsi="Times New Roman" w:cs="宋体"/>
                <w:color w:val="000000" w:themeColor="text1"/>
                <w:szCs w:val="24"/>
                <w:lang w:val="en-US" w:eastAsia="zh-CN"/>
                <w14:textFill>
                  <w14:solidFill>
                    <w14:schemeClr w14:val="tx1"/>
                  </w14:solidFill>
                </w14:textFill>
              </w:rPr>
              <w:t>0.9</w:t>
            </w:r>
            <w:r>
              <w:rPr>
                <w:rFonts w:hint="eastAsia" w:ascii="Times New Roman" w:hAnsi="Times New Roman" w:cs="宋体"/>
                <w:color w:val="000000" w:themeColor="text1"/>
                <w:szCs w:val="24"/>
                <w14:textFill>
                  <w14:solidFill>
                    <w14:schemeClr w14:val="tx1"/>
                  </w14:solidFill>
                </w14:textFill>
              </w:rPr>
              <w:t>m</w:t>
            </w:r>
            <w:r>
              <w:rPr>
                <w:rFonts w:hint="eastAsia" w:ascii="Times New Roman" w:hAnsi="Times New Roman" w:cs="宋体"/>
                <w:color w:val="000000" w:themeColor="text1"/>
                <w:szCs w:val="24"/>
                <w:vertAlign w:val="superscript"/>
                <w14:textFill>
                  <w14:solidFill>
                    <w14:schemeClr w14:val="tx1"/>
                  </w14:solidFill>
                </w14:textFill>
              </w:rPr>
              <w:t>3</w:t>
            </w:r>
            <w:r>
              <w:rPr>
                <w:rFonts w:hint="eastAsia" w:ascii="Times New Roman" w:hAnsi="Times New Roman" w:cs="宋体"/>
                <w:color w:val="000000" w:themeColor="text1"/>
                <w:szCs w:val="24"/>
                <w14:textFill>
                  <w14:solidFill>
                    <w14:schemeClr w14:val="tx1"/>
                  </w14:solidFill>
                </w14:textFill>
              </w:rPr>
              <w:t>/d；目</w:t>
            </w:r>
            <w:r>
              <w:rPr>
                <w:rFonts w:hint="eastAsia" w:ascii="Times New Roman" w:hAnsi="Times New Roman" w:cs="宋体"/>
                <w:szCs w:val="24"/>
              </w:rPr>
              <w:t>前</w:t>
            </w:r>
            <w:r>
              <w:rPr>
                <w:rFonts w:hint="eastAsia" w:ascii="Times New Roman" w:hAnsi="Times New Roman" w:cs="宋体"/>
                <w:szCs w:val="24"/>
                <w:lang w:eastAsia="zh-CN"/>
              </w:rPr>
              <w:t>盛德佳</w:t>
            </w:r>
            <w:r>
              <w:rPr>
                <w:rFonts w:hint="eastAsia" w:ascii="Times New Roman" w:hAnsi="Times New Roman" w:cs="宋体"/>
                <w:szCs w:val="24"/>
              </w:rPr>
              <w:t>公司生化池富余处理能力约</w:t>
            </w:r>
            <w:r>
              <w:rPr>
                <w:rFonts w:hint="eastAsia" w:ascii="Times New Roman" w:hAnsi="Times New Roman" w:cs="宋体"/>
                <w:szCs w:val="24"/>
                <w:lang w:val="en-US" w:eastAsia="zh-CN"/>
              </w:rPr>
              <w:t>10</w:t>
            </w:r>
            <w:r>
              <w:rPr>
                <w:rFonts w:hint="eastAsia" w:ascii="Times New Roman" w:hAnsi="Times New Roman" w:cs="宋体"/>
                <w:szCs w:val="24"/>
              </w:rPr>
              <w:t>m</w:t>
            </w:r>
            <w:r>
              <w:rPr>
                <w:rFonts w:hint="eastAsia" w:ascii="Times New Roman" w:hAnsi="Times New Roman" w:cs="宋体"/>
                <w:szCs w:val="24"/>
                <w:vertAlign w:val="superscript"/>
              </w:rPr>
              <w:t>3</w:t>
            </w:r>
            <w:r>
              <w:rPr>
                <w:rFonts w:hint="eastAsia" w:ascii="Times New Roman" w:hAnsi="Times New Roman" w:cs="宋体"/>
                <w:szCs w:val="24"/>
              </w:rPr>
              <w:t>/d，从处理能力角度可满足本项目生活污水处理需求；项目生活污水水质简单。参考《排污许可证申请与核发技术规范 汽车制造业》（HJ971-2018），生活污水采取治理措施属可行技术，依托可行。</w:t>
            </w:r>
          </w:p>
          <w:p w14:paraId="34A6D8B1">
            <w:pPr>
              <w:spacing w:before="31" w:beforeLines="10" w:after="31" w:afterLines="10" w:line="360" w:lineRule="auto"/>
              <w:ind w:firstLine="482" w:firstLineChars="200"/>
              <w:rPr>
                <w:rFonts w:ascii="Times New Roman" w:hAnsi="Times New Roman"/>
                <w:sz w:val="24"/>
              </w:rPr>
            </w:pPr>
            <w:r>
              <w:rPr>
                <w:rFonts w:hint="eastAsia" w:ascii="Times New Roman" w:hAnsi="Times New Roman"/>
                <w:b/>
                <w:bCs/>
                <w:sz w:val="24"/>
              </w:rPr>
              <w:t xml:space="preserve">② </w:t>
            </w:r>
            <w:r>
              <w:rPr>
                <w:rFonts w:hint="eastAsia" w:ascii="Times New Roman" w:hAnsi="Times New Roman"/>
                <w:sz w:val="24"/>
                <w:u w:val="single"/>
              </w:rPr>
              <w:t>西彭工业园区工业污水处理厂可行性</w:t>
            </w:r>
            <w:r>
              <w:rPr>
                <w:rFonts w:hint="eastAsia" w:ascii="Times New Roman" w:hAnsi="Times New Roman"/>
                <w:sz w:val="24"/>
              </w:rPr>
              <w:t>：</w:t>
            </w:r>
          </w:p>
          <w:p w14:paraId="7FD3BF7C">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重庆市九龙坡区西彭工业园区工业污水处理厂位于西彭工业园区A64-3/01 地块，占地面积3490m</w:t>
            </w:r>
            <w:r>
              <w:rPr>
                <w:rFonts w:hint="eastAsia" w:ascii="Times New Roman" w:hAnsi="Times New Roman" w:cs="宋体"/>
                <w:szCs w:val="24"/>
                <w:vertAlign w:val="superscript"/>
              </w:rPr>
              <w:t>2</w:t>
            </w:r>
            <w:r>
              <w:rPr>
                <w:rFonts w:hint="eastAsia" w:ascii="Times New Roman" w:hAnsi="Times New Roman" w:cs="宋体"/>
                <w:szCs w:val="24"/>
              </w:rPr>
              <w:t>，设计处理规模5000 m</w:t>
            </w:r>
            <w:r>
              <w:rPr>
                <w:rFonts w:hint="eastAsia" w:ascii="Times New Roman" w:hAnsi="Times New Roman" w:cs="宋体"/>
                <w:szCs w:val="24"/>
                <w:vertAlign w:val="superscript"/>
              </w:rPr>
              <w:t>3</w:t>
            </w:r>
            <w:r>
              <w:rPr>
                <w:rFonts w:hint="eastAsia" w:ascii="Times New Roman" w:hAnsi="Times New Roman" w:cs="宋体"/>
                <w:szCs w:val="24"/>
              </w:rPr>
              <w:t>/d。污水处理厂于2014年9月通过验收，目前运行正常。总服务面积约6.87 km</w:t>
            </w:r>
            <w:r>
              <w:rPr>
                <w:rFonts w:hint="eastAsia" w:ascii="Times New Roman" w:hAnsi="Times New Roman" w:cs="宋体"/>
                <w:szCs w:val="24"/>
                <w:vertAlign w:val="superscript"/>
              </w:rPr>
              <w:t>2</w:t>
            </w:r>
            <w:r>
              <w:rPr>
                <w:rFonts w:hint="eastAsia" w:ascii="Times New Roman" w:hAnsi="Times New Roman" w:cs="宋体"/>
                <w:szCs w:val="24"/>
              </w:rPr>
              <w:t>，包括A标准分区中的工业区及D标准分区，目前A标准分区规划区内铝城大道以西工业区污水管网部分覆盖，沿铝城大道铺设有污水主干管（管径DN500，长约3.84 km），规划区西北侧未开发区域敷设有临时工业污水管（管径DN 300，长约1.15 km），工业区（除西南铝冷连轧铝板带）污废水均通过市政污水管网接入西彭工业园区工业污水处理厂集中处理。D标准分区内沿西彭北路、三环路、铝城大道等已建成的市政道路敷设有污水管网（管径DN 500，长约7.44km）。污水经处理达标准后排入桥头河，最终汇入长江，近期执行《污水综合排放标准》（GB8978-1996）一级标准，远期执行《城镇污水处理厂污染物排放标准》（GB18918-2002）一级A标准（其中COD、NH</w:t>
            </w:r>
            <w:r>
              <w:rPr>
                <w:rFonts w:hint="eastAsia" w:ascii="Times New Roman" w:hAnsi="Times New Roman" w:cs="宋体"/>
                <w:szCs w:val="24"/>
                <w:vertAlign w:val="subscript"/>
              </w:rPr>
              <w:t>3</w:t>
            </w:r>
            <w:r>
              <w:rPr>
                <w:rFonts w:hint="eastAsia" w:ascii="Times New Roman" w:hAnsi="Times New Roman" w:cs="宋体"/>
                <w:szCs w:val="24"/>
              </w:rPr>
              <w:t>-N执行《地表水环境质量标准》（GB3838-2002）</w:t>
            </w:r>
            <w:r>
              <w:rPr>
                <w:rFonts w:hint="eastAsia" w:ascii="Times New Roman" w:hAnsi="Times New Roman" w:cs="宋体"/>
                <w:szCs w:val="24"/>
                <w:lang w:eastAsia="zh-CN"/>
              </w:rPr>
              <w:t>Ⅳ类</w:t>
            </w:r>
            <w:r>
              <w:rPr>
                <w:rFonts w:hint="eastAsia" w:ascii="Times New Roman" w:hAnsi="Times New Roman" w:cs="宋体"/>
                <w:szCs w:val="24"/>
              </w:rPr>
              <w:t>标准）。项目周边片区市政排污干管已建成，能够接入污水处理厂，且项目废水排放量很小，不会对西彭工业园区工业污水处理厂水量、水质造成影响，项目产生的污水排入西彭工业园区工业污水处理厂处理是合理可行的。</w:t>
            </w:r>
          </w:p>
          <w:p w14:paraId="7965F94C">
            <w:pPr>
              <w:pStyle w:val="22"/>
              <w:spacing w:before="0" w:beforeAutospacing="0" w:after="0" w:afterAutospacing="0" w:line="372" w:lineRule="auto"/>
              <w:ind w:firstLine="480" w:firstLineChars="200"/>
              <w:jc w:val="both"/>
              <w:rPr>
                <w:rFonts w:ascii="Times New Roman" w:hAnsi="Times New Roman" w:cs="宋体"/>
                <w:szCs w:val="24"/>
              </w:rPr>
            </w:pPr>
            <w:r>
              <w:rPr>
                <w:rFonts w:hint="eastAsia" w:ascii="Times New Roman" w:hAnsi="Times New Roman" w:cs="宋体"/>
                <w:szCs w:val="24"/>
              </w:rPr>
              <w:t>因此，本项目营运期污水可达标排放，对环境影响小，环境可接受。</w:t>
            </w:r>
          </w:p>
          <w:p w14:paraId="5819BF2F">
            <w:pPr>
              <w:spacing w:before="31" w:beforeLines="10" w:after="31" w:afterLines="10"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3）排放口基本情况</w:t>
            </w:r>
          </w:p>
          <w:p w14:paraId="6EC86189">
            <w:pPr>
              <w:spacing w:line="372" w:lineRule="auto"/>
              <w:ind w:firstLine="480" w:firstLineChars="200"/>
              <w:rPr>
                <w:rFonts w:ascii="Times New Roman" w:hAnsi="Times New Roman" w:eastAsia="宋体"/>
                <w:sz w:val="24"/>
              </w:rPr>
            </w:pPr>
            <w:r>
              <w:rPr>
                <w:rFonts w:hint="eastAsia" w:ascii="Times New Roman" w:hAnsi="Times New Roman" w:eastAsia="宋体"/>
                <w:sz w:val="24"/>
              </w:rPr>
              <w:t>本项目运营期无生产废水排放，员工办公生活污水依托</w:t>
            </w:r>
            <w:r>
              <w:rPr>
                <w:rFonts w:hint="eastAsia" w:ascii="Times New Roman" w:hAnsi="Times New Roman" w:eastAsia="宋体" w:cs="宋体"/>
                <w:sz w:val="24"/>
                <w:lang w:eastAsia="zh-CN"/>
              </w:rPr>
              <w:t>盛德佳</w:t>
            </w:r>
            <w:r>
              <w:rPr>
                <w:rFonts w:hint="eastAsia" w:ascii="Times New Roman" w:hAnsi="Times New Roman" w:cs="宋体"/>
                <w:sz w:val="24"/>
              </w:rPr>
              <w:t>公司</w:t>
            </w:r>
            <w:r>
              <w:rPr>
                <w:rFonts w:hint="eastAsia" w:ascii="Times New Roman" w:hAnsi="Times New Roman" w:eastAsia="宋体"/>
                <w:sz w:val="24"/>
              </w:rPr>
              <w:t>现有生化池处理达标后排入市政污水管网，不新增排放口。</w:t>
            </w:r>
          </w:p>
          <w:p w14:paraId="1852C174">
            <w:pPr>
              <w:spacing w:line="372" w:lineRule="auto"/>
              <w:ind w:firstLine="480" w:firstLineChars="200"/>
              <w:rPr>
                <w:rFonts w:ascii="Times New Roman" w:hAnsi="Times New Roman" w:eastAsia="宋体" w:cs="宋体"/>
                <w:sz w:val="24"/>
              </w:rPr>
            </w:pPr>
            <w:r>
              <w:rPr>
                <w:rFonts w:ascii="Times New Roman" w:hAnsi="Times New Roman" w:eastAsia="宋体" w:cs="宋体"/>
                <w:sz w:val="24"/>
              </w:rPr>
              <w:t>废水排放口基本情况</w:t>
            </w:r>
            <w:r>
              <w:rPr>
                <w:rFonts w:hint="eastAsia" w:ascii="Times New Roman" w:hAnsi="Times New Roman" w:eastAsia="宋体" w:cs="宋体"/>
                <w:sz w:val="24"/>
              </w:rPr>
              <w:t>见下</w:t>
            </w:r>
            <w:r>
              <w:rPr>
                <w:rFonts w:ascii="Times New Roman" w:hAnsi="Times New Roman" w:eastAsia="宋体" w:cs="宋体"/>
                <w:sz w:val="24"/>
              </w:rPr>
              <w:t>表</w:t>
            </w:r>
            <w:r>
              <w:rPr>
                <w:rFonts w:hint="eastAsia" w:ascii="Times New Roman" w:hAnsi="Times New Roman" w:eastAsia="宋体" w:cs="宋体"/>
                <w:sz w:val="24"/>
              </w:rPr>
              <w:t>：</w:t>
            </w:r>
          </w:p>
          <w:p w14:paraId="39D43C35">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表4-1</w:t>
            </w:r>
            <w:r>
              <w:rPr>
                <w:rFonts w:hint="eastAsia" w:ascii="Times New Roman" w:hAnsi="Times New Roman" w:eastAsia="宋体" w:cs="Times New Roman"/>
                <w:szCs w:val="24"/>
              </w:rPr>
              <w:t>5</w:t>
            </w:r>
            <w:r>
              <w:rPr>
                <w:rFonts w:ascii="Times New Roman" w:hAnsi="Times New Roman" w:eastAsia="宋体" w:cs="Times New Roman"/>
                <w:szCs w:val="24"/>
              </w:rPr>
              <w:t xml:space="preserve">  项目废水污染物产生、排放情况汇总表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95"/>
              <w:gridCol w:w="1134"/>
              <w:gridCol w:w="1194"/>
              <w:gridCol w:w="1038"/>
              <w:gridCol w:w="1078"/>
              <w:gridCol w:w="1442"/>
              <w:gridCol w:w="1471"/>
            </w:tblGrid>
            <w:tr w14:paraId="1CDB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vMerge w:val="restart"/>
                  <w:tcBorders>
                    <w:tl2br w:val="nil"/>
                    <w:tr2bl w:val="nil"/>
                  </w:tcBorders>
                  <w:vAlign w:val="center"/>
                </w:tcPr>
                <w:p w14:paraId="1E169885">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排放口</w:t>
                  </w:r>
                </w:p>
                <w:p w14:paraId="63E5E2EE">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编号</w:t>
                  </w:r>
                </w:p>
              </w:tc>
              <w:tc>
                <w:tcPr>
                  <w:tcW w:w="671" w:type="pct"/>
                  <w:vMerge w:val="restart"/>
                  <w:tcBorders>
                    <w:tl2br w:val="nil"/>
                    <w:tr2bl w:val="nil"/>
                  </w:tcBorders>
                  <w:vAlign w:val="center"/>
                </w:tcPr>
                <w:p w14:paraId="053FC2A5">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排放口</w:t>
                  </w:r>
                </w:p>
                <w:p w14:paraId="7A1AE2EB">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名称</w:t>
                  </w:r>
                </w:p>
              </w:tc>
              <w:tc>
                <w:tcPr>
                  <w:tcW w:w="1320" w:type="pct"/>
                  <w:gridSpan w:val="2"/>
                  <w:tcBorders>
                    <w:tl2br w:val="nil"/>
                    <w:tr2bl w:val="nil"/>
                  </w:tcBorders>
                  <w:vAlign w:val="center"/>
                </w:tcPr>
                <w:p w14:paraId="74804D4D">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地理坐标</w:t>
                  </w:r>
                </w:p>
              </w:tc>
              <w:tc>
                <w:tcPr>
                  <w:tcW w:w="638" w:type="pct"/>
                  <w:vMerge w:val="restart"/>
                  <w:tcBorders>
                    <w:tl2br w:val="nil"/>
                    <w:tr2bl w:val="nil"/>
                  </w:tcBorders>
                  <w:vAlign w:val="center"/>
                </w:tcPr>
                <w:p w14:paraId="79226D98">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排放方式</w:t>
                  </w:r>
                </w:p>
              </w:tc>
              <w:tc>
                <w:tcPr>
                  <w:tcW w:w="853" w:type="pct"/>
                  <w:vMerge w:val="restart"/>
                  <w:tcBorders>
                    <w:tl2br w:val="nil"/>
                    <w:tr2bl w:val="nil"/>
                  </w:tcBorders>
                  <w:vAlign w:val="center"/>
                </w:tcPr>
                <w:p w14:paraId="38D34C57">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排放去向</w:t>
                  </w:r>
                </w:p>
              </w:tc>
              <w:tc>
                <w:tcPr>
                  <w:tcW w:w="868" w:type="pct"/>
                  <w:vMerge w:val="restart"/>
                  <w:tcBorders>
                    <w:tl2br w:val="nil"/>
                    <w:tr2bl w:val="nil"/>
                  </w:tcBorders>
                  <w:vAlign w:val="center"/>
                </w:tcPr>
                <w:p w14:paraId="1D2483A5">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排放规律</w:t>
                  </w:r>
                </w:p>
              </w:tc>
            </w:tr>
            <w:tr w14:paraId="5E16F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vMerge w:val="continue"/>
                  <w:tcBorders>
                    <w:tl2br w:val="nil"/>
                    <w:tr2bl w:val="nil"/>
                  </w:tcBorders>
                  <w:vAlign w:val="center"/>
                </w:tcPr>
                <w:p w14:paraId="1908F143">
                  <w:pPr>
                    <w:spacing w:line="288" w:lineRule="auto"/>
                    <w:jc w:val="center"/>
                    <w:rPr>
                      <w:rFonts w:ascii="Times New Roman" w:hAnsi="Times New Roman" w:eastAsia="宋体" w:cs="Times New Roman"/>
                      <w:b/>
                      <w:bCs/>
                      <w:kern w:val="44"/>
                      <w:szCs w:val="21"/>
                      <w:lang w:bidi="ar"/>
                    </w:rPr>
                  </w:pPr>
                </w:p>
              </w:tc>
              <w:tc>
                <w:tcPr>
                  <w:tcW w:w="671" w:type="pct"/>
                  <w:vMerge w:val="continue"/>
                  <w:tcBorders>
                    <w:tl2br w:val="nil"/>
                    <w:tr2bl w:val="nil"/>
                  </w:tcBorders>
                  <w:vAlign w:val="center"/>
                </w:tcPr>
                <w:p w14:paraId="071C542F">
                  <w:pPr>
                    <w:spacing w:line="288" w:lineRule="auto"/>
                    <w:jc w:val="center"/>
                    <w:rPr>
                      <w:rFonts w:ascii="Times New Roman" w:hAnsi="Times New Roman" w:eastAsia="宋体" w:cs="Times New Roman"/>
                      <w:b/>
                      <w:bCs/>
                      <w:kern w:val="44"/>
                      <w:szCs w:val="21"/>
                      <w:lang w:bidi="ar"/>
                    </w:rPr>
                  </w:pPr>
                </w:p>
              </w:tc>
              <w:tc>
                <w:tcPr>
                  <w:tcW w:w="706" w:type="pct"/>
                  <w:tcBorders>
                    <w:tl2br w:val="nil"/>
                    <w:tr2bl w:val="nil"/>
                  </w:tcBorders>
                  <w:vAlign w:val="center"/>
                </w:tcPr>
                <w:p w14:paraId="64D6556E">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经度</w:t>
                  </w:r>
                </w:p>
              </w:tc>
              <w:tc>
                <w:tcPr>
                  <w:tcW w:w="614" w:type="pct"/>
                  <w:tcBorders>
                    <w:tl2br w:val="nil"/>
                    <w:tr2bl w:val="nil"/>
                  </w:tcBorders>
                  <w:vAlign w:val="center"/>
                </w:tcPr>
                <w:p w14:paraId="0D984C4F">
                  <w:pPr>
                    <w:spacing w:line="288" w:lineRule="auto"/>
                    <w:jc w:val="center"/>
                    <w:rPr>
                      <w:rFonts w:ascii="Times New Roman" w:hAnsi="Times New Roman" w:eastAsia="宋体" w:cs="Times New Roman"/>
                      <w:b/>
                      <w:bCs/>
                      <w:kern w:val="44"/>
                      <w:szCs w:val="21"/>
                      <w:lang w:bidi="ar"/>
                    </w:rPr>
                  </w:pPr>
                  <w:r>
                    <w:rPr>
                      <w:rFonts w:hint="eastAsia" w:ascii="Times New Roman" w:hAnsi="Times New Roman" w:eastAsia="宋体" w:cs="Times New Roman"/>
                      <w:b/>
                      <w:bCs/>
                      <w:kern w:val="44"/>
                      <w:szCs w:val="21"/>
                      <w:lang w:bidi="ar"/>
                    </w:rPr>
                    <w:t>纬度</w:t>
                  </w:r>
                </w:p>
              </w:tc>
              <w:tc>
                <w:tcPr>
                  <w:tcW w:w="638" w:type="pct"/>
                  <w:vMerge w:val="continue"/>
                  <w:tcBorders>
                    <w:tl2br w:val="nil"/>
                    <w:tr2bl w:val="nil"/>
                  </w:tcBorders>
                  <w:vAlign w:val="center"/>
                </w:tcPr>
                <w:p w14:paraId="26B42308">
                  <w:pPr>
                    <w:spacing w:line="288" w:lineRule="auto"/>
                    <w:jc w:val="center"/>
                    <w:rPr>
                      <w:rFonts w:ascii="Times New Roman" w:hAnsi="Times New Roman" w:eastAsia="宋体" w:cs="Times New Roman"/>
                      <w:b/>
                      <w:bCs/>
                      <w:kern w:val="44"/>
                      <w:szCs w:val="21"/>
                      <w:lang w:bidi="ar"/>
                    </w:rPr>
                  </w:pPr>
                </w:p>
              </w:tc>
              <w:tc>
                <w:tcPr>
                  <w:tcW w:w="853" w:type="pct"/>
                  <w:vMerge w:val="continue"/>
                  <w:tcBorders>
                    <w:tl2br w:val="nil"/>
                    <w:tr2bl w:val="nil"/>
                  </w:tcBorders>
                  <w:vAlign w:val="center"/>
                </w:tcPr>
                <w:p w14:paraId="67B0A373">
                  <w:pPr>
                    <w:spacing w:line="288" w:lineRule="auto"/>
                    <w:jc w:val="center"/>
                    <w:rPr>
                      <w:rFonts w:ascii="Times New Roman" w:hAnsi="Times New Roman" w:eastAsia="宋体" w:cs="Times New Roman"/>
                      <w:b/>
                      <w:bCs/>
                      <w:kern w:val="44"/>
                      <w:szCs w:val="21"/>
                      <w:lang w:bidi="ar"/>
                    </w:rPr>
                  </w:pPr>
                </w:p>
              </w:tc>
              <w:tc>
                <w:tcPr>
                  <w:tcW w:w="868" w:type="pct"/>
                  <w:vMerge w:val="continue"/>
                  <w:tcBorders>
                    <w:tl2br w:val="nil"/>
                    <w:tr2bl w:val="nil"/>
                  </w:tcBorders>
                  <w:vAlign w:val="center"/>
                </w:tcPr>
                <w:p w14:paraId="7E7B5FCB">
                  <w:pPr>
                    <w:spacing w:line="288" w:lineRule="auto"/>
                    <w:jc w:val="center"/>
                    <w:rPr>
                      <w:rFonts w:ascii="Times New Roman" w:hAnsi="Times New Roman" w:eastAsia="宋体" w:cs="Times New Roman"/>
                      <w:b/>
                      <w:bCs/>
                      <w:kern w:val="44"/>
                      <w:szCs w:val="21"/>
                      <w:lang w:bidi="ar"/>
                    </w:rPr>
                  </w:pPr>
                </w:p>
              </w:tc>
            </w:tr>
            <w:tr w14:paraId="0DA73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tcBorders>
                    <w:tl2br w:val="nil"/>
                    <w:tr2bl w:val="nil"/>
                  </w:tcBorders>
                  <w:vAlign w:val="center"/>
                </w:tcPr>
                <w:p w14:paraId="32803F17">
                  <w:pPr>
                    <w:jc w:val="center"/>
                    <w:rPr>
                      <w:rFonts w:ascii="Times New Roman" w:hAnsi="Times New Roman" w:eastAsia="宋体" w:cs="Times New Roman"/>
                      <w:kern w:val="44"/>
                      <w:szCs w:val="21"/>
                      <w:lang w:bidi="ar"/>
                    </w:rPr>
                  </w:pPr>
                  <w:r>
                    <w:rPr>
                      <w:rFonts w:hint="eastAsia" w:ascii="Times New Roman" w:hAnsi="Times New Roman" w:eastAsia="宋体" w:cs="Times New Roman"/>
                      <w:kern w:val="44"/>
                      <w:szCs w:val="21"/>
                      <w:lang w:bidi="ar"/>
                    </w:rPr>
                    <w:t>DW001</w:t>
                  </w:r>
                </w:p>
              </w:tc>
              <w:tc>
                <w:tcPr>
                  <w:tcW w:w="671" w:type="pct"/>
                  <w:tcBorders>
                    <w:tl2br w:val="nil"/>
                    <w:tr2bl w:val="nil"/>
                  </w:tcBorders>
                  <w:vAlign w:val="center"/>
                </w:tcPr>
                <w:p w14:paraId="7D011E55">
                  <w:pPr>
                    <w:jc w:val="center"/>
                    <w:rPr>
                      <w:rFonts w:ascii="Times New Roman" w:hAnsi="Times New Roman" w:eastAsia="宋体" w:cs="Times New Roman"/>
                      <w:kern w:val="44"/>
                      <w:szCs w:val="21"/>
                      <w:lang w:bidi="ar"/>
                    </w:rPr>
                  </w:pPr>
                  <w:r>
                    <w:rPr>
                      <w:rFonts w:hint="eastAsia" w:ascii="Times New Roman" w:hAnsi="Times New Roman" w:eastAsia="宋体" w:cs="Times New Roman"/>
                      <w:kern w:val="44"/>
                      <w:szCs w:val="21"/>
                      <w:lang w:bidi="ar"/>
                    </w:rPr>
                    <w:t>生化池排口</w:t>
                  </w:r>
                </w:p>
              </w:tc>
              <w:tc>
                <w:tcPr>
                  <w:tcW w:w="706" w:type="pct"/>
                  <w:tcBorders>
                    <w:tl2br w:val="nil"/>
                    <w:tr2bl w:val="nil"/>
                  </w:tcBorders>
                  <w:vAlign w:val="center"/>
                </w:tcPr>
                <w:p w14:paraId="2EF59FF0">
                  <w:pPr>
                    <w:jc w:val="center"/>
                    <w:rPr>
                      <w:rFonts w:hint="default" w:ascii="Times New Roman" w:hAnsi="Times New Roman" w:eastAsia="宋体"/>
                      <w:lang w:val="en-US" w:eastAsia="zh-CN"/>
                    </w:rPr>
                  </w:pPr>
                  <w:r>
                    <w:rPr>
                      <w:rFonts w:hint="eastAsia" w:ascii="Times New Roman" w:hAnsi="Times New Roman" w:eastAsia="宋体"/>
                    </w:rPr>
                    <w:t>106.</w:t>
                  </w:r>
                  <w:r>
                    <w:rPr>
                      <w:rFonts w:hint="eastAsia" w:ascii="Times New Roman" w:hAnsi="Times New Roman" w:eastAsia="宋体"/>
                      <w:lang w:val="en-US" w:eastAsia="zh-CN"/>
                    </w:rPr>
                    <w:t>174571</w:t>
                  </w:r>
                </w:p>
              </w:tc>
              <w:tc>
                <w:tcPr>
                  <w:tcW w:w="614" w:type="pct"/>
                  <w:tcBorders>
                    <w:tl2br w:val="nil"/>
                    <w:tr2bl w:val="nil"/>
                  </w:tcBorders>
                  <w:vAlign w:val="center"/>
                </w:tcPr>
                <w:p w14:paraId="200573CF">
                  <w:pPr>
                    <w:jc w:val="center"/>
                    <w:rPr>
                      <w:rFonts w:hint="default" w:ascii="Times New Roman" w:hAnsi="Times New Roman" w:eastAsia="宋体" w:cs="Times New Roman"/>
                      <w:kern w:val="44"/>
                      <w:szCs w:val="21"/>
                      <w:lang w:val="en-US" w:eastAsia="zh-CN" w:bidi="ar"/>
                    </w:rPr>
                  </w:pPr>
                  <w:r>
                    <w:rPr>
                      <w:rFonts w:hint="eastAsia" w:ascii="Times New Roman" w:hAnsi="Times New Roman" w:eastAsia="宋体" w:cs="Times New Roman"/>
                      <w:kern w:val="44"/>
                      <w:szCs w:val="21"/>
                      <w:lang w:bidi="ar"/>
                    </w:rPr>
                    <w:t>29.</w:t>
                  </w:r>
                  <w:r>
                    <w:rPr>
                      <w:rFonts w:hint="eastAsia" w:ascii="Times New Roman" w:hAnsi="Times New Roman" w:eastAsia="宋体" w:cs="Times New Roman"/>
                      <w:kern w:val="44"/>
                      <w:szCs w:val="21"/>
                      <w:lang w:val="en-US" w:eastAsia="zh-CN" w:bidi="ar"/>
                    </w:rPr>
                    <w:t>192079</w:t>
                  </w:r>
                </w:p>
              </w:tc>
              <w:tc>
                <w:tcPr>
                  <w:tcW w:w="638" w:type="pct"/>
                  <w:tcBorders>
                    <w:tl2br w:val="nil"/>
                    <w:tr2bl w:val="nil"/>
                  </w:tcBorders>
                  <w:vAlign w:val="center"/>
                </w:tcPr>
                <w:p w14:paraId="0C3899D4">
                  <w:pPr>
                    <w:jc w:val="center"/>
                    <w:rPr>
                      <w:rFonts w:ascii="Times New Roman" w:hAnsi="Times New Roman" w:eastAsia="宋体" w:cs="Times New Roman"/>
                      <w:kern w:val="44"/>
                      <w:szCs w:val="21"/>
                      <w:lang w:bidi="ar"/>
                    </w:rPr>
                  </w:pPr>
                  <w:r>
                    <w:rPr>
                      <w:rFonts w:hint="eastAsia" w:ascii="Times New Roman" w:hAnsi="Times New Roman" w:eastAsia="宋体" w:cs="Times New Roman"/>
                      <w:kern w:val="44"/>
                      <w:szCs w:val="21"/>
                      <w:lang w:bidi="ar"/>
                    </w:rPr>
                    <w:t>间接</w:t>
                  </w:r>
                </w:p>
              </w:tc>
              <w:tc>
                <w:tcPr>
                  <w:tcW w:w="853" w:type="pct"/>
                  <w:tcBorders>
                    <w:tl2br w:val="nil"/>
                    <w:tr2bl w:val="nil"/>
                  </w:tcBorders>
                  <w:vAlign w:val="center"/>
                </w:tcPr>
                <w:p w14:paraId="72721462">
                  <w:pPr>
                    <w:jc w:val="center"/>
                    <w:rPr>
                      <w:rFonts w:ascii="Times New Roman" w:hAnsi="Times New Roman" w:eastAsia="宋体" w:cs="Times New Roman"/>
                      <w:kern w:val="44"/>
                      <w:szCs w:val="21"/>
                      <w:lang w:bidi="ar"/>
                    </w:rPr>
                  </w:pPr>
                  <w:r>
                    <w:rPr>
                      <w:rFonts w:hint="eastAsia" w:ascii="Times New Roman" w:hAnsi="Times New Roman" w:eastAsia="宋体" w:cs="Times New Roman"/>
                      <w:kern w:val="44"/>
                      <w:szCs w:val="21"/>
                      <w:lang w:bidi="ar"/>
                    </w:rPr>
                    <w:t>西彭工业园区污水处理厂</w:t>
                  </w:r>
                </w:p>
              </w:tc>
              <w:tc>
                <w:tcPr>
                  <w:tcW w:w="868" w:type="pct"/>
                  <w:tcBorders>
                    <w:tl2br w:val="nil"/>
                    <w:tr2bl w:val="nil"/>
                  </w:tcBorders>
                  <w:vAlign w:val="center"/>
                </w:tcPr>
                <w:p w14:paraId="1D84E08D">
                  <w:pPr>
                    <w:jc w:val="center"/>
                    <w:rPr>
                      <w:rFonts w:ascii="Times New Roman" w:hAnsi="Times New Roman" w:eastAsia="宋体" w:cs="Times New Roman"/>
                      <w:kern w:val="44"/>
                      <w:szCs w:val="21"/>
                      <w:lang w:bidi="ar"/>
                    </w:rPr>
                  </w:pPr>
                  <w:r>
                    <w:rPr>
                      <w:rFonts w:hint="eastAsia" w:ascii="Times New Roman" w:hAnsi="Times New Roman" w:eastAsia="宋体" w:cs="Times New Roman"/>
                      <w:kern w:val="44"/>
                      <w:szCs w:val="21"/>
                      <w:lang w:bidi="ar"/>
                    </w:rPr>
                    <w:t>间断，不稳定</w:t>
                  </w:r>
                </w:p>
              </w:tc>
            </w:tr>
            <w:tr w14:paraId="6FF93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7"/>
                  <w:tcBorders>
                    <w:tl2br w:val="nil"/>
                    <w:tr2bl w:val="nil"/>
                  </w:tcBorders>
                  <w:vAlign w:val="center"/>
                </w:tcPr>
                <w:p w14:paraId="633E8175">
                  <w:pPr>
                    <w:spacing w:line="300" w:lineRule="auto"/>
                    <w:rPr>
                      <w:rFonts w:ascii="Times New Roman" w:hAnsi="Times New Roman" w:eastAsia="宋体" w:cs="Times New Roman"/>
                      <w:kern w:val="44"/>
                      <w:szCs w:val="21"/>
                      <w:lang w:bidi="ar"/>
                    </w:rPr>
                  </w:pPr>
                  <w:r>
                    <w:rPr>
                      <w:rFonts w:hint="eastAsia" w:ascii="Times New Roman" w:hAnsi="Times New Roman" w:eastAsia="宋体" w:cs="Times New Roman"/>
                      <w:b/>
                      <w:bCs/>
                      <w:kern w:val="44"/>
                      <w:szCs w:val="21"/>
                      <w:lang w:bidi="ar"/>
                    </w:rPr>
                    <w:t>注</w:t>
                  </w:r>
                  <w:r>
                    <w:rPr>
                      <w:rFonts w:hint="eastAsia" w:ascii="Times New Roman" w:hAnsi="Times New Roman" w:eastAsia="宋体" w:cs="Times New Roman"/>
                      <w:kern w:val="44"/>
                      <w:szCs w:val="21"/>
                      <w:lang w:bidi="ar"/>
                    </w:rPr>
                    <w:t>：项目依托</w:t>
                  </w:r>
                  <w:r>
                    <w:rPr>
                      <w:rFonts w:hint="eastAsia" w:ascii="Times New Roman" w:hAnsi="Times New Roman" w:eastAsia="宋体" w:cs="Times New Roman"/>
                      <w:kern w:val="44"/>
                      <w:szCs w:val="21"/>
                      <w:lang w:eastAsia="zh-CN" w:bidi="ar"/>
                    </w:rPr>
                    <w:t>盛德佳</w:t>
                  </w:r>
                  <w:r>
                    <w:rPr>
                      <w:rFonts w:hint="eastAsia" w:ascii="Times New Roman" w:hAnsi="Times New Roman" w:eastAsia="宋体" w:cs="Times New Roman"/>
                      <w:kern w:val="44"/>
                      <w:szCs w:val="21"/>
                      <w:lang w:bidi="ar"/>
                    </w:rPr>
                    <w:t>有限公司生化池及排放口。</w:t>
                  </w:r>
                </w:p>
              </w:tc>
            </w:tr>
          </w:tbl>
          <w:p w14:paraId="47D7A673">
            <w:pPr>
              <w:spacing w:before="31" w:beforeLines="10" w:after="31" w:afterLines="10" w:line="372" w:lineRule="auto"/>
              <w:ind w:firstLine="482" w:firstLineChars="200"/>
              <w:rPr>
                <w:rFonts w:ascii="Times New Roman" w:hAnsi="Times New Roman" w:eastAsia="宋体"/>
                <w:b/>
                <w:bCs/>
                <w:sz w:val="24"/>
              </w:rPr>
            </w:pPr>
            <w:r>
              <w:rPr>
                <w:rFonts w:hint="eastAsia" w:ascii="Times New Roman" w:hAnsi="Times New Roman" w:eastAsia="宋体"/>
                <w:b/>
                <w:bCs/>
                <w:sz w:val="24"/>
              </w:rPr>
              <w:t>4）地表水环境影响分析</w:t>
            </w:r>
          </w:p>
          <w:p w14:paraId="37197680">
            <w:pPr>
              <w:spacing w:line="377" w:lineRule="auto"/>
              <w:ind w:firstLine="480" w:firstLineChars="200"/>
              <w:rPr>
                <w:rFonts w:ascii="Times New Roman" w:hAnsi="Times New Roman" w:eastAsia="宋体"/>
                <w:sz w:val="24"/>
              </w:rPr>
            </w:pPr>
            <w:r>
              <w:rPr>
                <w:rFonts w:hint="eastAsia" w:ascii="Times New Roman" w:hAnsi="Times New Roman" w:eastAsia="宋体"/>
                <w:sz w:val="24"/>
              </w:rPr>
              <w:t>项目营运期无生产废水外排，员工办公生活污水依托</w:t>
            </w:r>
            <w:r>
              <w:rPr>
                <w:rFonts w:hint="eastAsia" w:ascii="Times New Roman" w:hAnsi="Times New Roman" w:eastAsia="宋体" w:cs="宋体"/>
                <w:sz w:val="24"/>
                <w:lang w:eastAsia="zh-CN"/>
              </w:rPr>
              <w:t>盛德佳</w:t>
            </w:r>
            <w:r>
              <w:rPr>
                <w:rFonts w:hint="eastAsia" w:ascii="Times New Roman" w:hAnsi="Times New Roman" w:cs="宋体"/>
                <w:sz w:val="24"/>
              </w:rPr>
              <w:t>公司</w:t>
            </w:r>
            <w:r>
              <w:rPr>
                <w:rFonts w:hint="eastAsia" w:ascii="Times New Roman" w:hAnsi="Times New Roman" w:eastAsia="宋体"/>
                <w:sz w:val="24"/>
              </w:rPr>
              <w:t>生化池预处理达《污水综合排放标准》（GB 8978-1996）三级标准后，接入园区市政污水管网，进入西彭园区污水处理厂深度处理近期达《污水综合排放标准》（GB 8978-1996）中的一级标准后</w:t>
            </w:r>
            <w:r>
              <w:rPr>
                <w:rFonts w:hint="eastAsia" w:ascii="Times New Roman" w:hAnsi="Times New Roman" w:cs="宋体"/>
                <w:sz w:val="24"/>
              </w:rPr>
              <w:t>排入桥头河</w:t>
            </w:r>
            <w:r>
              <w:rPr>
                <w:rFonts w:hint="eastAsia" w:ascii="Times New Roman" w:hAnsi="Times New Roman" w:eastAsia="宋体"/>
                <w:sz w:val="24"/>
              </w:rPr>
              <w:t>，最终汇入长江。</w:t>
            </w:r>
          </w:p>
          <w:p w14:paraId="66E3D57A">
            <w:pPr>
              <w:spacing w:line="377" w:lineRule="auto"/>
              <w:ind w:firstLine="480" w:firstLineChars="200"/>
              <w:rPr>
                <w:rFonts w:ascii="Times New Roman" w:hAnsi="Times New Roman" w:eastAsia="宋体"/>
                <w:sz w:val="24"/>
              </w:rPr>
            </w:pPr>
            <w:r>
              <w:rPr>
                <w:rFonts w:hint="eastAsia" w:ascii="Times New Roman" w:hAnsi="Times New Roman" w:eastAsia="宋体"/>
                <w:sz w:val="24"/>
              </w:rPr>
              <w:t>本项目在采取上述废水处理措施后，</w:t>
            </w:r>
            <w:r>
              <w:rPr>
                <w:rFonts w:hint="eastAsia" w:ascii="Times New Roman" w:hAnsi="Times New Roman" w:cs="宋体"/>
                <w:sz w:val="24"/>
              </w:rPr>
              <w:t>可实现达标排放</w:t>
            </w:r>
            <w:r>
              <w:rPr>
                <w:rFonts w:hint="eastAsia" w:ascii="Times New Roman" w:hAnsi="Times New Roman" w:eastAsia="宋体"/>
                <w:sz w:val="24"/>
              </w:rPr>
              <w:t>，能达到环境和生产要求</w:t>
            </w:r>
            <w:r>
              <w:rPr>
                <w:rFonts w:hint="eastAsia" w:ascii="Times New Roman" w:hAnsi="Times New Roman" w:cs="宋体"/>
                <w:sz w:val="24"/>
              </w:rPr>
              <w:t>，</w:t>
            </w:r>
            <w:r>
              <w:rPr>
                <w:rFonts w:hint="eastAsia" w:ascii="Times New Roman" w:hAnsi="Times New Roman" w:eastAsia="宋体"/>
                <w:sz w:val="24"/>
              </w:rPr>
              <w:t>项目建设对所在区域地表水环境影响很小。</w:t>
            </w:r>
          </w:p>
          <w:p w14:paraId="4D81A660">
            <w:pPr>
              <w:spacing w:before="31" w:beforeLines="10" w:after="31" w:afterLines="10" w:line="372" w:lineRule="auto"/>
              <w:ind w:firstLine="482" w:firstLineChars="200"/>
              <w:rPr>
                <w:rFonts w:ascii="Times New Roman" w:hAnsi="Times New Roman" w:eastAsia="宋体"/>
                <w:b/>
                <w:bCs/>
                <w:sz w:val="24"/>
              </w:rPr>
            </w:pPr>
            <w:r>
              <w:rPr>
                <w:rFonts w:hint="eastAsia" w:ascii="Times New Roman" w:hAnsi="Times New Roman" w:eastAsia="宋体"/>
                <w:b/>
                <w:bCs/>
                <w:sz w:val="24"/>
              </w:rPr>
              <w:t>5）废水监测计划</w:t>
            </w:r>
          </w:p>
          <w:p w14:paraId="01D890CA">
            <w:pPr>
              <w:spacing w:line="377" w:lineRule="auto"/>
              <w:ind w:firstLine="480" w:firstLineChars="200"/>
              <w:rPr>
                <w:rFonts w:ascii="Times New Roman" w:hAnsi="Times New Roman" w:eastAsia="宋体"/>
                <w:sz w:val="24"/>
              </w:rPr>
            </w:pPr>
            <w:r>
              <w:rPr>
                <w:rFonts w:hint="eastAsia" w:ascii="Times New Roman" w:hAnsi="Times New Roman" w:eastAsia="宋体"/>
                <w:sz w:val="24"/>
              </w:rPr>
              <w:t>本项目运营期无生产废水排放，生活污水依托</w:t>
            </w:r>
            <w:r>
              <w:rPr>
                <w:rFonts w:hint="eastAsia" w:ascii="Times New Roman" w:hAnsi="Times New Roman" w:eastAsia="宋体" w:cs="宋体"/>
                <w:sz w:val="24"/>
                <w:lang w:eastAsia="zh-CN"/>
              </w:rPr>
              <w:t>盛德佳</w:t>
            </w:r>
            <w:r>
              <w:rPr>
                <w:rFonts w:hint="eastAsia" w:ascii="Times New Roman" w:hAnsi="Times New Roman" w:cs="宋体"/>
                <w:sz w:val="24"/>
              </w:rPr>
              <w:t>公司</w:t>
            </w:r>
            <w:r>
              <w:rPr>
                <w:rFonts w:hint="eastAsia" w:ascii="Times New Roman" w:hAnsi="Times New Roman" w:eastAsia="宋体"/>
                <w:sz w:val="24"/>
              </w:rPr>
              <w:t>现有生化池进行处理，不新增排放口，参照</w:t>
            </w:r>
            <w:r>
              <w:rPr>
                <w:rFonts w:hint="eastAsia" w:ascii="Times New Roman" w:hAnsi="Times New Roman"/>
                <w:sz w:val="24"/>
              </w:rPr>
              <w:t>《排污单位自行监测技术指南 总则》（HJ 819-2017）</w:t>
            </w:r>
            <w:r>
              <w:rPr>
                <w:rFonts w:hint="eastAsia" w:ascii="Times New Roman" w:hAnsi="Times New Roman" w:eastAsia="宋体"/>
                <w:sz w:val="24"/>
              </w:rPr>
              <w:t>等相关文件，确定项目运营期废水排放监测计划具体如下表：</w:t>
            </w:r>
          </w:p>
          <w:p w14:paraId="6C3735AD">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表4-1</w:t>
            </w:r>
            <w:r>
              <w:rPr>
                <w:rFonts w:hint="eastAsia" w:ascii="Times New Roman" w:hAnsi="Times New Roman" w:eastAsia="宋体" w:cs="Times New Roman"/>
                <w:szCs w:val="24"/>
              </w:rPr>
              <w:t>6</w:t>
            </w:r>
            <w:r>
              <w:rPr>
                <w:rFonts w:ascii="Times New Roman" w:hAnsi="Times New Roman" w:eastAsia="宋体" w:cs="Times New Roman"/>
                <w:szCs w:val="24"/>
              </w:rPr>
              <w:t xml:space="preserve">  项目废水污染物产生、排放情况汇总表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99"/>
              <w:gridCol w:w="1244"/>
              <w:gridCol w:w="1941"/>
              <w:gridCol w:w="2107"/>
              <w:gridCol w:w="2061"/>
            </w:tblGrid>
            <w:tr w14:paraId="377AD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50" w:type="pct"/>
                  <w:tcBorders>
                    <w:tl2br w:val="nil"/>
                    <w:tr2bl w:val="nil"/>
                  </w:tcBorders>
                  <w:vAlign w:val="center"/>
                </w:tcPr>
                <w:p w14:paraId="1D1312B5">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b/>
                      <w:bCs/>
                      <w:kern w:val="0"/>
                      <w:szCs w:val="21"/>
                      <w:lang w:bidi="ar"/>
                    </w:rPr>
                    <w:t>监测项目</w:t>
                  </w:r>
                </w:p>
              </w:tc>
              <w:tc>
                <w:tcPr>
                  <w:tcW w:w="736" w:type="pct"/>
                  <w:tcBorders>
                    <w:tl2br w:val="nil"/>
                    <w:tr2bl w:val="nil"/>
                  </w:tcBorders>
                  <w:vAlign w:val="center"/>
                </w:tcPr>
                <w:p w14:paraId="7FC160AC">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b/>
                      <w:bCs/>
                      <w:kern w:val="0"/>
                      <w:szCs w:val="21"/>
                      <w:lang w:bidi="ar"/>
                    </w:rPr>
                    <w:t>监测点位</w:t>
                  </w:r>
                </w:p>
              </w:tc>
              <w:tc>
                <w:tcPr>
                  <w:tcW w:w="1148" w:type="pct"/>
                  <w:tcBorders>
                    <w:tl2br w:val="nil"/>
                    <w:tr2bl w:val="nil"/>
                  </w:tcBorders>
                  <w:vAlign w:val="center"/>
                </w:tcPr>
                <w:p w14:paraId="38A6AC28">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b/>
                      <w:bCs/>
                      <w:kern w:val="0"/>
                      <w:szCs w:val="21"/>
                      <w:lang w:bidi="ar"/>
                    </w:rPr>
                    <w:t>监测指标</w:t>
                  </w:r>
                </w:p>
              </w:tc>
              <w:tc>
                <w:tcPr>
                  <w:tcW w:w="1247" w:type="pct"/>
                  <w:tcBorders>
                    <w:tl2br w:val="nil"/>
                    <w:tr2bl w:val="nil"/>
                  </w:tcBorders>
                  <w:vAlign w:val="center"/>
                </w:tcPr>
                <w:p w14:paraId="6D27562B">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b/>
                      <w:bCs/>
                      <w:kern w:val="0"/>
                      <w:szCs w:val="21"/>
                      <w:lang w:bidi="ar"/>
                    </w:rPr>
                    <w:t>监测频次</w:t>
                  </w:r>
                </w:p>
              </w:tc>
              <w:tc>
                <w:tcPr>
                  <w:tcW w:w="1217" w:type="pct"/>
                  <w:tcBorders>
                    <w:tl2br w:val="nil"/>
                    <w:tr2bl w:val="nil"/>
                  </w:tcBorders>
                  <w:vAlign w:val="center"/>
                </w:tcPr>
                <w:p w14:paraId="19218F15">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b/>
                      <w:bCs/>
                      <w:kern w:val="0"/>
                      <w:szCs w:val="21"/>
                      <w:lang w:bidi="ar"/>
                    </w:rPr>
                    <w:t>执行标准</w:t>
                  </w:r>
                </w:p>
              </w:tc>
            </w:tr>
            <w:tr w14:paraId="5B295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50" w:type="pct"/>
                  <w:tcBorders>
                    <w:tl2br w:val="nil"/>
                    <w:tr2bl w:val="nil"/>
                  </w:tcBorders>
                  <w:vAlign w:val="center"/>
                </w:tcPr>
                <w:p w14:paraId="7F565E0F">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kern w:val="0"/>
                      <w:szCs w:val="21"/>
                      <w:lang w:bidi="ar"/>
                    </w:rPr>
                    <w:t>生活污水</w:t>
                  </w:r>
                </w:p>
              </w:tc>
              <w:tc>
                <w:tcPr>
                  <w:tcW w:w="736" w:type="pct"/>
                  <w:tcBorders>
                    <w:tl2br w:val="nil"/>
                    <w:tr2bl w:val="nil"/>
                  </w:tcBorders>
                  <w:vAlign w:val="center"/>
                </w:tcPr>
                <w:p w14:paraId="2F636DE5">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kern w:val="0"/>
                      <w:szCs w:val="21"/>
                      <w:lang w:bidi="ar"/>
                    </w:rPr>
                    <w:t>依托生化池排口</w:t>
                  </w:r>
                </w:p>
              </w:tc>
              <w:tc>
                <w:tcPr>
                  <w:tcW w:w="1148" w:type="pct"/>
                  <w:tcBorders>
                    <w:tl2br w:val="nil"/>
                    <w:tr2bl w:val="nil"/>
                  </w:tcBorders>
                  <w:vAlign w:val="center"/>
                </w:tcPr>
                <w:p w14:paraId="147BBB31">
                  <w:pPr>
                    <w:widowControl/>
                    <w:spacing w:before="78" w:beforeLines="25" w:after="78" w:afterLines="25" w:line="300" w:lineRule="auto"/>
                    <w:jc w:val="center"/>
                    <w:rPr>
                      <w:rFonts w:ascii="Times New Roman" w:hAnsi="Times New Roman" w:eastAsia="宋体"/>
                      <w:szCs w:val="21"/>
                    </w:rPr>
                  </w:pPr>
                  <w:r>
                    <w:rPr>
                      <w:rFonts w:ascii="Times New Roman" w:hAnsi="Times New Roman" w:eastAsia="宋体" w:cs="Times New Roman"/>
                      <w:kern w:val="0"/>
                      <w:szCs w:val="21"/>
                      <w:lang w:bidi="ar"/>
                    </w:rPr>
                    <w:t>pH</w:t>
                  </w:r>
                  <w:r>
                    <w:rPr>
                      <w:rFonts w:hint="eastAsia" w:ascii="Times New Roman" w:hAnsi="Times New Roman" w:eastAsia="宋体" w:cs="宋体"/>
                      <w:kern w:val="0"/>
                      <w:szCs w:val="21"/>
                      <w:lang w:bidi="ar"/>
                    </w:rPr>
                    <w:t>、</w:t>
                  </w:r>
                  <w:r>
                    <w:rPr>
                      <w:rFonts w:ascii="Times New Roman" w:hAnsi="Times New Roman" w:eastAsia="宋体" w:cs="Times New Roman"/>
                      <w:kern w:val="0"/>
                      <w:szCs w:val="21"/>
                      <w:lang w:bidi="ar"/>
                    </w:rPr>
                    <w:t>COD</w:t>
                  </w:r>
                  <w:r>
                    <w:rPr>
                      <w:rFonts w:hint="eastAsia" w:ascii="Times New Roman" w:hAnsi="Times New Roman" w:eastAsia="宋体" w:cs="宋体"/>
                      <w:kern w:val="0"/>
                      <w:szCs w:val="21"/>
                      <w:lang w:bidi="ar"/>
                    </w:rPr>
                    <w:t>、</w:t>
                  </w:r>
                  <w:r>
                    <w:rPr>
                      <w:rFonts w:ascii="Times New Roman" w:hAnsi="Times New Roman" w:eastAsia="宋体" w:cs="Times New Roman"/>
                      <w:kern w:val="0"/>
                      <w:szCs w:val="21"/>
                      <w:lang w:bidi="ar"/>
                    </w:rPr>
                    <w:t>BOD</w:t>
                  </w:r>
                  <w:r>
                    <w:rPr>
                      <w:rFonts w:ascii="Times New Roman" w:hAnsi="Times New Roman" w:eastAsia="宋体" w:cs="Times New Roman"/>
                      <w:kern w:val="0"/>
                      <w:szCs w:val="21"/>
                      <w:vertAlign w:val="subscript"/>
                      <w:lang w:bidi="ar"/>
                    </w:rPr>
                    <w:t>5</w:t>
                  </w:r>
                  <w:r>
                    <w:rPr>
                      <w:rFonts w:hint="eastAsia" w:ascii="Times New Roman" w:hAnsi="Times New Roman" w:eastAsia="宋体" w:cs="宋体"/>
                      <w:kern w:val="0"/>
                      <w:szCs w:val="21"/>
                      <w:lang w:bidi="ar"/>
                    </w:rPr>
                    <w:t>、</w:t>
                  </w:r>
                  <w:r>
                    <w:rPr>
                      <w:rFonts w:ascii="Times New Roman" w:hAnsi="Times New Roman" w:eastAsia="宋体" w:cs="Times New Roman"/>
                      <w:kern w:val="0"/>
                      <w:szCs w:val="21"/>
                      <w:lang w:bidi="ar"/>
                    </w:rPr>
                    <w:t>SS</w:t>
                  </w:r>
                  <w:r>
                    <w:rPr>
                      <w:rFonts w:hint="eastAsia" w:ascii="Times New Roman" w:hAnsi="Times New Roman" w:eastAsia="宋体" w:cs="宋体"/>
                      <w:kern w:val="0"/>
                      <w:szCs w:val="21"/>
                      <w:lang w:bidi="ar"/>
                    </w:rPr>
                    <w:t>、氨氮</w:t>
                  </w:r>
                </w:p>
              </w:tc>
              <w:tc>
                <w:tcPr>
                  <w:tcW w:w="1247" w:type="pct"/>
                  <w:tcBorders>
                    <w:tl2br w:val="nil"/>
                    <w:tr2bl w:val="nil"/>
                  </w:tcBorders>
                  <w:vAlign w:val="center"/>
                </w:tcPr>
                <w:p w14:paraId="69C907D6">
                  <w:pPr>
                    <w:widowControl/>
                    <w:spacing w:before="78" w:beforeLines="25" w:after="78" w:afterLines="25" w:line="300" w:lineRule="auto"/>
                    <w:jc w:val="center"/>
                    <w:rPr>
                      <w:rFonts w:ascii="Times New Roman" w:hAnsi="Times New Roman" w:eastAsia="宋体"/>
                      <w:szCs w:val="21"/>
                    </w:rPr>
                  </w:pPr>
                  <w:r>
                    <w:rPr>
                      <w:rFonts w:ascii="Times New Roman" w:hAnsi="Times New Roman" w:eastAsia="宋体" w:cs="Times New Roman"/>
                      <w:kern w:val="0"/>
                      <w:szCs w:val="21"/>
                      <w:lang w:bidi="ar"/>
                    </w:rPr>
                    <w:t>验收监测</w:t>
                  </w: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次，以后由</w:t>
                  </w:r>
                  <w:r>
                    <w:rPr>
                      <w:rFonts w:hint="eastAsia" w:ascii="Times New Roman" w:hAnsi="Times New Roman" w:eastAsia="宋体" w:cs="Times New Roman"/>
                      <w:kern w:val="0"/>
                      <w:szCs w:val="21"/>
                      <w:lang w:eastAsia="zh-CN" w:bidi="ar"/>
                    </w:rPr>
                    <w:t>盛德佳</w:t>
                  </w:r>
                  <w:r>
                    <w:rPr>
                      <w:rFonts w:hint="eastAsia" w:ascii="Times New Roman" w:hAnsi="Times New Roman" w:eastAsia="宋体" w:cs="Times New Roman"/>
                      <w:kern w:val="0"/>
                      <w:szCs w:val="21"/>
                      <w:lang w:bidi="ar"/>
                    </w:rPr>
                    <w:t>公司</w:t>
                  </w:r>
                  <w:r>
                    <w:rPr>
                      <w:rFonts w:ascii="Times New Roman" w:hAnsi="Times New Roman" w:eastAsia="宋体" w:cs="Times New Roman"/>
                      <w:kern w:val="0"/>
                      <w:szCs w:val="21"/>
                      <w:lang w:bidi="ar"/>
                    </w:rPr>
                    <w:t>负责监测，1次/年</w:t>
                  </w:r>
                </w:p>
              </w:tc>
              <w:tc>
                <w:tcPr>
                  <w:tcW w:w="1217" w:type="pct"/>
                  <w:tcBorders>
                    <w:tl2br w:val="nil"/>
                    <w:tr2bl w:val="nil"/>
                  </w:tcBorders>
                  <w:vAlign w:val="center"/>
                </w:tcPr>
                <w:p w14:paraId="603E900E">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cs="宋体"/>
                      <w:kern w:val="0"/>
                      <w:szCs w:val="21"/>
                      <w:lang w:bidi="ar"/>
                    </w:rPr>
                    <w:t>《污水综合排放标准》（</w:t>
                  </w:r>
                  <w:r>
                    <w:rPr>
                      <w:rFonts w:ascii="Times New Roman" w:hAnsi="Times New Roman" w:eastAsia="宋体" w:cs="Times New Roman"/>
                      <w:kern w:val="0"/>
                      <w:szCs w:val="21"/>
                      <w:lang w:bidi="ar"/>
                    </w:rPr>
                    <w:t>GB</w:t>
                  </w: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8978-1996</w:t>
                  </w:r>
                  <w:r>
                    <w:rPr>
                      <w:rFonts w:hint="eastAsia" w:ascii="Times New Roman" w:hAnsi="Times New Roman" w:eastAsia="宋体" w:cs="宋体"/>
                      <w:kern w:val="0"/>
                      <w:szCs w:val="21"/>
                      <w:lang w:bidi="ar"/>
                    </w:rPr>
                    <w:t>）三级标准</w:t>
                  </w:r>
                </w:p>
              </w:tc>
            </w:tr>
            <w:tr w14:paraId="1E337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5C1B4BB0">
                  <w:pPr>
                    <w:widowControl/>
                    <w:spacing w:before="78" w:beforeLines="25" w:after="78" w:afterLines="25" w:line="300" w:lineRule="auto"/>
                    <w:rPr>
                      <w:rFonts w:ascii="Times New Roman" w:hAnsi="Times New Roman" w:eastAsia="宋体"/>
                      <w:szCs w:val="21"/>
                    </w:rPr>
                  </w:pPr>
                  <w:r>
                    <w:rPr>
                      <w:rFonts w:hint="eastAsia" w:ascii="Times New Roman" w:hAnsi="Times New Roman" w:eastAsia="宋体" w:cs="宋体"/>
                      <w:b/>
                      <w:bCs/>
                      <w:kern w:val="0"/>
                      <w:szCs w:val="21"/>
                      <w:lang w:bidi="ar"/>
                    </w:rPr>
                    <w:t>注</w:t>
                  </w:r>
                  <w:r>
                    <w:rPr>
                      <w:rFonts w:hint="eastAsia" w:ascii="Times New Roman" w:hAnsi="Times New Roman" w:eastAsia="宋体" w:cs="宋体"/>
                      <w:kern w:val="0"/>
                      <w:szCs w:val="21"/>
                      <w:lang w:bidi="ar"/>
                    </w:rPr>
                    <w:t>：项目生活污水依托</w:t>
                  </w:r>
                  <w:r>
                    <w:rPr>
                      <w:rFonts w:hint="eastAsia" w:ascii="Times New Roman" w:hAnsi="Times New Roman" w:eastAsia="宋体" w:cs="宋体"/>
                      <w:kern w:val="0"/>
                      <w:szCs w:val="21"/>
                      <w:lang w:eastAsia="zh-CN" w:bidi="ar"/>
                    </w:rPr>
                    <w:t>盛德佳</w:t>
                  </w:r>
                  <w:r>
                    <w:rPr>
                      <w:rFonts w:hint="eastAsia" w:ascii="Times New Roman" w:hAnsi="Times New Roman" w:eastAsia="宋体" w:cs="宋体"/>
                      <w:kern w:val="0"/>
                      <w:szCs w:val="21"/>
                      <w:lang w:bidi="ar"/>
                    </w:rPr>
                    <w:t>公司现有生化池进行处理，竣工验收时监测一次，以后纳入</w:t>
                  </w:r>
                  <w:r>
                    <w:rPr>
                      <w:rFonts w:hint="eastAsia" w:ascii="Times New Roman" w:hAnsi="Times New Roman" w:eastAsia="宋体" w:cs="宋体"/>
                      <w:kern w:val="0"/>
                      <w:szCs w:val="21"/>
                      <w:lang w:eastAsia="zh-CN" w:bidi="ar"/>
                    </w:rPr>
                    <w:t>盛德佳</w:t>
                  </w:r>
                  <w:r>
                    <w:rPr>
                      <w:rFonts w:hint="eastAsia" w:ascii="Times New Roman" w:hAnsi="Times New Roman" w:eastAsia="宋体" w:cs="宋体"/>
                      <w:kern w:val="0"/>
                      <w:szCs w:val="21"/>
                      <w:lang w:bidi="ar"/>
                    </w:rPr>
                    <w:t>公司监测计划进行监测。</w:t>
                  </w:r>
                </w:p>
              </w:tc>
            </w:tr>
          </w:tbl>
          <w:p w14:paraId="37C71ACD">
            <w:pPr>
              <w:pStyle w:val="22"/>
              <w:widowControl w:val="0"/>
              <w:spacing w:before="31" w:beforeLines="10" w:beforeAutospacing="0" w:after="31" w:afterLines="10" w:afterAutospacing="0" w:line="372"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eastAsia="zh-CN" w:bidi="ar"/>
              </w:rPr>
              <w:t>3.</w:t>
            </w:r>
            <w:r>
              <w:rPr>
                <w:rFonts w:hint="eastAsia" w:ascii="Times New Roman" w:hAnsi="Times New Roman" w:eastAsia="宋体" w:cs="宋体"/>
                <w:b/>
                <w:bCs/>
                <w:szCs w:val="24"/>
                <w:lang w:bidi="ar"/>
              </w:rPr>
              <w:t>运营期噪声环境影响及环保措施：</w:t>
            </w:r>
          </w:p>
          <w:p w14:paraId="6C5C0522">
            <w:pPr>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w:t>
            </w:r>
            <w:r>
              <w:rPr>
                <w:rFonts w:ascii="Times New Roman" w:hAnsi="Times New Roman" w:eastAsia="宋体" w:cs="Times New Roman"/>
                <w:b/>
                <w:bCs/>
                <w:sz w:val="24"/>
              </w:rPr>
              <w:t>1）噪声污染</w:t>
            </w:r>
            <w:r>
              <w:rPr>
                <w:rFonts w:hint="eastAsia" w:ascii="Times New Roman" w:hAnsi="Times New Roman" w:eastAsia="宋体" w:cs="Times New Roman"/>
                <w:b/>
                <w:bCs/>
                <w:sz w:val="24"/>
                <w:lang w:eastAsia="zh-CN"/>
              </w:rPr>
              <w:t>源</w:t>
            </w:r>
            <w:r>
              <w:rPr>
                <w:rFonts w:ascii="Times New Roman" w:hAnsi="Times New Roman" w:eastAsia="宋体" w:cs="Times New Roman"/>
                <w:b/>
                <w:bCs/>
                <w:sz w:val="24"/>
              </w:rPr>
              <w:t>强</w:t>
            </w:r>
          </w:p>
          <w:p w14:paraId="213DE15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项目噪声污染源源强及相关参数见表4-</w:t>
            </w:r>
            <w:r>
              <w:rPr>
                <w:rFonts w:hint="eastAsia" w:ascii="Times New Roman" w:hAnsi="Times New Roman" w:cs="Times New Roman"/>
                <w:sz w:val="24"/>
              </w:rPr>
              <w:t>17</w:t>
            </w:r>
            <w:r>
              <w:rPr>
                <w:rFonts w:hint="eastAsia" w:ascii="Times New Roman" w:hAnsi="Times New Roman" w:cs="Times New Roman"/>
                <w:sz w:val="24"/>
                <w:lang w:eastAsia="zh-CN"/>
              </w:rPr>
              <w:t>、表</w:t>
            </w:r>
            <w:r>
              <w:rPr>
                <w:rFonts w:hint="eastAsia" w:ascii="Times New Roman" w:hAnsi="Times New Roman" w:cs="Times New Roman"/>
                <w:sz w:val="24"/>
                <w:lang w:val="en-US" w:eastAsia="zh-CN"/>
              </w:rPr>
              <w:t>4-18</w:t>
            </w:r>
            <w:r>
              <w:rPr>
                <w:rFonts w:ascii="Times New Roman" w:hAnsi="Times New Roman" w:cs="Times New Roman"/>
                <w:sz w:val="24"/>
              </w:rPr>
              <w:t>。</w:t>
            </w:r>
          </w:p>
          <w:p w14:paraId="22B31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表 </w:t>
            </w:r>
            <w:r>
              <w:rPr>
                <w:rFonts w:hint="default" w:ascii="Times New Roman" w:hAnsi="Times New Roman" w:cs="Times New Roman"/>
                <w:b w:val="0"/>
                <w:bCs w:val="0"/>
                <w:color w:val="auto"/>
                <w:sz w:val="24"/>
                <w:szCs w:val="24"/>
                <w:highlight w:val="none"/>
                <w:lang w:val="en-US" w:eastAsia="zh-CN"/>
              </w:rPr>
              <w:t>4.</w:t>
            </w:r>
            <w:r>
              <w:rPr>
                <w:rFonts w:hint="eastAsia" w:ascii="Times New Roman" w:hAnsi="Times New Roman" w:cs="Times New Roman"/>
                <w:b w:val="0"/>
                <w:bCs w:val="0"/>
                <w:color w:val="auto"/>
                <w:sz w:val="24"/>
                <w:szCs w:val="24"/>
                <w:highlight w:val="none"/>
                <w:lang w:val="en-US" w:eastAsia="zh-CN"/>
              </w:rPr>
              <w:t>17</w:t>
            </w:r>
            <w:r>
              <w:rPr>
                <w:rFonts w:hint="default" w:ascii="Times New Roman" w:hAnsi="Times New Roman" w:cs="Times New Roman"/>
                <w:b w:val="0"/>
                <w:bCs w:val="0"/>
                <w:color w:val="auto"/>
                <w:sz w:val="24"/>
                <w:szCs w:val="24"/>
                <w:highlight w:val="none"/>
                <w:lang w:eastAsia="zh-CN"/>
              </w:rPr>
              <w:tab/>
            </w:r>
            <w:r>
              <w:rPr>
                <w:rFonts w:hint="default" w:ascii="Times New Roman" w:hAnsi="Times New Roman" w:cs="Times New Roman"/>
                <w:b w:val="0"/>
                <w:bCs w:val="0"/>
                <w:color w:val="auto"/>
                <w:sz w:val="24"/>
                <w:szCs w:val="24"/>
                <w:highlight w:val="none"/>
                <w:lang w:eastAsia="zh-CN"/>
              </w:rPr>
              <w:t>工业企业噪声源强调查清单（室外声源）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16"/>
              <w:gridCol w:w="670"/>
              <w:gridCol w:w="722"/>
              <w:gridCol w:w="648"/>
              <w:gridCol w:w="1347"/>
              <w:gridCol w:w="2109"/>
              <w:gridCol w:w="1143"/>
            </w:tblGrid>
            <w:tr w14:paraId="00FB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81" w:type="dxa"/>
                  <w:vMerge w:val="restart"/>
                  <w:vAlign w:val="center"/>
                </w:tcPr>
                <w:p w14:paraId="787325A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1016" w:type="dxa"/>
                  <w:vMerge w:val="restart"/>
                  <w:vAlign w:val="center"/>
                </w:tcPr>
                <w:p w14:paraId="3297835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声源名称</w:t>
                  </w:r>
                </w:p>
              </w:tc>
              <w:tc>
                <w:tcPr>
                  <w:tcW w:w="2040" w:type="dxa"/>
                  <w:gridSpan w:val="3"/>
                  <w:vAlign w:val="center"/>
                </w:tcPr>
                <w:p w14:paraId="488663A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空间相对位置/m</w:t>
                  </w:r>
                </w:p>
              </w:tc>
              <w:tc>
                <w:tcPr>
                  <w:tcW w:w="1347" w:type="dxa"/>
                  <w:vMerge w:val="restart"/>
                  <w:vAlign w:val="center"/>
                </w:tcPr>
                <w:p w14:paraId="68CB341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声源源强</w:t>
                  </w:r>
                  <w:r>
                    <w:rPr>
                      <w:rFonts w:hint="default" w:ascii="Times New Roman" w:hAnsi="Times New Roman" w:eastAsia="宋体" w:cs="Times New Roman"/>
                      <w:b w:val="0"/>
                      <w:bCs/>
                      <w:color w:val="auto"/>
                      <w:sz w:val="21"/>
                      <w:szCs w:val="21"/>
                      <w:highlight w:val="none"/>
                    </w:rPr>
                    <w:t>/dB(A)</w:t>
                  </w:r>
                </w:p>
              </w:tc>
              <w:tc>
                <w:tcPr>
                  <w:tcW w:w="2109" w:type="dxa"/>
                  <w:vMerge w:val="restart"/>
                  <w:vAlign w:val="center"/>
                </w:tcPr>
                <w:p w14:paraId="069DD27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声源控制措施</w:t>
                  </w:r>
                </w:p>
              </w:tc>
              <w:tc>
                <w:tcPr>
                  <w:tcW w:w="1143" w:type="dxa"/>
                  <w:vMerge w:val="restart"/>
                  <w:vAlign w:val="center"/>
                </w:tcPr>
                <w:p w14:paraId="45E8D94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运行时段</w:t>
                  </w:r>
                </w:p>
              </w:tc>
            </w:tr>
            <w:tr w14:paraId="00DE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81" w:type="dxa"/>
                  <w:vMerge w:val="continue"/>
                  <w:shd w:val="clear" w:color="auto" w:fill="FFFFFF"/>
                  <w:vAlign w:val="center"/>
                </w:tcPr>
                <w:p w14:paraId="5816BF1E">
                  <w:pPr>
                    <w:jc w:val="center"/>
                    <w:rPr>
                      <w:rFonts w:hint="default" w:ascii="Times New Roman" w:hAnsi="Times New Roman" w:eastAsia="宋体" w:cs="Times New Roman"/>
                      <w:color w:val="auto"/>
                      <w:sz w:val="21"/>
                      <w:szCs w:val="21"/>
                      <w:highlight w:val="none"/>
                    </w:rPr>
                  </w:pPr>
                </w:p>
              </w:tc>
              <w:tc>
                <w:tcPr>
                  <w:tcW w:w="1016" w:type="dxa"/>
                  <w:vMerge w:val="continue"/>
                  <w:shd w:val="clear" w:color="auto" w:fill="FFFFFF"/>
                  <w:vAlign w:val="center"/>
                </w:tcPr>
                <w:p w14:paraId="41E1FE32">
                  <w:pPr>
                    <w:jc w:val="center"/>
                    <w:rPr>
                      <w:rFonts w:hint="default" w:ascii="Times New Roman" w:hAnsi="Times New Roman" w:eastAsia="宋体" w:cs="Times New Roman"/>
                      <w:color w:val="auto"/>
                      <w:sz w:val="21"/>
                      <w:szCs w:val="21"/>
                      <w:highlight w:val="none"/>
                    </w:rPr>
                  </w:pPr>
                </w:p>
              </w:tc>
              <w:tc>
                <w:tcPr>
                  <w:tcW w:w="670" w:type="dxa"/>
                  <w:shd w:val="clear" w:color="auto" w:fill="FFFFFF"/>
                  <w:vAlign w:val="center"/>
                </w:tcPr>
                <w:p w14:paraId="22A75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722" w:type="dxa"/>
                  <w:shd w:val="clear" w:color="auto" w:fill="FFFFFF"/>
                  <w:vAlign w:val="center"/>
                </w:tcPr>
                <w:p w14:paraId="687AAA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648" w:type="dxa"/>
                  <w:shd w:val="clear" w:color="auto" w:fill="FFFFFF"/>
                  <w:vAlign w:val="center"/>
                </w:tcPr>
                <w:p w14:paraId="0A5E69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347" w:type="dxa"/>
                  <w:vMerge w:val="continue"/>
                  <w:shd w:val="clear" w:color="auto" w:fill="FFFFFF"/>
                  <w:vAlign w:val="center"/>
                </w:tcPr>
                <w:p w14:paraId="4FAB1FD5">
                  <w:pPr>
                    <w:jc w:val="center"/>
                    <w:rPr>
                      <w:rFonts w:hint="default" w:ascii="Times New Roman" w:hAnsi="Times New Roman" w:eastAsia="宋体" w:cs="Times New Roman"/>
                      <w:color w:val="auto"/>
                      <w:sz w:val="21"/>
                      <w:szCs w:val="21"/>
                      <w:highlight w:val="none"/>
                    </w:rPr>
                  </w:pPr>
                </w:p>
              </w:tc>
              <w:tc>
                <w:tcPr>
                  <w:tcW w:w="2109" w:type="dxa"/>
                  <w:vMerge w:val="continue"/>
                  <w:shd w:val="clear" w:color="auto" w:fill="FFFFFF"/>
                  <w:vAlign w:val="center"/>
                </w:tcPr>
                <w:p w14:paraId="616ED3E0">
                  <w:pPr>
                    <w:jc w:val="center"/>
                    <w:rPr>
                      <w:rFonts w:hint="default" w:ascii="Times New Roman" w:hAnsi="Times New Roman" w:eastAsia="宋体" w:cs="Times New Roman"/>
                      <w:color w:val="auto"/>
                      <w:sz w:val="21"/>
                      <w:szCs w:val="21"/>
                      <w:highlight w:val="none"/>
                    </w:rPr>
                  </w:pPr>
                </w:p>
              </w:tc>
              <w:tc>
                <w:tcPr>
                  <w:tcW w:w="1143" w:type="dxa"/>
                  <w:vMerge w:val="continue"/>
                  <w:shd w:val="clear" w:color="auto" w:fill="FFFFFF"/>
                  <w:vAlign w:val="center"/>
                </w:tcPr>
                <w:p w14:paraId="51D1A604">
                  <w:pPr>
                    <w:jc w:val="center"/>
                    <w:rPr>
                      <w:rFonts w:hint="default" w:ascii="Times New Roman" w:hAnsi="Times New Roman" w:eastAsia="宋体" w:cs="Times New Roman"/>
                      <w:color w:val="auto"/>
                      <w:sz w:val="21"/>
                      <w:szCs w:val="21"/>
                      <w:highlight w:val="none"/>
                    </w:rPr>
                  </w:pPr>
                </w:p>
              </w:tc>
            </w:tr>
            <w:tr w14:paraId="2AC9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3" w:hRule="exact"/>
                <w:jc w:val="center"/>
              </w:trPr>
              <w:tc>
                <w:tcPr>
                  <w:tcW w:w="681" w:type="dxa"/>
                  <w:shd w:val="clear" w:color="auto" w:fill="FFFFFF"/>
                  <w:vAlign w:val="center"/>
                </w:tcPr>
                <w:p w14:paraId="669315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16" w:type="dxa"/>
                  <w:shd w:val="clear" w:color="auto" w:fill="FFFFFF"/>
                  <w:vAlign w:val="center"/>
                </w:tcPr>
                <w:p w14:paraId="1C4F19C9">
                  <w:pPr>
                    <w:jc w:val="center"/>
                    <w:rPr>
                      <w:rFonts w:hint="eastAsia" w:ascii="Times New Roman" w:hAnsi="Times New Roman" w:eastAsia="宋体" w:cs="Times New Roman"/>
                      <w:color w:val="auto"/>
                      <w:sz w:val="21"/>
                      <w:szCs w:val="21"/>
                      <w:highlight w:val="none"/>
                      <w:lang w:eastAsia="zh-CN"/>
                    </w:rPr>
                  </w:pPr>
                  <w:r>
                    <w:rPr>
                      <w:rFonts w:ascii="Arial" w:hAnsi="Arial" w:eastAsia="Arial" w:cs="Arial"/>
                      <w:sz w:val="20"/>
                    </w:rPr>
                    <w:t>环保设施风机</w:t>
                  </w:r>
                </w:p>
              </w:tc>
              <w:tc>
                <w:tcPr>
                  <w:tcW w:w="670" w:type="dxa"/>
                  <w:shd w:val="clear" w:color="auto" w:fill="FFFFFF"/>
                  <w:vAlign w:val="center"/>
                </w:tcPr>
                <w:p w14:paraId="7487797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722" w:type="dxa"/>
                  <w:shd w:val="clear" w:color="auto" w:fill="FFFFFF"/>
                  <w:vAlign w:val="center"/>
                </w:tcPr>
                <w:p w14:paraId="40A84BF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-21.9</w:t>
                  </w:r>
                </w:p>
              </w:tc>
              <w:tc>
                <w:tcPr>
                  <w:tcW w:w="648" w:type="dxa"/>
                  <w:shd w:val="clear" w:color="auto" w:fill="FFFFFF"/>
                  <w:vAlign w:val="center"/>
                </w:tcPr>
                <w:p w14:paraId="32CF96D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1347" w:type="dxa"/>
                  <w:shd w:val="clear" w:color="auto" w:fill="FFFFFF"/>
                  <w:vAlign w:val="center"/>
                </w:tcPr>
                <w:p w14:paraId="3AE2426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2109" w:type="dxa"/>
                  <w:shd w:val="clear" w:color="auto" w:fill="FFFFFF"/>
                  <w:vAlign w:val="center"/>
                </w:tcPr>
                <w:p w14:paraId="7B7682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选用低噪声设备，基础减振</w:t>
                  </w:r>
                </w:p>
              </w:tc>
              <w:tc>
                <w:tcPr>
                  <w:tcW w:w="1143" w:type="dxa"/>
                  <w:shd w:val="clear" w:color="auto" w:fill="FFFFFF"/>
                  <w:vAlign w:val="center"/>
                </w:tcPr>
                <w:p w14:paraId="2088893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bl>
          <w:p w14:paraId="382A7D27">
            <w:pPr>
              <w:adjustRightInd w:val="0"/>
              <w:snapToGrid w:val="0"/>
            </w:pPr>
            <w:r>
              <w:rPr>
                <w:rFonts w:hint="default" w:ascii="Times New Roman" w:hAnsi="Times New Roman" w:cs="Times New Roman"/>
                <w:color w:val="auto"/>
                <w:sz w:val="18"/>
                <w:szCs w:val="18"/>
                <w:highlight w:val="none"/>
                <w:lang w:val="en-US" w:eastAsia="zh-CN"/>
              </w:rPr>
              <w:t>表中坐标以厂界中心（</w:t>
            </w:r>
            <w:bookmarkStart w:id="8" w:name="PO_6"/>
            <w:r>
              <w:rPr>
                <w:rFonts w:hint="default" w:ascii="Times New Roman" w:hAnsi="Times New Roman" w:cs="Times New Roman" w:eastAsiaTheme="minorEastAsia"/>
                <w:b w:val="0"/>
                <w:bCs/>
                <w:sz w:val="21"/>
                <w:szCs w:val="21"/>
                <w:lang w:val="en-US" w:eastAsia="zh-CN"/>
              </w:rPr>
              <w:t>106.295661,29.321905</w:t>
            </w:r>
            <w:bookmarkEnd w:id="8"/>
            <w:r>
              <w:rPr>
                <w:rFonts w:hint="default" w:ascii="Times New Roman" w:hAnsi="Times New Roman" w:cs="Times New Roman"/>
                <w:color w:val="auto"/>
                <w:sz w:val="18"/>
                <w:szCs w:val="18"/>
                <w:highlight w:val="none"/>
                <w:lang w:val="en-US" w:eastAsia="zh-CN"/>
              </w:rPr>
              <w:t>）为坐标原点，正东向为X轴正方向，正北向为Y轴正方向。</w:t>
            </w:r>
          </w:p>
        </w:tc>
      </w:tr>
    </w:tbl>
    <w:p w14:paraId="1D81B858">
      <w:pPr>
        <w:pStyle w:val="25"/>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489BBAC">
      <w:pPr>
        <w:jc w:val="center"/>
        <w:rPr>
          <w:b/>
          <w:kern w:val="0"/>
          <w:szCs w:val="21"/>
        </w:rPr>
      </w:pPr>
    </w:p>
    <w:p w14:paraId="02F175B4">
      <w:pPr>
        <w:jc w:val="center"/>
        <w:rPr>
          <w:rFonts w:ascii="Times New Roman" w:hAnsi="Times New Roman" w:eastAsia="宋体" w:cs="Times New Roman"/>
          <w:bCs/>
          <w:kern w:val="0"/>
          <w:sz w:val="24"/>
        </w:rPr>
      </w:pPr>
      <w:r>
        <w:rPr>
          <w:rFonts w:ascii="Times New Roman" w:hAnsi="Times New Roman" w:eastAsia="宋体" w:cs="Times New Roman"/>
          <w:bCs/>
          <w:kern w:val="0"/>
          <w:sz w:val="24"/>
        </w:rPr>
        <w:t>表4-</w:t>
      </w:r>
      <w:r>
        <w:rPr>
          <w:rFonts w:hint="eastAsia" w:ascii="Times New Roman" w:hAnsi="Times New Roman" w:eastAsia="宋体" w:cs="Times New Roman"/>
          <w:bCs/>
          <w:kern w:val="0"/>
          <w:sz w:val="24"/>
          <w:lang w:val="en-US" w:eastAsia="zh-CN"/>
        </w:rPr>
        <w:t>18</w:t>
      </w:r>
      <w:r>
        <w:rPr>
          <w:rFonts w:ascii="Times New Roman" w:hAnsi="Times New Roman" w:eastAsia="宋体" w:cs="Times New Roman"/>
          <w:bCs/>
          <w:kern w:val="0"/>
          <w:sz w:val="24"/>
        </w:rPr>
        <w:t>主要噪声源强调查清单（室内声源）单位：dB（A）</w:t>
      </w:r>
    </w:p>
    <w:tbl>
      <w:tblPr>
        <w:tblStyle w:val="27"/>
        <w:tblW w:w="13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427"/>
        <w:gridCol w:w="1162"/>
        <w:gridCol w:w="559"/>
        <w:gridCol w:w="411"/>
        <w:gridCol w:w="655"/>
        <w:gridCol w:w="491"/>
        <w:gridCol w:w="450"/>
        <w:gridCol w:w="504"/>
        <w:gridCol w:w="491"/>
        <w:gridCol w:w="505"/>
        <w:gridCol w:w="532"/>
        <w:gridCol w:w="504"/>
        <w:gridCol w:w="532"/>
        <w:gridCol w:w="505"/>
        <w:gridCol w:w="480"/>
        <w:gridCol w:w="488"/>
        <w:gridCol w:w="909"/>
        <w:gridCol w:w="663"/>
        <w:gridCol w:w="592"/>
        <w:gridCol w:w="620"/>
        <w:gridCol w:w="548"/>
        <w:gridCol w:w="761"/>
      </w:tblGrid>
      <w:tr w14:paraId="4CDE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30" w:type="dxa"/>
            <w:vMerge w:val="restart"/>
            <w:vAlign w:val="center"/>
          </w:tcPr>
          <w:p w14:paraId="043D21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bookmarkStart w:id="9" w:name="PT_6"/>
            <w:r>
              <w:rPr>
                <w:rFonts w:hint="default" w:ascii="Times New Roman" w:hAnsi="Times New Roman" w:eastAsia="宋体" w:cs="Times New Roman"/>
                <w:bCs/>
                <w:sz w:val="18"/>
                <w:szCs w:val="18"/>
              </w:rPr>
              <w:t>序号</w:t>
            </w:r>
          </w:p>
        </w:tc>
        <w:tc>
          <w:tcPr>
            <w:tcW w:w="427" w:type="dxa"/>
            <w:vMerge w:val="restart"/>
            <w:vAlign w:val="center"/>
          </w:tcPr>
          <w:p w14:paraId="6ACEC8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建筑物名称</w:t>
            </w:r>
          </w:p>
          <w:p w14:paraId="19089B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kern w:val="2"/>
                <w:sz w:val="18"/>
                <w:szCs w:val="18"/>
                <w:lang w:val="en-US" w:eastAsia="zh-CN" w:bidi="ar-SA"/>
              </w:rPr>
            </w:pPr>
          </w:p>
          <w:p w14:paraId="15AEDA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vMerge w:val="restart"/>
            <w:vAlign w:val="center"/>
          </w:tcPr>
          <w:p w14:paraId="3A53D1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声源名称</w:t>
            </w:r>
          </w:p>
        </w:tc>
        <w:tc>
          <w:tcPr>
            <w:tcW w:w="559" w:type="dxa"/>
            <w:vAlign w:val="center"/>
          </w:tcPr>
          <w:p w14:paraId="3CA71A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声</w:t>
            </w:r>
            <w:r>
              <w:rPr>
                <w:rFonts w:hint="eastAsia" w:ascii="Times New Roman" w:hAnsi="Times New Roman" w:eastAsia="宋体" w:cs="Times New Roman"/>
                <w:bCs/>
                <w:sz w:val="18"/>
                <w:szCs w:val="18"/>
                <w:lang w:eastAsia="zh-CN"/>
              </w:rPr>
              <w:t>源</w:t>
            </w:r>
            <w:r>
              <w:rPr>
                <w:rFonts w:hint="default" w:ascii="Times New Roman" w:hAnsi="Times New Roman" w:eastAsia="宋体" w:cs="Times New Roman"/>
                <w:bCs/>
                <w:sz w:val="18"/>
                <w:szCs w:val="18"/>
              </w:rPr>
              <w:t>强</w:t>
            </w:r>
          </w:p>
        </w:tc>
        <w:tc>
          <w:tcPr>
            <w:tcW w:w="411" w:type="dxa"/>
            <w:vMerge w:val="restart"/>
            <w:vAlign w:val="center"/>
          </w:tcPr>
          <w:p w14:paraId="71B252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声源控制措施</w:t>
            </w:r>
          </w:p>
        </w:tc>
        <w:tc>
          <w:tcPr>
            <w:tcW w:w="1596" w:type="dxa"/>
            <w:gridSpan w:val="3"/>
            <w:vAlign w:val="center"/>
          </w:tcPr>
          <w:p w14:paraId="6103FF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空间相对位置/m</w:t>
            </w:r>
          </w:p>
        </w:tc>
        <w:tc>
          <w:tcPr>
            <w:tcW w:w="2032" w:type="dxa"/>
            <w:gridSpan w:val="4"/>
            <w:vAlign w:val="center"/>
          </w:tcPr>
          <w:p w14:paraId="715C15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距室内边界距离/m</w:t>
            </w:r>
          </w:p>
        </w:tc>
        <w:tc>
          <w:tcPr>
            <w:tcW w:w="2021" w:type="dxa"/>
            <w:gridSpan w:val="4"/>
            <w:vAlign w:val="center"/>
          </w:tcPr>
          <w:p w14:paraId="74C2D3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室内边界声级/dB(A)</w:t>
            </w:r>
          </w:p>
        </w:tc>
        <w:tc>
          <w:tcPr>
            <w:tcW w:w="488" w:type="dxa"/>
            <w:vMerge w:val="restart"/>
            <w:vAlign w:val="center"/>
          </w:tcPr>
          <w:p w14:paraId="713EBF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运行时段</w:t>
            </w:r>
          </w:p>
        </w:tc>
        <w:tc>
          <w:tcPr>
            <w:tcW w:w="909" w:type="dxa"/>
            <w:vMerge w:val="restart"/>
            <w:vAlign w:val="center"/>
          </w:tcPr>
          <w:p w14:paraId="0F52F6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bookmarkStart w:id="10" w:name="PT_10"/>
            <w:bookmarkEnd w:id="10"/>
            <w:r>
              <w:rPr>
                <w:rFonts w:hint="default" w:ascii="Times New Roman" w:hAnsi="Times New Roman" w:eastAsia="宋体" w:cs="Times New Roman"/>
                <w:bCs/>
                <w:sz w:val="18"/>
                <w:szCs w:val="18"/>
              </w:rPr>
              <w:t>建筑物插入损失/dB(A)</w:t>
            </w:r>
          </w:p>
        </w:tc>
        <w:tc>
          <w:tcPr>
            <w:tcW w:w="3184" w:type="dxa"/>
            <w:gridSpan w:val="5"/>
            <w:vAlign w:val="center"/>
          </w:tcPr>
          <w:p w14:paraId="7CCFD9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建筑物外噪声声压级/dB(A)</w:t>
            </w:r>
          </w:p>
        </w:tc>
      </w:tr>
      <w:tr w14:paraId="7A28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0" w:type="dxa"/>
            <w:vMerge w:val="continue"/>
            <w:shd w:val="clear" w:color="auto" w:fill="FFFFFF"/>
            <w:tcMar>
              <w:top w:w="0" w:type="dxa"/>
              <w:left w:w="0" w:type="dxa"/>
              <w:bottom w:w="0" w:type="dxa"/>
              <w:right w:w="0" w:type="dxa"/>
            </w:tcMar>
            <w:vAlign w:val="center"/>
          </w:tcPr>
          <w:p w14:paraId="08319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427" w:type="dxa"/>
            <w:vMerge w:val="continue"/>
            <w:shd w:val="clear" w:color="auto" w:fill="FFFFFF"/>
            <w:tcMar>
              <w:top w:w="0" w:type="dxa"/>
              <w:left w:w="0" w:type="dxa"/>
              <w:bottom w:w="0" w:type="dxa"/>
              <w:right w:w="0" w:type="dxa"/>
            </w:tcMar>
            <w:vAlign w:val="center"/>
          </w:tcPr>
          <w:p w14:paraId="727651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vMerge w:val="continue"/>
            <w:shd w:val="clear" w:color="auto" w:fill="FFFFFF"/>
            <w:tcMar>
              <w:top w:w="0" w:type="dxa"/>
              <w:left w:w="0" w:type="dxa"/>
              <w:bottom w:w="0" w:type="dxa"/>
              <w:right w:w="0" w:type="dxa"/>
            </w:tcMar>
            <w:vAlign w:val="center"/>
          </w:tcPr>
          <w:p w14:paraId="401A46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559" w:type="dxa"/>
            <w:shd w:val="clear" w:color="auto" w:fill="FFFFFF"/>
            <w:tcMar>
              <w:top w:w="0" w:type="dxa"/>
              <w:left w:w="0" w:type="dxa"/>
              <w:bottom w:w="0" w:type="dxa"/>
              <w:right w:w="0" w:type="dxa"/>
            </w:tcMar>
            <w:vAlign w:val="center"/>
          </w:tcPr>
          <w:p w14:paraId="4B0202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声功率级/dB(A)</w:t>
            </w:r>
          </w:p>
        </w:tc>
        <w:tc>
          <w:tcPr>
            <w:tcW w:w="411" w:type="dxa"/>
            <w:vMerge w:val="continue"/>
            <w:shd w:val="clear" w:color="auto" w:fill="FFFFFF"/>
            <w:tcMar>
              <w:top w:w="0" w:type="dxa"/>
              <w:left w:w="0" w:type="dxa"/>
              <w:bottom w:w="0" w:type="dxa"/>
              <w:right w:w="0" w:type="dxa"/>
            </w:tcMar>
            <w:vAlign w:val="center"/>
          </w:tcPr>
          <w:p w14:paraId="2731B0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655" w:type="dxa"/>
            <w:shd w:val="clear" w:color="auto" w:fill="FFFFFF"/>
            <w:tcMar>
              <w:top w:w="0" w:type="dxa"/>
              <w:left w:w="0" w:type="dxa"/>
              <w:bottom w:w="0" w:type="dxa"/>
              <w:right w:w="0" w:type="dxa"/>
            </w:tcMar>
            <w:vAlign w:val="center"/>
          </w:tcPr>
          <w:p w14:paraId="3859D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X</w:t>
            </w:r>
          </w:p>
        </w:tc>
        <w:tc>
          <w:tcPr>
            <w:tcW w:w="491" w:type="dxa"/>
            <w:shd w:val="clear" w:color="auto" w:fill="FFFFFF"/>
            <w:tcMar>
              <w:top w:w="0" w:type="dxa"/>
              <w:left w:w="0" w:type="dxa"/>
              <w:bottom w:w="0" w:type="dxa"/>
              <w:right w:w="0" w:type="dxa"/>
            </w:tcMar>
            <w:vAlign w:val="center"/>
          </w:tcPr>
          <w:p w14:paraId="699D3C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Y</w:t>
            </w:r>
          </w:p>
        </w:tc>
        <w:tc>
          <w:tcPr>
            <w:tcW w:w="450" w:type="dxa"/>
            <w:shd w:val="clear" w:color="auto" w:fill="FFFFFF"/>
            <w:tcMar>
              <w:top w:w="0" w:type="dxa"/>
              <w:left w:w="0" w:type="dxa"/>
              <w:bottom w:w="0" w:type="dxa"/>
              <w:right w:w="0" w:type="dxa"/>
            </w:tcMar>
            <w:vAlign w:val="center"/>
          </w:tcPr>
          <w:p w14:paraId="502924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Z</w:t>
            </w:r>
          </w:p>
        </w:tc>
        <w:tc>
          <w:tcPr>
            <w:tcW w:w="504" w:type="dxa"/>
            <w:shd w:val="clear" w:color="auto" w:fill="FFFFFF"/>
            <w:tcMar>
              <w:top w:w="0" w:type="dxa"/>
              <w:left w:w="0" w:type="dxa"/>
              <w:bottom w:w="0" w:type="dxa"/>
              <w:right w:w="0" w:type="dxa"/>
            </w:tcMar>
            <w:vAlign w:val="center"/>
          </w:tcPr>
          <w:p w14:paraId="556721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东</w:t>
            </w:r>
          </w:p>
        </w:tc>
        <w:tc>
          <w:tcPr>
            <w:tcW w:w="491" w:type="dxa"/>
            <w:shd w:val="clear" w:color="auto" w:fill="FFFFFF"/>
            <w:tcMar>
              <w:top w:w="0" w:type="dxa"/>
              <w:left w:w="0" w:type="dxa"/>
              <w:bottom w:w="0" w:type="dxa"/>
              <w:right w:w="0" w:type="dxa"/>
            </w:tcMar>
            <w:vAlign w:val="center"/>
          </w:tcPr>
          <w:p w14:paraId="70770C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南</w:t>
            </w:r>
          </w:p>
        </w:tc>
        <w:tc>
          <w:tcPr>
            <w:tcW w:w="505" w:type="dxa"/>
            <w:shd w:val="clear" w:color="auto" w:fill="FFFFFF"/>
            <w:tcMar>
              <w:top w:w="0" w:type="dxa"/>
              <w:left w:w="0" w:type="dxa"/>
              <w:bottom w:w="0" w:type="dxa"/>
              <w:right w:w="0" w:type="dxa"/>
            </w:tcMar>
            <w:vAlign w:val="center"/>
          </w:tcPr>
          <w:p w14:paraId="221BFB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西</w:t>
            </w:r>
          </w:p>
        </w:tc>
        <w:tc>
          <w:tcPr>
            <w:tcW w:w="532" w:type="dxa"/>
            <w:shd w:val="clear" w:color="auto" w:fill="FFFFFF"/>
            <w:tcMar>
              <w:top w:w="0" w:type="dxa"/>
              <w:left w:w="0" w:type="dxa"/>
              <w:bottom w:w="0" w:type="dxa"/>
              <w:right w:w="0" w:type="dxa"/>
            </w:tcMar>
            <w:vAlign w:val="center"/>
          </w:tcPr>
          <w:p w14:paraId="268E80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北</w:t>
            </w:r>
          </w:p>
        </w:tc>
        <w:tc>
          <w:tcPr>
            <w:tcW w:w="504" w:type="dxa"/>
            <w:shd w:val="clear" w:color="auto" w:fill="FFFFFF"/>
            <w:tcMar>
              <w:top w:w="0" w:type="dxa"/>
              <w:left w:w="0" w:type="dxa"/>
              <w:bottom w:w="0" w:type="dxa"/>
              <w:right w:w="0" w:type="dxa"/>
            </w:tcMar>
            <w:vAlign w:val="center"/>
          </w:tcPr>
          <w:p w14:paraId="43EB63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东</w:t>
            </w:r>
          </w:p>
        </w:tc>
        <w:tc>
          <w:tcPr>
            <w:tcW w:w="532" w:type="dxa"/>
            <w:shd w:val="clear" w:color="auto" w:fill="FFFFFF"/>
            <w:tcMar>
              <w:top w:w="0" w:type="dxa"/>
              <w:left w:w="0" w:type="dxa"/>
              <w:bottom w:w="0" w:type="dxa"/>
              <w:right w:w="0" w:type="dxa"/>
            </w:tcMar>
            <w:vAlign w:val="center"/>
          </w:tcPr>
          <w:p w14:paraId="38678D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南</w:t>
            </w:r>
          </w:p>
        </w:tc>
        <w:tc>
          <w:tcPr>
            <w:tcW w:w="505" w:type="dxa"/>
            <w:shd w:val="clear" w:color="auto" w:fill="FFFFFF"/>
            <w:tcMar>
              <w:top w:w="0" w:type="dxa"/>
              <w:left w:w="0" w:type="dxa"/>
              <w:bottom w:w="0" w:type="dxa"/>
              <w:right w:w="0" w:type="dxa"/>
            </w:tcMar>
            <w:vAlign w:val="center"/>
          </w:tcPr>
          <w:p w14:paraId="779AB8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西</w:t>
            </w:r>
          </w:p>
        </w:tc>
        <w:tc>
          <w:tcPr>
            <w:tcW w:w="480" w:type="dxa"/>
            <w:shd w:val="clear" w:color="auto" w:fill="FFFFFF"/>
            <w:tcMar>
              <w:top w:w="0" w:type="dxa"/>
              <w:left w:w="0" w:type="dxa"/>
              <w:bottom w:w="0" w:type="dxa"/>
              <w:right w:w="0" w:type="dxa"/>
            </w:tcMar>
            <w:vAlign w:val="center"/>
          </w:tcPr>
          <w:p w14:paraId="059D9C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北</w:t>
            </w:r>
          </w:p>
        </w:tc>
        <w:tc>
          <w:tcPr>
            <w:tcW w:w="488" w:type="dxa"/>
            <w:vMerge w:val="continue"/>
            <w:shd w:val="clear" w:color="auto" w:fill="FFFFFF"/>
            <w:tcMar>
              <w:top w:w="0" w:type="dxa"/>
              <w:left w:w="0" w:type="dxa"/>
              <w:bottom w:w="0" w:type="dxa"/>
              <w:right w:w="0" w:type="dxa"/>
            </w:tcMar>
            <w:vAlign w:val="center"/>
          </w:tcPr>
          <w:p w14:paraId="0A82C5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909" w:type="dxa"/>
            <w:vMerge w:val="continue"/>
            <w:shd w:val="clear" w:color="auto" w:fill="FFFFFF"/>
            <w:tcMar>
              <w:top w:w="0" w:type="dxa"/>
              <w:left w:w="0" w:type="dxa"/>
              <w:bottom w:w="0" w:type="dxa"/>
              <w:right w:w="0" w:type="dxa"/>
            </w:tcMar>
            <w:vAlign w:val="center"/>
          </w:tcPr>
          <w:p w14:paraId="55E8B6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663" w:type="dxa"/>
            <w:shd w:val="clear" w:color="auto" w:fill="FFFFFF"/>
            <w:tcMar>
              <w:top w:w="0" w:type="dxa"/>
              <w:left w:w="0" w:type="dxa"/>
              <w:bottom w:w="0" w:type="dxa"/>
              <w:right w:w="0" w:type="dxa"/>
            </w:tcMar>
            <w:vAlign w:val="center"/>
          </w:tcPr>
          <w:p w14:paraId="5BA3D5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东</w:t>
            </w:r>
          </w:p>
        </w:tc>
        <w:tc>
          <w:tcPr>
            <w:tcW w:w="592" w:type="dxa"/>
            <w:shd w:val="clear" w:color="auto" w:fill="FFFFFF"/>
            <w:tcMar>
              <w:top w:w="0" w:type="dxa"/>
              <w:left w:w="0" w:type="dxa"/>
              <w:bottom w:w="0" w:type="dxa"/>
              <w:right w:w="0" w:type="dxa"/>
            </w:tcMar>
            <w:vAlign w:val="center"/>
          </w:tcPr>
          <w:p w14:paraId="374AB6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南</w:t>
            </w:r>
          </w:p>
        </w:tc>
        <w:tc>
          <w:tcPr>
            <w:tcW w:w="620" w:type="dxa"/>
            <w:shd w:val="clear" w:color="auto" w:fill="FFFFFF"/>
            <w:tcMar>
              <w:top w:w="0" w:type="dxa"/>
              <w:left w:w="0" w:type="dxa"/>
              <w:bottom w:w="0" w:type="dxa"/>
              <w:right w:w="0" w:type="dxa"/>
            </w:tcMar>
            <w:vAlign w:val="center"/>
          </w:tcPr>
          <w:p w14:paraId="485A8B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西</w:t>
            </w:r>
          </w:p>
        </w:tc>
        <w:tc>
          <w:tcPr>
            <w:tcW w:w="548" w:type="dxa"/>
            <w:shd w:val="clear" w:color="auto" w:fill="FFFFFF"/>
            <w:tcMar>
              <w:top w:w="0" w:type="dxa"/>
              <w:left w:w="0" w:type="dxa"/>
              <w:bottom w:w="0" w:type="dxa"/>
              <w:right w:w="0" w:type="dxa"/>
            </w:tcMar>
            <w:vAlign w:val="center"/>
          </w:tcPr>
          <w:p w14:paraId="54A3E9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北</w:t>
            </w:r>
          </w:p>
        </w:tc>
        <w:tc>
          <w:tcPr>
            <w:tcW w:w="761" w:type="dxa"/>
            <w:shd w:val="clear" w:color="auto" w:fill="FFFFFF"/>
            <w:tcMar>
              <w:top w:w="0" w:type="dxa"/>
              <w:left w:w="0" w:type="dxa"/>
              <w:bottom w:w="0" w:type="dxa"/>
              <w:right w:w="0" w:type="dxa"/>
            </w:tcMar>
            <w:vAlign w:val="center"/>
          </w:tcPr>
          <w:p w14:paraId="2F3E0A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建筑物外距离</w:t>
            </w:r>
          </w:p>
        </w:tc>
      </w:tr>
      <w:tr w14:paraId="5B28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7" w:hRule="atLeast"/>
          <w:jc w:val="center"/>
        </w:trPr>
        <w:tc>
          <w:tcPr>
            <w:tcW w:w="430" w:type="dxa"/>
            <w:shd w:val="clear" w:color="auto" w:fill="FFFFFF"/>
            <w:tcMar>
              <w:top w:w="0" w:type="dxa"/>
              <w:left w:w="0" w:type="dxa"/>
              <w:bottom w:w="0" w:type="dxa"/>
              <w:right w:w="0" w:type="dxa"/>
            </w:tcMar>
            <w:vAlign w:val="center"/>
          </w:tcPr>
          <w:p w14:paraId="0791B3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1</w:t>
            </w:r>
          </w:p>
        </w:tc>
        <w:tc>
          <w:tcPr>
            <w:tcW w:w="427" w:type="dxa"/>
            <w:vMerge w:val="restart"/>
            <w:shd w:val="clear" w:color="auto" w:fill="FFFFFF"/>
            <w:tcMar>
              <w:top w:w="0" w:type="dxa"/>
              <w:left w:w="0" w:type="dxa"/>
              <w:bottom w:w="0" w:type="dxa"/>
              <w:right w:w="0" w:type="dxa"/>
            </w:tcMar>
            <w:vAlign w:val="center"/>
          </w:tcPr>
          <w:p w14:paraId="7B9ADF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厂房</w:t>
            </w:r>
          </w:p>
        </w:tc>
        <w:tc>
          <w:tcPr>
            <w:tcW w:w="1162" w:type="dxa"/>
            <w:shd w:val="clear" w:color="auto" w:fill="FFFFFF"/>
            <w:tcMar>
              <w:top w:w="0" w:type="dxa"/>
              <w:left w:w="0" w:type="dxa"/>
              <w:bottom w:w="0" w:type="dxa"/>
              <w:right w:w="0" w:type="dxa"/>
            </w:tcMar>
            <w:vAlign w:val="center"/>
          </w:tcPr>
          <w:p w14:paraId="7F8141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双头圆锯</w:t>
            </w:r>
          </w:p>
        </w:tc>
        <w:tc>
          <w:tcPr>
            <w:tcW w:w="559" w:type="dxa"/>
            <w:shd w:val="clear" w:color="auto" w:fill="FFFFFF"/>
            <w:tcMar>
              <w:top w:w="0" w:type="dxa"/>
              <w:left w:w="0" w:type="dxa"/>
              <w:bottom w:w="0" w:type="dxa"/>
              <w:right w:w="0" w:type="dxa"/>
            </w:tcMar>
            <w:vAlign w:val="center"/>
          </w:tcPr>
          <w:p w14:paraId="1CCB34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78</w:t>
            </w:r>
          </w:p>
        </w:tc>
        <w:tc>
          <w:tcPr>
            <w:tcW w:w="411" w:type="dxa"/>
            <w:vMerge w:val="restart"/>
            <w:shd w:val="clear" w:color="auto" w:fill="FFFFFF"/>
            <w:tcMar>
              <w:top w:w="0" w:type="dxa"/>
              <w:left w:w="0" w:type="dxa"/>
              <w:bottom w:w="0" w:type="dxa"/>
              <w:right w:w="0" w:type="dxa"/>
            </w:tcMar>
            <w:vAlign w:val="center"/>
          </w:tcPr>
          <w:p w14:paraId="3AB4B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基础减振，采取建筑隔声、减振等措施</w:t>
            </w:r>
          </w:p>
        </w:tc>
        <w:tc>
          <w:tcPr>
            <w:tcW w:w="655" w:type="dxa"/>
            <w:shd w:val="clear" w:color="auto" w:fill="FFFFFF"/>
            <w:tcMar>
              <w:top w:w="0" w:type="dxa"/>
              <w:left w:w="0" w:type="dxa"/>
              <w:bottom w:w="0" w:type="dxa"/>
              <w:right w:w="0" w:type="dxa"/>
            </w:tcMar>
            <w:vAlign w:val="center"/>
          </w:tcPr>
          <w:p w14:paraId="41E0F6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-17.7</w:t>
            </w:r>
          </w:p>
        </w:tc>
        <w:tc>
          <w:tcPr>
            <w:tcW w:w="491" w:type="dxa"/>
            <w:shd w:val="clear" w:color="auto" w:fill="FFFFFF"/>
            <w:tcMar>
              <w:top w:w="0" w:type="dxa"/>
              <w:left w:w="0" w:type="dxa"/>
              <w:bottom w:w="0" w:type="dxa"/>
              <w:right w:w="0" w:type="dxa"/>
            </w:tcMar>
            <w:vAlign w:val="center"/>
          </w:tcPr>
          <w:p w14:paraId="6E67E8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7.3</w:t>
            </w:r>
          </w:p>
        </w:tc>
        <w:tc>
          <w:tcPr>
            <w:tcW w:w="450" w:type="dxa"/>
            <w:shd w:val="clear" w:color="auto" w:fill="FFFFFF"/>
            <w:tcMar>
              <w:top w:w="0" w:type="dxa"/>
              <w:left w:w="0" w:type="dxa"/>
              <w:bottom w:w="0" w:type="dxa"/>
              <w:right w:w="0" w:type="dxa"/>
            </w:tcMar>
            <w:vAlign w:val="center"/>
          </w:tcPr>
          <w:p w14:paraId="235785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1.0</w:t>
            </w:r>
          </w:p>
        </w:tc>
        <w:tc>
          <w:tcPr>
            <w:tcW w:w="504" w:type="dxa"/>
            <w:shd w:val="clear" w:color="auto" w:fill="FFFFFF"/>
            <w:tcMar>
              <w:top w:w="0" w:type="dxa"/>
              <w:left w:w="0" w:type="dxa"/>
              <w:bottom w:w="0" w:type="dxa"/>
              <w:right w:w="0" w:type="dxa"/>
            </w:tcMar>
            <w:vAlign w:val="center"/>
          </w:tcPr>
          <w:p w14:paraId="6FB120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65.1</w:t>
            </w:r>
          </w:p>
        </w:tc>
        <w:tc>
          <w:tcPr>
            <w:tcW w:w="491" w:type="dxa"/>
            <w:shd w:val="clear" w:color="auto" w:fill="FFFFFF"/>
            <w:tcMar>
              <w:top w:w="0" w:type="dxa"/>
              <w:left w:w="0" w:type="dxa"/>
              <w:bottom w:w="0" w:type="dxa"/>
              <w:right w:w="0" w:type="dxa"/>
            </w:tcMar>
            <w:vAlign w:val="center"/>
          </w:tcPr>
          <w:p w14:paraId="793243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28.1</w:t>
            </w:r>
          </w:p>
        </w:tc>
        <w:tc>
          <w:tcPr>
            <w:tcW w:w="505" w:type="dxa"/>
            <w:shd w:val="clear" w:color="auto" w:fill="FFFFFF"/>
            <w:tcMar>
              <w:top w:w="0" w:type="dxa"/>
              <w:left w:w="0" w:type="dxa"/>
              <w:bottom w:w="0" w:type="dxa"/>
              <w:right w:w="0" w:type="dxa"/>
            </w:tcMar>
            <w:vAlign w:val="center"/>
          </w:tcPr>
          <w:p w14:paraId="18610C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28.1</w:t>
            </w:r>
          </w:p>
        </w:tc>
        <w:tc>
          <w:tcPr>
            <w:tcW w:w="532" w:type="dxa"/>
            <w:shd w:val="clear" w:color="auto" w:fill="FFFFFF"/>
            <w:tcMar>
              <w:top w:w="0" w:type="dxa"/>
              <w:left w:w="0" w:type="dxa"/>
              <w:bottom w:w="0" w:type="dxa"/>
              <w:right w:w="0" w:type="dxa"/>
            </w:tcMar>
            <w:vAlign w:val="center"/>
          </w:tcPr>
          <w:p w14:paraId="5E177E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13.0</w:t>
            </w:r>
          </w:p>
        </w:tc>
        <w:tc>
          <w:tcPr>
            <w:tcW w:w="504" w:type="dxa"/>
            <w:shd w:val="clear" w:color="auto" w:fill="FFFFFF"/>
            <w:tcMar>
              <w:top w:w="0" w:type="dxa"/>
              <w:left w:w="0" w:type="dxa"/>
              <w:bottom w:w="0" w:type="dxa"/>
              <w:right w:w="0" w:type="dxa"/>
            </w:tcMar>
            <w:vAlign w:val="center"/>
          </w:tcPr>
          <w:p w14:paraId="464A94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61.7</w:t>
            </w:r>
          </w:p>
        </w:tc>
        <w:tc>
          <w:tcPr>
            <w:tcW w:w="532" w:type="dxa"/>
            <w:shd w:val="clear" w:color="auto" w:fill="FFFFFF"/>
            <w:tcMar>
              <w:top w:w="0" w:type="dxa"/>
              <w:left w:w="0" w:type="dxa"/>
              <w:bottom w:w="0" w:type="dxa"/>
              <w:right w:w="0" w:type="dxa"/>
            </w:tcMar>
            <w:vAlign w:val="center"/>
          </w:tcPr>
          <w:p w14:paraId="362946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61.7</w:t>
            </w:r>
          </w:p>
        </w:tc>
        <w:tc>
          <w:tcPr>
            <w:tcW w:w="505" w:type="dxa"/>
            <w:shd w:val="clear" w:color="auto" w:fill="FFFFFF"/>
            <w:tcMar>
              <w:top w:w="0" w:type="dxa"/>
              <w:left w:w="0" w:type="dxa"/>
              <w:bottom w:w="0" w:type="dxa"/>
              <w:right w:w="0" w:type="dxa"/>
            </w:tcMar>
            <w:vAlign w:val="center"/>
          </w:tcPr>
          <w:p w14:paraId="688D78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61.7</w:t>
            </w:r>
          </w:p>
        </w:tc>
        <w:tc>
          <w:tcPr>
            <w:tcW w:w="480" w:type="dxa"/>
            <w:shd w:val="clear" w:color="auto" w:fill="FFFFFF"/>
            <w:tcMar>
              <w:top w:w="0" w:type="dxa"/>
              <w:left w:w="0" w:type="dxa"/>
              <w:bottom w:w="0" w:type="dxa"/>
              <w:right w:w="0" w:type="dxa"/>
            </w:tcMar>
            <w:vAlign w:val="center"/>
          </w:tcPr>
          <w:p w14:paraId="166498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61.8</w:t>
            </w:r>
          </w:p>
        </w:tc>
        <w:tc>
          <w:tcPr>
            <w:tcW w:w="488" w:type="dxa"/>
            <w:vMerge w:val="restart"/>
            <w:shd w:val="clear" w:color="auto" w:fill="FFFFFF"/>
            <w:tcMar>
              <w:top w:w="0" w:type="dxa"/>
              <w:left w:w="0" w:type="dxa"/>
              <w:bottom w:w="0" w:type="dxa"/>
              <w:right w:w="0" w:type="dxa"/>
            </w:tcMar>
            <w:vAlign w:val="center"/>
          </w:tcPr>
          <w:p w14:paraId="2C386B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昼间</w:t>
            </w:r>
          </w:p>
        </w:tc>
        <w:tc>
          <w:tcPr>
            <w:tcW w:w="909" w:type="dxa"/>
            <w:shd w:val="clear" w:color="auto" w:fill="FFFFFF"/>
            <w:tcMar>
              <w:top w:w="0" w:type="dxa"/>
              <w:left w:w="0" w:type="dxa"/>
              <w:bottom w:w="0" w:type="dxa"/>
              <w:right w:w="0" w:type="dxa"/>
            </w:tcMar>
            <w:vAlign w:val="center"/>
          </w:tcPr>
          <w:p w14:paraId="0B779E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07128C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6D9AB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6409B8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64094C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46.7</w:t>
            </w:r>
          </w:p>
        </w:tc>
        <w:tc>
          <w:tcPr>
            <w:tcW w:w="761" w:type="dxa"/>
            <w:shd w:val="clear" w:color="auto" w:fill="FFFFFF"/>
            <w:tcMar>
              <w:top w:w="0" w:type="dxa"/>
              <w:left w:w="0" w:type="dxa"/>
              <w:bottom w:w="0" w:type="dxa"/>
              <w:right w:w="0" w:type="dxa"/>
            </w:tcMar>
            <w:vAlign w:val="center"/>
          </w:tcPr>
          <w:p w14:paraId="53B829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1880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3BD4B9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2</w:t>
            </w:r>
          </w:p>
        </w:tc>
        <w:tc>
          <w:tcPr>
            <w:tcW w:w="427" w:type="dxa"/>
            <w:vMerge w:val="continue"/>
            <w:shd w:val="clear" w:color="auto" w:fill="FFFFFF"/>
            <w:tcMar>
              <w:top w:w="0" w:type="dxa"/>
              <w:left w:w="0" w:type="dxa"/>
              <w:bottom w:w="0" w:type="dxa"/>
              <w:right w:w="0" w:type="dxa"/>
            </w:tcMar>
            <w:vAlign w:val="center"/>
          </w:tcPr>
          <w:p w14:paraId="6AEEC1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647C48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多功能包覆机</w:t>
            </w:r>
          </w:p>
        </w:tc>
        <w:tc>
          <w:tcPr>
            <w:tcW w:w="559" w:type="dxa"/>
            <w:shd w:val="clear" w:color="auto" w:fill="FFFFFF"/>
            <w:tcMar>
              <w:top w:w="0" w:type="dxa"/>
              <w:left w:w="0" w:type="dxa"/>
              <w:bottom w:w="0" w:type="dxa"/>
              <w:right w:w="0" w:type="dxa"/>
            </w:tcMar>
            <w:vAlign w:val="center"/>
          </w:tcPr>
          <w:p w14:paraId="0F058A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75</w:t>
            </w:r>
          </w:p>
        </w:tc>
        <w:tc>
          <w:tcPr>
            <w:tcW w:w="411" w:type="dxa"/>
            <w:vMerge w:val="continue"/>
            <w:shd w:val="clear" w:color="auto" w:fill="FFFFFF"/>
            <w:tcMar>
              <w:top w:w="0" w:type="dxa"/>
              <w:left w:w="0" w:type="dxa"/>
              <w:bottom w:w="0" w:type="dxa"/>
              <w:right w:w="0" w:type="dxa"/>
            </w:tcMar>
            <w:vAlign w:val="center"/>
          </w:tcPr>
          <w:p w14:paraId="6292CC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34B815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-19.3</w:t>
            </w:r>
          </w:p>
        </w:tc>
        <w:tc>
          <w:tcPr>
            <w:tcW w:w="491" w:type="dxa"/>
            <w:shd w:val="clear" w:color="auto" w:fill="FFFFFF"/>
            <w:tcMar>
              <w:top w:w="0" w:type="dxa"/>
              <w:left w:w="0" w:type="dxa"/>
              <w:bottom w:w="0" w:type="dxa"/>
              <w:right w:w="0" w:type="dxa"/>
            </w:tcMar>
            <w:vAlign w:val="center"/>
          </w:tcPr>
          <w:p w14:paraId="1524AF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13.5</w:t>
            </w:r>
          </w:p>
        </w:tc>
        <w:tc>
          <w:tcPr>
            <w:tcW w:w="450" w:type="dxa"/>
            <w:shd w:val="clear" w:color="auto" w:fill="FFFFFF"/>
            <w:tcMar>
              <w:top w:w="0" w:type="dxa"/>
              <w:left w:w="0" w:type="dxa"/>
              <w:bottom w:w="0" w:type="dxa"/>
              <w:right w:w="0" w:type="dxa"/>
            </w:tcMar>
            <w:vAlign w:val="center"/>
          </w:tcPr>
          <w:p w14:paraId="3B807F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Arial" w:cs="Times New Roman"/>
                <w:sz w:val="18"/>
                <w:szCs w:val="18"/>
              </w:rPr>
              <w:t>1.0</w:t>
            </w:r>
          </w:p>
        </w:tc>
        <w:tc>
          <w:tcPr>
            <w:tcW w:w="504" w:type="dxa"/>
            <w:shd w:val="clear" w:color="auto" w:fill="FFFFFF"/>
            <w:tcMar>
              <w:top w:w="0" w:type="dxa"/>
              <w:left w:w="0" w:type="dxa"/>
              <w:bottom w:w="0" w:type="dxa"/>
              <w:right w:w="0" w:type="dxa"/>
            </w:tcMar>
            <w:vAlign w:val="center"/>
          </w:tcPr>
          <w:p w14:paraId="4BB40E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66.7</w:t>
            </w:r>
          </w:p>
        </w:tc>
        <w:tc>
          <w:tcPr>
            <w:tcW w:w="491" w:type="dxa"/>
            <w:shd w:val="clear" w:color="auto" w:fill="FFFFFF"/>
            <w:tcMar>
              <w:top w:w="0" w:type="dxa"/>
              <w:left w:w="0" w:type="dxa"/>
              <w:bottom w:w="0" w:type="dxa"/>
              <w:right w:w="0" w:type="dxa"/>
            </w:tcMar>
            <w:vAlign w:val="center"/>
          </w:tcPr>
          <w:p w14:paraId="559F15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34.3</w:t>
            </w:r>
          </w:p>
        </w:tc>
        <w:tc>
          <w:tcPr>
            <w:tcW w:w="505" w:type="dxa"/>
            <w:shd w:val="clear" w:color="auto" w:fill="FFFFFF"/>
            <w:tcMar>
              <w:top w:w="0" w:type="dxa"/>
              <w:left w:w="0" w:type="dxa"/>
              <w:bottom w:w="0" w:type="dxa"/>
              <w:right w:w="0" w:type="dxa"/>
            </w:tcMar>
            <w:vAlign w:val="center"/>
          </w:tcPr>
          <w:p w14:paraId="53109C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26.5</w:t>
            </w:r>
          </w:p>
        </w:tc>
        <w:tc>
          <w:tcPr>
            <w:tcW w:w="532" w:type="dxa"/>
            <w:shd w:val="clear" w:color="auto" w:fill="FFFFFF"/>
            <w:tcMar>
              <w:top w:w="0" w:type="dxa"/>
              <w:left w:w="0" w:type="dxa"/>
              <w:bottom w:w="0" w:type="dxa"/>
              <w:right w:w="0" w:type="dxa"/>
            </w:tcMar>
            <w:vAlign w:val="center"/>
          </w:tcPr>
          <w:p w14:paraId="3F4F67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6.8</w:t>
            </w:r>
          </w:p>
        </w:tc>
        <w:tc>
          <w:tcPr>
            <w:tcW w:w="504" w:type="dxa"/>
            <w:shd w:val="clear" w:color="auto" w:fill="FFFFFF"/>
            <w:tcMar>
              <w:top w:w="0" w:type="dxa"/>
              <w:left w:w="0" w:type="dxa"/>
              <w:bottom w:w="0" w:type="dxa"/>
              <w:right w:w="0" w:type="dxa"/>
            </w:tcMar>
            <w:vAlign w:val="center"/>
          </w:tcPr>
          <w:p w14:paraId="64487D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4C02D5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58.7</w:t>
            </w:r>
          </w:p>
        </w:tc>
        <w:tc>
          <w:tcPr>
            <w:tcW w:w="505" w:type="dxa"/>
            <w:shd w:val="clear" w:color="auto" w:fill="FFFFFF"/>
            <w:tcMar>
              <w:top w:w="0" w:type="dxa"/>
              <w:left w:w="0" w:type="dxa"/>
              <w:bottom w:w="0" w:type="dxa"/>
              <w:right w:w="0" w:type="dxa"/>
            </w:tcMar>
            <w:vAlign w:val="center"/>
          </w:tcPr>
          <w:p w14:paraId="23CAB5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328F3C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59.0</w:t>
            </w:r>
          </w:p>
        </w:tc>
        <w:tc>
          <w:tcPr>
            <w:tcW w:w="488" w:type="dxa"/>
            <w:vMerge w:val="continue"/>
            <w:shd w:val="clear" w:color="auto" w:fill="FFFFFF"/>
            <w:tcMar>
              <w:top w:w="0" w:type="dxa"/>
              <w:left w:w="0" w:type="dxa"/>
              <w:bottom w:w="0" w:type="dxa"/>
              <w:right w:w="0" w:type="dxa"/>
            </w:tcMar>
            <w:vAlign w:val="center"/>
          </w:tcPr>
          <w:p w14:paraId="3C0C64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4289A6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35D6A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080308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7774AC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520424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03EF90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6338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1E9112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3</w:t>
            </w:r>
          </w:p>
        </w:tc>
        <w:tc>
          <w:tcPr>
            <w:tcW w:w="427" w:type="dxa"/>
            <w:vMerge w:val="continue"/>
            <w:shd w:val="clear" w:color="auto" w:fill="FFFFFF"/>
            <w:tcMar>
              <w:top w:w="0" w:type="dxa"/>
              <w:left w:w="0" w:type="dxa"/>
              <w:bottom w:w="0" w:type="dxa"/>
              <w:right w:w="0" w:type="dxa"/>
            </w:tcMar>
            <w:vAlign w:val="center"/>
          </w:tcPr>
          <w:p w14:paraId="3E80CB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6E0A68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裁断机</w:t>
            </w:r>
          </w:p>
        </w:tc>
        <w:tc>
          <w:tcPr>
            <w:tcW w:w="559" w:type="dxa"/>
            <w:shd w:val="clear" w:color="auto" w:fill="FFFFFF"/>
            <w:tcMar>
              <w:top w:w="0" w:type="dxa"/>
              <w:left w:w="0" w:type="dxa"/>
              <w:bottom w:w="0" w:type="dxa"/>
              <w:right w:w="0" w:type="dxa"/>
            </w:tcMar>
            <w:vAlign w:val="center"/>
          </w:tcPr>
          <w:p w14:paraId="206443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70</w:t>
            </w:r>
          </w:p>
        </w:tc>
        <w:tc>
          <w:tcPr>
            <w:tcW w:w="411" w:type="dxa"/>
            <w:vMerge w:val="continue"/>
            <w:shd w:val="clear" w:color="auto" w:fill="FFFFFF"/>
            <w:tcMar>
              <w:top w:w="0" w:type="dxa"/>
              <w:left w:w="0" w:type="dxa"/>
              <w:bottom w:w="0" w:type="dxa"/>
              <w:right w:w="0" w:type="dxa"/>
            </w:tcMar>
            <w:vAlign w:val="center"/>
          </w:tcPr>
          <w:p w14:paraId="41754E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4C5783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-31.8</w:t>
            </w:r>
          </w:p>
        </w:tc>
        <w:tc>
          <w:tcPr>
            <w:tcW w:w="491" w:type="dxa"/>
            <w:shd w:val="clear" w:color="auto" w:fill="FFFFFF"/>
            <w:tcMar>
              <w:top w:w="0" w:type="dxa"/>
              <w:left w:w="0" w:type="dxa"/>
              <w:bottom w:w="0" w:type="dxa"/>
              <w:right w:w="0" w:type="dxa"/>
            </w:tcMar>
            <w:vAlign w:val="center"/>
          </w:tcPr>
          <w:p w14:paraId="546685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8.9</w:t>
            </w:r>
          </w:p>
        </w:tc>
        <w:tc>
          <w:tcPr>
            <w:tcW w:w="450" w:type="dxa"/>
            <w:shd w:val="clear" w:color="auto" w:fill="FFFFFF"/>
            <w:tcMar>
              <w:top w:w="0" w:type="dxa"/>
              <w:left w:w="0" w:type="dxa"/>
              <w:bottom w:w="0" w:type="dxa"/>
              <w:right w:w="0" w:type="dxa"/>
            </w:tcMar>
            <w:vAlign w:val="center"/>
          </w:tcPr>
          <w:p w14:paraId="7C1EC8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43F3DD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79.2</w:t>
            </w:r>
          </w:p>
        </w:tc>
        <w:tc>
          <w:tcPr>
            <w:tcW w:w="491" w:type="dxa"/>
            <w:shd w:val="clear" w:color="auto" w:fill="FFFFFF"/>
            <w:tcMar>
              <w:top w:w="0" w:type="dxa"/>
              <w:left w:w="0" w:type="dxa"/>
              <w:bottom w:w="0" w:type="dxa"/>
              <w:right w:w="0" w:type="dxa"/>
            </w:tcMar>
            <w:vAlign w:val="center"/>
          </w:tcPr>
          <w:p w14:paraId="7D797A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29.7</w:t>
            </w:r>
          </w:p>
        </w:tc>
        <w:tc>
          <w:tcPr>
            <w:tcW w:w="505" w:type="dxa"/>
            <w:shd w:val="clear" w:color="auto" w:fill="FFFFFF"/>
            <w:tcMar>
              <w:top w:w="0" w:type="dxa"/>
              <w:left w:w="0" w:type="dxa"/>
              <w:bottom w:w="0" w:type="dxa"/>
              <w:right w:w="0" w:type="dxa"/>
            </w:tcMar>
            <w:vAlign w:val="center"/>
          </w:tcPr>
          <w:p w14:paraId="385737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14.0</w:t>
            </w:r>
          </w:p>
        </w:tc>
        <w:tc>
          <w:tcPr>
            <w:tcW w:w="532" w:type="dxa"/>
            <w:shd w:val="clear" w:color="auto" w:fill="FFFFFF"/>
            <w:tcMar>
              <w:top w:w="0" w:type="dxa"/>
              <w:left w:w="0" w:type="dxa"/>
              <w:bottom w:w="0" w:type="dxa"/>
              <w:right w:w="0" w:type="dxa"/>
            </w:tcMar>
            <w:vAlign w:val="center"/>
          </w:tcPr>
          <w:p w14:paraId="050344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11.4</w:t>
            </w:r>
          </w:p>
        </w:tc>
        <w:tc>
          <w:tcPr>
            <w:tcW w:w="504" w:type="dxa"/>
            <w:shd w:val="clear" w:color="auto" w:fill="FFFFFF"/>
            <w:tcMar>
              <w:top w:w="0" w:type="dxa"/>
              <w:left w:w="0" w:type="dxa"/>
              <w:bottom w:w="0" w:type="dxa"/>
              <w:right w:w="0" w:type="dxa"/>
            </w:tcMar>
            <w:vAlign w:val="center"/>
          </w:tcPr>
          <w:p w14:paraId="695D3F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53.7</w:t>
            </w:r>
          </w:p>
        </w:tc>
        <w:tc>
          <w:tcPr>
            <w:tcW w:w="532" w:type="dxa"/>
            <w:shd w:val="clear" w:color="auto" w:fill="FFFFFF"/>
            <w:tcMar>
              <w:top w:w="0" w:type="dxa"/>
              <w:left w:w="0" w:type="dxa"/>
              <w:bottom w:w="0" w:type="dxa"/>
              <w:right w:w="0" w:type="dxa"/>
            </w:tcMar>
            <w:vAlign w:val="center"/>
          </w:tcPr>
          <w:p w14:paraId="3962E0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53.7</w:t>
            </w:r>
          </w:p>
        </w:tc>
        <w:tc>
          <w:tcPr>
            <w:tcW w:w="505" w:type="dxa"/>
            <w:shd w:val="clear" w:color="auto" w:fill="FFFFFF"/>
            <w:tcMar>
              <w:top w:w="0" w:type="dxa"/>
              <w:left w:w="0" w:type="dxa"/>
              <w:bottom w:w="0" w:type="dxa"/>
              <w:right w:w="0" w:type="dxa"/>
            </w:tcMar>
            <w:vAlign w:val="center"/>
          </w:tcPr>
          <w:p w14:paraId="215A83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53.8</w:t>
            </w:r>
          </w:p>
        </w:tc>
        <w:tc>
          <w:tcPr>
            <w:tcW w:w="480" w:type="dxa"/>
            <w:shd w:val="clear" w:color="auto" w:fill="FFFFFF"/>
            <w:tcMar>
              <w:top w:w="0" w:type="dxa"/>
              <w:left w:w="0" w:type="dxa"/>
              <w:bottom w:w="0" w:type="dxa"/>
              <w:right w:w="0" w:type="dxa"/>
            </w:tcMar>
            <w:vAlign w:val="center"/>
          </w:tcPr>
          <w:p w14:paraId="2877F0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53.8</w:t>
            </w:r>
          </w:p>
        </w:tc>
        <w:tc>
          <w:tcPr>
            <w:tcW w:w="488" w:type="dxa"/>
            <w:vMerge w:val="continue"/>
            <w:shd w:val="clear" w:color="auto" w:fill="FFFFFF"/>
            <w:tcMar>
              <w:top w:w="0" w:type="dxa"/>
              <w:left w:w="0" w:type="dxa"/>
              <w:bottom w:w="0" w:type="dxa"/>
              <w:right w:w="0" w:type="dxa"/>
            </w:tcMar>
            <w:vAlign w:val="center"/>
          </w:tcPr>
          <w:p w14:paraId="1C4DAA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6AA52E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5DFCBE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442CAB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00C2CC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4C352D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38.7</w:t>
            </w:r>
          </w:p>
        </w:tc>
        <w:tc>
          <w:tcPr>
            <w:tcW w:w="761" w:type="dxa"/>
            <w:shd w:val="clear" w:color="auto" w:fill="FFFFFF"/>
            <w:tcMar>
              <w:top w:w="0" w:type="dxa"/>
              <w:left w:w="0" w:type="dxa"/>
              <w:bottom w:w="0" w:type="dxa"/>
              <w:right w:w="0" w:type="dxa"/>
            </w:tcMar>
            <w:vAlign w:val="center"/>
          </w:tcPr>
          <w:p w14:paraId="2F2616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74B3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0" w:type="dxa"/>
            <w:shd w:val="clear" w:color="auto" w:fill="FFFFFF"/>
            <w:tcMar>
              <w:top w:w="0" w:type="dxa"/>
              <w:left w:w="0" w:type="dxa"/>
              <w:bottom w:w="0" w:type="dxa"/>
              <w:right w:w="0" w:type="dxa"/>
            </w:tcMar>
            <w:vAlign w:val="center"/>
          </w:tcPr>
          <w:p w14:paraId="1A5B4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4</w:t>
            </w:r>
          </w:p>
        </w:tc>
        <w:tc>
          <w:tcPr>
            <w:tcW w:w="427" w:type="dxa"/>
            <w:vMerge w:val="continue"/>
            <w:shd w:val="clear" w:color="auto" w:fill="FFFFFF"/>
            <w:tcMar>
              <w:top w:w="0" w:type="dxa"/>
              <w:left w:w="0" w:type="dxa"/>
              <w:bottom w:w="0" w:type="dxa"/>
              <w:right w:w="0" w:type="dxa"/>
            </w:tcMar>
            <w:vAlign w:val="center"/>
          </w:tcPr>
          <w:p w14:paraId="3B281A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0C8872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缝纫机</w:t>
            </w:r>
          </w:p>
        </w:tc>
        <w:tc>
          <w:tcPr>
            <w:tcW w:w="559" w:type="dxa"/>
            <w:shd w:val="clear" w:color="auto" w:fill="FFFFFF"/>
            <w:tcMar>
              <w:top w:w="0" w:type="dxa"/>
              <w:left w:w="0" w:type="dxa"/>
              <w:bottom w:w="0" w:type="dxa"/>
              <w:right w:w="0" w:type="dxa"/>
            </w:tcMar>
            <w:vAlign w:val="center"/>
          </w:tcPr>
          <w:p w14:paraId="698B1C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70</w:t>
            </w:r>
          </w:p>
        </w:tc>
        <w:tc>
          <w:tcPr>
            <w:tcW w:w="411" w:type="dxa"/>
            <w:vMerge w:val="continue"/>
            <w:shd w:val="clear" w:color="auto" w:fill="FFFFFF"/>
            <w:tcMar>
              <w:top w:w="0" w:type="dxa"/>
              <w:left w:w="0" w:type="dxa"/>
              <w:bottom w:w="0" w:type="dxa"/>
              <w:right w:w="0" w:type="dxa"/>
            </w:tcMar>
            <w:vAlign w:val="center"/>
          </w:tcPr>
          <w:p w14:paraId="18E0CA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02B6D8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-39.6</w:t>
            </w:r>
          </w:p>
        </w:tc>
        <w:tc>
          <w:tcPr>
            <w:tcW w:w="491" w:type="dxa"/>
            <w:shd w:val="clear" w:color="auto" w:fill="FFFFFF"/>
            <w:tcMar>
              <w:top w:w="0" w:type="dxa"/>
              <w:left w:w="0" w:type="dxa"/>
              <w:bottom w:w="0" w:type="dxa"/>
              <w:right w:w="0" w:type="dxa"/>
            </w:tcMar>
            <w:vAlign w:val="center"/>
          </w:tcPr>
          <w:p w14:paraId="3BAD22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8.3</w:t>
            </w:r>
          </w:p>
        </w:tc>
        <w:tc>
          <w:tcPr>
            <w:tcW w:w="450" w:type="dxa"/>
            <w:shd w:val="clear" w:color="auto" w:fill="FFFFFF"/>
            <w:tcMar>
              <w:top w:w="0" w:type="dxa"/>
              <w:left w:w="0" w:type="dxa"/>
              <w:bottom w:w="0" w:type="dxa"/>
              <w:right w:w="0" w:type="dxa"/>
            </w:tcMar>
            <w:vAlign w:val="center"/>
          </w:tcPr>
          <w:p w14:paraId="7C0666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1.2</w:t>
            </w:r>
          </w:p>
        </w:tc>
        <w:tc>
          <w:tcPr>
            <w:tcW w:w="504" w:type="dxa"/>
            <w:shd w:val="clear" w:color="auto" w:fill="FFFFFF"/>
            <w:tcMar>
              <w:top w:w="0" w:type="dxa"/>
              <w:left w:w="0" w:type="dxa"/>
              <w:bottom w:w="0" w:type="dxa"/>
              <w:right w:w="0" w:type="dxa"/>
            </w:tcMar>
            <w:vAlign w:val="center"/>
          </w:tcPr>
          <w:p w14:paraId="1C8BE2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87.0</w:t>
            </w:r>
          </w:p>
        </w:tc>
        <w:tc>
          <w:tcPr>
            <w:tcW w:w="491" w:type="dxa"/>
            <w:shd w:val="clear" w:color="auto" w:fill="FFFFFF"/>
            <w:tcMar>
              <w:top w:w="0" w:type="dxa"/>
              <w:left w:w="0" w:type="dxa"/>
              <w:bottom w:w="0" w:type="dxa"/>
              <w:right w:w="0" w:type="dxa"/>
            </w:tcMar>
            <w:vAlign w:val="center"/>
          </w:tcPr>
          <w:p w14:paraId="3D6A50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29.1</w:t>
            </w:r>
          </w:p>
        </w:tc>
        <w:tc>
          <w:tcPr>
            <w:tcW w:w="505" w:type="dxa"/>
            <w:shd w:val="clear" w:color="auto" w:fill="FFFFFF"/>
            <w:tcMar>
              <w:top w:w="0" w:type="dxa"/>
              <w:left w:w="0" w:type="dxa"/>
              <w:bottom w:w="0" w:type="dxa"/>
              <w:right w:w="0" w:type="dxa"/>
            </w:tcMar>
            <w:vAlign w:val="center"/>
          </w:tcPr>
          <w:p w14:paraId="3291B1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6.2</w:t>
            </w:r>
          </w:p>
        </w:tc>
        <w:tc>
          <w:tcPr>
            <w:tcW w:w="532" w:type="dxa"/>
            <w:shd w:val="clear" w:color="auto" w:fill="FFFFFF"/>
            <w:tcMar>
              <w:top w:w="0" w:type="dxa"/>
              <w:left w:w="0" w:type="dxa"/>
              <w:bottom w:w="0" w:type="dxa"/>
              <w:right w:w="0" w:type="dxa"/>
            </w:tcMar>
            <w:vAlign w:val="center"/>
          </w:tcPr>
          <w:p w14:paraId="1A5154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12.0</w:t>
            </w:r>
          </w:p>
        </w:tc>
        <w:tc>
          <w:tcPr>
            <w:tcW w:w="504" w:type="dxa"/>
            <w:shd w:val="clear" w:color="auto" w:fill="FFFFFF"/>
            <w:tcMar>
              <w:top w:w="0" w:type="dxa"/>
              <w:left w:w="0" w:type="dxa"/>
              <w:bottom w:w="0" w:type="dxa"/>
              <w:right w:w="0" w:type="dxa"/>
            </w:tcMar>
            <w:vAlign w:val="center"/>
          </w:tcPr>
          <w:p w14:paraId="3D35F0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53.7</w:t>
            </w:r>
          </w:p>
        </w:tc>
        <w:tc>
          <w:tcPr>
            <w:tcW w:w="532" w:type="dxa"/>
            <w:shd w:val="clear" w:color="auto" w:fill="FFFFFF"/>
            <w:tcMar>
              <w:top w:w="0" w:type="dxa"/>
              <w:left w:w="0" w:type="dxa"/>
              <w:bottom w:w="0" w:type="dxa"/>
              <w:right w:w="0" w:type="dxa"/>
            </w:tcMar>
            <w:vAlign w:val="center"/>
          </w:tcPr>
          <w:p w14:paraId="595C58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53.7</w:t>
            </w:r>
          </w:p>
        </w:tc>
        <w:tc>
          <w:tcPr>
            <w:tcW w:w="505" w:type="dxa"/>
            <w:shd w:val="clear" w:color="auto" w:fill="FFFFFF"/>
            <w:tcMar>
              <w:top w:w="0" w:type="dxa"/>
              <w:left w:w="0" w:type="dxa"/>
              <w:bottom w:w="0" w:type="dxa"/>
              <w:right w:w="0" w:type="dxa"/>
            </w:tcMar>
            <w:vAlign w:val="center"/>
          </w:tcPr>
          <w:p w14:paraId="46C893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54.0</w:t>
            </w:r>
          </w:p>
        </w:tc>
        <w:tc>
          <w:tcPr>
            <w:tcW w:w="480" w:type="dxa"/>
            <w:shd w:val="clear" w:color="auto" w:fill="FFFFFF"/>
            <w:tcMar>
              <w:top w:w="0" w:type="dxa"/>
              <w:left w:w="0" w:type="dxa"/>
              <w:bottom w:w="0" w:type="dxa"/>
              <w:right w:w="0" w:type="dxa"/>
            </w:tcMar>
            <w:vAlign w:val="center"/>
          </w:tcPr>
          <w:p w14:paraId="17DA46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53.8</w:t>
            </w:r>
          </w:p>
        </w:tc>
        <w:tc>
          <w:tcPr>
            <w:tcW w:w="488" w:type="dxa"/>
            <w:vMerge w:val="continue"/>
            <w:shd w:val="clear" w:color="auto" w:fill="FFFFFF"/>
            <w:tcMar>
              <w:top w:w="0" w:type="dxa"/>
              <w:left w:w="0" w:type="dxa"/>
              <w:bottom w:w="0" w:type="dxa"/>
              <w:right w:w="0" w:type="dxa"/>
            </w:tcMar>
            <w:vAlign w:val="center"/>
          </w:tcPr>
          <w:p w14:paraId="2BD0B8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013B6D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5FE716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3F51B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3D6FF8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0BA73C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38.7</w:t>
            </w:r>
          </w:p>
        </w:tc>
        <w:tc>
          <w:tcPr>
            <w:tcW w:w="761" w:type="dxa"/>
            <w:shd w:val="clear" w:color="auto" w:fill="FFFFFF"/>
            <w:tcMar>
              <w:top w:w="0" w:type="dxa"/>
              <w:left w:w="0" w:type="dxa"/>
              <w:bottom w:w="0" w:type="dxa"/>
              <w:right w:w="0" w:type="dxa"/>
            </w:tcMar>
            <w:vAlign w:val="center"/>
          </w:tcPr>
          <w:p w14:paraId="29D1E7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083B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1A0A81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5</w:t>
            </w:r>
          </w:p>
        </w:tc>
        <w:tc>
          <w:tcPr>
            <w:tcW w:w="427" w:type="dxa"/>
            <w:vMerge w:val="continue"/>
            <w:shd w:val="clear" w:color="auto" w:fill="FFFFFF"/>
            <w:tcMar>
              <w:top w:w="0" w:type="dxa"/>
              <w:left w:w="0" w:type="dxa"/>
              <w:bottom w:w="0" w:type="dxa"/>
              <w:right w:w="0" w:type="dxa"/>
            </w:tcMar>
            <w:vAlign w:val="center"/>
          </w:tcPr>
          <w:p w14:paraId="2024E8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43021C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螺杆空压机</w:t>
            </w:r>
          </w:p>
        </w:tc>
        <w:tc>
          <w:tcPr>
            <w:tcW w:w="559" w:type="dxa"/>
            <w:shd w:val="clear" w:color="auto" w:fill="FFFFFF"/>
            <w:tcMar>
              <w:top w:w="0" w:type="dxa"/>
              <w:left w:w="0" w:type="dxa"/>
              <w:bottom w:w="0" w:type="dxa"/>
              <w:right w:w="0" w:type="dxa"/>
            </w:tcMar>
            <w:vAlign w:val="center"/>
          </w:tcPr>
          <w:p w14:paraId="4308E2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78</w:t>
            </w:r>
          </w:p>
        </w:tc>
        <w:tc>
          <w:tcPr>
            <w:tcW w:w="411" w:type="dxa"/>
            <w:vMerge w:val="continue"/>
            <w:shd w:val="clear" w:color="auto" w:fill="FFFFFF"/>
            <w:tcMar>
              <w:top w:w="0" w:type="dxa"/>
              <w:left w:w="0" w:type="dxa"/>
              <w:bottom w:w="0" w:type="dxa"/>
              <w:right w:w="0" w:type="dxa"/>
            </w:tcMar>
            <w:vAlign w:val="center"/>
          </w:tcPr>
          <w:p w14:paraId="46E07A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2CC298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-35.9</w:t>
            </w:r>
          </w:p>
        </w:tc>
        <w:tc>
          <w:tcPr>
            <w:tcW w:w="491" w:type="dxa"/>
            <w:shd w:val="clear" w:color="auto" w:fill="FFFFFF"/>
            <w:tcMar>
              <w:top w:w="0" w:type="dxa"/>
              <w:left w:w="0" w:type="dxa"/>
              <w:bottom w:w="0" w:type="dxa"/>
              <w:right w:w="0" w:type="dxa"/>
            </w:tcMar>
            <w:vAlign w:val="center"/>
          </w:tcPr>
          <w:p w14:paraId="40613D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-10.9</w:t>
            </w:r>
          </w:p>
        </w:tc>
        <w:tc>
          <w:tcPr>
            <w:tcW w:w="450" w:type="dxa"/>
            <w:shd w:val="clear" w:color="auto" w:fill="FFFFFF"/>
            <w:tcMar>
              <w:top w:w="0" w:type="dxa"/>
              <w:left w:w="0" w:type="dxa"/>
              <w:bottom w:w="0" w:type="dxa"/>
              <w:right w:w="0" w:type="dxa"/>
            </w:tcMar>
            <w:vAlign w:val="center"/>
          </w:tcPr>
          <w:p w14:paraId="6D7280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0.5</w:t>
            </w:r>
          </w:p>
        </w:tc>
        <w:tc>
          <w:tcPr>
            <w:tcW w:w="504" w:type="dxa"/>
            <w:shd w:val="clear" w:color="auto" w:fill="FFFFFF"/>
            <w:tcMar>
              <w:top w:w="0" w:type="dxa"/>
              <w:left w:w="0" w:type="dxa"/>
              <w:bottom w:w="0" w:type="dxa"/>
              <w:right w:w="0" w:type="dxa"/>
            </w:tcMar>
            <w:vAlign w:val="center"/>
          </w:tcPr>
          <w:p w14:paraId="5CC582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83.3</w:t>
            </w:r>
          </w:p>
        </w:tc>
        <w:tc>
          <w:tcPr>
            <w:tcW w:w="491" w:type="dxa"/>
            <w:shd w:val="clear" w:color="auto" w:fill="FFFFFF"/>
            <w:tcMar>
              <w:top w:w="0" w:type="dxa"/>
              <w:left w:w="0" w:type="dxa"/>
              <w:bottom w:w="0" w:type="dxa"/>
              <w:right w:w="0" w:type="dxa"/>
            </w:tcMar>
            <w:vAlign w:val="center"/>
          </w:tcPr>
          <w:p w14:paraId="203AFC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9.9</w:t>
            </w:r>
          </w:p>
        </w:tc>
        <w:tc>
          <w:tcPr>
            <w:tcW w:w="505" w:type="dxa"/>
            <w:shd w:val="clear" w:color="auto" w:fill="FFFFFF"/>
            <w:tcMar>
              <w:top w:w="0" w:type="dxa"/>
              <w:left w:w="0" w:type="dxa"/>
              <w:bottom w:w="0" w:type="dxa"/>
              <w:right w:w="0" w:type="dxa"/>
            </w:tcMar>
            <w:vAlign w:val="center"/>
          </w:tcPr>
          <w:p w14:paraId="11FE69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9.9</w:t>
            </w:r>
          </w:p>
        </w:tc>
        <w:tc>
          <w:tcPr>
            <w:tcW w:w="532" w:type="dxa"/>
            <w:shd w:val="clear" w:color="auto" w:fill="FFFFFF"/>
            <w:tcMar>
              <w:top w:w="0" w:type="dxa"/>
              <w:left w:w="0" w:type="dxa"/>
              <w:bottom w:w="0" w:type="dxa"/>
              <w:right w:w="0" w:type="dxa"/>
            </w:tcMar>
            <w:vAlign w:val="center"/>
          </w:tcPr>
          <w:p w14:paraId="682600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31.2</w:t>
            </w:r>
          </w:p>
        </w:tc>
        <w:tc>
          <w:tcPr>
            <w:tcW w:w="504" w:type="dxa"/>
            <w:shd w:val="clear" w:color="auto" w:fill="FFFFFF"/>
            <w:tcMar>
              <w:top w:w="0" w:type="dxa"/>
              <w:left w:w="0" w:type="dxa"/>
              <w:bottom w:w="0" w:type="dxa"/>
              <w:right w:w="0" w:type="dxa"/>
            </w:tcMar>
            <w:vAlign w:val="center"/>
          </w:tcPr>
          <w:p w14:paraId="14E85A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61.7</w:t>
            </w:r>
          </w:p>
        </w:tc>
        <w:tc>
          <w:tcPr>
            <w:tcW w:w="532" w:type="dxa"/>
            <w:shd w:val="clear" w:color="auto" w:fill="FFFFFF"/>
            <w:tcMar>
              <w:top w:w="0" w:type="dxa"/>
              <w:left w:w="0" w:type="dxa"/>
              <w:bottom w:w="0" w:type="dxa"/>
              <w:right w:w="0" w:type="dxa"/>
            </w:tcMar>
            <w:vAlign w:val="center"/>
          </w:tcPr>
          <w:p w14:paraId="30E4F0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61.8</w:t>
            </w:r>
          </w:p>
        </w:tc>
        <w:tc>
          <w:tcPr>
            <w:tcW w:w="505" w:type="dxa"/>
            <w:shd w:val="clear" w:color="auto" w:fill="FFFFFF"/>
            <w:tcMar>
              <w:top w:w="0" w:type="dxa"/>
              <w:left w:w="0" w:type="dxa"/>
              <w:bottom w:w="0" w:type="dxa"/>
              <w:right w:w="0" w:type="dxa"/>
            </w:tcMar>
            <w:vAlign w:val="center"/>
          </w:tcPr>
          <w:p w14:paraId="59EE8F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61.8</w:t>
            </w:r>
          </w:p>
        </w:tc>
        <w:tc>
          <w:tcPr>
            <w:tcW w:w="480" w:type="dxa"/>
            <w:shd w:val="clear" w:color="auto" w:fill="FFFFFF"/>
            <w:tcMar>
              <w:top w:w="0" w:type="dxa"/>
              <w:left w:w="0" w:type="dxa"/>
              <w:bottom w:w="0" w:type="dxa"/>
              <w:right w:w="0" w:type="dxa"/>
            </w:tcMar>
            <w:vAlign w:val="center"/>
          </w:tcPr>
          <w:p w14:paraId="30098F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61.7</w:t>
            </w:r>
          </w:p>
        </w:tc>
        <w:tc>
          <w:tcPr>
            <w:tcW w:w="488" w:type="dxa"/>
            <w:vMerge w:val="continue"/>
            <w:shd w:val="clear" w:color="auto" w:fill="FFFFFF"/>
            <w:tcMar>
              <w:top w:w="0" w:type="dxa"/>
              <w:left w:w="0" w:type="dxa"/>
              <w:bottom w:w="0" w:type="dxa"/>
              <w:right w:w="0" w:type="dxa"/>
            </w:tcMar>
            <w:vAlign w:val="center"/>
          </w:tcPr>
          <w:p w14:paraId="79C0AA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6F4A87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194B93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03753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4352A5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54A8FC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Arial" w:cs="Times New Roman"/>
                <w:sz w:val="18"/>
                <w:szCs w:val="18"/>
              </w:rPr>
              <w:t>46.7</w:t>
            </w:r>
          </w:p>
        </w:tc>
        <w:tc>
          <w:tcPr>
            <w:tcW w:w="761" w:type="dxa"/>
            <w:shd w:val="clear" w:color="auto" w:fill="FFFFFF"/>
            <w:tcMar>
              <w:top w:w="0" w:type="dxa"/>
              <w:left w:w="0" w:type="dxa"/>
              <w:bottom w:w="0" w:type="dxa"/>
              <w:right w:w="0" w:type="dxa"/>
            </w:tcMar>
            <w:vAlign w:val="center"/>
          </w:tcPr>
          <w:p w14:paraId="71F968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5A44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451AA1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6</w:t>
            </w:r>
          </w:p>
        </w:tc>
        <w:tc>
          <w:tcPr>
            <w:tcW w:w="427" w:type="dxa"/>
            <w:vMerge w:val="continue"/>
            <w:shd w:val="clear" w:color="auto" w:fill="FFFFFF"/>
            <w:tcMar>
              <w:top w:w="0" w:type="dxa"/>
              <w:left w:w="0" w:type="dxa"/>
              <w:bottom w:w="0" w:type="dxa"/>
              <w:right w:w="0" w:type="dxa"/>
            </w:tcMar>
            <w:vAlign w:val="center"/>
          </w:tcPr>
          <w:p w14:paraId="47D7F8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40A644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热压机1</w:t>
            </w:r>
          </w:p>
        </w:tc>
        <w:tc>
          <w:tcPr>
            <w:tcW w:w="559" w:type="dxa"/>
            <w:shd w:val="clear" w:color="auto" w:fill="FFFFFF"/>
            <w:tcMar>
              <w:top w:w="0" w:type="dxa"/>
              <w:left w:w="0" w:type="dxa"/>
              <w:bottom w:w="0" w:type="dxa"/>
              <w:right w:w="0" w:type="dxa"/>
            </w:tcMar>
            <w:vAlign w:val="center"/>
          </w:tcPr>
          <w:p w14:paraId="01F05A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7AE4BF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46364A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-23.8</w:t>
            </w:r>
          </w:p>
        </w:tc>
        <w:tc>
          <w:tcPr>
            <w:tcW w:w="491" w:type="dxa"/>
            <w:shd w:val="clear" w:color="auto" w:fill="FFFFFF"/>
            <w:tcMar>
              <w:top w:w="0" w:type="dxa"/>
              <w:left w:w="0" w:type="dxa"/>
              <w:bottom w:w="0" w:type="dxa"/>
              <w:right w:w="0" w:type="dxa"/>
            </w:tcMar>
            <w:vAlign w:val="center"/>
          </w:tcPr>
          <w:p w14:paraId="020537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-12.5</w:t>
            </w:r>
          </w:p>
        </w:tc>
        <w:tc>
          <w:tcPr>
            <w:tcW w:w="450" w:type="dxa"/>
            <w:shd w:val="clear" w:color="auto" w:fill="FFFFFF"/>
            <w:tcMar>
              <w:top w:w="0" w:type="dxa"/>
              <w:left w:w="0" w:type="dxa"/>
              <w:bottom w:w="0" w:type="dxa"/>
              <w:right w:w="0" w:type="dxa"/>
            </w:tcMar>
            <w:vAlign w:val="center"/>
          </w:tcPr>
          <w:p w14:paraId="4EFAA9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54D271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71.2</w:t>
            </w:r>
          </w:p>
        </w:tc>
        <w:tc>
          <w:tcPr>
            <w:tcW w:w="491" w:type="dxa"/>
            <w:shd w:val="clear" w:color="auto" w:fill="FFFFFF"/>
            <w:tcMar>
              <w:top w:w="0" w:type="dxa"/>
              <w:left w:w="0" w:type="dxa"/>
              <w:bottom w:w="0" w:type="dxa"/>
              <w:right w:w="0" w:type="dxa"/>
            </w:tcMar>
            <w:vAlign w:val="center"/>
          </w:tcPr>
          <w:p w14:paraId="00C4EF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8.3</w:t>
            </w:r>
          </w:p>
        </w:tc>
        <w:tc>
          <w:tcPr>
            <w:tcW w:w="505" w:type="dxa"/>
            <w:shd w:val="clear" w:color="auto" w:fill="FFFFFF"/>
            <w:tcMar>
              <w:top w:w="0" w:type="dxa"/>
              <w:left w:w="0" w:type="dxa"/>
              <w:bottom w:w="0" w:type="dxa"/>
              <w:right w:w="0" w:type="dxa"/>
            </w:tcMar>
            <w:vAlign w:val="center"/>
          </w:tcPr>
          <w:p w14:paraId="733E76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22.0</w:t>
            </w:r>
          </w:p>
        </w:tc>
        <w:tc>
          <w:tcPr>
            <w:tcW w:w="532" w:type="dxa"/>
            <w:shd w:val="clear" w:color="auto" w:fill="FFFFFF"/>
            <w:tcMar>
              <w:top w:w="0" w:type="dxa"/>
              <w:left w:w="0" w:type="dxa"/>
              <w:bottom w:w="0" w:type="dxa"/>
              <w:right w:w="0" w:type="dxa"/>
            </w:tcMar>
            <w:vAlign w:val="center"/>
          </w:tcPr>
          <w:p w14:paraId="210C8D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32.8</w:t>
            </w:r>
          </w:p>
        </w:tc>
        <w:tc>
          <w:tcPr>
            <w:tcW w:w="504" w:type="dxa"/>
            <w:shd w:val="clear" w:color="auto" w:fill="FFFFFF"/>
            <w:tcMar>
              <w:top w:w="0" w:type="dxa"/>
              <w:left w:w="0" w:type="dxa"/>
              <w:bottom w:w="0" w:type="dxa"/>
              <w:right w:w="0" w:type="dxa"/>
            </w:tcMar>
            <w:vAlign w:val="center"/>
          </w:tcPr>
          <w:p w14:paraId="753995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305699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5A57C2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78F4DB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7FB7C7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35FB98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1622E4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13E097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163220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2E5016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0B6763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r>
      <w:tr w14:paraId="5C88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3E9993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7</w:t>
            </w:r>
          </w:p>
        </w:tc>
        <w:tc>
          <w:tcPr>
            <w:tcW w:w="427" w:type="dxa"/>
            <w:vMerge w:val="continue"/>
            <w:shd w:val="clear" w:color="auto" w:fill="FFFFFF"/>
            <w:tcMar>
              <w:top w:w="0" w:type="dxa"/>
              <w:left w:w="0" w:type="dxa"/>
              <w:bottom w:w="0" w:type="dxa"/>
              <w:right w:w="0" w:type="dxa"/>
            </w:tcMar>
            <w:vAlign w:val="center"/>
          </w:tcPr>
          <w:p w14:paraId="5514B4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1B64E0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热压机2</w:t>
            </w:r>
          </w:p>
        </w:tc>
        <w:tc>
          <w:tcPr>
            <w:tcW w:w="559" w:type="dxa"/>
            <w:shd w:val="clear" w:color="auto" w:fill="FFFFFF"/>
            <w:tcMar>
              <w:top w:w="0" w:type="dxa"/>
              <w:left w:w="0" w:type="dxa"/>
              <w:bottom w:w="0" w:type="dxa"/>
              <w:right w:w="0" w:type="dxa"/>
            </w:tcMar>
            <w:vAlign w:val="center"/>
          </w:tcPr>
          <w:p w14:paraId="00F1C7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4D17A5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22B254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-12.4</w:t>
            </w:r>
          </w:p>
        </w:tc>
        <w:tc>
          <w:tcPr>
            <w:tcW w:w="491" w:type="dxa"/>
            <w:shd w:val="clear" w:color="auto" w:fill="FFFFFF"/>
            <w:tcMar>
              <w:top w:w="0" w:type="dxa"/>
              <w:left w:w="0" w:type="dxa"/>
              <w:bottom w:w="0" w:type="dxa"/>
              <w:right w:w="0" w:type="dxa"/>
            </w:tcMar>
            <w:vAlign w:val="center"/>
          </w:tcPr>
          <w:p w14:paraId="184CDE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-12.6</w:t>
            </w:r>
          </w:p>
        </w:tc>
        <w:tc>
          <w:tcPr>
            <w:tcW w:w="450" w:type="dxa"/>
            <w:shd w:val="clear" w:color="auto" w:fill="FFFFFF"/>
            <w:tcMar>
              <w:top w:w="0" w:type="dxa"/>
              <w:left w:w="0" w:type="dxa"/>
              <w:bottom w:w="0" w:type="dxa"/>
              <w:right w:w="0" w:type="dxa"/>
            </w:tcMar>
            <w:vAlign w:val="center"/>
          </w:tcPr>
          <w:p w14:paraId="3CCEC7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3BC84F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59.8</w:t>
            </w:r>
          </w:p>
        </w:tc>
        <w:tc>
          <w:tcPr>
            <w:tcW w:w="491" w:type="dxa"/>
            <w:shd w:val="clear" w:color="auto" w:fill="FFFFFF"/>
            <w:tcMar>
              <w:top w:w="0" w:type="dxa"/>
              <w:left w:w="0" w:type="dxa"/>
              <w:bottom w:w="0" w:type="dxa"/>
              <w:right w:w="0" w:type="dxa"/>
            </w:tcMar>
            <w:vAlign w:val="center"/>
          </w:tcPr>
          <w:p w14:paraId="3547F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8.2</w:t>
            </w:r>
          </w:p>
        </w:tc>
        <w:tc>
          <w:tcPr>
            <w:tcW w:w="505" w:type="dxa"/>
            <w:shd w:val="clear" w:color="auto" w:fill="FFFFFF"/>
            <w:tcMar>
              <w:top w:w="0" w:type="dxa"/>
              <w:left w:w="0" w:type="dxa"/>
              <w:bottom w:w="0" w:type="dxa"/>
              <w:right w:w="0" w:type="dxa"/>
            </w:tcMar>
            <w:vAlign w:val="center"/>
          </w:tcPr>
          <w:p w14:paraId="181A30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33.4</w:t>
            </w:r>
          </w:p>
        </w:tc>
        <w:tc>
          <w:tcPr>
            <w:tcW w:w="532" w:type="dxa"/>
            <w:shd w:val="clear" w:color="auto" w:fill="FFFFFF"/>
            <w:tcMar>
              <w:top w:w="0" w:type="dxa"/>
              <w:left w:w="0" w:type="dxa"/>
              <w:bottom w:w="0" w:type="dxa"/>
              <w:right w:w="0" w:type="dxa"/>
            </w:tcMar>
            <w:vAlign w:val="center"/>
          </w:tcPr>
          <w:p w14:paraId="797FAB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32.9</w:t>
            </w:r>
          </w:p>
        </w:tc>
        <w:tc>
          <w:tcPr>
            <w:tcW w:w="504" w:type="dxa"/>
            <w:shd w:val="clear" w:color="auto" w:fill="FFFFFF"/>
            <w:tcMar>
              <w:top w:w="0" w:type="dxa"/>
              <w:left w:w="0" w:type="dxa"/>
              <w:bottom w:w="0" w:type="dxa"/>
              <w:right w:w="0" w:type="dxa"/>
            </w:tcMar>
            <w:vAlign w:val="center"/>
          </w:tcPr>
          <w:p w14:paraId="16207F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41A857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5A3E32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3744DE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5A193F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46C940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425999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66D070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4032F0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57D505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73F14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6B5E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506A70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8</w:t>
            </w:r>
          </w:p>
        </w:tc>
        <w:tc>
          <w:tcPr>
            <w:tcW w:w="427" w:type="dxa"/>
            <w:vMerge w:val="continue"/>
            <w:shd w:val="clear" w:color="auto" w:fill="FFFFFF"/>
            <w:tcMar>
              <w:top w:w="0" w:type="dxa"/>
              <w:left w:w="0" w:type="dxa"/>
              <w:bottom w:w="0" w:type="dxa"/>
              <w:right w:w="0" w:type="dxa"/>
            </w:tcMar>
            <w:vAlign w:val="center"/>
          </w:tcPr>
          <w:p w14:paraId="22574F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630044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热压机3</w:t>
            </w:r>
          </w:p>
        </w:tc>
        <w:tc>
          <w:tcPr>
            <w:tcW w:w="559" w:type="dxa"/>
            <w:shd w:val="clear" w:color="auto" w:fill="FFFFFF"/>
            <w:tcMar>
              <w:top w:w="0" w:type="dxa"/>
              <w:left w:w="0" w:type="dxa"/>
              <w:bottom w:w="0" w:type="dxa"/>
              <w:right w:w="0" w:type="dxa"/>
            </w:tcMar>
            <w:vAlign w:val="center"/>
          </w:tcPr>
          <w:p w14:paraId="37B37C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0D4D96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281E13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-1.2</w:t>
            </w:r>
          </w:p>
        </w:tc>
        <w:tc>
          <w:tcPr>
            <w:tcW w:w="491" w:type="dxa"/>
            <w:shd w:val="clear" w:color="auto" w:fill="FFFFFF"/>
            <w:tcMar>
              <w:top w:w="0" w:type="dxa"/>
              <w:left w:w="0" w:type="dxa"/>
              <w:bottom w:w="0" w:type="dxa"/>
              <w:right w:w="0" w:type="dxa"/>
            </w:tcMar>
            <w:vAlign w:val="center"/>
          </w:tcPr>
          <w:p w14:paraId="4ED329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-11.8</w:t>
            </w:r>
          </w:p>
        </w:tc>
        <w:tc>
          <w:tcPr>
            <w:tcW w:w="450" w:type="dxa"/>
            <w:shd w:val="clear" w:color="auto" w:fill="FFFFFF"/>
            <w:tcMar>
              <w:top w:w="0" w:type="dxa"/>
              <w:left w:w="0" w:type="dxa"/>
              <w:bottom w:w="0" w:type="dxa"/>
              <w:right w:w="0" w:type="dxa"/>
            </w:tcMar>
            <w:vAlign w:val="center"/>
          </w:tcPr>
          <w:p w14:paraId="2348A7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16B105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48.6</w:t>
            </w:r>
          </w:p>
        </w:tc>
        <w:tc>
          <w:tcPr>
            <w:tcW w:w="491" w:type="dxa"/>
            <w:shd w:val="clear" w:color="auto" w:fill="FFFFFF"/>
            <w:tcMar>
              <w:top w:w="0" w:type="dxa"/>
              <w:left w:w="0" w:type="dxa"/>
              <w:bottom w:w="0" w:type="dxa"/>
              <w:right w:w="0" w:type="dxa"/>
            </w:tcMar>
            <w:vAlign w:val="center"/>
          </w:tcPr>
          <w:p w14:paraId="2F2C34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9.0</w:t>
            </w:r>
          </w:p>
        </w:tc>
        <w:tc>
          <w:tcPr>
            <w:tcW w:w="505" w:type="dxa"/>
            <w:shd w:val="clear" w:color="auto" w:fill="FFFFFF"/>
            <w:tcMar>
              <w:top w:w="0" w:type="dxa"/>
              <w:left w:w="0" w:type="dxa"/>
              <w:bottom w:w="0" w:type="dxa"/>
              <w:right w:w="0" w:type="dxa"/>
            </w:tcMar>
            <w:vAlign w:val="center"/>
          </w:tcPr>
          <w:p w14:paraId="4FEA44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44.6</w:t>
            </w:r>
          </w:p>
        </w:tc>
        <w:tc>
          <w:tcPr>
            <w:tcW w:w="532" w:type="dxa"/>
            <w:shd w:val="clear" w:color="auto" w:fill="FFFFFF"/>
            <w:tcMar>
              <w:top w:w="0" w:type="dxa"/>
              <w:left w:w="0" w:type="dxa"/>
              <w:bottom w:w="0" w:type="dxa"/>
              <w:right w:w="0" w:type="dxa"/>
            </w:tcMar>
            <w:vAlign w:val="center"/>
          </w:tcPr>
          <w:p w14:paraId="441A69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32.1</w:t>
            </w:r>
          </w:p>
        </w:tc>
        <w:tc>
          <w:tcPr>
            <w:tcW w:w="504" w:type="dxa"/>
            <w:shd w:val="clear" w:color="auto" w:fill="FFFFFF"/>
            <w:tcMar>
              <w:top w:w="0" w:type="dxa"/>
              <w:left w:w="0" w:type="dxa"/>
              <w:bottom w:w="0" w:type="dxa"/>
              <w:right w:w="0" w:type="dxa"/>
            </w:tcMar>
            <w:vAlign w:val="center"/>
          </w:tcPr>
          <w:p w14:paraId="167838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351BE2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6E1206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0FE2A0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37F408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443EB6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32797F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4221B4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6C7B93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2399C5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7897FF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w:t>
            </w:r>
          </w:p>
        </w:tc>
      </w:tr>
      <w:tr w14:paraId="634C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1D046E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9</w:t>
            </w:r>
          </w:p>
        </w:tc>
        <w:tc>
          <w:tcPr>
            <w:tcW w:w="427" w:type="dxa"/>
            <w:vMerge w:val="continue"/>
            <w:shd w:val="clear" w:color="auto" w:fill="FFFFFF"/>
            <w:tcMar>
              <w:top w:w="0" w:type="dxa"/>
              <w:left w:w="0" w:type="dxa"/>
              <w:bottom w:w="0" w:type="dxa"/>
              <w:right w:w="0" w:type="dxa"/>
            </w:tcMar>
            <w:vAlign w:val="center"/>
          </w:tcPr>
          <w:p w14:paraId="7DA0F9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05597B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热压机4</w:t>
            </w:r>
          </w:p>
        </w:tc>
        <w:tc>
          <w:tcPr>
            <w:tcW w:w="559" w:type="dxa"/>
            <w:shd w:val="clear" w:color="auto" w:fill="FFFFFF"/>
            <w:tcMar>
              <w:top w:w="0" w:type="dxa"/>
              <w:left w:w="0" w:type="dxa"/>
              <w:bottom w:w="0" w:type="dxa"/>
              <w:right w:w="0" w:type="dxa"/>
            </w:tcMar>
            <w:vAlign w:val="center"/>
          </w:tcPr>
          <w:p w14:paraId="77CE2B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43CB18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1BAD78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10.7</w:t>
            </w:r>
          </w:p>
        </w:tc>
        <w:tc>
          <w:tcPr>
            <w:tcW w:w="491" w:type="dxa"/>
            <w:shd w:val="clear" w:color="auto" w:fill="FFFFFF"/>
            <w:tcMar>
              <w:top w:w="0" w:type="dxa"/>
              <w:left w:w="0" w:type="dxa"/>
              <w:bottom w:w="0" w:type="dxa"/>
              <w:right w:w="0" w:type="dxa"/>
            </w:tcMar>
            <w:vAlign w:val="center"/>
          </w:tcPr>
          <w:p w14:paraId="6D2799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-11.8</w:t>
            </w:r>
          </w:p>
        </w:tc>
        <w:tc>
          <w:tcPr>
            <w:tcW w:w="450" w:type="dxa"/>
            <w:shd w:val="clear" w:color="auto" w:fill="FFFFFF"/>
            <w:tcMar>
              <w:top w:w="0" w:type="dxa"/>
              <w:left w:w="0" w:type="dxa"/>
              <w:bottom w:w="0" w:type="dxa"/>
              <w:right w:w="0" w:type="dxa"/>
            </w:tcMar>
            <w:vAlign w:val="center"/>
          </w:tcPr>
          <w:p w14:paraId="0309C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23812A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36.7</w:t>
            </w:r>
          </w:p>
        </w:tc>
        <w:tc>
          <w:tcPr>
            <w:tcW w:w="491" w:type="dxa"/>
            <w:shd w:val="clear" w:color="auto" w:fill="FFFFFF"/>
            <w:tcMar>
              <w:top w:w="0" w:type="dxa"/>
              <w:left w:w="0" w:type="dxa"/>
              <w:bottom w:w="0" w:type="dxa"/>
              <w:right w:w="0" w:type="dxa"/>
            </w:tcMar>
            <w:vAlign w:val="center"/>
          </w:tcPr>
          <w:p w14:paraId="05E839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9.0</w:t>
            </w:r>
          </w:p>
        </w:tc>
        <w:tc>
          <w:tcPr>
            <w:tcW w:w="505" w:type="dxa"/>
            <w:shd w:val="clear" w:color="auto" w:fill="FFFFFF"/>
            <w:tcMar>
              <w:top w:w="0" w:type="dxa"/>
              <w:left w:w="0" w:type="dxa"/>
              <w:bottom w:w="0" w:type="dxa"/>
              <w:right w:w="0" w:type="dxa"/>
            </w:tcMar>
            <w:vAlign w:val="center"/>
          </w:tcPr>
          <w:p w14:paraId="5A782A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56.5</w:t>
            </w:r>
          </w:p>
        </w:tc>
        <w:tc>
          <w:tcPr>
            <w:tcW w:w="532" w:type="dxa"/>
            <w:shd w:val="clear" w:color="auto" w:fill="FFFFFF"/>
            <w:tcMar>
              <w:top w:w="0" w:type="dxa"/>
              <w:left w:w="0" w:type="dxa"/>
              <w:bottom w:w="0" w:type="dxa"/>
              <w:right w:w="0" w:type="dxa"/>
            </w:tcMar>
            <w:vAlign w:val="center"/>
          </w:tcPr>
          <w:p w14:paraId="3FB8ED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32.1</w:t>
            </w:r>
          </w:p>
        </w:tc>
        <w:tc>
          <w:tcPr>
            <w:tcW w:w="504" w:type="dxa"/>
            <w:shd w:val="clear" w:color="auto" w:fill="FFFFFF"/>
            <w:tcMar>
              <w:top w:w="0" w:type="dxa"/>
              <w:left w:w="0" w:type="dxa"/>
              <w:bottom w:w="0" w:type="dxa"/>
              <w:right w:w="0" w:type="dxa"/>
            </w:tcMar>
            <w:vAlign w:val="center"/>
          </w:tcPr>
          <w:p w14:paraId="7CBDA2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258395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1122A5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72EC24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2D93F4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673812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11E5A3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311B8F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002721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0C4B52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5A8ABB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w:t>
            </w:r>
          </w:p>
        </w:tc>
      </w:tr>
      <w:tr w14:paraId="383D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590EB1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10</w:t>
            </w:r>
          </w:p>
        </w:tc>
        <w:tc>
          <w:tcPr>
            <w:tcW w:w="427" w:type="dxa"/>
            <w:vMerge w:val="continue"/>
            <w:shd w:val="clear" w:color="auto" w:fill="FFFFFF"/>
            <w:tcMar>
              <w:top w:w="0" w:type="dxa"/>
              <w:left w:w="0" w:type="dxa"/>
              <w:bottom w:w="0" w:type="dxa"/>
              <w:right w:w="0" w:type="dxa"/>
            </w:tcMar>
            <w:vAlign w:val="center"/>
          </w:tcPr>
          <w:p w14:paraId="292D48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3DCF7E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热压机5</w:t>
            </w:r>
          </w:p>
        </w:tc>
        <w:tc>
          <w:tcPr>
            <w:tcW w:w="559" w:type="dxa"/>
            <w:shd w:val="clear" w:color="auto" w:fill="FFFFFF"/>
            <w:tcMar>
              <w:top w:w="0" w:type="dxa"/>
              <w:left w:w="0" w:type="dxa"/>
              <w:bottom w:w="0" w:type="dxa"/>
              <w:right w:w="0" w:type="dxa"/>
            </w:tcMar>
            <w:vAlign w:val="center"/>
          </w:tcPr>
          <w:p w14:paraId="49D155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75C2C4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42D2CC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17.7</w:t>
            </w:r>
          </w:p>
        </w:tc>
        <w:tc>
          <w:tcPr>
            <w:tcW w:w="491" w:type="dxa"/>
            <w:shd w:val="clear" w:color="auto" w:fill="FFFFFF"/>
            <w:tcMar>
              <w:top w:w="0" w:type="dxa"/>
              <w:left w:w="0" w:type="dxa"/>
              <w:bottom w:w="0" w:type="dxa"/>
              <w:right w:w="0" w:type="dxa"/>
            </w:tcMar>
            <w:vAlign w:val="center"/>
          </w:tcPr>
          <w:p w14:paraId="288938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-12.4</w:t>
            </w:r>
          </w:p>
        </w:tc>
        <w:tc>
          <w:tcPr>
            <w:tcW w:w="450" w:type="dxa"/>
            <w:shd w:val="clear" w:color="auto" w:fill="FFFFFF"/>
            <w:tcMar>
              <w:top w:w="0" w:type="dxa"/>
              <w:left w:w="0" w:type="dxa"/>
              <w:bottom w:w="0" w:type="dxa"/>
              <w:right w:w="0" w:type="dxa"/>
            </w:tcMar>
            <w:vAlign w:val="center"/>
          </w:tcPr>
          <w:p w14:paraId="39E75D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7E9E77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29.7</w:t>
            </w:r>
          </w:p>
        </w:tc>
        <w:tc>
          <w:tcPr>
            <w:tcW w:w="491" w:type="dxa"/>
            <w:shd w:val="clear" w:color="auto" w:fill="FFFFFF"/>
            <w:tcMar>
              <w:top w:w="0" w:type="dxa"/>
              <w:left w:w="0" w:type="dxa"/>
              <w:bottom w:w="0" w:type="dxa"/>
              <w:right w:w="0" w:type="dxa"/>
            </w:tcMar>
            <w:vAlign w:val="center"/>
          </w:tcPr>
          <w:p w14:paraId="40F9EA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8.4</w:t>
            </w:r>
          </w:p>
        </w:tc>
        <w:tc>
          <w:tcPr>
            <w:tcW w:w="505" w:type="dxa"/>
            <w:shd w:val="clear" w:color="auto" w:fill="FFFFFF"/>
            <w:tcMar>
              <w:top w:w="0" w:type="dxa"/>
              <w:left w:w="0" w:type="dxa"/>
              <w:bottom w:w="0" w:type="dxa"/>
              <w:right w:w="0" w:type="dxa"/>
            </w:tcMar>
            <w:vAlign w:val="center"/>
          </w:tcPr>
          <w:p w14:paraId="443832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63.5</w:t>
            </w:r>
          </w:p>
        </w:tc>
        <w:tc>
          <w:tcPr>
            <w:tcW w:w="532" w:type="dxa"/>
            <w:shd w:val="clear" w:color="auto" w:fill="FFFFFF"/>
            <w:tcMar>
              <w:top w:w="0" w:type="dxa"/>
              <w:left w:w="0" w:type="dxa"/>
              <w:bottom w:w="0" w:type="dxa"/>
              <w:right w:w="0" w:type="dxa"/>
            </w:tcMar>
            <w:vAlign w:val="center"/>
          </w:tcPr>
          <w:p w14:paraId="301FC8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32.7</w:t>
            </w:r>
          </w:p>
        </w:tc>
        <w:tc>
          <w:tcPr>
            <w:tcW w:w="504" w:type="dxa"/>
            <w:shd w:val="clear" w:color="auto" w:fill="FFFFFF"/>
            <w:tcMar>
              <w:top w:w="0" w:type="dxa"/>
              <w:left w:w="0" w:type="dxa"/>
              <w:bottom w:w="0" w:type="dxa"/>
              <w:right w:w="0" w:type="dxa"/>
            </w:tcMar>
            <w:vAlign w:val="center"/>
          </w:tcPr>
          <w:p w14:paraId="5F8A77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575220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714999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1A6FC3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1B7DE2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390D8B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226FA8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4890F3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68F3BF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066767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23B5E6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w:t>
            </w:r>
          </w:p>
        </w:tc>
      </w:tr>
      <w:tr w14:paraId="7B55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745CC6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11</w:t>
            </w:r>
          </w:p>
        </w:tc>
        <w:tc>
          <w:tcPr>
            <w:tcW w:w="427" w:type="dxa"/>
            <w:vMerge w:val="continue"/>
            <w:shd w:val="clear" w:color="auto" w:fill="FFFFFF"/>
            <w:tcMar>
              <w:top w:w="0" w:type="dxa"/>
              <w:left w:w="0" w:type="dxa"/>
              <w:bottom w:w="0" w:type="dxa"/>
              <w:right w:w="0" w:type="dxa"/>
            </w:tcMar>
            <w:vAlign w:val="center"/>
          </w:tcPr>
          <w:p w14:paraId="59C932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23B0D4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热压机6</w:t>
            </w:r>
          </w:p>
        </w:tc>
        <w:tc>
          <w:tcPr>
            <w:tcW w:w="559" w:type="dxa"/>
            <w:shd w:val="clear" w:color="auto" w:fill="FFFFFF"/>
            <w:tcMar>
              <w:top w:w="0" w:type="dxa"/>
              <w:left w:w="0" w:type="dxa"/>
              <w:bottom w:w="0" w:type="dxa"/>
              <w:right w:w="0" w:type="dxa"/>
            </w:tcMar>
            <w:vAlign w:val="center"/>
          </w:tcPr>
          <w:p w14:paraId="315761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75</w:t>
            </w:r>
          </w:p>
        </w:tc>
        <w:tc>
          <w:tcPr>
            <w:tcW w:w="411" w:type="dxa"/>
            <w:vMerge w:val="continue"/>
            <w:shd w:val="clear" w:color="auto" w:fill="FFFFFF"/>
            <w:tcMar>
              <w:top w:w="0" w:type="dxa"/>
              <w:left w:w="0" w:type="dxa"/>
              <w:bottom w:w="0" w:type="dxa"/>
              <w:right w:w="0" w:type="dxa"/>
            </w:tcMar>
            <w:vAlign w:val="center"/>
          </w:tcPr>
          <w:p w14:paraId="2F158F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5548E5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25.3</w:t>
            </w:r>
          </w:p>
        </w:tc>
        <w:tc>
          <w:tcPr>
            <w:tcW w:w="491" w:type="dxa"/>
            <w:shd w:val="clear" w:color="auto" w:fill="FFFFFF"/>
            <w:tcMar>
              <w:top w:w="0" w:type="dxa"/>
              <w:left w:w="0" w:type="dxa"/>
              <w:bottom w:w="0" w:type="dxa"/>
              <w:right w:w="0" w:type="dxa"/>
            </w:tcMar>
            <w:vAlign w:val="center"/>
          </w:tcPr>
          <w:p w14:paraId="47DC8D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-12.1</w:t>
            </w:r>
          </w:p>
        </w:tc>
        <w:tc>
          <w:tcPr>
            <w:tcW w:w="450" w:type="dxa"/>
            <w:shd w:val="clear" w:color="auto" w:fill="FFFFFF"/>
            <w:tcMar>
              <w:top w:w="0" w:type="dxa"/>
              <w:left w:w="0" w:type="dxa"/>
              <w:bottom w:w="0" w:type="dxa"/>
              <w:right w:w="0" w:type="dxa"/>
            </w:tcMar>
            <w:vAlign w:val="center"/>
          </w:tcPr>
          <w:p w14:paraId="53159F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0.8</w:t>
            </w:r>
          </w:p>
        </w:tc>
        <w:tc>
          <w:tcPr>
            <w:tcW w:w="504" w:type="dxa"/>
            <w:shd w:val="clear" w:color="auto" w:fill="FFFFFF"/>
            <w:tcMar>
              <w:top w:w="0" w:type="dxa"/>
              <w:left w:w="0" w:type="dxa"/>
              <w:bottom w:w="0" w:type="dxa"/>
              <w:right w:w="0" w:type="dxa"/>
            </w:tcMar>
            <w:vAlign w:val="center"/>
          </w:tcPr>
          <w:p w14:paraId="167BDA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22.1</w:t>
            </w:r>
          </w:p>
        </w:tc>
        <w:tc>
          <w:tcPr>
            <w:tcW w:w="491" w:type="dxa"/>
            <w:shd w:val="clear" w:color="auto" w:fill="FFFFFF"/>
            <w:tcMar>
              <w:top w:w="0" w:type="dxa"/>
              <w:left w:w="0" w:type="dxa"/>
              <w:bottom w:w="0" w:type="dxa"/>
              <w:right w:w="0" w:type="dxa"/>
            </w:tcMar>
            <w:vAlign w:val="center"/>
          </w:tcPr>
          <w:p w14:paraId="192395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8.7</w:t>
            </w:r>
          </w:p>
        </w:tc>
        <w:tc>
          <w:tcPr>
            <w:tcW w:w="505" w:type="dxa"/>
            <w:shd w:val="clear" w:color="auto" w:fill="FFFFFF"/>
            <w:tcMar>
              <w:top w:w="0" w:type="dxa"/>
              <w:left w:w="0" w:type="dxa"/>
              <w:bottom w:w="0" w:type="dxa"/>
              <w:right w:w="0" w:type="dxa"/>
            </w:tcMar>
            <w:vAlign w:val="center"/>
          </w:tcPr>
          <w:p w14:paraId="783E79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71.1</w:t>
            </w:r>
          </w:p>
        </w:tc>
        <w:tc>
          <w:tcPr>
            <w:tcW w:w="532" w:type="dxa"/>
            <w:shd w:val="clear" w:color="auto" w:fill="FFFFFF"/>
            <w:tcMar>
              <w:top w:w="0" w:type="dxa"/>
              <w:left w:w="0" w:type="dxa"/>
              <w:bottom w:w="0" w:type="dxa"/>
              <w:right w:w="0" w:type="dxa"/>
            </w:tcMar>
            <w:vAlign w:val="center"/>
          </w:tcPr>
          <w:p w14:paraId="4A70B2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32.4</w:t>
            </w:r>
          </w:p>
        </w:tc>
        <w:tc>
          <w:tcPr>
            <w:tcW w:w="504" w:type="dxa"/>
            <w:shd w:val="clear" w:color="auto" w:fill="FFFFFF"/>
            <w:tcMar>
              <w:top w:w="0" w:type="dxa"/>
              <w:left w:w="0" w:type="dxa"/>
              <w:bottom w:w="0" w:type="dxa"/>
              <w:right w:w="0" w:type="dxa"/>
            </w:tcMar>
            <w:vAlign w:val="center"/>
          </w:tcPr>
          <w:p w14:paraId="30D0A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532" w:type="dxa"/>
            <w:shd w:val="clear" w:color="auto" w:fill="FFFFFF"/>
            <w:tcMar>
              <w:top w:w="0" w:type="dxa"/>
              <w:left w:w="0" w:type="dxa"/>
              <w:bottom w:w="0" w:type="dxa"/>
              <w:right w:w="0" w:type="dxa"/>
            </w:tcMar>
            <w:vAlign w:val="center"/>
          </w:tcPr>
          <w:p w14:paraId="52CFCA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58.9</w:t>
            </w:r>
          </w:p>
        </w:tc>
        <w:tc>
          <w:tcPr>
            <w:tcW w:w="505" w:type="dxa"/>
            <w:shd w:val="clear" w:color="auto" w:fill="FFFFFF"/>
            <w:tcMar>
              <w:top w:w="0" w:type="dxa"/>
              <w:left w:w="0" w:type="dxa"/>
              <w:bottom w:w="0" w:type="dxa"/>
              <w:right w:w="0" w:type="dxa"/>
            </w:tcMar>
            <w:vAlign w:val="center"/>
          </w:tcPr>
          <w:p w14:paraId="0870F6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0" w:type="dxa"/>
            <w:shd w:val="clear" w:color="auto" w:fill="FFFFFF"/>
            <w:tcMar>
              <w:top w:w="0" w:type="dxa"/>
              <w:left w:w="0" w:type="dxa"/>
              <w:bottom w:w="0" w:type="dxa"/>
              <w:right w:w="0" w:type="dxa"/>
            </w:tcMar>
            <w:vAlign w:val="center"/>
          </w:tcPr>
          <w:p w14:paraId="0192CA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58.7</w:t>
            </w:r>
          </w:p>
        </w:tc>
        <w:tc>
          <w:tcPr>
            <w:tcW w:w="488" w:type="dxa"/>
            <w:vMerge w:val="continue"/>
            <w:shd w:val="clear" w:color="auto" w:fill="FFFFFF"/>
            <w:tcMar>
              <w:top w:w="0" w:type="dxa"/>
              <w:left w:w="0" w:type="dxa"/>
              <w:bottom w:w="0" w:type="dxa"/>
              <w:right w:w="0" w:type="dxa"/>
            </w:tcMar>
            <w:vAlign w:val="center"/>
          </w:tcPr>
          <w:p w14:paraId="629B98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2C1AC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6BA3D7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76D2EF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63D5EE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2F666A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43.7</w:t>
            </w:r>
          </w:p>
        </w:tc>
        <w:tc>
          <w:tcPr>
            <w:tcW w:w="761" w:type="dxa"/>
            <w:shd w:val="clear" w:color="auto" w:fill="FFFFFF"/>
            <w:tcMar>
              <w:top w:w="0" w:type="dxa"/>
              <w:left w:w="0" w:type="dxa"/>
              <w:bottom w:w="0" w:type="dxa"/>
              <w:right w:w="0" w:type="dxa"/>
            </w:tcMar>
            <w:vAlign w:val="center"/>
          </w:tcPr>
          <w:p w14:paraId="246456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w:t>
            </w:r>
          </w:p>
        </w:tc>
      </w:tr>
      <w:tr w14:paraId="54CF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09F778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12</w:t>
            </w:r>
          </w:p>
        </w:tc>
        <w:tc>
          <w:tcPr>
            <w:tcW w:w="427" w:type="dxa"/>
            <w:vMerge w:val="continue"/>
            <w:shd w:val="clear" w:color="auto" w:fill="FFFFFF"/>
            <w:tcMar>
              <w:top w:w="0" w:type="dxa"/>
              <w:left w:w="0" w:type="dxa"/>
              <w:bottom w:w="0" w:type="dxa"/>
              <w:right w:w="0" w:type="dxa"/>
            </w:tcMar>
            <w:vAlign w:val="center"/>
          </w:tcPr>
          <w:p w14:paraId="45AFAD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7770A1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模温机1</w:t>
            </w:r>
          </w:p>
        </w:tc>
        <w:tc>
          <w:tcPr>
            <w:tcW w:w="559" w:type="dxa"/>
            <w:shd w:val="clear" w:color="auto" w:fill="FFFFFF"/>
            <w:tcMar>
              <w:top w:w="0" w:type="dxa"/>
              <w:left w:w="0" w:type="dxa"/>
              <w:bottom w:w="0" w:type="dxa"/>
              <w:right w:w="0" w:type="dxa"/>
            </w:tcMar>
            <w:vAlign w:val="center"/>
          </w:tcPr>
          <w:p w14:paraId="1A8355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70</w:t>
            </w:r>
          </w:p>
        </w:tc>
        <w:tc>
          <w:tcPr>
            <w:tcW w:w="411" w:type="dxa"/>
            <w:vMerge w:val="continue"/>
            <w:shd w:val="clear" w:color="auto" w:fill="FFFFFF"/>
            <w:tcMar>
              <w:top w:w="0" w:type="dxa"/>
              <w:left w:w="0" w:type="dxa"/>
              <w:bottom w:w="0" w:type="dxa"/>
              <w:right w:w="0" w:type="dxa"/>
            </w:tcMar>
            <w:vAlign w:val="center"/>
          </w:tcPr>
          <w:p w14:paraId="77E144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418A64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-17.7</w:t>
            </w:r>
          </w:p>
        </w:tc>
        <w:tc>
          <w:tcPr>
            <w:tcW w:w="491" w:type="dxa"/>
            <w:shd w:val="clear" w:color="auto" w:fill="FFFFFF"/>
            <w:tcMar>
              <w:top w:w="0" w:type="dxa"/>
              <w:left w:w="0" w:type="dxa"/>
              <w:bottom w:w="0" w:type="dxa"/>
              <w:right w:w="0" w:type="dxa"/>
            </w:tcMar>
            <w:vAlign w:val="center"/>
          </w:tcPr>
          <w:p w14:paraId="58934C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w:t>
            </w:r>
          </w:p>
        </w:tc>
        <w:tc>
          <w:tcPr>
            <w:tcW w:w="450" w:type="dxa"/>
            <w:shd w:val="clear" w:color="auto" w:fill="FFFFFF"/>
            <w:tcMar>
              <w:top w:w="0" w:type="dxa"/>
              <w:left w:w="0" w:type="dxa"/>
              <w:bottom w:w="0" w:type="dxa"/>
              <w:right w:w="0" w:type="dxa"/>
            </w:tcMar>
            <w:vAlign w:val="center"/>
          </w:tcPr>
          <w:p w14:paraId="2CEA64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w:t>
            </w:r>
          </w:p>
        </w:tc>
        <w:tc>
          <w:tcPr>
            <w:tcW w:w="504" w:type="dxa"/>
            <w:shd w:val="clear" w:color="auto" w:fill="FFFFFF"/>
            <w:tcMar>
              <w:top w:w="0" w:type="dxa"/>
              <w:left w:w="0" w:type="dxa"/>
              <w:bottom w:w="0" w:type="dxa"/>
              <w:right w:w="0" w:type="dxa"/>
            </w:tcMar>
            <w:vAlign w:val="center"/>
          </w:tcPr>
          <w:p w14:paraId="7F491F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65.1</w:t>
            </w:r>
          </w:p>
        </w:tc>
        <w:tc>
          <w:tcPr>
            <w:tcW w:w="491" w:type="dxa"/>
            <w:shd w:val="clear" w:color="auto" w:fill="FFFFFF"/>
            <w:tcMar>
              <w:top w:w="0" w:type="dxa"/>
              <w:left w:w="0" w:type="dxa"/>
              <w:bottom w:w="0" w:type="dxa"/>
              <w:right w:w="0" w:type="dxa"/>
            </w:tcMar>
            <w:vAlign w:val="center"/>
          </w:tcPr>
          <w:p w14:paraId="006980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10.8</w:t>
            </w:r>
          </w:p>
        </w:tc>
        <w:tc>
          <w:tcPr>
            <w:tcW w:w="505" w:type="dxa"/>
            <w:shd w:val="clear" w:color="auto" w:fill="FFFFFF"/>
            <w:tcMar>
              <w:top w:w="0" w:type="dxa"/>
              <w:left w:w="0" w:type="dxa"/>
              <w:bottom w:w="0" w:type="dxa"/>
              <w:right w:w="0" w:type="dxa"/>
            </w:tcMar>
            <w:vAlign w:val="center"/>
          </w:tcPr>
          <w:p w14:paraId="09BE32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28.1</w:t>
            </w:r>
          </w:p>
        </w:tc>
        <w:tc>
          <w:tcPr>
            <w:tcW w:w="532" w:type="dxa"/>
            <w:shd w:val="clear" w:color="auto" w:fill="FFFFFF"/>
            <w:tcMar>
              <w:top w:w="0" w:type="dxa"/>
              <w:left w:w="0" w:type="dxa"/>
              <w:bottom w:w="0" w:type="dxa"/>
              <w:right w:w="0" w:type="dxa"/>
            </w:tcMar>
            <w:vAlign w:val="center"/>
          </w:tcPr>
          <w:p w14:paraId="4D0A61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30.3</w:t>
            </w:r>
          </w:p>
        </w:tc>
        <w:tc>
          <w:tcPr>
            <w:tcW w:w="504" w:type="dxa"/>
            <w:shd w:val="clear" w:color="auto" w:fill="FFFFFF"/>
            <w:tcMar>
              <w:top w:w="0" w:type="dxa"/>
              <w:left w:w="0" w:type="dxa"/>
              <w:bottom w:w="0" w:type="dxa"/>
              <w:right w:w="0" w:type="dxa"/>
            </w:tcMar>
            <w:vAlign w:val="center"/>
          </w:tcPr>
          <w:p w14:paraId="7F532D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532" w:type="dxa"/>
            <w:shd w:val="clear" w:color="auto" w:fill="FFFFFF"/>
            <w:tcMar>
              <w:top w:w="0" w:type="dxa"/>
              <w:left w:w="0" w:type="dxa"/>
              <w:bottom w:w="0" w:type="dxa"/>
              <w:right w:w="0" w:type="dxa"/>
            </w:tcMar>
            <w:vAlign w:val="center"/>
          </w:tcPr>
          <w:p w14:paraId="65F85B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53.8</w:t>
            </w:r>
          </w:p>
        </w:tc>
        <w:tc>
          <w:tcPr>
            <w:tcW w:w="505" w:type="dxa"/>
            <w:shd w:val="clear" w:color="auto" w:fill="FFFFFF"/>
            <w:tcMar>
              <w:top w:w="0" w:type="dxa"/>
              <w:left w:w="0" w:type="dxa"/>
              <w:bottom w:w="0" w:type="dxa"/>
              <w:right w:w="0" w:type="dxa"/>
            </w:tcMar>
            <w:vAlign w:val="center"/>
          </w:tcPr>
          <w:p w14:paraId="4ECDB2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0" w:type="dxa"/>
            <w:shd w:val="clear" w:color="auto" w:fill="FFFFFF"/>
            <w:tcMar>
              <w:top w:w="0" w:type="dxa"/>
              <w:left w:w="0" w:type="dxa"/>
              <w:bottom w:w="0" w:type="dxa"/>
              <w:right w:w="0" w:type="dxa"/>
            </w:tcMar>
            <w:vAlign w:val="center"/>
          </w:tcPr>
          <w:p w14:paraId="6AA74B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8" w:type="dxa"/>
            <w:vMerge w:val="continue"/>
            <w:shd w:val="clear" w:color="auto" w:fill="FFFFFF"/>
            <w:tcMar>
              <w:top w:w="0" w:type="dxa"/>
              <w:left w:w="0" w:type="dxa"/>
              <w:bottom w:w="0" w:type="dxa"/>
              <w:right w:w="0" w:type="dxa"/>
            </w:tcMar>
            <w:vAlign w:val="center"/>
          </w:tcPr>
          <w:p w14:paraId="540977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51E9BE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4FCE4C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38B7CC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3D900A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2C97C9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38.7</w:t>
            </w:r>
          </w:p>
        </w:tc>
        <w:tc>
          <w:tcPr>
            <w:tcW w:w="761" w:type="dxa"/>
            <w:shd w:val="clear" w:color="auto" w:fill="FFFFFF"/>
            <w:tcMar>
              <w:top w:w="0" w:type="dxa"/>
              <w:left w:w="0" w:type="dxa"/>
              <w:bottom w:w="0" w:type="dxa"/>
              <w:right w:w="0" w:type="dxa"/>
            </w:tcMar>
            <w:vAlign w:val="center"/>
          </w:tcPr>
          <w:p w14:paraId="5129ED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w:t>
            </w:r>
          </w:p>
        </w:tc>
      </w:tr>
      <w:tr w14:paraId="48AE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0A8E85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eastAsia="Arial" w:cs="Times New Roman"/>
                <w:sz w:val="18"/>
                <w:szCs w:val="18"/>
              </w:rPr>
              <w:t>13</w:t>
            </w:r>
          </w:p>
        </w:tc>
        <w:tc>
          <w:tcPr>
            <w:tcW w:w="427" w:type="dxa"/>
            <w:vMerge w:val="continue"/>
            <w:shd w:val="clear" w:color="auto" w:fill="FFFFFF"/>
            <w:tcMar>
              <w:top w:w="0" w:type="dxa"/>
              <w:left w:w="0" w:type="dxa"/>
              <w:bottom w:w="0" w:type="dxa"/>
              <w:right w:w="0" w:type="dxa"/>
            </w:tcMar>
            <w:vAlign w:val="center"/>
          </w:tcPr>
          <w:p w14:paraId="2E7B77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70FA45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模温机2</w:t>
            </w:r>
          </w:p>
        </w:tc>
        <w:tc>
          <w:tcPr>
            <w:tcW w:w="559" w:type="dxa"/>
            <w:shd w:val="clear" w:color="auto" w:fill="FFFFFF"/>
            <w:tcMar>
              <w:top w:w="0" w:type="dxa"/>
              <w:left w:w="0" w:type="dxa"/>
              <w:bottom w:w="0" w:type="dxa"/>
              <w:right w:w="0" w:type="dxa"/>
            </w:tcMar>
            <w:vAlign w:val="center"/>
          </w:tcPr>
          <w:p w14:paraId="7D8D63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70</w:t>
            </w:r>
          </w:p>
        </w:tc>
        <w:tc>
          <w:tcPr>
            <w:tcW w:w="411" w:type="dxa"/>
            <w:vMerge w:val="continue"/>
            <w:shd w:val="clear" w:color="auto" w:fill="FFFFFF"/>
            <w:tcMar>
              <w:top w:w="0" w:type="dxa"/>
              <w:left w:w="0" w:type="dxa"/>
              <w:bottom w:w="0" w:type="dxa"/>
              <w:right w:w="0" w:type="dxa"/>
            </w:tcMar>
            <w:vAlign w:val="center"/>
          </w:tcPr>
          <w:p w14:paraId="4D685E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3F406D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w:t>
            </w:r>
          </w:p>
        </w:tc>
        <w:tc>
          <w:tcPr>
            <w:tcW w:w="491" w:type="dxa"/>
            <w:shd w:val="clear" w:color="auto" w:fill="FFFFFF"/>
            <w:tcMar>
              <w:top w:w="0" w:type="dxa"/>
              <w:left w:w="0" w:type="dxa"/>
              <w:bottom w:w="0" w:type="dxa"/>
              <w:right w:w="0" w:type="dxa"/>
            </w:tcMar>
            <w:vAlign w:val="center"/>
          </w:tcPr>
          <w:p w14:paraId="77A75D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-10.2</w:t>
            </w:r>
          </w:p>
        </w:tc>
        <w:tc>
          <w:tcPr>
            <w:tcW w:w="450" w:type="dxa"/>
            <w:shd w:val="clear" w:color="auto" w:fill="FFFFFF"/>
            <w:tcMar>
              <w:top w:w="0" w:type="dxa"/>
              <w:left w:w="0" w:type="dxa"/>
              <w:bottom w:w="0" w:type="dxa"/>
              <w:right w:w="0" w:type="dxa"/>
            </w:tcMar>
            <w:vAlign w:val="center"/>
          </w:tcPr>
          <w:p w14:paraId="511753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w:t>
            </w:r>
          </w:p>
        </w:tc>
        <w:tc>
          <w:tcPr>
            <w:tcW w:w="504" w:type="dxa"/>
            <w:shd w:val="clear" w:color="auto" w:fill="FFFFFF"/>
            <w:tcMar>
              <w:top w:w="0" w:type="dxa"/>
              <w:left w:w="0" w:type="dxa"/>
              <w:bottom w:w="0" w:type="dxa"/>
              <w:right w:w="0" w:type="dxa"/>
            </w:tcMar>
            <w:vAlign w:val="center"/>
          </w:tcPr>
          <w:p w14:paraId="196575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50.4</w:t>
            </w:r>
          </w:p>
        </w:tc>
        <w:tc>
          <w:tcPr>
            <w:tcW w:w="491" w:type="dxa"/>
            <w:shd w:val="clear" w:color="auto" w:fill="FFFFFF"/>
            <w:tcMar>
              <w:top w:w="0" w:type="dxa"/>
              <w:left w:w="0" w:type="dxa"/>
              <w:bottom w:w="0" w:type="dxa"/>
              <w:right w:w="0" w:type="dxa"/>
            </w:tcMar>
            <w:vAlign w:val="center"/>
          </w:tcPr>
          <w:p w14:paraId="325D6F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10.6</w:t>
            </w:r>
          </w:p>
        </w:tc>
        <w:tc>
          <w:tcPr>
            <w:tcW w:w="505" w:type="dxa"/>
            <w:shd w:val="clear" w:color="auto" w:fill="FFFFFF"/>
            <w:tcMar>
              <w:top w:w="0" w:type="dxa"/>
              <w:left w:w="0" w:type="dxa"/>
              <w:bottom w:w="0" w:type="dxa"/>
              <w:right w:w="0" w:type="dxa"/>
            </w:tcMar>
            <w:vAlign w:val="center"/>
          </w:tcPr>
          <w:p w14:paraId="0C996D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42.8</w:t>
            </w:r>
          </w:p>
        </w:tc>
        <w:tc>
          <w:tcPr>
            <w:tcW w:w="532" w:type="dxa"/>
            <w:shd w:val="clear" w:color="auto" w:fill="FFFFFF"/>
            <w:tcMar>
              <w:top w:w="0" w:type="dxa"/>
              <w:left w:w="0" w:type="dxa"/>
              <w:bottom w:w="0" w:type="dxa"/>
              <w:right w:w="0" w:type="dxa"/>
            </w:tcMar>
            <w:vAlign w:val="center"/>
          </w:tcPr>
          <w:p w14:paraId="102CDB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30.5</w:t>
            </w:r>
          </w:p>
        </w:tc>
        <w:tc>
          <w:tcPr>
            <w:tcW w:w="504" w:type="dxa"/>
            <w:shd w:val="clear" w:color="auto" w:fill="FFFFFF"/>
            <w:tcMar>
              <w:top w:w="0" w:type="dxa"/>
              <w:left w:w="0" w:type="dxa"/>
              <w:bottom w:w="0" w:type="dxa"/>
              <w:right w:w="0" w:type="dxa"/>
            </w:tcMar>
            <w:vAlign w:val="center"/>
          </w:tcPr>
          <w:p w14:paraId="6B6E69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532" w:type="dxa"/>
            <w:shd w:val="clear" w:color="auto" w:fill="FFFFFF"/>
            <w:tcMar>
              <w:top w:w="0" w:type="dxa"/>
              <w:left w:w="0" w:type="dxa"/>
              <w:bottom w:w="0" w:type="dxa"/>
              <w:right w:w="0" w:type="dxa"/>
            </w:tcMar>
            <w:vAlign w:val="center"/>
          </w:tcPr>
          <w:p w14:paraId="702E08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53.8</w:t>
            </w:r>
          </w:p>
        </w:tc>
        <w:tc>
          <w:tcPr>
            <w:tcW w:w="505" w:type="dxa"/>
            <w:shd w:val="clear" w:color="auto" w:fill="FFFFFF"/>
            <w:tcMar>
              <w:top w:w="0" w:type="dxa"/>
              <w:left w:w="0" w:type="dxa"/>
              <w:bottom w:w="0" w:type="dxa"/>
              <w:right w:w="0" w:type="dxa"/>
            </w:tcMar>
            <w:vAlign w:val="center"/>
          </w:tcPr>
          <w:p w14:paraId="1465F8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0" w:type="dxa"/>
            <w:shd w:val="clear" w:color="auto" w:fill="FFFFFF"/>
            <w:tcMar>
              <w:top w:w="0" w:type="dxa"/>
              <w:left w:w="0" w:type="dxa"/>
              <w:bottom w:w="0" w:type="dxa"/>
              <w:right w:w="0" w:type="dxa"/>
            </w:tcMar>
            <w:vAlign w:val="center"/>
          </w:tcPr>
          <w:p w14:paraId="630EEE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8" w:type="dxa"/>
            <w:vMerge w:val="continue"/>
            <w:shd w:val="clear" w:color="auto" w:fill="FFFFFF"/>
            <w:tcMar>
              <w:top w:w="0" w:type="dxa"/>
              <w:left w:w="0" w:type="dxa"/>
              <w:bottom w:w="0" w:type="dxa"/>
              <w:right w:w="0" w:type="dxa"/>
            </w:tcMar>
            <w:vAlign w:val="center"/>
          </w:tcPr>
          <w:p w14:paraId="2792CA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598E9B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4BD3FD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356A6B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2C9A41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5F091F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38.7</w:t>
            </w:r>
          </w:p>
        </w:tc>
        <w:tc>
          <w:tcPr>
            <w:tcW w:w="761" w:type="dxa"/>
            <w:shd w:val="clear" w:color="auto" w:fill="FFFFFF"/>
            <w:tcMar>
              <w:top w:w="0" w:type="dxa"/>
              <w:left w:w="0" w:type="dxa"/>
              <w:bottom w:w="0" w:type="dxa"/>
              <w:right w:w="0" w:type="dxa"/>
            </w:tcMar>
            <w:vAlign w:val="center"/>
          </w:tcPr>
          <w:p w14:paraId="768D06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p>
        </w:tc>
      </w:tr>
      <w:tr w14:paraId="4066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dxa"/>
            <w:shd w:val="clear" w:color="auto" w:fill="FFFFFF"/>
            <w:tcMar>
              <w:top w:w="0" w:type="dxa"/>
              <w:left w:w="0" w:type="dxa"/>
              <w:bottom w:w="0" w:type="dxa"/>
              <w:right w:w="0" w:type="dxa"/>
            </w:tcMar>
            <w:vAlign w:val="center"/>
          </w:tcPr>
          <w:p w14:paraId="796C52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14</w:t>
            </w:r>
          </w:p>
        </w:tc>
        <w:tc>
          <w:tcPr>
            <w:tcW w:w="427" w:type="dxa"/>
            <w:vMerge w:val="continue"/>
            <w:shd w:val="clear" w:color="auto" w:fill="FFFFFF"/>
            <w:tcMar>
              <w:top w:w="0" w:type="dxa"/>
              <w:left w:w="0" w:type="dxa"/>
              <w:bottom w:w="0" w:type="dxa"/>
              <w:right w:w="0" w:type="dxa"/>
            </w:tcMar>
            <w:vAlign w:val="center"/>
          </w:tcPr>
          <w:p w14:paraId="170EDB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18"/>
                <w:szCs w:val="18"/>
              </w:rPr>
            </w:pPr>
          </w:p>
        </w:tc>
        <w:tc>
          <w:tcPr>
            <w:tcW w:w="1162" w:type="dxa"/>
            <w:shd w:val="clear" w:color="auto" w:fill="FFFFFF"/>
            <w:tcMar>
              <w:top w:w="0" w:type="dxa"/>
              <w:left w:w="0" w:type="dxa"/>
              <w:bottom w:w="0" w:type="dxa"/>
              <w:right w:w="0" w:type="dxa"/>
            </w:tcMar>
            <w:vAlign w:val="center"/>
          </w:tcPr>
          <w:p w14:paraId="13918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模温机3</w:t>
            </w:r>
          </w:p>
        </w:tc>
        <w:tc>
          <w:tcPr>
            <w:tcW w:w="559" w:type="dxa"/>
            <w:shd w:val="clear" w:color="auto" w:fill="FFFFFF"/>
            <w:tcMar>
              <w:top w:w="0" w:type="dxa"/>
              <w:left w:w="0" w:type="dxa"/>
              <w:bottom w:w="0" w:type="dxa"/>
              <w:right w:w="0" w:type="dxa"/>
            </w:tcMar>
            <w:vAlign w:val="center"/>
          </w:tcPr>
          <w:p w14:paraId="3CEDA0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70</w:t>
            </w:r>
          </w:p>
        </w:tc>
        <w:tc>
          <w:tcPr>
            <w:tcW w:w="411" w:type="dxa"/>
            <w:vMerge w:val="continue"/>
            <w:shd w:val="clear" w:color="auto" w:fill="FFFFFF"/>
            <w:tcMar>
              <w:top w:w="0" w:type="dxa"/>
              <w:left w:w="0" w:type="dxa"/>
              <w:bottom w:w="0" w:type="dxa"/>
              <w:right w:w="0" w:type="dxa"/>
            </w:tcMar>
            <w:vAlign w:val="center"/>
          </w:tcPr>
          <w:p w14:paraId="45DD8A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655" w:type="dxa"/>
            <w:shd w:val="clear" w:color="auto" w:fill="FFFFFF"/>
            <w:tcMar>
              <w:top w:w="0" w:type="dxa"/>
              <w:left w:w="0" w:type="dxa"/>
              <w:bottom w:w="0" w:type="dxa"/>
              <w:right w:w="0" w:type="dxa"/>
            </w:tcMar>
            <w:vAlign w:val="center"/>
          </w:tcPr>
          <w:p w14:paraId="41D170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15.6</w:t>
            </w:r>
          </w:p>
        </w:tc>
        <w:tc>
          <w:tcPr>
            <w:tcW w:w="491" w:type="dxa"/>
            <w:shd w:val="clear" w:color="auto" w:fill="FFFFFF"/>
            <w:tcMar>
              <w:top w:w="0" w:type="dxa"/>
              <w:left w:w="0" w:type="dxa"/>
              <w:bottom w:w="0" w:type="dxa"/>
              <w:right w:w="0" w:type="dxa"/>
            </w:tcMar>
            <w:vAlign w:val="center"/>
          </w:tcPr>
          <w:p w14:paraId="146C76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w:t>
            </w:r>
          </w:p>
        </w:tc>
        <w:tc>
          <w:tcPr>
            <w:tcW w:w="450" w:type="dxa"/>
            <w:shd w:val="clear" w:color="auto" w:fill="FFFFFF"/>
            <w:tcMar>
              <w:top w:w="0" w:type="dxa"/>
              <w:left w:w="0" w:type="dxa"/>
              <w:bottom w:w="0" w:type="dxa"/>
              <w:right w:w="0" w:type="dxa"/>
            </w:tcMar>
            <w:vAlign w:val="center"/>
          </w:tcPr>
          <w:p w14:paraId="59CF68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w:t>
            </w:r>
          </w:p>
        </w:tc>
        <w:tc>
          <w:tcPr>
            <w:tcW w:w="504" w:type="dxa"/>
            <w:shd w:val="clear" w:color="auto" w:fill="FFFFFF"/>
            <w:tcMar>
              <w:top w:w="0" w:type="dxa"/>
              <w:left w:w="0" w:type="dxa"/>
              <w:bottom w:w="0" w:type="dxa"/>
              <w:right w:w="0" w:type="dxa"/>
            </w:tcMar>
            <w:vAlign w:val="center"/>
          </w:tcPr>
          <w:p w14:paraId="779A4E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31.8</w:t>
            </w:r>
          </w:p>
        </w:tc>
        <w:tc>
          <w:tcPr>
            <w:tcW w:w="491" w:type="dxa"/>
            <w:shd w:val="clear" w:color="auto" w:fill="FFFFFF"/>
            <w:tcMar>
              <w:top w:w="0" w:type="dxa"/>
              <w:left w:w="0" w:type="dxa"/>
              <w:bottom w:w="0" w:type="dxa"/>
              <w:right w:w="0" w:type="dxa"/>
            </w:tcMar>
            <w:vAlign w:val="center"/>
          </w:tcPr>
          <w:p w14:paraId="29AC40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10.8</w:t>
            </w:r>
          </w:p>
        </w:tc>
        <w:tc>
          <w:tcPr>
            <w:tcW w:w="505" w:type="dxa"/>
            <w:shd w:val="clear" w:color="auto" w:fill="FFFFFF"/>
            <w:tcMar>
              <w:top w:w="0" w:type="dxa"/>
              <w:left w:w="0" w:type="dxa"/>
              <w:bottom w:w="0" w:type="dxa"/>
              <w:right w:w="0" w:type="dxa"/>
            </w:tcMar>
            <w:vAlign w:val="center"/>
          </w:tcPr>
          <w:p w14:paraId="02958C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61.4</w:t>
            </w:r>
          </w:p>
        </w:tc>
        <w:tc>
          <w:tcPr>
            <w:tcW w:w="532" w:type="dxa"/>
            <w:shd w:val="clear" w:color="auto" w:fill="FFFFFF"/>
            <w:tcMar>
              <w:top w:w="0" w:type="dxa"/>
              <w:left w:w="0" w:type="dxa"/>
              <w:bottom w:w="0" w:type="dxa"/>
              <w:right w:w="0" w:type="dxa"/>
            </w:tcMar>
            <w:vAlign w:val="center"/>
          </w:tcPr>
          <w:p w14:paraId="4D21E2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30.3</w:t>
            </w:r>
          </w:p>
        </w:tc>
        <w:tc>
          <w:tcPr>
            <w:tcW w:w="504" w:type="dxa"/>
            <w:shd w:val="clear" w:color="auto" w:fill="FFFFFF"/>
            <w:tcMar>
              <w:top w:w="0" w:type="dxa"/>
              <w:left w:w="0" w:type="dxa"/>
              <w:bottom w:w="0" w:type="dxa"/>
              <w:right w:w="0" w:type="dxa"/>
            </w:tcMar>
            <w:vAlign w:val="center"/>
          </w:tcPr>
          <w:p w14:paraId="7AEE94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532" w:type="dxa"/>
            <w:shd w:val="clear" w:color="auto" w:fill="FFFFFF"/>
            <w:tcMar>
              <w:top w:w="0" w:type="dxa"/>
              <w:left w:w="0" w:type="dxa"/>
              <w:bottom w:w="0" w:type="dxa"/>
              <w:right w:w="0" w:type="dxa"/>
            </w:tcMar>
            <w:vAlign w:val="center"/>
          </w:tcPr>
          <w:p w14:paraId="0B501D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53.8</w:t>
            </w:r>
          </w:p>
        </w:tc>
        <w:tc>
          <w:tcPr>
            <w:tcW w:w="505" w:type="dxa"/>
            <w:shd w:val="clear" w:color="auto" w:fill="FFFFFF"/>
            <w:tcMar>
              <w:top w:w="0" w:type="dxa"/>
              <w:left w:w="0" w:type="dxa"/>
              <w:bottom w:w="0" w:type="dxa"/>
              <w:right w:w="0" w:type="dxa"/>
            </w:tcMar>
            <w:vAlign w:val="center"/>
          </w:tcPr>
          <w:p w14:paraId="493D1B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0" w:type="dxa"/>
            <w:shd w:val="clear" w:color="auto" w:fill="FFFFFF"/>
            <w:tcMar>
              <w:top w:w="0" w:type="dxa"/>
              <w:left w:w="0" w:type="dxa"/>
              <w:bottom w:w="0" w:type="dxa"/>
              <w:right w:w="0" w:type="dxa"/>
            </w:tcMar>
            <w:vAlign w:val="center"/>
          </w:tcPr>
          <w:p w14:paraId="366641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53.7</w:t>
            </w:r>
          </w:p>
        </w:tc>
        <w:tc>
          <w:tcPr>
            <w:tcW w:w="488" w:type="dxa"/>
            <w:vMerge w:val="continue"/>
            <w:shd w:val="clear" w:color="auto" w:fill="FFFFFF"/>
            <w:tcMar>
              <w:top w:w="0" w:type="dxa"/>
              <w:left w:w="0" w:type="dxa"/>
              <w:bottom w:w="0" w:type="dxa"/>
              <w:right w:w="0" w:type="dxa"/>
            </w:tcMar>
            <w:vAlign w:val="center"/>
          </w:tcPr>
          <w:p w14:paraId="56B3E9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18"/>
                <w:szCs w:val="18"/>
              </w:rPr>
            </w:pPr>
          </w:p>
        </w:tc>
        <w:tc>
          <w:tcPr>
            <w:tcW w:w="909" w:type="dxa"/>
            <w:shd w:val="clear" w:color="auto" w:fill="FFFFFF"/>
            <w:tcMar>
              <w:top w:w="0" w:type="dxa"/>
              <w:left w:w="0" w:type="dxa"/>
              <w:bottom w:w="0" w:type="dxa"/>
              <w:right w:w="0" w:type="dxa"/>
            </w:tcMar>
            <w:vAlign w:val="center"/>
          </w:tcPr>
          <w:p w14:paraId="0D1567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63" w:type="dxa"/>
            <w:shd w:val="clear" w:color="auto" w:fill="FFFFFF"/>
            <w:tcMar>
              <w:top w:w="0" w:type="dxa"/>
              <w:left w:w="0" w:type="dxa"/>
              <w:bottom w:w="0" w:type="dxa"/>
              <w:right w:w="0" w:type="dxa"/>
            </w:tcMar>
            <w:vAlign w:val="center"/>
          </w:tcPr>
          <w:p w14:paraId="46C193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92" w:type="dxa"/>
            <w:shd w:val="clear" w:color="auto" w:fill="FFFFFF"/>
            <w:tcMar>
              <w:top w:w="0" w:type="dxa"/>
              <w:left w:w="0" w:type="dxa"/>
              <w:bottom w:w="0" w:type="dxa"/>
              <w:right w:w="0" w:type="dxa"/>
            </w:tcMar>
            <w:vAlign w:val="center"/>
          </w:tcPr>
          <w:p w14:paraId="2D29E5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620" w:type="dxa"/>
            <w:shd w:val="clear" w:color="auto" w:fill="FFFFFF"/>
            <w:tcMar>
              <w:top w:w="0" w:type="dxa"/>
              <w:left w:w="0" w:type="dxa"/>
              <w:bottom w:w="0" w:type="dxa"/>
              <w:right w:w="0" w:type="dxa"/>
            </w:tcMar>
            <w:vAlign w:val="center"/>
          </w:tcPr>
          <w:p w14:paraId="00B467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15.0</w:t>
            </w:r>
          </w:p>
        </w:tc>
        <w:tc>
          <w:tcPr>
            <w:tcW w:w="548" w:type="dxa"/>
            <w:shd w:val="clear" w:color="auto" w:fill="FFFFFF"/>
            <w:tcMar>
              <w:top w:w="0" w:type="dxa"/>
              <w:left w:w="0" w:type="dxa"/>
              <w:bottom w:w="0" w:type="dxa"/>
              <w:right w:w="0" w:type="dxa"/>
            </w:tcMar>
            <w:vAlign w:val="center"/>
          </w:tcPr>
          <w:p w14:paraId="4E0359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rPr>
              <w:t>38.7</w:t>
            </w:r>
          </w:p>
        </w:tc>
        <w:tc>
          <w:tcPr>
            <w:tcW w:w="761" w:type="dxa"/>
            <w:shd w:val="clear" w:color="auto" w:fill="FFFFFF"/>
            <w:tcMar>
              <w:top w:w="0" w:type="dxa"/>
              <w:left w:w="0" w:type="dxa"/>
              <w:bottom w:w="0" w:type="dxa"/>
              <w:right w:w="0" w:type="dxa"/>
            </w:tcMar>
            <w:vAlign w:val="center"/>
          </w:tcPr>
          <w:p w14:paraId="455BB1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Arial" w:cs="Times New Roman"/>
                <w:kern w:val="2"/>
                <w:sz w:val="18"/>
                <w:szCs w:val="18"/>
                <w:lang w:val="en-US" w:eastAsia="zh-CN" w:bidi="ar-SA"/>
              </w:rPr>
            </w:pPr>
            <w:r>
              <w:rPr>
                <w:rFonts w:hint="default" w:ascii="Times New Roman" w:hAnsi="Times New Roman" w:eastAsia="Arial" w:cs="Times New Roman"/>
                <w:sz w:val="18"/>
                <w:szCs w:val="18"/>
                <w:lang w:val="en-US" w:eastAsia="zh-CN"/>
              </w:rPr>
              <w:t>1</w:t>
            </w:r>
          </w:p>
        </w:tc>
      </w:tr>
      <w:bookmarkEnd w:id="9"/>
    </w:tbl>
    <w:p w14:paraId="29EAA848">
      <w:pPr>
        <w:ind w:firstLine="420" w:firstLineChars="200"/>
        <w:rPr>
          <w:rFonts w:hint="default" w:ascii="Times New Roman" w:hAnsi="Times New Roman" w:cs="Times New Roman"/>
        </w:rPr>
      </w:pPr>
      <w:r>
        <w:t>表中坐</w:t>
      </w:r>
      <w:r>
        <w:rPr>
          <w:rFonts w:hint="default" w:ascii="Times New Roman" w:hAnsi="Times New Roman" w:cs="Times New Roman"/>
        </w:rPr>
        <w:t>标以厂界中心（</w:t>
      </w:r>
      <w:bookmarkStart w:id="11" w:name="PO_7"/>
      <w:r>
        <w:rPr>
          <w:rFonts w:hint="default" w:ascii="Times New Roman" w:hAnsi="Times New Roman" w:cs="Times New Roman" w:eastAsiaTheme="minorEastAsia"/>
          <w:b w:val="0"/>
          <w:bCs/>
          <w:sz w:val="21"/>
          <w:szCs w:val="21"/>
          <w:lang w:val="en-US" w:eastAsia="zh-CN"/>
        </w:rPr>
        <w:t>106.295661,29.321905</w:t>
      </w:r>
      <w:bookmarkEnd w:id="11"/>
      <w:r>
        <w:rPr>
          <w:rFonts w:hint="default" w:ascii="Times New Roman" w:hAnsi="Times New Roman" w:cs="Times New Roman"/>
        </w:rPr>
        <w:t>）为坐标原点，正东向为X轴正方向，正北向为Y轴正方向。</w:t>
      </w:r>
    </w:p>
    <w:p w14:paraId="2A4692F9">
      <w:pPr>
        <w:pStyle w:val="25"/>
        <w:jc w:val="center"/>
        <w:rPr>
          <w:rFonts w:hint="default" w:ascii="Times New Roman" w:hAnsi="Times New Roman" w:cs="Times New Roman"/>
        </w:rPr>
      </w:pPr>
    </w:p>
    <w:p w14:paraId="70811280">
      <w:pPr>
        <w:pStyle w:val="25"/>
      </w:pPr>
    </w:p>
    <w:p w14:paraId="22AFB39C">
      <w:pPr>
        <w:pStyle w:val="25"/>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tbl>
      <w:tblPr>
        <w:tblStyle w:val="27"/>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0"/>
        <w:gridCol w:w="8569"/>
      </w:tblGrid>
      <w:tr w14:paraId="4984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849" w:hRule="atLeast"/>
          <w:jc w:val="center"/>
        </w:trPr>
        <w:tc>
          <w:tcPr>
            <w:tcW w:w="322" w:type="pct"/>
            <w:tcMar>
              <w:left w:w="28" w:type="dxa"/>
              <w:right w:w="28" w:type="dxa"/>
            </w:tcMar>
            <w:vAlign w:val="center"/>
          </w:tcPr>
          <w:p w14:paraId="498A2BEE">
            <w:pPr>
              <w:pStyle w:val="50"/>
              <w:spacing w:before="93" w:after="93"/>
              <w:rPr>
                <w:rFonts w:cs="宋体"/>
                <w:b/>
                <w:bCs/>
              </w:rPr>
            </w:pPr>
            <w:r>
              <w:rPr>
                <w:rFonts w:hint="eastAsia"/>
                <w:b/>
                <w:bCs/>
              </w:rPr>
              <w:t>运营期环境影响和保护措施</w:t>
            </w:r>
          </w:p>
        </w:tc>
        <w:tc>
          <w:tcPr>
            <w:tcW w:w="4678" w:type="pct"/>
            <w:vAlign w:val="center"/>
          </w:tcPr>
          <w:p w14:paraId="54C43582">
            <w:pPr>
              <w:pStyle w:val="45"/>
              <w:spacing w:line="360" w:lineRule="auto"/>
              <w:ind w:firstLine="482"/>
              <w:rPr>
                <w:rFonts w:ascii="Times New Roman" w:hAnsi="Times New Roman" w:cs="Times New Roman"/>
                <w:b/>
                <w:sz w:val="24"/>
              </w:rPr>
            </w:pPr>
            <w:r>
              <w:rPr>
                <w:rFonts w:hint="eastAsia" w:ascii="Times New Roman" w:hAnsi="Times New Roman" w:cs="Times New Roman"/>
                <w:b/>
                <w:sz w:val="24"/>
              </w:rPr>
              <w:t>（</w:t>
            </w:r>
            <w:r>
              <w:rPr>
                <w:rFonts w:ascii="Times New Roman" w:hAnsi="Times New Roman" w:cs="Times New Roman"/>
                <w:b/>
                <w:sz w:val="24"/>
              </w:rPr>
              <w:t>2）厂界达标情况分析</w:t>
            </w:r>
          </w:p>
          <w:p w14:paraId="06459339">
            <w:pPr>
              <w:pStyle w:val="45"/>
              <w:spacing w:line="360" w:lineRule="auto"/>
              <w:rPr>
                <w:rFonts w:ascii="Times New Roman" w:hAnsi="Times New Roman" w:cs="Times New Roman"/>
                <w:sz w:val="24"/>
              </w:rPr>
            </w:pPr>
            <w:r>
              <w:rPr>
                <w:rFonts w:ascii="Times New Roman" w:hAnsi="Times New Roman" w:cs="Times New Roman"/>
                <w:sz w:val="24"/>
              </w:rPr>
              <w:t>根据《环境影响评价技术导则 声环境》（HJ2.4－2021）中推荐的以下公式，对项目厂界噪声达标情况进行分析。预测模式如下：</w:t>
            </w:r>
          </w:p>
          <w:p w14:paraId="362DA0C3">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①声源位于室内声源靠近围护结构处产生的倍频带声压级或A声级：</w:t>
            </w:r>
          </w:p>
          <w:p w14:paraId="0F7D3561">
            <w:pPr>
              <w:pStyle w:val="45"/>
              <w:ind w:firstLine="0" w:firstLineChars="0"/>
              <w:jc w:val="center"/>
            </w:pPr>
            <w:r>
              <w:drawing>
                <wp:inline distT="0" distB="0" distL="114300" distR="114300">
                  <wp:extent cx="2263775" cy="584835"/>
                  <wp:effectExtent l="0" t="0" r="317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cstate="print"/>
                          <a:stretch>
                            <a:fillRect/>
                          </a:stretch>
                        </pic:blipFill>
                        <pic:spPr>
                          <a:xfrm>
                            <a:off x="0" y="0"/>
                            <a:ext cx="2263775" cy="584835"/>
                          </a:xfrm>
                          <a:prstGeom prst="rect">
                            <a:avLst/>
                          </a:prstGeom>
                          <a:noFill/>
                          <a:ln>
                            <a:noFill/>
                          </a:ln>
                        </pic:spPr>
                      </pic:pic>
                    </a:graphicData>
                  </a:graphic>
                </wp:inline>
              </w:drawing>
            </w:r>
          </w:p>
          <w:p w14:paraId="51758A3A">
            <w:pPr>
              <w:pStyle w:val="45"/>
              <w:spacing w:line="360" w:lineRule="auto"/>
              <w:ind w:firstLine="0" w:firstLineChars="0"/>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p1</w:t>
            </w:r>
            <w:r>
              <w:rPr>
                <w:rFonts w:ascii="Times New Roman" w:hAnsi="Times New Roman" w:cs="Times New Roman"/>
                <w:sz w:val="24"/>
              </w:rPr>
              <w:t>——靠近开口处（或窗户）室内某倍频带的声压级或A声级，dB；</w:t>
            </w:r>
          </w:p>
          <w:p w14:paraId="2544B18F">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w</w:t>
            </w:r>
            <w:r>
              <w:rPr>
                <w:rFonts w:ascii="Times New Roman" w:hAnsi="Times New Roman" w:cs="Times New Roman"/>
                <w:sz w:val="24"/>
              </w:rPr>
              <w:t>——点声源声功率级（A计权或倍频带），dB；</w:t>
            </w:r>
          </w:p>
          <w:p w14:paraId="575C704C">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Q——指向性因数；通常对无指向性声源，当声源放在房间中心时，Q=1；当放在一面墙的中心时，Q=2；当放在两面墙夹角处时，Q=4；当放在三面墙夹角处时，Q=8。</w:t>
            </w:r>
          </w:p>
          <w:p w14:paraId="104CFA0A">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R——房间常数；R=Sα/（1-α），S为房间内表面面积，m</w:t>
            </w:r>
            <w:r>
              <w:rPr>
                <w:rFonts w:ascii="Times New Roman" w:hAnsi="Times New Roman" w:cs="Times New Roman"/>
                <w:sz w:val="24"/>
                <w:vertAlign w:val="superscript"/>
              </w:rPr>
              <w:t>2</w:t>
            </w:r>
            <w:r>
              <w:rPr>
                <w:rFonts w:ascii="Times New Roman" w:hAnsi="Times New Roman" w:cs="Times New Roman"/>
                <w:sz w:val="24"/>
              </w:rPr>
              <w:t>；α为平均吸声系数；</w:t>
            </w:r>
          </w:p>
          <w:p w14:paraId="742110B8">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r——声源到靠近围护结构某点处的距离，m。</w:t>
            </w:r>
          </w:p>
          <w:p w14:paraId="338B60CD">
            <w:pPr>
              <w:pStyle w:val="45"/>
              <w:spacing w:line="360" w:lineRule="auto"/>
              <w:rPr>
                <w:rFonts w:ascii="Times New Roman" w:hAnsi="Times New Roman" w:cs="Times New Roman"/>
                <w:sz w:val="24"/>
              </w:rPr>
            </w:pPr>
            <w:r>
              <w:rPr>
                <w:rFonts w:ascii="Times New Roman" w:hAnsi="Times New Roman" w:cs="Times New Roman"/>
                <w:sz w:val="24"/>
              </w:rPr>
              <w:t>②所有室内声源在围护结构处产生的i倍频带叠加声压级：</w:t>
            </w:r>
          </w:p>
          <w:p w14:paraId="050D58FD">
            <w:pPr>
              <w:pStyle w:val="45"/>
              <w:ind w:firstLine="0" w:firstLineChars="0"/>
              <w:jc w:val="center"/>
              <w:rPr>
                <w:rFonts w:ascii="宋体"/>
              </w:rPr>
            </w:pPr>
            <w:r>
              <w:drawing>
                <wp:inline distT="0" distB="0" distL="114300" distR="114300">
                  <wp:extent cx="1773555" cy="558800"/>
                  <wp:effectExtent l="0" t="0" r="17145"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cstate="print"/>
                          <a:stretch>
                            <a:fillRect/>
                          </a:stretch>
                        </pic:blipFill>
                        <pic:spPr>
                          <a:xfrm>
                            <a:off x="0" y="0"/>
                            <a:ext cx="1773555" cy="558800"/>
                          </a:xfrm>
                          <a:prstGeom prst="rect">
                            <a:avLst/>
                          </a:prstGeom>
                          <a:noFill/>
                          <a:ln>
                            <a:noFill/>
                          </a:ln>
                        </pic:spPr>
                      </pic:pic>
                    </a:graphicData>
                  </a:graphic>
                </wp:inline>
              </w:drawing>
            </w:r>
          </w:p>
          <w:p w14:paraId="6C1BA472">
            <w:pPr>
              <w:pStyle w:val="45"/>
              <w:spacing w:line="360" w:lineRule="auto"/>
              <w:ind w:firstLine="0" w:firstLineChars="0"/>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pli</w:t>
            </w:r>
            <w:r>
              <w:rPr>
                <w:rFonts w:ascii="Times New Roman" w:hAnsi="Times New Roman" w:cs="Times New Roman"/>
                <w:sz w:val="24"/>
              </w:rPr>
              <w:t>（T）——靠近围护结构处室内N个声源i倍频带的叠加声压级，dB；</w:t>
            </w:r>
          </w:p>
          <w:p w14:paraId="7B808EA4">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plij</w:t>
            </w:r>
            <w:r>
              <w:rPr>
                <w:rFonts w:ascii="Times New Roman" w:hAnsi="Times New Roman" w:cs="Times New Roman"/>
                <w:sz w:val="24"/>
              </w:rPr>
              <w:t>——室内j声源i倍频带的声压级，dB；</w:t>
            </w:r>
          </w:p>
          <w:p w14:paraId="0DED12B5">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N——室内声源总数。</w:t>
            </w:r>
          </w:p>
          <w:p w14:paraId="5AF3573C">
            <w:pPr>
              <w:pStyle w:val="45"/>
              <w:spacing w:line="360" w:lineRule="auto"/>
              <w:rPr>
                <w:rFonts w:ascii="Times New Roman" w:hAnsi="Times New Roman" w:cs="Times New Roman"/>
                <w:sz w:val="24"/>
              </w:rPr>
            </w:pPr>
            <w:r>
              <w:rPr>
                <w:rFonts w:ascii="Times New Roman" w:hAnsi="Times New Roman" w:cs="Times New Roman"/>
                <w:sz w:val="24"/>
              </w:rPr>
              <w:t>③靠近室外围护结构处的声压级：</w:t>
            </w:r>
          </w:p>
          <w:p w14:paraId="44667C74">
            <w:pPr>
              <w:pStyle w:val="45"/>
              <w:ind w:firstLine="0" w:firstLineChars="0"/>
              <w:jc w:val="center"/>
              <w:rPr>
                <w:rFonts w:ascii="宋体"/>
              </w:rPr>
            </w:pPr>
            <w:r>
              <w:drawing>
                <wp:inline distT="0" distB="0" distL="114300" distR="114300">
                  <wp:extent cx="2295525" cy="346075"/>
                  <wp:effectExtent l="0" t="0" r="952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cstate="print"/>
                          <a:stretch>
                            <a:fillRect/>
                          </a:stretch>
                        </pic:blipFill>
                        <pic:spPr>
                          <a:xfrm>
                            <a:off x="0" y="0"/>
                            <a:ext cx="2295525" cy="346075"/>
                          </a:xfrm>
                          <a:prstGeom prst="rect">
                            <a:avLst/>
                          </a:prstGeom>
                          <a:noFill/>
                          <a:ln>
                            <a:noFill/>
                          </a:ln>
                        </pic:spPr>
                      </pic:pic>
                    </a:graphicData>
                  </a:graphic>
                </wp:inline>
              </w:drawing>
            </w:r>
          </w:p>
          <w:p w14:paraId="2AC137F2">
            <w:pPr>
              <w:pStyle w:val="45"/>
              <w:spacing w:line="360" w:lineRule="auto"/>
              <w:ind w:firstLine="0" w:firstLineChars="0"/>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p2i</w:t>
            </w:r>
            <w:r>
              <w:rPr>
                <w:rFonts w:ascii="Times New Roman" w:hAnsi="Times New Roman" w:cs="Times New Roman"/>
                <w:sz w:val="24"/>
              </w:rPr>
              <w:t>（T）——靠近围护结构处室外N个声源i倍频带的叠加声压级，dB；</w:t>
            </w:r>
          </w:p>
          <w:p w14:paraId="518C1588">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p1i</w:t>
            </w:r>
            <w:r>
              <w:rPr>
                <w:rFonts w:ascii="Times New Roman" w:hAnsi="Times New Roman" w:cs="Times New Roman"/>
                <w:sz w:val="24"/>
              </w:rPr>
              <w:t>（T）——靠近围护结构处室内N个声源i倍频带的叠加声压级，dB；</w:t>
            </w:r>
          </w:p>
          <w:p w14:paraId="0622DB5A">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TLi——围护结构i倍频带的隔声量，dB。</w:t>
            </w:r>
          </w:p>
          <w:p w14:paraId="0245B01D">
            <w:pPr>
              <w:pStyle w:val="45"/>
              <w:spacing w:line="360" w:lineRule="auto"/>
              <w:rPr>
                <w:rFonts w:ascii="Times New Roman" w:hAnsi="Times New Roman" w:cs="Times New Roman"/>
                <w:sz w:val="24"/>
              </w:rPr>
            </w:pPr>
            <w:r>
              <w:rPr>
                <w:rFonts w:ascii="Times New Roman" w:hAnsi="Times New Roman" w:cs="Times New Roman"/>
                <w:sz w:val="24"/>
              </w:rPr>
              <w:t>④将室外声源的声压级和透过面积换算成等效的室外声源，计算出中心位置位于透声面积（S）处的等效声源的倍频带声功率级。</w:t>
            </w:r>
          </w:p>
          <w:p w14:paraId="468206A7">
            <w:pPr>
              <w:pStyle w:val="45"/>
              <w:ind w:firstLine="420"/>
              <w:jc w:val="center"/>
              <w:rPr>
                <w:rFonts w:hint="eastAsia" w:ascii="宋体" w:hAnsi="宋体"/>
              </w:rPr>
            </w:pPr>
            <w:r>
              <w:drawing>
                <wp:inline distT="0" distB="0" distL="114300" distR="114300">
                  <wp:extent cx="2140585" cy="375920"/>
                  <wp:effectExtent l="0" t="0" r="1206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cstate="print"/>
                          <a:stretch>
                            <a:fillRect/>
                          </a:stretch>
                        </pic:blipFill>
                        <pic:spPr>
                          <a:xfrm>
                            <a:off x="0" y="0"/>
                            <a:ext cx="2140585" cy="375920"/>
                          </a:xfrm>
                          <a:prstGeom prst="rect">
                            <a:avLst/>
                          </a:prstGeom>
                          <a:noFill/>
                          <a:ln>
                            <a:noFill/>
                          </a:ln>
                        </pic:spPr>
                      </pic:pic>
                    </a:graphicData>
                  </a:graphic>
                </wp:inline>
              </w:drawing>
            </w:r>
          </w:p>
          <w:p w14:paraId="0545FE67">
            <w:pPr>
              <w:pStyle w:val="45"/>
              <w:spacing w:line="360" w:lineRule="auto"/>
              <w:ind w:firstLine="0" w:firstLineChars="0"/>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w</w:t>
            </w:r>
            <w:r>
              <w:rPr>
                <w:rFonts w:ascii="Times New Roman" w:hAnsi="Times New Roman" w:cs="Times New Roman"/>
                <w:sz w:val="24"/>
              </w:rPr>
              <w:t>——中心位置位于透声面积（S）处的等效声源的倍频带声功率级，dB；</w:t>
            </w:r>
          </w:p>
          <w:p w14:paraId="693D75B4">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p2</w:t>
            </w:r>
            <w:r>
              <w:rPr>
                <w:rFonts w:ascii="Times New Roman" w:hAnsi="Times New Roman" w:cs="Times New Roman"/>
                <w:sz w:val="24"/>
              </w:rPr>
              <w:t>（T）——靠近围护结构处室外声源的声压级，dB；</w:t>
            </w:r>
          </w:p>
          <w:p w14:paraId="75D974BF">
            <w:pPr>
              <w:pStyle w:val="45"/>
              <w:spacing w:line="360" w:lineRule="auto"/>
              <w:ind w:firstLine="720" w:firstLineChars="300"/>
              <w:rPr>
                <w:rFonts w:ascii="Times New Roman" w:hAnsi="Times New Roman" w:cs="Times New Roman"/>
                <w:sz w:val="24"/>
              </w:rPr>
            </w:pPr>
            <w:r>
              <w:rPr>
                <w:rFonts w:ascii="Times New Roman" w:hAnsi="Times New Roman" w:cs="Times New Roman"/>
                <w:sz w:val="24"/>
              </w:rPr>
              <w:t>S——透声面积，m</w:t>
            </w:r>
            <w:r>
              <w:rPr>
                <w:rFonts w:ascii="Times New Roman" w:hAnsi="Times New Roman" w:cs="Times New Roman"/>
                <w:sz w:val="24"/>
                <w:vertAlign w:val="superscript"/>
              </w:rPr>
              <w:t>2</w:t>
            </w:r>
            <w:r>
              <w:rPr>
                <w:rFonts w:ascii="Times New Roman" w:hAnsi="Times New Roman" w:cs="Times New Roman"/>
                <w:sz w:val="24"/>
              </w:rPr>
              <w:t>，以厂房侧面积计。</w:t>
            </w:r>
          </w:p>
          <w:p w14:paraId="3260B4FB">
            <w:pPr>
              <w:pStyle w:val="45"/>
              <w:wordWrap w:val="0"/>
              <w:spacing w:line="360" w:lineRule="auto"/>
              <w:rPr>
                <w:rFonts w:ascii="Times New Roman" w:hAnsi="Times New Roman" w:cs="Times New Roman"/>
                <w:sz w:val="24"/>
              </w:rPr>
            </w:pPr>
            <w:r>
              <w:rPr>
                <w:rFonts w:ascii="Times New Roman" w:hAnsi="Times New Roman" w:cs="Times New Roman"/>
                <w:sz w:val="24"/>
              </w:rPr>
              <w:t>⑤按室外声源预测方法计算厂界A声级。</w:t>
            </w:r>
          </w:p>
          <w:p w14:paraId="430BC2BF">
            <w:pPr>
              <w:pStyle w:val="45"/>
              <w:wordWrap w:val="0"/>
              <w:spacing w:line="360" w:lineRule="auto"/>
              <w:rPr>
                <w:rFonts w:ascii="Times New Roman" w:hAnsi="Times New Roman" w:cs="Times New Roman"/>
                <w:sz w:val="24"/>
              </w:rPr>
            </w:pPr>
            <w:r>
              <w:rPr>
                <w:rFonts w:ascii="Times New Roman" w:hAnsi="Times New Roman" w:cs="Times New Roman"/>
                <w:sz w:val="24"/>
              </w:rPr>
              <w:t>根据《环境影响评价技术导则 声环境》（HJ2.4-2021）“B.1.4 如预测点在靠近声源处，但不能满足点声源条件时，需按线声源或面声源模型计算。”项目等效到厂房室外的噪声源采用面声源几何发散衰减模式进行厂界噪声预测。</w:t>
            </w:r>
          </w:p>
          <w:p w14:paraId="353AF0C1">
            <w:pPr>
              <w:pStyle w:val="45"/>
              <w:wordWrap w:val="0"/>
              <w:spacing w:line="360" w:lineRule="auto"/>
              <w:rPr>
                <w:rFonts w:ascii="Times New Roman" w:hAnsi="Times New Roman" w:cs="Times New Roman"/>
                <w:sz w:val="24"/>
              </w:rPr>
            </w:pPr>
            <w:r>
              <w:rPr>
                <w:rFonts w:ascii="Times New Roman" w:hAnsi="Times New Roman" w:cs="Times New Roman"/>
                <w:sz w:val="24"/>
              </w:rPr>
              <w:t>面声源的几何发散衰减：当预测点和面声源中心距离r处于以下条件时，可按下述方法近似计算：r＜a/π时，几乎不衰减（Adiv≈0）；当a/π＜r＜b/π，距离加倍衰减3dB左右，类似线声源衰减特性[Adiv≈10lg(r/r0)）]；当r＞b/π时，距离加倍衰减趋近于6dB，类似点声源衰减特性[Adiv≈20lg(r/r0)）]，其中面声源的b＞a。</w:t>
            </w:r>
          </w:p>
          <w:p w14:paraId="3132EE03">
            <w:pPr>
              <w:pStyle w:val="45"/>
              <w:ind w:firstLine="0" w:firstLineChars="0"/>
              <w:jc w:val="center"/>
            </w:pPr>
            <w:r>
              <w:drawing>
                <wp:inline distT="0" distB="0" distL="114300" distR="114300">
                  <wp:extent cx="3221990" cy="1796415"/>
                  <wp:effectExtent l="0" t="0" r="1651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cstate="print"/>
                          <a:stretch>
                            <a:fillRect/>
                          </a:stretch>
                        </pic:blipFill>
                        <pic:spPr>
                          <a:xfrm>
                            <a:off x="0" y="0"/>
                            <a:ext cx="3221990" cy="1796415"/>
                          </a:xfrm>
                          <a:prstGeom prst="rect">
                            <a:avLst/>
                          </a:prstGeom>
                          <a:noFill/>
                          <a:ln>
                            <a:noFill/>
                          </a:ln>
                        </pic:spPr>
                      </pic:pic>
                    </a:graphicData>
                  </a:graphic>
                </wp:inline>
              </w:drawing>
            </w:r>
          </w:p>
          <w:p w14:paraId="09E1B106">
            <w:pPr>
              <w:pStyle w:val="47"/>
              <w:spacing w:afterLines="0" w:line="360" w:lineRule="auto"/>
              <w:rPr>
                <w:rFonts w:ascii="Times New Roman" w:hAnsi="Times New Roman" w:eastAsia="宋体" w:cs="Times New Roman"/>
                <w:sz w:val="24"/>
              </w:rPr>
            </w:pPr>
            <w:r>
              <w:rPr>
                <w:rFonts w:ascii="Times New Roman" w:hAnsi="Times New Roman" w:eastAsia="宋体" w:cs="Times New Roman"/>
                <w:sz w:val="24"/>
              </w:rPr>
              <w:t>图4-1 长方形面声源中心轴线上的衰减特性</w:t>
            </w:r>
          </w:p>
          <w:p w14:paraId="3250F50B">
            <w:pPr>
              <w:pStyle w:val="45"/>
              <w:spacing w:line="360" w:lineRule="auto"/>
              <w:rPr>
                <w:rFonts w:ascii="Times New Roman" w:hAnsi="Times New Roman" w:eastAsia="宋体" w:cs="Times New Roman"/>
                <w:sz w:val="24"/>
              </w:rPr>
            </w:pPr>
            <w:r>
              <w:rPr>
                <w:rFonts w:ascii="Times New Roman" w:hAnsi="Times New Roman" w:eastAsia="宋体" w:cs="Times New Roman"/>
                <w:sz w:val="24"/>
              </w:rPr>
              <w:t>⑥噪声贡献值计算：</w:t>
            </w:r>
          </w:p>
          <w:p w14:paraId="66D573DF">
            <w:pPr>
              <w:pStyle w:val="45"/>
              <w:ind w:firstLine="0" w:firstLineChars="0"/>
              <w:jc w:val="center"/>
              <w:rPr>
                <w:rFonts w:hint="eastAsia" w:ascii="宋体" w:hAnsi="宋体"/>
              </w:rPr>
            </w:pPr>
            <w:r>
              <w:rPr>
                <w:rFonts w:ascii="宋体" w:hAnsi="宋体"/>
              </w:rPr>
              <w:drawing>
                <wp:inline distT="0" distB="0" distL="114300" distR="114300">
                  <wp:extent cx="3274060" cy="662305"/>
                  <wp:effectExtent l="0" t="0" r="2540"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cstate="print"/>
                          <a:stretch>
                            <a:fillRect/>
                          </a:stretch>
                        </pic:blipFill>
                        <pic:spPr>
                          <a:xfrm>
                            <a:off x="0" y="0"/>
                            <a:ext cx="3274060" cy="662305"/>
                          </a:xfrm>
                          <a:prstGeom prst="rect">
                            <a:avLst/>
                          </a:prstGeom>
                          <a:noFill/>
                          <a:ln>
                            <a:noFill/>
                          </a:ln>
                        </pic:spPr>
                      </pic:pic>
                    </a:graphicData>
                  </a:graphic>
                </wp:inline>
              </w:drawing>
            </w:r>
          </w:p>
          <w:p w14:paraId="25CB19CA">
            <w:pPr>
              <w:pStyle w:val="45"/>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式中：Leqg——建设项目声源在预测点产生的噪声贡献值，dB；</w:t>
            </w:r>
          </w:p>
          <w:p w14:paraId="7BA923CF">
            <w:pPr>
              <w:pStyle w:val="45"/>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sz w:val="24"/>
              </w:rPr>
              <w:t>T——用于计算等效声级的时间，s；</w:t>
            </w:r>
          </w:p>
          <w:p w14:paraId="22CFBCB4">
            <w:pPr>
              <w:pStyle w:val="45"/>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sz w:val="24"/>
              </w:rPr>
              <w:t>N——室外声源个数；</w:t>
            </w:r>
          </w:p>
          <w:p w14:paraId="16870CA6">
            <w:pPr>
              <w:pStyle w:val="45"/>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sz w:val="24"/>
              </w:rPr>
              <w:t>ti——在T时间内i声源工作时间，s；</w:t>
            </w:r>
          </w:p>
          <w:p w14:paraId="55FD0C2D">
            <w:pPr>
              <w:pStyle w:val="45"/>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sz w:val="24"/>
              </w:rPr>
              <w:t>M——等效室外声源个数；</w:t>
            </w:r>
          </w:p>
          <w:p w14:paraId="67C90C50">
            <w:pPr>
              <w:pStyle w:val="45"/>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sz w:val="24"/>
              </w:rPr>
              <w:t>tj——在T时间内j声源工作时间，s。</w:t>
            </w:r>
          </w:p>
          <w:p w14:paraId="26EA3D78">
            <w:pPr>
              <w:pStyle w:val="45"/>
              <w:spacing w:line="360" w:lineRule="auto"/>
              <w:rPr>
                <w:rFonts w:ascii="Times New Roman" w:hAnsi="Times New Roman" w:eastAsia="宋体" w:cs="Times New Roman"/>
                <w:sz w:val="24"/>
              </w:rPr>
            </w:pPr>
            <w:r>
              <w:rPr>
                <w:color w:val="000000" w:themeColor="text1"/>
                <w:sz w:val="24"/>
                <w14:textFill>
                  <w14:solidFill>
                    <w14:schemeClr w14:val="tx1"/>
                  </w14:solidFill>
                </w14:textFill>
              </w:rPr>
              <w:t>声波在传递过程中，除随距离增加而衰减外，同时受大气吸收、屏障阻挡等因素衰减，本次预测计算中，只考虑消声、隔声以及距离衰减效应，空气吸收和其余附加衰减忽略不计</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根据噪声源强和预测模型，</w:t>
            </w:r>
            <w:r>
              <w:rPr>
                <w:rFonts w:hint="eastAsia" w:ascii="Times New Roman" w:hAnsi="Times New Roman" w:eastAsia="宋体" w:cs="Times New Roman"/>
                <w:sz w:val="24"/>
              </w:rPr>
              <w:t>项目</w:t>
            </w:r>
            <w:r>
              <w:rPr>
                <w:rFonts w:ascii="Times New Roman" w:hAnsi="Times New Roman" w:eastAsia="宋体" w:cs="Times New Roman"/>
                <w:sz w:val="24"/>
              </w:rPr>
              <w:t>厂界噪声</w:t>
            </w:r>
            <w:r>
              <w:rPr>
                <w:rFonts w:hint="eastAsia" w:ascii="Times New Roman" w:hAnsi="Times New Roman" w:eastAsia="宋体" w:cs="Times New Roman"/>
                <w:sz w:val="24"/>
              </w:rPr>
              <w:t>预测结果与达标分析表详见表4-19。</w:t>
            </w:r>
          </w:p>
          <w:p w14:paraId="0344E75C">
            <w:pPr>
              <w:spacing w:line="360" w:lineRule="auto"/>
              <w:jc w:val="center"/>
              <w:rPr>
                <w:rFonts w:ascii="Times New Roman" w:hAnsi="Times New Roman" w:cs="Times New Roman"/>
                <w:bCs/>
                <w:kern w:val="0"/>
                <w:sz w:val="24"/>
              </w:rPr>
            </w:pPr>
            <w:r>
              <w:rPr>
                <w:rFonts w:ascii="Times New Roman" w:hAnsi="Times New Roman" w:eastAsia="宋体" w:cs="Times New Roman"/>
                <w:sz w:val="24"/>
              </w:rPr>
              <w:t>表4-</w:t>
            </w:r>
            <w:r>
              <w:rPr>
                <w:rFonts w:hint="eastAsia" w:ascii="Times New Roman" w:hAnsi="Times New Roman" w:eastAsia="宋体" w:cs="Times New Roman"/>
                <w:sz w:val="24"/>
              </w:rPr>
              <w:t>19</w:t>
            </w:r>
            <w:r>
              <w:rPr>
                <w:rFonts w:ascii="Times New Roman" w:hAnsi="Times New Roman" w:eastAsia="宋体" w:cs="Times New Roman"/>
                <w:sz w:val="24"/>
              </w:rPr>
              <w:t xml:space="preserve">  </w:t>
            </w:r>
            <w:r>
              <w:rPr>
                <w:rFonts w:ascii="Times New Roman" w:hAnsi="Times New Roman" w:cs="Times New Roman"/>
                <w:bCs/>
                <w:kern w:val="0"/>
                <w:sz w:val="24"/>
              </w:rPr>
              <w:t>厂界噪声预测结果与达标分析表单位：dB（A）</w:t>
            </w:r>
          </w:p>
          <w:tbl>
            <w:tblPr>
              <w:tblStyle w:val="27"/>
              <w:tblW w:w="0" w:type="auto"/>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803"/>
              <w:gridCol w:w="968"/>
              <w:gridCol w:w="859"/>
              <w:gridCol w:w="996"/>
              <w:gridCol w:w="1213"/>
              <w:gridCol w:w="1173"/>
              <w:gridCol w:w="1309"/>
            </w:tblGrid>
            <w:tr w14:paraId="325C2B87">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32" w:type="dxa"/>
                  <w:vMerge w:val="restart"/>
                  <w:tcBorders>
                    <w:tl2br w:val="nil"/>
                    <w:tr2bl w:val="nil"/>
                  </w:tcBorders>
                  <w:vAlign w:val="center"/>
                </w:tcPr>
                <w:p w14:paraId="056C61D5">
                  <w:pPr>
                    <w:jc w:val="center"/>
                    <w:rPr>
                      <w:rFonts w:ascii="Times New Roman" w:hAnsi="Times New Roman" w:eastAsia="宋体" w:cs="Times New Roman"/>
                      <w:bCs/>
                      <w:szCs w:val="21"/>
                    </w:rPr>
                  </w:pPr>
                  <w:r>
                    <w:rPr>
                      <w:rFonts w:ascii="Times New Roman" w:hAnsi="Times New Roman" w:eastAsia="宋体" w:cs="Times New Roman"/>
                      <w:bCs/>
                      <w:szCs w:val="21"/>
                    </w:rPr>
                    <w:t>预测方位</w:t>
                  </w:r>
                </w:p>
              </w:tc>
              <w:tc>
                <w:tcPr>
                  <w:tcW w:w="2630" w:type="dxa"/>
                  <w:gridSpan w:val="3"/>
                  <w:tcBorders>
                    <w:tl2br w:val="nil"/>
                    <w:tr2bl w:val="nil"/>
                  </w:tcBorders>
                  <w:vAlign w:val="center"/>
                </w:tcPr>
                <w:p w14:paraId="29F1DEB5">
                  <w:pPr>
                    <w:jc w:val="center"/>
                    <w:rPr>
                      <w:rFonts w:ascii="Times New Roman" w:hAnsi="Times New Roman" w:eastAsia="宋体" w:cs="Times New Roman"/>
                      <w:bCs/>
                      <w:szCs w:val="21"/>
                    </w:rPr>
                  </w:pPr>
                  <w:r>
                    <w:rPr>
                      <w:rFonts w:ascii="Times New Roman" w:hAnsi="Times New Roman" w:eastAsia="宋体" w:cs="Times New Roman"/>
                      <w:bCs/>
                      <w:szCs w:val="21"/>
                    </w:rPr>
                    <w:t>最大值点空间相对位置/m</w:t>
                  </w:r>
                </w:p>
              </w:tc>
              <w:tc>
                <w:tcPr>
                  <w:tcW w:w="996" w:type="dxa"/>
                  <w:vMerge w:val="restart"/>
                  <w:tcBorders>
                    <w:tl2br w:val="nil"/>
                    <w:tr2bl w:val="nil"/>
                  </w:tcBorders>
                  <w:vAlign w:val="center"/>
                </w:tcPr>
                <w:p w14:paraId="3EF9844F">
                  <w:pPr>
                    <w:jc w:val="center"/>
                    <w:rPr>
                      <w:rFonts w:ascii="Times New Roman" w:hAnsi="Times New Roman" w:eastAsia="宋体" w:cs="Times New Roman"/>
                      <w:bCs/>
                      <w:szCs w:val="21"/>
                    </w:rPr>
                  </w:pPr>
                  <w:r>
                    <w:rPr>
                      <w:rFonts w:ascii="Times New Roman" w:hAnsi="Times New Roman" w:eastAsia="宋体" w:cs="Times New Roman"/>
                      <w:bCs/>
                      <w:szCs w:val="21"/>
                    </w:rPr>
                    <w:t>时段</w:t>
                  </w:r>
                </w:p>
              </w:tc>
              <w:tc>
                <w:tcPr>
                  <w:tcW w:w="1213" w:type="dxa"/>
                  <w:vMerge w:val="restart"/>
                  <w:tcBorders>
                    <w:tl2br w:val="nil"/>
                    <w:tr2bl w:val="nil"/>
                  </w:tcBorders>
                  <w:vAlign w:val="center"/>
                </w:tcPr>
                <w:p w14:paraId="0555AEFF">
                  <w:pPr>
                    <w:jc w:val="center"/>
                    <w:rPr>
                      <w:rFonts w:ascii="Times New Roman" w:hAnsi="Times New Roman" w:eastAsia="宋体" w:cs="Times New Roman"/>
                      <w:bCs/>
                      <w:szCs w:val="21"/>
                    </w:rPr>
                  </w:pPr>
                  <w:r>
                    <w:rPr>
                      <w:rFonts w:ascii="Times New Roman" w:hAnsi="Times New Roman" w:eastAsia="宋体" w:cs="Times New Roman"/>
                      <w:bCs/>
                      <w:szCs w:val="21"/>
                    </w:rPr>
                    <w:t>贡献值（dB(A)）</w:t>
                  </w:r>
                </w:p>
              </w:tc>
              <w:tc>
                <w:tcPr>
                  <w:tcW w:w="1091" w:type="dxa"/>
                  <w:vMerge w:val="restart"/>
                  <w:tcBorders>
                    <w:tl2br w:val="nil"/>
                    <w:tr2bl w:val="nil"/>
                  </w:tcBorders>
                  <w:vAlign w:val="center"/>
                </w:tcPr>
                <w:p w14:paraId="432711CD">
                  <w:pPr>
                    <w:jc w:val="center"/>
                    <w:rPr>
                      <w:rFonts w:ascii="Times New Roman" w:hAnsi="Times New Roman" w:eastAsia="宋体" w:cs="Times New Roman"/>
                      <w:bCs/>
                      <w:szCs w:val="21"/>
                    </w:rPr>
                  </w:pPr>
                  <w:r>
                    <w:rPr>
                      <w:rFonts w:ascii="Times New Roman" w:hAnsi="Times New Roman" w:eastAsia="宋体" w:cs="Times New Roman"/>
                      <w:bCs/>
                      <w:szCs w:val="21"/>
                    </w:rPr>
                    <w:t>标准限值（dB(A)）</w:t>
                  </w:r>
                </w:p>
              </w:tc>
              <w:tc>
                <w:tcPr>
                  <w:tcW w:w="1309" w:type="dxa"/>
                  <w:vMerge w:val="restart"/>
                  <w:tcBorders>
                    <w:tl2br w:val="nil"/>
                    <w:tr2bl w:val="nil"/>
                  </w:tcBorders>
                  <w:vAlign w:val="center"/>
                </w:tcPr>
                <w:p w14:paraId="4CE2C2E8">
                  <w:pPr>
                    <w:jc w:val="center"/>
                    <w:rPr>
                      <w:rFonts w:ascii="Times New Roman" w:hAnsi="Times New Roman" w:eastAsia="宋体" w:cs="Times New Roman"/>
                      <w:bCs/>
                      <w:szCs w:val="21"/>
                    </w:rPr>
                  </w:pPr>
                  <w:r>
                    <w:rPr>
                      <w:rFonts w:ascii="Times New Roman" w:hAnsi="Times New Roman" w:eastAsia="宋体" w:cs="Times New Roman"/>
                      <w:bCs/>
                      <w:szCs w:val="21"/>
                    </w:rPr>
                    <w:t>达标情况</w:t>
                  </w:r>
                </w:p>
              </w:tc>
            </w:tr>
            <w:tr w14:paraId="52EB61E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2" w:type="dxa"/>
                  <w:vMerge w:val="continue"/>
                  <w:tcBorders>
                    <w:tl2br w:val="nil"/>
                    <w:tr2bl w:val="nil"/>
                  </w:tcBorders>
                  <w:shd w:val="clear" w:color="auto" w:fill="FFFFFF"/>
                  <w:vAlign w:val="center"/>
                </w:tcPr>
                <w:p w14:paraId="14FEAD71">
                  <w:pPr>
                    <w:jc w:val="center"/>
                    <w:rPr>
                      <w:rFonts w:ascii="Times New Roman" w:hAnsi="Times New Roman" w:eastAsia="宋体" w:cs="Times New Roman"/>
                      <w:bCs/>
                      <w:szCs w:val="21"/>
                    </w:rPr>
                  </w:pPr>
                </w:p>
              </w:tc>
              <w:tc>
                <w:tcPr>
                  <w:tcW w:w="803" w:type="dxa"/>
                  <w:tcBorders>
                    <w:tl2br w:val="nil"/>
                    <w:tr2bl w:val="nil"/>
                  </w:tcBorders>
                  <w:shd w:val="clear" w:color="auto" w:fill="FFFFFF"/>
                  <w:vAlign w:val="center"/>
                </w:tcPr>
                <w:p w14:paraId="095081E6">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X</w:t>
                  </w:r>
                </w:p>
              </w:tc>
              <w:tc>
                <w:tcPr>
                  <w:tcW w:w="968" w:type="dxa"/>
                  <w:tcBorders>
                    <w:tl2br w:val="nil"/>
                    <w:tr2bl w:val="nil"/>
                  </w:tcBorders>
                  <w:shd w:val="clear" w:color="auto" w:fill="FFFFFF"/>
                  <w:vAlign w:val="center"/>
                </w:tcPr>
                <w:p w14:paraId="709410B8">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Y</w:t>
                  </w:r>
                </w:p>
              </w:tc>
              <w:tc>
                <w:tcPr>
                  <w:tcW w:w="859" w:type="dxa"/>
                  <w:tcBorders>
                    <w:tl2br w:val="nil"/>
                    <w:tr2bl w:val="nil"/>
                  </w:tcBorders>
                  <w:shd w:val="clear" w:color="auto" w:fill="FFFFFF"/>
                  <w:vAlign w:val="center"/>
                </w:tcPr>
                <w:p w14:paraId="7B525D93">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Z</w:t>
                  </w:r>
                </w:p>
              </w:tc>
              <w:tc>
                <w:tcPr>
                  <w:tcW w:w="996" w:type="dxa"/>
                  <w:vMerge w:val="continue"/>
                  <w:tcBorders>
                    <w:tl2br w:val="nil"/>
                    <w:tr2bl w:val="nil"/>
                  </w:tcBorders>
                  <w:shd w:val="clear" w:color="auto" w:fill="FFFFFF"/>
                  <w:vAlign w:val="center"/>
                </w:tcPr>
                <w:p w14:paraId="21DCBEA0">
                  <w:pPr>
                    <w:jc w:val="center"/>
                    <w:rPr>
                      <w:rFonts w:ascii="Times New Roman" w:hAnsi="Times New Roman" w:eastAsia="宋体" w:cs="Times New Roman"/>
                      <w:bCs/>
                      <w:szCs w:val="21"/>
                    </w:rPr>
                  </w:pPr>
                </w:p>
              </w:tc>
              <w:tc>
                <w:tcPr>
                  <w:tcW w:w="1213" w:type="dxa"/>
                  <w:vMerge w:val="continue"/>
                  <w:tcBorders>
                    <w:tl2br w:val="nil"/>
                    <w:tr2bl w:val="nil"/>
                  </w:tcBorders>
                  <w:shd w:val="clear" w:color="auto" w:fill="FFFFFF"/>
                  <w:vAlign w:val="center"/>
                </w:tcPr>
                <w:p w14:paraId="2C89BB18">
                  <w:pPr>
                    <w:jc w:val="center"/>
                    <w:rPr>
                      <w:rFonts w:ascii="Times New Roman" w:hAnsi="Times New Roman" w:eastAsia="宋体" w:cs="Times New Roman"/>
                      <w:bCs/>
                      <w:szCs w:val="21"/>
                    </w:rPr>
                  </w:pPr>
                </w:p>
              </w:tc>
              <w:tc>
                <w:tcPr>
                  <w:tcW w:w="1091" w:type="dxa"/>
                  <w:vMerge w:val="continue"/>
                  <w:tcBorders>
                    <w:tl2br w:val="nil"/>
                    <w:tr2bl w:val="nil"/>
                  </w:tcBorders>
                  <w:shd w:val="clear" w:color="auto" w:fill="FFFFFF"/>
                  <w:vAlign w:val="center"/>
                </w:tcPr>
                <w:p w14:paraId="3ADB5FAF">
                  <w:pPr>
                    <w:jc w:val="center"/>
                    <w:rPr>
                      <w:rFonts w:ascii="Times New Roman" w:hAnsi="Times New Roman" w:eastAsia="宋体" w:cs="Times New Roman"/>
                      <w:bCs/>
                      <w:szCs w:val="21"/>
                    </w:rPr>
                  </w:pPr>
                </w:p>
              </w:tc>
              <w:tc>
                <w:tcPr>
                  <w:tcW w:w="1309" w:type="dxa"/>
                  <w:vMerge w:val="continue"/>
                  <w:tcBorders>
                    <w:tl2br w:val="nil"/>
                    <w:tr2bl w:val="nil"/>
                  </w:tcBorders>
                  <w:shd w:val="clear" w:color="auto" w:fill="FFFFFF"/>
                  <w:vAlign w:val="center"/>
                </w:tcPr>
                <w:p w14:paraId="0CF29FDC">
                  <w:pPr>
                    <w:jc w:val="center"/>
                    <w:rPr>
                      <w:rFonts w:ascii="Times New Roman" w:hAnsi="Times New Roman" w:eastAsia="宋体" w:cs="Times New Roman"/>
                      <w:bCs/>
                      <w:szCs w:val="21"/>
                    </w:rPr>
                  </w:pPr>
                </w:p>
              </w:tc>
            </w:tr>
            <w:tr w14:paraId="45A39756">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2" w:type="dxa"/>
                  <w:tcBorders>
                    <w:tl2br w:val="nil"/>
                    <w:tr2bl w:val="nil"/>
                  </w:tcBorders>
                  <w:shd w:val="clear" w:color="auto" w:fill="FFFFFF"/>
                  <w:vAlign w:val="center"/>
                </w:tcPr>
                <w:p w14:paraId="2B170653">
                  <w:pPr>
                    <w:jc w:val="center"/>
                    <w:rPr>
                      <w:rFonts w:ascii="Times New Roman" w:hAnsi="Times New Roman" w:eastAsia="宋体" w:cs="Times New Roman"/>
                      <w:bCs/>
                      <w:szCs w:val="21"/>
                    </w:rPr>
                  </w:pPr>
                  <w:r>
                    <w:rPr>
                      <w:rFonts w:ascii="Times New Roman" w:hAnsi="Times New Roman" w:eastAsia="宋体" w:cs="Times New Roman"/>
                      <w:bCs/>
                      <w:szCs w:val="21"/>
                    </w:rPr>
                    <w:t>东侧</w:t>
                  </w:r>
                </w:p>
              </w:tc>
              <w:tc>
                <w:tcPr>
                  <w:tcW w:w="803" w:type="dxa"/>
                  <w:tcBorders>
                    <w:tl2br w:val="nil"/>
                    <w:tr2bl w:val="nil"/>
                  </w:tcBorders>
                  <w:shd w:val="clear" w:color="auto" w:fill="FFFFFF"/>
                  <w:vAlign w:val="center"/>
                </w:tcPr>
                <w:p w14:paraId="2D5A7538">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52.5</w:t>
                  </w:r>
                </w:p>
              </w:tc>
              <w:tc>
                <w:tcPr>
                  <w:tcW w:w="968" w:type="dxa"/>
                  <w:tcBorders>
                    <w:tl2br w:val="nil"/>
                    <w:tr2bl w:val="nil"/>
                  </w:tcBorders>
                  <w:shd w:val="clear" w:color="auto" w:fill="FFFFFF"/>
                  <w:vAlign w:val="center"/>
                </w:tcPr>
                <w:p w14:paraId="024FC1BC">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-29.4</w:t>
                  </w:r>
                </w:p>
              </w:tc>
              <w:tc>
                <w:tcPr>
                  <w:tcW w:w="859" w:type="dxa"/>
                  <w:tcBorders>
                    <w:tl2br w:val="nil"/>
                    <w:tr2bl w:val="nil"/>
                  </w:tcBorders>
                  <w:shd w:val="clear" w:color="auto" w:fill="FFFFFF"/>
                  <w:vAlign w:val="center"/>
                </w:tcPr>
                <w:p w14:paraId="48C7FB59">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1.2</w:t>
                  </w:r>
                </w:p>
              </w:tc>
              <w:tc>
                <w:tcPr>
                  <w:tcW w:w="996" w:type="dxa"/>
                  <w:tcBorders>
                    <w:tl2br w:val="nil"/>
                    <w:tr2bl w:val="nil"/>
                  </w:tcBorders>
                  <w:shd w:val="clear" w:color="auto" w:fill="FFFFFF"/>
                  <w:vAlign w:val="center"/>
                </w:tcPr>
                <w:p w14:paraId="3B026C10">
                  <w:pPr>
                    <w:jc w:val="center"/>
                    <w:rPr>
                      <w:rFonts w:ascii="Times New Roman" w:hAnsi="Times New Roman" w:eastAsia="宋体" w:cs="Times New Roman"/>
                      <w:bCs/>
                      <w:szCs w:val="21"/>
                    </w:rPr>
                  </w:pPr>
                  <w:r>
                    <w:rPr>
                      <w:rFonts w:ascii="Times New Roman" w:hAnsi="Times New Roman" w:eastAsia="宋体" w:cs="Times New Roman"/>
                      <w:bCs/>
                      <w:szCs w:val="21"/>
                    </w:rPr>
                    <w:t>昼间</w:t>
                  </w:r>
                </w:p>
              </w:tc>
              <w:tc>
                <w:tcPr>
                  <w:tcW w:w="1213" w:type="dxa"/>
                  <w:tcBorders>
                    <w:tl2br w:val="nil"/>
                    <w:tr2bl w:val="nil"/>
                  </w:tcBorders>
                  <w:shd w:val="clear" w:color="auto" w:fill="FFFFFF"/>
                  <w:vAlign w:val="center"/>
                </w:tcPr>
                <w:p w14:paraId="66F86D6A">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50</w:t>
                  </w:r>
                </w:p>
              </w:tc>
              <w:tc>
                <w:tcPr>
                  <w:tcW w:w="1091" w:type="dxa"/>
                  <w:tcBorders>
                    <w:tl2br w:val="nil"/>
                    <w:tr2bl w:val="nil"/>
                  </w:tcBorders>
                  <w:shd w:val="clear" w:color="auto" w:fill="FFFFFF"/>
                  <w:vAlign w:val="center"/>
                </w:tcPr>
                <w:p w14:paraId="638A5FE9">
                  <w:pPr>
                    <w:jc w:val="center"/>
                    <w:rPr>
                      <w:rFonts w:ascii="Times New Roman" w:hAnsi="Times New Roman" w:eastAsia="宋体" w:cs="Times New Roman"/>
                      <w:bCs/>
                      <w:szCs w:val="21"/>
                    </w:rPr>
                  </w:pPr>
                  <w:r>
                    <w:rPr>
                      <w:rFonts w:ascii="Times New Roman" w:hAnsi="Times New Roman" w:eastAsia="宋体" w:cs="Times New Roman"/>
                      <w:bCs/>
                      <w:szCs w:val="21"/>
                    </w:rPr>
                    <w:t>65</w:t>
                  </w:r>
                </w:p>
              </w:tc>
              <w:tc>
                <w:tcPr>
                  <w:tcW w:w="1309" w:type="dxa"/>
                  <w:tcBorders>
                    <w:tl2br w:val="nil"/>
                    <w:tr2bl w:val="nil"/>
                  </w:tcBorders>
                  <w:shd w:val="clear" w:color="auto" w:fill="FFFFFF"/>
                  <w:vAlign w:val="center"/>
                </w:tcPr>
                <w:p w14:paraId="4E8E56C5">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75643DF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0" w:hRule="exact"/>
                <w:jc w:val="center"/>
              </w:trPr>
              <w:tc>
                <w:tcPr>
                  <w:tcW w:w="1032" w:type="dxa"/>
                  <w:tcBorders>
                    <w:tl2br w:val="nil"/>
                    <w:tr2bl w:val="nil"/>
                  </w:tcBorders>
                  <w:shd w:val="clear" w:color="auto" w:fill="FFFFFF"/>
                  <w:vAlign w:val="center"/>
                </w:tcPr>
                <w:p w14:paraId="2FF19AEE">
                  <w:pPr>
                    <w:jc w:val="center"/>
                    <w:rPr>
                      <w:rFonts w:ascii="Times New Roman" w:hAnsi="Times New Roman" w:eastAsia="宋体" w:cs="Times New Roman"/>
                      <w:bCs/>
                      <w:szCs w:val="21"/>
                    </w:rPr>
                  </w:pPr>
                  <w:r>
                    <w:rPr>
                      <w:rFonts w:ascii="Times New Roman" w:hAnsi="Times New Roman" w:eastAsia="宋体" w:cs="Times New Roman"/>
                      <w:bCs/>
                      <w:szCs w:val="21"/>
                    </w:rPr>
                    <w:t>南侧</w:t>
                  </w:r>
                </w:p>
              </w:tc>
              <w:tc>
                <w:tcPr>
                  <w:tcW w:w="803" w:type="dxa"/>
                  <w:tcBorders>
                    <w:tl2br w:val="nil"/>
                    <w:tr2bl w:val="nil"/>
                  </w:tcBorders>
                  <w:shd w:val="clear" w:color="auto" w:fill="FFFFFF"/>
                  <w:vAlign w:val="center"/>
                </w:tcPr>
                <w:p w14:paraId="62D16A62">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7.5</w:t>
                  </w:r>
                </w:p>
              </w:tc>
              <w:tc>
                <w:tcPr>
                  <w:tcW w:w="968" w:type="dxa"/>
                  <w:tcBorders>
                    <w:tl2br w:val="nil"/>
                    <w:tr2bl w:val="nil"/>
                  </w:tcBorders>
                  <w:shd w:val="clear" w:color="auto" w:fill="FFFFFF"/>
                  <w:vAlign w:val="center"/>
                </w:tcPr>
                <w:p w14:paraId="16EB2E36">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-31.2</w:t>
                  </w:r>
                </w:p>
              </w:tc>
              <w:tc>
                <w:tcPr>
                  <w:tcW w:w="859" w:type="dxa"/>
                  <w:tcBorders>
                    <w:tl2br w:val="nil"/>
                    <w:tr2bl w:val="nil"/>
                  </w:tcBorders>
                  <w:shd w:val="clear" w:color="auto" w:fill="FFFFFF"/>
                  <w:vAlign w:val="center"/>
                </w:tcPr>
                <w:p w14:paraId="575883B7">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1.2</w:t>
                  </w:r>
                </w:p>
              </w:tc>
              <w:tc>
                <w:tcPr>
                  <w:tcW w:w="996" w:type="dxa"/>
                  <w:tcBorders>
                    <w:tl2br w:val="nil"/>
                    <w:tr2bl w:val="nil"/>
                  </w:tcBorders>
                  <w:shd w:val="clear" w:color="auto" w:fill="FFFFFF"/>
                  <w:vAlign w:val="center"/>
                </w:tcPr>
                <w:p w14:paraId="79C1E2DC">
                  <w:pPr>
                    <w:jc w:val="center"/>
                    <w:rPr>
                      <w:rFonts w:ascii="Times New Roman" w:hAnsi="Times New Roman" w:eastAsia="宋体" w:cs="Times New Roman"/>
                      <w:bCs/>
                      <w:szCs w:val="21"/>
                    </w:rPr>
                  </w:pPr>
                  <w:r>
                    <w:rPr>
                      <w:rFonts w:ascii="Times New Roman" w:hAnsi="Times New Roman" w:eastAsia="宋体" w:cs="Times New Roman"/>
                      <w:bCs/>
                      <w:szCs w:val="21"/>
                    </w:rPr>
                    <w:t>昼间</w:t>
                  </w:r>
                </w:p>
              </w:tc>
              <w:tc>
                <w:tcPr>
                  <w:tcW w:w="1213" w:type="dxa"/>
                  <w:tcBorders>
                    <w:tl2br w:val="nil"/>
                    <w:tr2bl w:val="nil"/>
                  </w:tcBorders>
                  <w:shd w:val="clear" w:color="auto" w:fill="FFFFFF"/>
                  <w:vAlign w:val="center"/>
                </w:tcPr>
                <w:p w14:paraId="1E291AE5">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62</w:t>
                  </w:r>
                </w:p>
              </w:tc>
              <w:tc>
                <w:tcPr>
                  <w:tcW w:w="1091" w:type="dxa"/>
                  <w:tcBorders>
                    <w:tl2br w:val="nil"/>
                    <w:tr2bl w:val="nil"/>
                  </w:tcBorders>
                  <w:shd w:val="clear" w:color="auto" w:fill="FFFFFF"/>
                  <w:vAlign w:val="center"/>
                </w:tcPr>
                <w:p w14:paraId="29F9782B">
                  <w:pPr>
                    <w:jc w:val="center"/>
                    <w:rPr>
                      <w:rFonts w:ascii="Times New Roman" w:hAnsi="Times New Roman" w:eastAsia="宋体" w:cs="Times New Roman"/>
                      <w:bCs/>
                      <w:szCs w:val="21"/>
                    </w:rPr>
                  </w:pPr>
                  <w:r>
                    <w:rPr>
                      <w:rFonts w:ascii="Times New Roman" w:hAnsi="Times New Roman" w:eastAsia="宋体" w:cs="Times New Roman"/>
                      <w:bCs/>
                      <w:szCs w:val="21"/>
                    </w:rPr>
                    <w:t>65</w:t>
                  </w:r>
                </w:p>
              </w:tc>
              <w:tc>
                <w:tcPr>
                  <w:tcW w:w="1309" w:type="dxa"/>
                  <w:tcBorders>
                    <w:tl2br w:val="nil"/>
                    <w:tr2bl w:val="nil"/>
                  </w:tcBorders>
                  <w:shd w:val="clear" w:color="auto" w:fill="FFFFFF"/>
                  <w:vAlign w:val="center"/>
                </w:tcPr>
                <w:p w14:paraId="6283CD34">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7A877BA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1" w:hRule="exact"/>
                <w:jc w:val="center"/>
              </w:trPr>
              <w:tc>
                <w:tcPr>
                  <w:tcW w:w="1032" w:type="dxa"/>
                  <w:tcBorders>
                    <w:tl2br w:val="nil"/>
                    <w:tr2bl w:val="nil"/>
                  </w:tcBorders>
                  <w:shd w:val="clear" w:color="auto" w:fill="FFFFFF"/>
                  <w:vAlign w:val="center"/>
                </w:tcPr>
                <w:p w14:paraId="21A968FF">
                  <w:pPr>
                    <w:jc w:val="center"/>
                    <w:rPr>
                      <w:rFonts w:ascii="Times New Roman" w:hAnsi="Times New Roman" w:eastAsia="宋体" w:cs="Times New Roman"/>
                      <w:bCs/>
                      <w:szCs w:val="21"/>
                    </w:rPr>
                  </w:pPr>
                  <w:r>
                    <w:rPr>
                      <w:rFonts w:ascii="Times New Roman" w:hAnsi="Times New Roman" w:eastAsia="宋体" w:cs="Times New Roman"/>
                      <w:bCs/>
                      <w:szCs w:val="21"/>
                    </w:rPr>
                    <w:t>西侧</w:t>
                  </w:r>
                </w:p>
              </w:tc>
              <w:tc>
                <w:tcPr>
                  <w:tcW w:w="803" w:type="dxa"/>
                  <w:tcBorders>
                    <w:tl2br w:val="nil"/>
                    <w:tr2bl w:val="nil"/>
                  </w:tcBorders>
                  <w:shd w:val="clear" w:color="auto" w:fill="FFFFFF"/>
                  <w:vAlign w:val="center"/>
                </w:tcPr>
                <w:p w14:paraId="7B2DD0AE">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-48.9</w:t>
                  </w:r>
                </w:p>
              </w:tc>
              <w:tc>
                <w:tcPr>
                  <w:tcW w:w="968" w:type="dxa"/>
                  <w:tcBorders>
                    <w:tl2br w:val="nil"/>
                    <w:tr2bl w:val="nil"/>
                  </w:tcBorders>
                  <w:shd w:val="clear" w:color="auto" w:fill="FFFFFF"/>
                  <w:vAlign w:val="center"/>
                </w:tcPr>
                <w:p w14:paraId="27AB9F72">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-7.2</w:t>
                  </w:r>
                </w:p>
              </w:tc>
              <w:tc>
                <w:tcPr>
                  <w:tcW w:w="859" w:type="dxa"/>
                  <w:tcBorders>
                    <w:tl2br w:val="nil"/>
                    <w:tr2bl w:val="nil"/>
                  </w:tcBorders>
                  <w:shd w:val="clear" w:color="auto" w:fill="FFFFFF"/>
                  <w:vAlign w:val="center"/>
                </w:tcPr>
                <w:p w14:paraId="7E10922E">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1.2</w:t>
                  </w:r>
                </w:p>
              </w:tc>
              <w:tc>
                <w:tcPr>
                  <w:tcW w:w="996" w:type="dxa"/>
                  <w:tcBorders>
                    <w:tl2br w:val="nil"/>
                    <w:tr2bl w:val="nil"/>
                  </w:tcBorders>
                  <w:shd w:val="clear" w:color="auto" w:fill="FFFFFF"/>
                  <w:vAlign w:val="center"/>
                </w:tcPr>
                <w:p w14:paraId="5CC4F0A3">
                  <w:pPr>
                    <w:jc w:val="center"/>
                    <w:rPr>
                      <w:rFonts w:ascii="Times New Roman" w:hAnsi="Times New Roman" w:eastAsia="宋体" w:cs="Times New Roman"/>
                      <w:bCs/>
                      <w:szCs w:val="21"/>
                    </w:rPr>
                  </w:pPr>
                  <w:r>
                    <w:rPr>
                      <w:rFonts w:ascii="Times New Roman" w:hAnsi="Times New Roman" w:eastAsia="宋体" w:cs="Times New Roman"/>
                      <w:bCs/>
                      <w:szCs w:val="21"/>
                    </w:rPr>
                    <w:t>昼间</w:t>
                  </w:r>
                </w:p>
              </w:tc>
              <w:tc>
                <w:tcPr>
                  <w:tcW w:w="1213" w:type="dxa"/>
                  <w:tcBorders>
                    <w:tl2br w:val="nil"/>
                    <w:tr2bl w:val="nil"/>
                  </w:tcBorders>
                  <w:shd w:val="clear" w:color="auto" w:fill="FFFFFF"/>
                  <w:vAlign w:val="center"/>
                </w:tcPr>
                <w:p w14:paraId="0A5075DC">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54</w:t>
                  </w:r>
                </w:p>
              </w:tc>
              <w:tc>
                <w:tcPr>
                  <w:tcW w:w="1091" w:type="dxa"/>
                  <w:tcBorders>
                    <w:tl2br w:val="nil"/>
                    <w:tr2bl w:val="nil"/>
                  </w:tcBorders>
                  <w:shd w:val="clear" w:color="auto" w:fill="FFFFFF"/>
                  <w:vAlign w:val="center"/>
                </w:tcPr>
                <w:p w14:paraId="4BC627D4">
                  <w:pPr>
                    <w:jc w:val="center"/>
                    <w:rPr>
                      <w:rFonts w:ascii="Times New Roman" w:hAnsi="Times New Roman" w:eastAsia="宋体" w:cs="Times New Roman"/>
                      <w:bCs/>
                      <w:szCs w:val="21"/>
                    </w:rPr>
                  </w:pPr>
                  <w:r>
                    <w:rPr>
                      <w:rFonts w:ascii="Times New Roman" w:hAnsi="Times New Roman" w:eastAsia="宋体" w:cs="Times New Roman"/>
                      <w:bCs/>
                      <w:szCs w:val="21"/>
                    </w:rPr>
                    <w:t>65</w:t>
                  </w:r>
                </w:p>
              </w:tc>
              <w:tc>
                <w:tcPr>
                  <w:tcW w:w="1309" w:type="dxa"/>
                  <w:tcBorders>
                    <w:tl2br w:val="nil"/>
                    <w:tr2bl w:val="nil"/>
                  </w:tcBorders>
                  <w:shd w:val="clear" w:color="auto" w:fill="FFFFFF"/>
                  <w:vAlign w:val="center"/>
                </w:tcPr>
                <w:p w14:paraId="0BF2BE9E">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03A1027B">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3" w:hRule="exact"/>
                <w:jc w:val="center"/>
              </w:trPr>
              <w:tc>
                <w:tcPr>
                  <w:tcW w:w="1032" w:type="dxa"/>
                  <w:tcBorders>
                    <w:tl2br w:val="nil"/>
                    <w:tr2bl w:val="nil"/>
                  </w:tcBorders>
                  <w:shd w:val="clear" w:color="auto" w:fill="FFFFFF"/>
                  <w:vAlign w:val="center"/>
                </w:tcPr>
                <w:p w14:paraId="3A9EAD39">
                  <w:pPr>
                    <w:jc w:val="center"/>
                    <w:rPr>
                      <w:rFonts w:ascii="Times New Roman" w:hAnsi="Times New Roman" w:eastAsia="宋体" w:cs="Times New Roman"/>
                      <w:bCs/>
                      <w:szCs w:val="21"/>
                    </w:rPr>
                  </w:pPr>
                  <w:r>
                    <w:rPr>
                      <w:rFonts w:ascii="Times New Roman" w:hAnsi="Times New Roman" w:eastAsia="宋体" w:cs="Times New Roman"/>
                      <w:bCs/>
                      <w:szCs w:val="21"/>
                    </w:rPr>
                    <w:t>北侧</w:t>
                  </w:r>
                </w:p>
              </w:tc>
              <w:tc>
                <w:tcPr>
                  <w:tcW w:w="803" w:type="dxa"/>
                  <w:tcBorders>
                    <w:tl2br w:val="nil"/>
                    <w:tr2bl w:val="nil"/>
                  </w:tcBorders>
                  <w:shd w:val="clear" w:color="auto" w:fill="FFFFFF"/>
                  <w:vAlign w:val="center"/>
                </w:tcPr>
                <w:p w14:paraId="74684689">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r>
                    <w:rPr>
                      <w:rFonts w:hint="eastAsia" w:ascii="Times New Roman" w:hAnsi="Times New Roman" w:eastAsia="宋体" w:cs="Times New Roman"/>
                      <w:bCs/>
                      <w:szCs w:val="21"/>
                      <w:lang w:val="en-US" w:eastAsia="zh-CN"/>
                    </w:rPr>
                    <w:t>15</w:t>
                  </w:r>
                  <w:r>
                    <w:rPr>
                      <w:rFonts w:hint="eastAsia" w:ascii="Times New Roman" w:hAnsi="Times New Roman" w:eastAsia="宋体" w:cs="Times New Roman"/>
                      <w:bCs/>
                      <w:szCs w:val="21"/>
                    </w:rPr>
                    <w:t>.9</w:t>
                  </w:r>
                </w:p>
              </w:tc>
              <w:tc>
                <w:tcPr>
                  <w:tcW w:w="968" w:type="dxa"/>
                  <w:tcBorders>
                    <w:tl2br w:val="nil"/>
                    <w:tr2bl w:val="nil"/>
                  </w:tcBorders>
                  <w:shd w:val="clear" w:color="auto" w:fill="FFFFFF"/>
                  <w:vAlign w:val="center"/>
                </w:tcPr>
                <w:p w14:paraId="5F66E603">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27.6</w:t>
                  </w:r>
                </w:p>
              </w:tc>
              <w:tc>
                <w:tcPr>
                  <w:tcW w:w="859" w:type="dxa"/>
                  <w:tcBorders>
                    <w:tl2br w:val="nil"/>
                    <w:tr2bl w:val="nil"/>
                  </w:tcBorders>
                  <w:shd w:val="clear" w:color="auto" w:fill="FFFFFF"/>
                  <w:vAlign w:val="center"/>
                </w:tcPr>
                <w:p w14:paraId="0992DED4">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1.2</w:t>
                  </w:r>
                </w:p>
              </w:tc>
              <w:tc>
                <w:tcPr>
                  <w:tcW w:w="996" w:type="dxa"/>
                  <w:tcBorders>
                    <w:tl2br w:val="nil"/>
                    <w:tr2bl w:val="nil"/>
                  </w:tcBorders>
                  <w:shd w:val="clear" w:color="auto" w:fill="FFFFFF"/>
                  <w:vAlign w:val="center"/>
                </w:tcPr>
                <w:p w14:paraId="627B2768">
                  <w:pPr>
                    <w:jc w:val="center"/>
                    <w:rPr>
                      <w:rFonts w:ascii="Times New Roman" w:hAnsi="Times New Roman" w:eastAsia="宋体" w:cs="Times New Roman"/>
                      <w:bCs/>
                      <w:szCs w:val="21"/>
                    </w:rPr>
                  </w:pPr>
                  <w:r>
                    <w:rPr>
                      <w:rFonts w:ascii="Times New Roman" w:hAnsi="Times New Roman" w:eastAsia="宋体" w:cs="Times New Roman"/>
                      <w:bCs/>
                      <w:szCs w:val="21"/>
                    </w:rPr>
                    <w:t>昼间</w:t>
                  </w:r>
                </w:p>
              </w:tc>
              <w:tc>
                <w:tcPr>
                  <w:tcW w:w="1213" w:type="dxa"/>
                  <w:tcBorders>
                    <w:tl2br w:val="nil"/>
                    <w:tr2bl w:val="nil"/>
                  </w:tcBorders>
                  <w:shd w:val="clear" w:color="auto" w:fill="FFFFFF"/>
                  <w:vAlign w:val="center"/>
                </w:tcPr>
                <w:p w14:paraId="29A3AA0F">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56</w:t>
                  </w:r>
                </w:p>
              </w:tc>
              <w:tc>
                <w:tcPr>
                  <w:tcW w:w="1091" w:type="dxa"/>
                  <w:tcBorders>
                    <w:tl2br w:val="nil"/>
                    <w:tr2bl w:val="nil"/>
                  </w:tcBorders>
                  <w:shd w:val="clear" w:color="auto" w:fill="FFFFFF"/>
                  <w:vAlign w:val="center"/>
                </w:tcPr>
                <w:p w14:paraId="06BFBCCC">
                  <w:pPr>
                    <w:jc w:val="center"/>
                    <w:rPr>
                      <w:rFonts w:ascii="Times New Roman" w:hAnsi="Times New Roman" w:eastAsia="宋体" w:cs="Times New Roman"/>
                      <w:bCs/>
                      <w:szCs w:val="21"/>
                    </w:rPr>
                  </w:pPr>
                  <w:r>
                    <w:rPr>
                      <w:rFonts w:ascii="Times New Roman" w:hAnsi="Times New Roman" w:eastAsia="宋体" w:cs="Times New Roman"/>
                      <w:bCs/>
                      <w:szCs w:val="21"/>
                    </w:rPr>
                    <w:t>65</w:t>
                  </w:r>
                </w:p>
              </w:tc>
              <w:tc>
                <w:tcPr>
                  <w:tcW w:w="1309" w:type="dxa"/>
                  <w:tcBorders>
                    <w:tl2br w:val="nil"/>
                    <w:tr2bl w:val="nil"/>
                  </w:tcBorders>
                  <w:shd w:val="clear" w:color="auto" w:fill="FFFFFF"/>
                  <w:vAlign w:val="center"/>
                </w:tcPr>
                <w:p w14:paraId="04BA8C32">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bl>
          <w:p w14:paraId="52E8D185">
            <w:pPr>
              <w:pStyle w:val="45"/>
              <w:ind w:firstLine="0" w:firstLineChars="0"/>
              <w:rPr>
                <w:sz w:val="18"/>
                <w:szCs w:val="18"/>
              </w:rPr>
            </w:pPr>
            <w:r>
              <w:rPr>
                <w:rFonts w:ascii="Times New Roman" w:hAnsi="Times New Roman" w:cs="Times New Roman"/>
                <w:bCs/>
                <w:sz w:val="18"/>
                <w:szCs w:val="18"/>
              </w:rPr>
              <w:t>表中坐标以厂界中心（106.318382</w:t>
            </w:r>
            <w:r>
              <w:rPr>
                <w:rFonts w:hint="eastAsia" w:ascii="Times New Roman" w:hAnsi="Times New Roman" w:cs="Times New Roman"/>
                <w:bCs/>
                <w:sz w:val="18"/>
                <w:szCs w:val="18"/>
              </w:rPr>
              <w:t>，</w:t>
            </w:r>
            <w:r>
              <w:rPr>
                <w:rFonts w:ascii="Times New Roman" w:hAnsi="Times New Roman" w:cs="Times New Roman"/>
                <w:bCs/>
                <w:sz w:val="18"/>
                <w:szCs w:val="18"/>
              </w:rPr>
              <w:t>29.324661）为坐标原点，正东向为X轴正方向，正北向为Y轴正方向</w:t>
            </w:r>
          </w:p>
          <w:p w14:paraId="48BAB4EE">
            <w:pPr>
              <w:pStyle w:val="45"/>
              <w:spacing w:line="360" w:lineRule="auto"/>
              <w:rPr>
                <w:rFonts w:ascii="Times New Roman" w:hAnsi="Times New Roman" w:eastAsia="宋体" w:cs="Times New Roman"/>
                <w:sz w:val="24"/>
              </w:rPr>
            </w:pPr>
            <w:r>
              <w:rPr>
                <w:rFonts w:ascii="Times New Roman" w:hAnsi="Times New Roman" w:cs="Times New Roman"/>
                <w:sz w:val="24"/>
              </w:rPr>
              <w:t>由预测结果可</w:t>
            </w:r>
            <w:r>
              <w:rPr>
                <w:rFonts w:hint="eastAsia" w:ascii="Times New Roman" w:hAnsi="Times New Roman" w:cs="Times New Roman"/>
                <w:sz w:val="24"/>
              </w:rPr>
              <w:t>知</w:t>
            </w:r>
            <w:r>
              <w:rPr>
                <w:rFonts w:ascii="Times New Roman" w:hAnsi="Times New Roman" w:cs="Times New Roman"/>
                <w:sz w:val="24"/>
              </w:rPr>
              <w:t>，项目仅昼间运行，项目通过采取有效噪声污染防治措施后，</w:t>
            </w:r>
            <w:r>
              <w:rPr>
                <w:rFonts w:ascii="Times New Roman" w:hAnsi="Times New Roman" w:eastAsia="宋体" w:cs="Times New Roman"/>
                <w:sz w:val="24"/>
              </w:rPr>
              <w:t>各厂界昼间噪声贡献值</w:t>
            </w:r>
            <w:r>
              <w:rPr>
                <w:rFonts w:ascii="Times New Roman" w:hAnsi="Times New Roman" w:cs="Times New Roman"/>
                <w:sz w:val="24"/>
              </w:rPr>
              <w:t>可满足《工业企业厂界环境噪声排放标准》（GB12348-2008）3类标准要求</w:t>
            </w:r>
            <w:r>
              <w:rPr>
                <w:rFonts w:ascii="Times New Roman" w:hAnsi="Times New Roman" w:eastAsia="宋体" w:cs="Times New Roman"/>
                <w:sz w:val="24"/>
              </w:rPr>
              <w:t>。</w:t>
            </w:r>
          </w:p>
          <w:p w14:paraId="3DBBF197">
            <w:pPr>
              <w:pStyle w:val="3"/>
              <w:spacing w:line="360" w:lineRule="auto"/>
              <w:ind w:firstLine="482"/>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3）噪声防治措施</w:t>
            </w:r>
          </w:p>
          <w:p w14:paraId="6E30139B">
            <w:pPr>
              <w:pStyle w:val="45"/>
              <w:spacing w:line="360" w:lineRule="auto"/>
              <w:rPr>
                <w:rFonts w:ascii="Times New Roman" w:hAnsi="Times New Roman" w:eastAsia="宋体" w:cs="Times New Roman"/>
                <w:sz w:val="24"/>
              </w:rPr>
            </w:pPr>
            <w:r>
              <w:rPr>
                <w:rFonts w:ascii="Times New Roman" w:hAnsi="Times New Roman" w:eastAsia="宋体" w:cs="Times New Roman"/>
                <w:sz w:val="24"/>
              </w:rPr>
              <w:t>为了降低营运期噪声对周围环境的影响，项目采取以下噪声污染防治措施：</w:t>
            </w:r>
          </w:p>
          <w:p w14:paraId="456D14C6">
            <w:pPr>
              <w:pStyle w:val="45"/>
              <w:spacing w:line="360" w:lineRule="auto"/>
              <w:rPr>
                <w:rFonts w:ascii="Times New Roman" w:hAnsi="Times New Roman" w:eastAsia="宋体" w:cs="Times New Roman"/>
                <w:sz w:val="24"/>
              </w:rPr>
            </w:pPr>
            <w:r>
              <w:rPr>
                <w:rFonts w:ascii="Times New Roman" w:hAnsi="Times New Roman" w:eastAsia="宋体" w:cs="Times New Roman"/>
                <w:sz w:val="24"/>
              </w:rPr>
              <w:t>①在工艺设备选型时，应选用低噪声、节能型的先进设备，对</w:t>
            </w:r>
            <w:r>
              <w:rPr>
                <w:rFonts w:hint="eastAsia" w:ascii="Times New Roman" w:hAnsi="Times New Roman" w:eastAsia="宋体" w:cs="Times New Roman"/>
                <w:sz w:val="24"/>
                <w:lang w:eastAsia="zh-CN"/>
              </w:rPr>
              <w:t>振动</w:t>
            </w:r>
            <w:r>
              <w:rPr>
                <w:rFonts w:ascii="Times New Roman" w:hAnsi="Times New Roman" w:eastAsia="宋体" w:cs="Times New Roman"/>
                <w:sz w:val="24"/>
              </w:rPr>
              <w:t>大的设备采取相应的减震措施；</w:t>
            </w:r>
          </w:p>
          <w:p w14:paraId="04C2C653">
            <w:pPr>
              <w:pStyle w:val="45"/>
              <w:spacing w:line="360" w:lineRule="auto"/>
              <w:rPr>
                <w:rFonts w:ascii="Times New Roman" w:hAnsi="Times New Roman" w:eastAsia="宋体" w:cs="Times New Roman"/>
                <w:sz w:val="24"/>
              </w:rPr>
            </w:pPr>
            <w:r>
              <w:rPr>
                <w:rFonts w:ascii="Times New Roman" w:hAnsi="Times New Roman" w:eastAsia="宋体" w:cs="Times New Roman"/>
                <w:sz w:val="24"/>
              </w:rPr>
              <w:t>②定期保养和维护生产设备，减少机械摩擦、磨损和振动，降低噪声强度；合理安排生产时间，减少高噪声设备同时开启数量。</w:t>
            </w:r>
          </w:p>
          <w:p w14:paraId="3F3F2230">
            <w:pPr>
              <w:pStyle w:val="45"/>
              <w:spacing w:line="360" w:lineRule="auto"/>
              <w:rPr>
                <w:rFonts w:ascii="Times New Roman" w:hAnsi="Times New Roman" w:eastAsia="宋体" w:cs="Times New Roman"/>
                <w:sz w:val="24"/>
              </w:rPr>
            </w:pPr>
            <w:r>
              <w:rPr>
                <w:rFonts w:ascii="Times New Roman" w:hAnsi="Times New Roman" w:eastAsia="宋体" w:cs="Times New Roman"/>
                <w:sz w:val="24"/>
              </w:rPr>
              <w:t>③合理布置总平布置，高噪声设备设于生产区中央远离厂界，并利用建筑物来阻隔声波的传播，减少设备噪声对外环境影响。</w:t>
            </w:r>
          </w:p>
          <w:p w14:paraId="740F6294">
            <w:pPr>
              <w:pStyle w:val="45"/>
              <w:spacing w:line="360" w:lineRule="auto"/>
              <w:rPr>
                <w:rFonts w:ascii="Times New Roman" w:hAnsi="Times New Roman" w:eastAsia="宋体" w:cs="Times New Roman"/>
                <w:sz w:val="24"/>
              </w:rPr>
            </w:pPr>
            <w:r>
              <w:rPr>
                <w:rFonts w:ascii="Times New Roman" w:hAnsi="Times New Roman" w:eastAsia="宋体" w:cs="Times New Roman"/>
                <w:sz w:val="24"/>
              </w:rPr>
              <w:t>项目周边均为工业企业，50m范围内无学校、医院、居民区等声环境保护目标，项目采取相应噪声防治措施后，厂界噪声能够满足《工业企业厂界环境噪声排放标准》（GB12348-2008）3类标准，噪声对外环境影响较小。</w:t>
            </w:r>
          </w:p>
          <w:p w14:paraId="0D45AB20">
            <w:pPr>
              <w:pStyle w:val="3"/>
              <w:spacing w:line="360" w:lineRule="auto"/>
              <w:ind w:firstLine="482"/>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4）监测要求</w:t>
            </w:r>
          </w:p>
          <w:p w14:paraId="44C298B5">
            <w:pPr>
              <w:pStyle w:val="45"/>
              <w:spacing w:line="360" w:lineRule="auto"/>
              <w:rPr>
                <w:rFonts w:ascii="Times New Roman" w:hAnsi="Times New Roman" w:eastAsia="宋体" w:cs="Times New Roman"/>
                <w:sz w:val="24"/>
              </w:rPr>
            </w:pPr>
            <w:r>
              <w:rPr>
                <w:rFonts w:ascii="Times New Roman" w:hAnsi="Times New Roman" w:eastAsia="宋体" w:cs="Times New Roman"/>
                <w:sz w:val="24"/>
              </w:rPr>
              <w:t>根据《排污许可证申请与核发技术规范 工业噪声》（HJ1301-2023），制定运营期噪声监测计划，制定运营期噪声监测计划，详见</w:t>
            </w:r>
            <w:r>
              <w:rPr>
                <w:rFonts w:hint="eastAsia" w:ascii="Times New Roman" w:hAnsi="Times New Roman" w:eastAsia="宋体" w:cs="Times New Roman"/>
                <w:sz w:val="24"/>
              </w:rPr>
              <w:t>表4-2</w:t>
            </w:r>
            <w:r>
              <w:rPr>
                <w:rFonts w:hint="eastAsia" w:ascii="Times New Roman" w:hAnsi="Times New Roman" w:eastAsia="宋体" w:cs="Times New Roman"/>
                <w:sz w:val="24"/>
                <w:lang w:val="en-US" w:eastAsia="zh-CN"/>
              </w:rPr>
              <w:t>0</w:t>
            </w:r>
            <w:r>
              <w:rPr>
                <w:rFonts w:ascii="Times New Roman" w:hAnsi="Times New Roman" w:eastAsia="宋体" w:cs="Times New Roman"/>
                <w:sz w:val="24"/>
              </w:rPr>
              <w:t>。</w:t>
            </w:r>
          </w:p>
          <w:p w14:paraId="7869266D">
            <w:pPr>
              <w:pStyle w:val="46"/>
              <w:spacing w:beforeLines="0" w:line="360" w:lineRule="auto"/>
              <w:rPr>
                <w:rFonts w:ascii="Times New Roman" w:hAnsi="Times New Roman" w:eastAsia="宋体"/>
                <w:sz w:val="24"/>
              </w:rPr>
            </w:pPr>
            <w:bookmarkStart w:id="12" w:name="_Ref21561"/>
            <w:r>
              <w:rPr>
                <w:rFonts w:ascii="Times New Roman" w:hAnsi="Times New Roman" w:eastAsia="宋体"/>
                <w:sz w:val="24"/>
              </w:rPr>
              <w:t>表</w:t>
            </w:r>
            <w:bookmarkEnd w:id="12"/>
            <w:r>
              <w:rPr>
                <w:rFonts w:hint="eastAsia" w:ascii="Times New Roman" w:hAnsi="Times New Roman" w:eastAsia="宋体"/>
                <w:sz w:val="24"/>
              </w:rPr>
              <w:t>4-21</w:t>
            </w:r>
            <w:r>
              <w:rPr>
                <w:rFonts w:ascii="Times New Roman" w:hAnsi="Times New Roman" w:eastAsia="宋体"/>
                <w:sz w:val="24"/>
              </w:rPr>
              <w:t xml:space="preserve"> 环境监测计划</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28"/>
              <w:gridCol w:w="1018"/>
              <w:gridCol w:w="1378"/>
              <w:gridCol w:w="872"/>
              <w:gridCol w:w="856"/>
              <w:gridCol w:w="3490"/>
            </w:tblGrid>
            <w:tr w14:paraId="73C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74F41928">
                  <w:pPr>
                    <w:pStyle w:val="42"/>
                    <w:spacing w:before="31"/>
                    <w:rPr>
                      <w:rFonts w:ascii="Times New Roman" w:hAnsi="Times New Roman" w:eastAsia="宋体" w:cs="Times New Roman"/>
                      <w:b/>
                      <w:bCs/>
                    </w:rPr>
                  </w:pPr>
                  <w:r>
                    <w:rPr>
                      <w:rFonts w:ascii="Times New Roman" w:hAnsi="Times New Roman" w:eastAsia="宋体" w:cs="Times New Roman"/>
                      <w:b/>
                      <w:bCs/>
                    </w:rPr>
                    <w:t>监测项目</w:t>
                  </w:r>
                </w:p>
              </w:tc>
              <w:tc>
                <w:tcPr>
                  <w:tcW w:w="603" w:type="pct"/>
                  <w:vAlign w:val="center"/>
                </w:tcPr>
                <w:p w14:paraId="53761395">
                  <w:pPr>
                    <w:pStyle w:val="42"/>
                    <w:spacing w:before="31"/>
                    <w:rPr>
                      <w:rFonts w:ascii="Times New Roman" w:hAnsi="Times New Roman" w:eastAsia="宋体" w:cs="Times New Roman"/>
                      <w:b/>
                      <w:bCs/>
                    </w:rPr>
                  </w:pPr>
                  <w:r>
                    <w:rPr>
                      <w:rFonts w:ascii="Times New Roman" w:hAnsi="Times New Roman" w:eastAsia="宋体" w:cs="Times New Roman"/>
                      <w:b/>
                      <w:bCs/>
                    </w:rPr>
                    <w:t>污染源</w:t>
                  </w:r>
                </w:p>
              </w:tc>
              <w:tc>
                <w:tcPr>
                  <w:tcW w:w="816" w:type="pct"/>
                  <w:vAlign w:val="center"/>
                </w:tcPr>
                <w:p w14:paraId="73DA254D">
                  <w:pPr>
                    <w:pStyle w:val="42"/>
                    <w:spacing w:before="31"/>
                    <w:rPr>
                      <w:rFonts w:ascii="Times New Roman" w:hAnsi="Times New Roman" w:eastAsia="宋体" w:cs="Times New Roman"/>
                      <w:b/>
                      <w:bCs/>
                    </w:rPr>
                  </w:pPr>
                  <w:r>
                    <w:rPr>
                      <w:rFonts w:ascii="Times New Roman" w:hAnsi="Times New Roman" w:eastAsia="宋体" w:cs="Times New Roman"/>
                      <w:b/>
                      <w:bCs/>
                    </w:rPr>
                    <w:t>监测因子</w:t>
                  </w:r>
                </w:p>
              </w:tc>
              <w:tc>
                <w:tcPr>
                  <w:tcW w:w="516" w:type="pct"/>
                  <w:vAlign w:val="center"/>
                </w:tcPr>
                <w:p w14:paraId="12D5E393">
                  <w:pPr>
                    <w:pStyle w:val="42"/>
                    <w:spacing w:before="31"/>
                    <w:rPr>
                      <w:rFonts w:ascii="Times New Roman" w:hAnsi="Times New Roman" w:eastAsia="宋体" w:cs="Times New Roman"/>
                      <w:b/>
                      <w:bCs/>
                    </w:rPr>
                  </w:pPr>
                  <w:r>
                    <w:rPr>
                      <w:rFonts w:ascii="Times New Roman" w:hAnsi="Times New Roman" w:eastAsia="宋体" w:cs="Times New Roman"/>
                      <w:b/>
                      <w:bCs/>
                    </w:rPr>
                    <w:t>监测频率</w:t>
                  </w:r>
                </w:p>
              </w:tc>
              <w:tc>
                <w:tcPr>
                  <w:tcW w:w="507" w:type="pct"/>
                  <w:vAlign w:val="center"/>
                </w:tcPr>
                <w:p w14:paraId="328847C2">
                  <w:pPr>
                    <w:pStyle w:val="42"/>
                    <w:spacing w:before="31"/>
                    <w:rPr>
                      <w:rFonts w:ascii="Times New Roman" w:hAnsi="Times New Roman" w:eastAsia="宋体" w:cs="Times New Roman"/>
                      <w:b/>
                      <w:bCs/>
                    </w:rPr>
                  </w:pPr>
                  <w:r>
                    <w:rPr>
                      <w:rFonts w:ascii="Times New Roman" w:hAnsi="Times New Roman" w:eastAsia="宋体" w:cs="Times New Roman"/>
                      <w:b/>
                      <w:bCs/>
                    </w:rPr>
                    <w:t>监测点位</w:t>
                  </w:r>
                </w:p>
              </w:tc>
              <w:tc>
                <w:tcPr>
                  <w:tcW w:w="2066" w:type="pct"/>
                  <w:vAlign w:val="center"/>
                </w:tcPr>
                <w:p w14:paraId="3135B0A6">
                  <w:pPr>
                    <w:pStyle w:val="42"/>
                    <w:spacing w:before="31"/>
                    <w:rPr>
                      <w:rFonts w:ascii="Times New Roman" w:hAnsi="Times New Roman" w:eastAsia="宋体" w:cs="Times New Roman"/>
                      <w:b/>
                      <w:bCs/>
                    </w:rPr>
                  </w:pPr>
                  <w:r>
                    <w:rPr>
                      <w:rFonts w:ascii="Times New Roman" w:hAnsi="Times New Roman" w:eastAsia="宋体" w:cs="Times New Roman"/>
                      <w:b/>
                      <w:bCs/>
                    </w:rPr>
                    <w:t>执行标准</w:t>
                  </w:r>
                </w:p>
              </w:tc>
            </w:tr>
            <w:tr w14:paraId="03CD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254C7834">
                  <w:pPr>
                    <w:pStyle w:val="42"/>
                    <w:spacing w:before="31"/>
                    <w:rPr>
                      <w:rFonts w:ascii="Times New Roman" w:hAnsi="Times New Roman" w:eastAsia="宋体" w:cs="Times New Roman"/>
                    </w:rPr>
                  </w:pPr>
                  <w:r>
                    <w:rPr>
                      <w:rFonts w:ascii="Times New Roman" w:hAnsi="Times New Roman" w:eastAsia="宋体" w:cs="Times New Roman"/>
                    </w:rPr>
                    <w:t>噪声</w:t>
                  </w:r>
                </w:p>
              </w:tc>
              <w:tc>
                <w:tcPr>
                  <w:tcW w:w="603" w:type="pct"/>
                  <w:vAlign w:val="center"/>
                </w:tcPr>
                <w:p w14:paraId="01AC3624">
                  <w:pPr>
                    <w:pStyle w:val="42"/>
                    <w:spacing w:before="31"/>
                    <w:rPr>
                      <w:rFonts w:ascii="Times New Roman" w:hAnsi="Times New Roman" w:eastAsia="宋体" w:cs="Times New Roman"/>
                    </w:rPr>
                  </w:pPr>
                  <w:r>
                    <w:rPr>
                      <w:rFonts w:ascii="Times New Roman" w:hAnsi="Times New Roman" w:eastAsia="宋体" w:cs="Times New Roman"/>
                    </w:rPr>
                    <w:t>生产设备设施</w:t>
                  </w:r>
                </w:p>
              </w:tc>
              <w:tc>
                <w:tcPr>
                  <w:tcW w:w="816" w:type="pct"/>
                  <w:vAlign w:val="center"/>
                </w:tcPr>
                <w:p w14:paraId="46A5AEFC">
                  <w:pPr>
                    <w:pStyle w:val="42"/>
                    <w:spacing w:before="31"/>
                    <w:rPr>
                      <w:rFonts w:ascii="Times New Roman" w:hAnsi="Times New Roman" w:eastAsia="宋体" w:cs="Times New Roman"/>
                    </w:rPr>
                  </w:pPr>
                  <w:r>
                    <w:rPr>
                      <w:rFonts w:ascii="Times New Roman" w:hAnsi="Times New Roman" w:eastAsia="宋体" w:cs="Times New Roman"/>
                    </w:rPr>
                    <w:t>昼夜连续等效A声级</w:t>
                  </w:r>
                </w:p>
              </w:tc>
              <w:tc>
                <w:tcPr>
                  <w:tcW w:w="516" w:type="pct"/>
                  <w:vAlign w:val="center"/>
                </w:tcPr>
                <w:p w14:paraId="5D36E452">
                  <w:pPr>
                    <w:pStyle w:val="42"/>
                    <w:spacing w:before="31"/>
                    <w:rPr>
                      <w:rFonts w:ascii="Times New Roman" w:hAnsi="Times New Roman" w:eastAsia="宋体" w:cs="Times New Roman"/>
                    </w:rPr>
                  </w:pPr>
                  <w:r>
                    <w:rPr>
                      <w:rFonts w:ascii="Times New Roman" w:hAnsi="Times New Roman" w:eastAsia="宋体" w:cs="Times New Roman"/>
                    </w:rPr>
                    <w:t>每季一次</w:t>
                  </w:r>
                </w:p>
              </w:tc>
              <w:tc>
                <w:tcPr>
                  <w:tcW w:w="507" w:type="pct"/>
                  <w:vAlign w:val="center"/>
                </w:tcPr>
                <w:p w14:paraId="1DE2086A">
                  <w:pPr>
                    <w:pStyle w:val="42"/>
                    <w:spacing w:before="31"/>
                    <w:rPr>
                      <w:rFonts w:ascii="Times New Roman" w:hAnsi="Times New Roman" w:eastAsia="宋体" w:cs="Times New Roman"/>
                    </w:rPr>
                  </w:pPr>
                  <w:r>
                    <w:rPr>
                      <w:rFonts w:ascii="Times New Roman" w:hAnsi="Times New Roman" w:eastAsia="宋体" w:cs="Times New Roman"/>
                    </w:rPr>
                    <w:t>厂界外1m</w:t>
                  </w:r>
                </w:p>
              </w:tc>
              <w:tc>
                <w:tcPr>
                  <w:tcW w:w="2066" w:type="pct"/>
                  <w:vAlign w:val="center"/>
                </w:tcPr>
                <w:p w14:paraId="03699032">
                  <w:pPr>
                    <w:pStyle w:val="42"/>
                    <w:spacing w:before="31"/>
                    <w:rPr>
                      <w:rFonts w:ascii="Times New Roman" w:hAnsi="Times New Roman" w:eastAsia="宋体" w:cs="Times New Roman"/>
                    </w:rPr>
                  </w:pPr>
                  <w:r>
                    <w:rPr>
                      <w:rFonts w:ascii="Times New Roman" w:hAnsi="Times New Roman" w:eastAsia="宋体" w:cs="Times New Roman"/>
                    </w:rPr>
                    <w:t>《工业企业厂界环境噪声排放标准》（GB12348-2008）3类标准</w:t>
                  </w:r>
                </w:p>
              </w:tc>
            </w:tr>
          </w:tbl>
          <w:p w14:paraId="7D860729">
            <w:pPr>
              <w:pStyle w:val="22"/>
              <w:widowControl w:val="0"/>
              <w:spacing w:before="31" w:beforeLines="10" w:beforeAutospacing="0" w:after="31" w:afterLines="10" w:afterAutospacing="0" w:line="360"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eastAsia="zh-CN" w:bidi="ar"/>
              </w:rPr>
              <w:t>4.</w:t>
            </w:r>
            <w:r>
              <w:rPr>
                <w:rFonts w:hint="eastAsia" w:ascii="Times New Roman" w:hAnsi="Times New Roman" w:eastAsia="宋体" w:cs="宋体"/>
                <w:b/>
                <w:bCs/>
                <w:szCs w:val="24"/>
                <w:lang w:bidi="ar"/>
              </w:rPr>
              <w:t>运营期固废环境影响及环保措施：</w:t>
            </w:r>
          </w:p>
          <w:p w14:paraId="19CDB2CC">
            <w:pPr>
              <w:spacing w:before="31" w:beforeLines="10" w:after="31" w:afterLines="10" w:line="360" w:lineRule="auto"/>
              <w:ind w:firstLine="482" w:firstLineChars="200"/>
              <w:rPr>
                <w:rFonts w:ascii="Times New Roman" w:hAnsi="Times New Roman" w:cs="宋体"/>
                <w:b/>
                <w:bCs/>
                <w:sz w:val="24"/>
              </w:rPr>
            </w:pPr>
            <w:r>
              <w:rPr>
                <w:rFonts w:hint="eastAsia" w:ascii="Times New Roman" w:hAnsi="Times New Roman" w:cs="宋体"/>
                <w:b/>
                <w:bCs/>
                <w:sz w:val="24"/>
              </w:rPr>
              <w:t>（1）固体废物产生环节、产生量及处置方式</w:t>
            </w:r>
          </w:p>
          <w:p w14:paraId="0350FC2D">
            <w:pPr>
              <w:spacing w:line="372" w:lineRule="auto"/>
              <w:ind w:firstLine="480" w:firstLineChars="200"/>
              <w:rPr>
                <w:rFonts w:ascii="Times New Roman" w:hAnsi="Times New Roman" w:eastAsia="宋体"/>
                <w:sz w:val="24"/>
              </w:rPr>
            </w:pPr>
            <w:r>
              <w:rPr>
                <w:rFonts w:hint="eastAsia" w:ascii="Times New Roman" w:hAnsi="Times New Roman" w:eastAsia="宋体"/>
                <w:sz w:val="24"/>
              </w:rPr>
              <w:t>依据《国家危险废物名录（2025版）》和《固体废物鉴别标准通则》（GB 34330-2017）等相关文件进行判定，项目营运期产生的固体废物主要分为一般工业</w:t>
            </w:r>
            <w:r>
              <w:rPr>
                <w:rFonts w:hint="eastAsia" w:ascii="Times New Roman" w:hAnsi="Times New Roman" w:eastAsia="宋体"/>
                <w:sz w:val="24"/>
                <w:lang w:eastAsia="zh-CN"/>
              </w:rPr>
              <w:t>固体废物</w:t>
            </w:r>
            <w:r>
              <w:rPr>
                <w:rFonts w:hint="eastAsia" w:ascii="Times New Roman" w:hAnsi="Times New Roman" w:eastAsia="宋体"/>
                <w:sz w:val="24"/>
              </w:rPr>
              <w:t>、危险废物、生活垃圾三大类。</w:t>
            </w:r>
          </w:p>
          <w:p w14:paraId="54E70970">
            <w:pPr>
              <w:numPr>
                <w:ilvl w:val="0"/>
                <w:numId w:val="7"/>
              </w:numPr>
              <w:spacing w:before="31" w:beforeLines="10" w:after="31" w:afterLines="10" w:line="377" w:lineRule="auto"/>
              <w:ind w:left="0" w:firstLine="482" w:firstLineChars="200"/>
              <w:rPr>
                <w:rFonts w:ascii="Times New Roman" w:hAnsi="Times New Roman" w:eastAsia="宋体"/>
                <w:sz w:val="24"/>
              </w:rPr>
            </w:pPr>
            <w:r>
              <w:rPr>
                <w:rFonts w:hint="eastAsia" w:ascii="Times New Roman" w:hAnsi="Times New Roman" w:eastAsia="宋体"/>
                <w:b/>
                <w:bCs/>
                <w:sz w:val="24"/>
                <w:u w:val="single"/>
              </w:rPr>
              <w:t>一般固废</w:t>
            </w:r>
            <w:r>
              <w:rPr>
                <w:rFonts w:hint="eastAsia" w:ascii="Times New Roman" w:hAnsi="Times New Roman" w:eastAsia="宋体"/>
                <w:sz w:val="24"/>
              </w:rPr>
              <w:t>：主要为废边角料、不合格品、除尘灰等。</w:t>
            </w:r>
          </w:p>
          <w:p w14:paraId="3E61E548">
            <w:pPr>
              <w:spacing w:line="372" w:lineRule="auto"/>
              <w:ind w:firstLine="480" w:firstLineChars="200"/>
              <w:rPr>
                <w:rFonts w:ascii="Times New Roman" w:hAnsi="Times New Roman" w:eastAsia="宋体"/>
                <w:sz w:val="24"/>
              </w:rPr>
            </w:pPr>
            <w:r>
              <w:rPr>
                <w:rFonts w:ascii="Times New Roman" w:hAnsi="Times New Roman" w:eastAsia="宋体" w:cs="Arial"/>
                <w:sz w:val="24"/>
                <w:shd w:val="clear" w:color="auto" w:fill="FFFFFF"/>
              </w:rPr>
              <w:t>①</w:t>
            </w:r>
            <w:r>
              <w:rPr>
                <w:rFonts w:hint="eastAsia" w:ascii="Times New Roman" w:hAnsi="Times New Roman" w:eastAsia="宋体" w:cs="Arial"/>
                <w:sz w:val="24"/>
                <w:shd w:val="clear" w:color="auto" w:fill="FFFFFF"/>
              </w:rPr>
              <w:t xml:space="preserve"> </w:t>
            </w:r>
            <w:r>
              <w:rPr>
                <w:rFonts w:hint="eastAsia" w:ascii="Times New Roman" w:hAnsi="Times New Roman" w:eastAsia="宋体"/>
                <w:sz w:val="24"/>
                <w:lang w:eastAsia="zh-CN"/>
              </w:rPr>
              <w:t>边角料</w:t>
            </w:r>
            <w:r>
              <w:rPr>
                <w:rFonts w:hint="eastAsia" w:ascii="Times New Roman" w:hAnsi="Times New Roman" w:eastAsia="宋体"/>
                <w:sz w:val="24"/>
              </w:rPr>
              <w:t>：</w:t>
            </w:r>
            <w:r>
              <w:rPr>
                <w:rFonts w:hint="eastAsia" w:ascii="Times New Roman" w:hAnsi="Times New Roman" w:eastAsia="宋体"/>
                <w:sz w:val="24"/>
                <w:lang w:eastAsia="zh-CN"/>
              </w:rPr>
              <w:t>齐边工序</w:t>
            </w:r>
            <w:r>
              <w:rPr>
                <w:rFonts w:hint="eastAsia" w:ascii="Times New Roman" w:hAnsi="Times New Roman" w:eastAsia="宋体"/>
                <w:sz w:val="24"/>
              </w:rPr>
              <w:t>产生</w:t>
            </w:r>
            <w:r>
              <w:rPr>
                <w:rFonts w:hint="eastAsia" w:ascii="Times New Roman" w:hAnsi="Times New Roman" w:eastAsia="宋体"/>
                <w:sz w:val="24"/>
                <w:lang w:eastAsia="zh-CN"/>
              </w:rPr>
              <w:t>的边角料，产生</w:t>
            </w:r>
            <w:r>
              <w:rPr>
                <w:rFonts w:hint="eastAsia" w:ascii="Times New Roman" w:hAnsi="Times New Roman" w:eastAsia="宋体"/>
                <w:sz w:val="24"/>
              </w:rPr>
              <w:t>量约0.2t/a；</w:t>
            </w:r>
          </w:p>
          <w:p w14:paraId="108D1073">
            <w:pPr>
              <w:spacing w:line="372" w:lineRule="auto"/>
              <w:ind w:firstLine="480" w:firstLineChars="200"/>
              <w:rPr>
                <w:rFonts w:ascii="Times New Roman" w:hAnsi="Times New Roman" w:eastAsia="宋体" w:cs="Arial"/>
                <w:sz w:val="24"/>
                <w:shd w:val="clear" w:color="auto" w:fill="FFFFFF"/>
              </w:rPr>
            </w:pPr>
            <w:r>
              <w:rPr>
                <w:rFonts w:ascii="Times New Roman" w:hAnsi="Times New Roman" w:eastAsia="宋体" w:cs="Arial"/>
                <w:sz w:val="24"/>
                <w:shd w:val="clear" w:color="auto" w:fill="FFFFFF"/>
              </w:rPr>
              <w:t>②</w:t>
            </w:r>
            <w:r>
              <w:rPr>
                <w:rFonts w:hint="eastAsia" w:ascii="Times New Roman" w:hAnsi="Times New Roman" w:eastAsia="宋体" w:cs="Arial"/>
                <w:sz w:val="24"/>
                <w:shd w:val="clear" w:color="auto" w:fill="FFFFFF"/>
              </w:rPr>
              <w:t xml:space="preserve"> 除尘灰：</w:t>
            </w:r>
            <w:r>
              <w:rPr>
                <w:rFonts w:hint="eastAsia" w:ascii="Times New Roman" w:hAnsi="Times New Roman" w:eastAsia="宋体" w:cs="Arial"/>
                <w:sz w:val="24"/>
                <w:shd w:val="clear" w:color="auto" w:fill="FFFFFF"/>
                <w:lang w:eastAsia="zh-CN"/>
              </w:rPr>
              <w:t>齐边</w:t>
            </w:r>
            <w:r>
              <w:rPr>
                <w:rFonts w:hint="eastAsia" w:ascii="Times New Roman" w:hAnsi="Times New Roman" w:eastAsia="宋体" w:cs="Arial"/>
                <w:sz w:val="24"/>
                <w:shd w:val="clear" w:color="auto" w:fill="FFFFFF"/>
              </w:rPr>
              <w:t>工序废气处理设施会产生除尘灰，根据物料衡算，除尘灰产生量约</w:t>
            </w:r>
            <w:r>
              <w:rPr>
                <w:rFonts w:hint="eastAsia" w:ascii="Times New Roman" w:hAnsi="Times New Roman" w:eastAsia="宋体" w:cs="Arial"/>
                <w:sz w:val="24"/>
                <w:shd w:val="clear" w:color="auto" w:fill="FFFFFF"/>
                <w:lang w:val="en-US" w:eastAsia="zh-CN"/>
              </w:rPr>
              <w:t>0.09</w:t>
            </w:r>
            <w:r>
              <w:rPr>
                <w:rFonts w:hint="eastAsia" w:ascii="Times New Roman" w:hAnsi="Times New Roman" w:eastAsia="宋体" w:cs="Arial"/>
                <w:sz w:val="24"/>
                <w:shd w:val="clear" w:color="auto" w:fill="FFFFFF"/>
              </w:rPr>
              <w:t>t/a</w:t>
            </w:r>
          </w:p>
          <w:p w14:paraId="7C749617">
            <w:pPr>
              <w:spacing w:line="372" w:lineRule="auto"/>
              <w:ind w:firstLine="480" w:firstLineChars="200"/>
              <w:rPr>
                <w:rFonts w:ascii="Times New Roman" w:hAnsi="Times New Roman" w:eastAsia="宋体"/>
                <w:sz w:val="24"/>
              </w:rPr>
            </w:pPr>
            <w:r>
              <w:rPr>
                <w:rFonts w:hint="eastAsia" w:ascii="Times New Roman" w:hAnsi="Times New Roman" w:eastAsia="宋体"/>
                <w:sz w:val="24"/>
              </w:rPr>
              <w:t>项目运营期一般固废经收集后</w:t>
            </w:r>
            <w:r>
              <w:rPr>
                <w:rFonts w:hint="eastAsia" w:ascii="Times New Roman" w:hAnsi="Times New Roman" w:eastAsia="宋体"/>
                <w:sz w:val="24"/>
                <w:lang w:eastAsia="zh-CN"/>
              </w:rPr>
              <w:t>暂存于厂区</w:t>
            </w:r>
            <w:r>
              <w:rPr>
                <w:rFonts w:hint="eastAsia" w:ascii="Times New Roman" w:hAnsi="Times New Roman" w:eastAsia="宋体"/>
                <w:sz w:val="24"/>
              </w:rPr>
              <w:t>设置的一般固废暂存区（面积约</w:t>
            </w:r>
            <w:r>
              <w:rPr>
                <w:rFonts w:hint="eastAsia" w:ascii="Times New Roman" w:hAnsi="Times New Roman" w:eastAsia="宋体"/>
                <w:sz w:val="24"/>
                <w:lang w:val="en-US" w:eastAsia="zh-CN"/>
              </w:rPr>
              <w:t>10</w:t>
            </w:r>
            <w:r>
              <w:rPr>
                <w:rFonts w:hint="eastAsia" w:ascii="Times New Roman" w:hAnsi="Times New Roman" w:eastAsia="宋体"/>
                <w:sz w:val="24"/>
              </w:rPr>
              <w:t>m</w:t>
            </w:r>
            <w:r>
              <w:rPr>
                <w:rFonts w:hint="eastAsia" w:ascii="Times New Roman" w:hAnsi="Times New Roman" w:eastAsia="宋体"/>
                <w:sz w:val="24"/>
                <w:vertAlign w:val="superscript"/>
              </w:rPr>
              <w:t>2</w:t>
            </w:r>
            <w:r>
              <w:rPr>
                <w:rFonts w:hint="eastAsia" w:ascii="Times New Roman" w:hAnsi="Times New Roman" w:eastAsia="宋体"/>
                <w:sz w:val="24"/>
              </w:rPr>
              <w:t>），定期外售废旧资源回收单位回收综合利用。</w:t>
            </w:r>
          </w:p>
          <w:p w14:paraId="1FAEE013">
            <w:pPr>
              <w:numPr>
                <w:ilvl w:val="0"/>
                <w:numId w:val="7"/>
              </w:numPr>
              <w:spacing w:before="31" w:beforeLines="10" w:after="31" w:afterLines="10" w:line="377" w:lineRule="auto"/>
              <w:ind w:left="0" w:firstLine="482" w:firstLineChars="200"/>
              <w:rPr>
                <w:rFonts w:ascii="Times New Roman" w:hAnsi="Times New Roman" w:eastAsia="宋体"/>
                <w:sz w:val="24"/>
              </w:rPr>
            </w:pPr>
            <w:r>
              <w:rPr>
                <w:rFonts w:hint="eastAsia" w:ascii="Times New Roman" w:hAnsi="Times New Roman" w:eastAsia="宋体"/>
                <w:b/>
                <w:bCs/>
                <w:sz w:val="24"/>
                <w:u w:val="single"/>
              </w:rPr>
              <w:t>危险废物</w:t>
            </w:r>
            <w:r>
              <w:rPr>
                <w:rFonts w:hint="eastAsia" w:ascii="Times New Roman" w:hAnsi="Times New Roman" w:eastAsia="宋体"/>
                <w:sz w:val="24"/>
              </w:rPr>
              <w:t>：项目危险废物主要为废机油、废油桶、含油废棉纱手套、废活性炭、空压机废油液等。</w:t>
            </w:r>
            <w:r>
              <w:rPr>
                <w:rFonts w:hint="eastAsia" w:ascii="Times New Roman" w:hAnsi="Times New Roman" w:eastAsia="宋体"/>
                <w:sz w:val="24"/>
                <w:lang w:val="en-US" w:eastAsia="zh-CN"/>
              </w:rPr>
              <w:t xml:space="preserve"> </w:t>
            </w:r>
          </w:p>
          <w:p w14:paraId="12D70C27">
            <w:pPr>
              <w:spacing w:line="368" w:lineRule="auto"/>
              <w:ind w:firstLine="482" w:firstLineChars="200"/>
              <w:rPr>
                <w:rFonts w:hint="eastAsia" w:ascii="Times New Roman" w:hAnsi="Times New Roman" w:eastAsia="宋体" w:cs="Arial"/>
                <w:b w:val="0"/>
                <w:bCs w:val="0"/>
                <w:sz w:val="24"/>
                <w:shd w:val="clear" w:color="auto" w:fill="FFFFFF"/>
              </w:rPr>
            </w:pPr>
            <w:r>
              <w:rPr>
                <w:rFonts w:ascii="Times New Roman" w:hAnsi="Times New Roman" w:eastAsia="宋体" w:cs="Arial"/>
                <w:b/>
                <w:bCs/>
                <w:sz w:val="24"/>
                <w:shd w:val="clear" w:color="auto" w:fill="FFFFFF"/>
              </w:rPr>
              <w:t>①</w:t>
            </w:r>
            <w:r>
              <w:rPr>
                <w:rFonts w:hint="eastAsia" w:ascii="Times New Roman" w:hAnsi="Times New Roman" w:eastAsia="宋体" w:cs="Arial"/>
                <w:b/>
                <w:bCs/>
                <w:sz w:val="24"/>
                <w:shd w:val="clear" w:color="auto" w:fill="FFFFFF"/>
              </w:rPr>
              <w:t xml:space="preserve"> </w:t>
            </w:r>
            <w:r>
              <w:rPr>
                <w:rFonts w:hint="eastAsia" w:ascii="Times New Roman" w:hAnsi="Times New Roman" w:eastAsia="宋体" w:cs="Arial"/>
                <w:b w:val="0"/>
                <w:bCs w:val="0"/>
                <w:sz w:val="24"/>
                <w:shd w:val="clear" w:color="auto" w:fill="FFFFFF"/>
              </w:rPr>
              <w:t>废</w:t>
            </w:r>
            <w:r>
              <w:rPr>
                <w:rFonts w:hint="eastAsia" w:ascii="Times New Roman" w:hAnsi="Times New Roman" w:eastAsia="宋体" w:cs="Arial"/>
                <w:b w:val="0"/>
                <w:bCs w:val="0"/>
                <w:sz w:val="24"/>
                <w:shd w:val="clear" w:color="auto" w:fill="FFFFFF"/>
                <w:lang w:eastAsia="zh-CN"/>
              </w:rPr>
              <w:t>液压油</w:t>
            </w:r>
            <w:r>
              <w:rPr>
                <w:rFonts w:hint="eastAsia" w:ascii="Times New Roman" w:hAnsi="Times New Roman" w:eastAsia="宋体" w:cs="Arial"/>
                <w:b w:val="0"/>
                <w:bCs w:val="0"/>
                <w:sz w:val="24"/>
                <w:shd w:val="clear" w:color="auto" w:fill="FFFFFF"/>
              </w:rPr>
              <w:t>：</w:t>
            </w:r>
            <w:r>
              <w:rPr>
                <w:rFonts w:hint="eastAsia" w:ascii="Times New Roman" w:hAnsi="Times New Roman" w:eastAsia="宋体" w:cs="Arial"/>
                <w:b w:val="0"/>
                <w:bCs w:val="0"/>
                <w:sz w:val="24"/>
                <w:shd w:val="clear" w:color="auto" w:fill="FFFFFF"/>
                <w:lang w:eastAsia="zh-CN"/>
              </w:rPr>
              <w:t>热压机使用的废液压油，平均</w:t>
            </w:r>
            <w:r>
              <w:rPr>
                <w:rFonts w:hint="eastAsia" w:ascii="Times New Roman" w:hAnsi="Times New Roman" w:eastAsia="宋体" w:cs="Arial"/>
                <w:b w:val="0"/>
                <w:bCs w:val="0"/>
                <w:sz w:val="24"/>
                <w:shd w:val="clear" w:color="auto" w:fill="FFFFFF"/>
                <w:lang w:val="en-US" w:eastAsia="zh-CN"/>
              </w:rPr>
              <w:t>1年更换一次，</w:t>
            </w:r>
            <w:r>
              <w:rPr>
                <w:rFonts w:hint="eastAsia" w:ascii="Times New Roman" w:hAnsi="Times New Roman" w:eastAsia="宋体" w:cs="Arial"/>
                <w:b w:val="0"/>
                <w:bCs w:val="0"/>
                <w:sz w:val="24"/>
                <w:shd w:val="clear" w:color="auto" w:fill="FFFFFF"/>
              </w:rPr>
              <w:t>产生废</w:t>
            </w:r>
            <w:r>
              <w:rPr>
                <w:rFonts w:hint="eastAsia" w:ascii="Times New Roman" w:hAnsi="Times New Roman" w:eastAsia="宋体" w:cs="Arial"/>
                <w:b w:val="0"/>
                <w:bCs w:val="0"/>
                <w:sz w:val="24"/>
                <w:shd w:val="clear" w:color="auto" w:fill="FFFFFF"/>
                <w:lang w:eastAsia="zh-CN"/>
              </w:rPr>
              <w:t>液压</w:t>
            </w:r>
            <w:r>
              <w:rPr>
                <w:rFonts w:hint="eastAsia" w:ascii="Times New Roman" w:hAnsi="Times New Roman" w:eastAsia="宋体" w:cs="Arial"/>
                <w:b w:val="0"/>
                <w:bCs w:val="0"/>
                <w:sz w:val="24"/>
                <w:shd w:val="clear" w:color="auto" w:fill="FFFFFF"/>
              </w:rPr>
              <w:t>油，产生量约</w:t>
            </w:r>
            <w:r>
              <w:rPr>
                <w:rFonts w:hint="eastAsia" w:ascii="Times New Roman" w:hAnsi="Times New Roman" w:eastAsia="宋体" w:cs="Arial"/>
                <w:b w:val="0"/>
                <w:bCs w:val="0"/>
                <w:sz w:val="24"/>
                <w:shd w:val="clear" w:color="auto" w:fill="FFFFFF"/>
                <w:lang w:val="en-US" w:eastAsia="zh-CN"/>
              </w:rPr>
              <w:t>0.2</w:t>
            </w:r>
            <w:r>
              <w:rPr>
                <w:rFonts w:ascii="Times New Roman" w:hAnsi="Times New Roman" w:eastAsia="宋体" w:cs="Arial"/>
                <w:b w:val="0"/>
                <w:bCs w:val="0"/>
                <w:sz w:val="24"/>
                <w:shd w:val="clear" w:color="auto" w:fill="FFFFFF"/>
              </w:rPr>
              <w:t>t/a</w:t>
            </w:r>
            <w:r>
              <w:rPr>
                <w:rFonts w:hint="eastAsia" w:ascii="Times New Roman" w:hAnsi="Times New Roman" w:eastAsia="宋体" w:cs="Arial"/>
                <w:b w:val="0"/>
                <w:bCs w:val="0"/>
                <w:sz w:val="24"/>
                <w:shd w:val="clear" w:color="auto" w:fill="FFFFFF"/>
              </w:rPr>
              <w:t>，根据《国家危险废物名录》（2025年），废</w:t>
            </w:r>
            <w:r>
              <w:rPr>
                <w:rFonts w:hint="eastAsia" w:ascii="Times New Roman" w:hAnsi="Times New Roman" w:eastAsia="宋体" w:cs="Arial"/>
                <w:b w:val="0"/>
                <w:bCs w:val="0"/>
                <w:sz w:val="24"/>
                <w:shd w:val="clear" w:color="auto" w:fill="FFFFFF"/>
                <w:lang w:eastAsia="zh-CN"/>
              </w:rPr>
              <w:t>液压油</w:t>
            </w:r>
            <w:r>
              <w:rPr>
                <w:rFonts w:hint="eastAsia" w:ascii="Times New Roman" w:hAnsi="Times New Roman" w:eastAsia="宋体" w:cs="Arial"/>
                <w:b w:val="0"/>
                <w:bCs w:val="0"/>
                <w:sz w:val="24"/>
                <w:shd w:val="clear" w:color="auto" w:fill="FFFFFF"/>
              </w:rPr>
              <w:t>属于“HW08 900-</w:t>
            </w:r>
            <w:r>
              <w:rPr>
                <w:rFonts w:hint="eastAsia" w:ascii="Times New Roman" w:hAnsi="Times New Roman" w:eastAsia="宋体" w:cs="Arial"/>
                <w:b w:val="0"/>
                <w:bCs w:val="0"/>
                <w:sz w:val="24"/>
                <w:shd w:val="clear" w:color="auto" w:fill="FFFFFF"/>
                <w:lang w:val="en-US" w:eastAsia="zh-CN"/>
              </w:rPr>
              <w:t>218</w:t>
            </w:r>
            <w:r>
              <w:rPr>
                <w:rFonts w:hint="eastAsia" w:ascii="Times New Roman" w:hAnsi="Times New Roman" w:eastAsia="宋体" w:cs="Arial"/>
                <w:b w:val="0"/>
                <w:bCs w:val="0"/>
                <w:sz w:val="24"/>
                <w:shd w:val="clear" w:color="auto" w:fill="FFFFFF"/>
              </w:rPr>
              <w:t>-08</w:t>
            </w:r>
            <w:r>
              <w:rPr>
                <w:rFonts w:hint="eastAsia" w:ascii="Times New Roman" w:hAnsi="Times New Roman" w:eastAsia="宋体" w:cs="Arial"/>
                <w:b w:val="0"/>
                <w:bCs w:val="0"/>
                <w:sz w:val="24"/>
                <w:shd w:val="clear" w:color="auto" w:fill="FFFFFF"/>
                <w:lang w:val="en-US" w:eastAsia="zh-CN"/>
              </w:rPr>
              <w:t>液压设备维护、更换和拆解过程中产生的废液压油</w:t>
            </w:r>
            <w:r>
              <w:rPr>
                <w:rFonts w:hint="eastAsia" w:ascii="Times New Roman" w:hAnsi="Times New Roman" w:eastAsia="宋体" w:cs="Arial"/>
                <w:b w:val="0"/>
                <w:bCs w:val="0"/>
                <w:sz w:val="24"/>
                <w:shd w:val="clear" w:color="auto" w:fill="FFFFFF"/>
              </w:rPr>
              <w:t>”，在危废贮存点暂存，定期由资质单位收运处置。</w:t>
            </w:r>
          </w:p>
          <w:p w14:paraId="6B4081D3">
            <w:pPr>
              <w:spacing w:line="368" w:lineRule="auto"/>
              <w:ind w:firstLine="482" w:firstLineChars="200"/>
              <w:rPr>
                <w:rFonts w:hint="eastAsia" w:ascii="Times New Roman" w:hAnsi="Times New Roman" w:eastAsia="宋体" w:cs="Arial"/>
                <w:b w:val="0"/>
                <w:bCs w:val="0"/>
                <w:sz w:val="24"/>
                <w:shd w:val="clear" w:color="auto" w:fill="FFFFFF"/>
              </w:rPr>
            </w:pPr>
            <w:r>
              <w:rPr>
                <w:rFonts w:ascii="Times New Roman" w:hAnsi="Times New Roman" w:eastAsia="宋体" w:cs="Arial"/>
                <w:b/>
                <w:bCs/>
                <w:sz w:val="24"/>
                <w:shd w:val="clear" w:color="auto" w:fill="FFFFFF"/>
              </w:rPr>
              <w:t>②</w:t>
            </w:r>
            <w:r>
              <w:rPr>
                <w:rFonts w:hint="eastAsia" w:ascii="Times New Roman" w:hAnsi="Times New Roman" w:eastAsia="宋体" w:cs="Arial"/>
                <w:b w:val="0"/>
                <w:bCs w:val="0"/>
                <w:sz w:val="24"/>
                <w:shd w:val="clear" w:color="auto" w:fill="FFFFFF"/>
              </w:rPr>
              <w:t xml:space="preserve"> 废</w:t>
            </w:r>
            <w:r>
              <w:rPr>
                <w:rFonts w:hint="eastAsia" w:ascii="Times New Roman" w:hAnsi="Times New Roman" w:eastAsia="宋体" w:cs="Arial"/>
                <w:b w:val="0"/>
                <w:bCs w:val="0"/>
                <w:sz w:val="24"/>
                <w:shd w:val="clear" w:color="auto" w:fill="FFFFFF"/>
                <w:lang w:eastAsia="zh-CN"/>
              </w:rPr>
              <w:t>导热油</w:t>
            </w:r>
            <w:r>
              <w:rPr>
                <w:rFonts w:hint="eastAsia" w:ascii="Times New Roman" w:hAnsi="Times New Roman" w:eastAsia="宋体" w:cs="Arial"/>
                <w:b w:val="0"/>
                <w:bCs w:val="0"/>
                <w:sz w:val="24"/>
                <w:shd w:val="clear" w:color="auto" w:fill="FFFFFF"/>
              </w:rPr>
              <w:t>：</w:t>
            </w:r>
            <w:r>
              <w:rPr>
                <w:rFonts w:hint="eastAsia" w:ascii="Times New Roman" w:hAnsi="Times New Roman" w:eastAsia="宋体" w:cs="Arial"/>
                <w:b w:val="0"/>
                <w:bCs w:val="0"/>
                <w:sz w:val="24"/>
                <w:shd w:val="clear" w:color="auto" w:fill="FFFFFF"/>
                <w:lang w:eastAsia="zh-CN"/>
              </w:rPr>
              <w:t>项目</w:t>
            </w:r>
            <w:r>
              <w:rPr>
                <w:rFonts w:hint="eastAsia" w:ascii="Times New Roman" w:hAnsi="Times New Roman" w:eastAsia="宋体" w:cs="Arial"/>
                <w:b w:val="0"/>
                <w:bCs w:val="0"/>
                <w:sz w:val="24"/>
                <w:shd w:val="clear" w:color="auto" w:fill="FFFFFF"/>
                <w:lang w:val="en-US" w:eastAsia="zh-CN"/>
              </w:rPr>
              <w:t>3台模温机设备内导热油量共计约3t，涉及设计每5年更换一次，</w:t>
            </w:r>
            <w:r>
              <w:rPr>
                <w:rFonts w:hint="eastAsia" w:ascii="Times New Roman" w:hAnsi="Times New Roman" w:eastAsia="宋体" w:cs="Arial"/>
                <w:b w:val="0"/>
                <w:bCs w:val="0"/>
                <w:sz w:val="24"/>
                <w:shd w:val="clear" w:color="auto" w:fill="FFFFFF"/>
              </w:rPr>
              <w:t>产生量约</w:t>
            </w:r>
            <w:r>
              <w:rPr>
                <w:rFonts w:hint="eastAsia" w:ascii="Times New Roman" w:hAnsi="Times New Roman" w:eastAsia="宋体" w:cs="Arial"/>
                <w:b w:val="0"/>
                <w:bCs w:val="0"/>
                <w:sz w:val="24"/>
                <w:shd w:val="clear" w:color="auto" w:fill="FFFFFF"/>
                <w:lang w:val="en-US" w:eastAsia="zh-CN"/>
              </w:rPr>
              <w:t>0.6</w:t>
            </w:r>
            <w:r>
              <w:rPr>
                <w:rFonts w:ascii="Times New Roman" w:hAnsi="Times New Roman" w:eastAsia="宋体" w:cs="Arial"/>
                <w:b w:val="0"/>
                <w:bCs w:val="0"/>
                <w:sz w:val="24"/>
                <w:shd w:val="clear" w:color="auto" w:fill="FFFFFF"/>
              </w:rPr>
              <w:t>t/a</w:t>
            </w:r>
            <w:r>
              <w:rPr>
                <w:rFonts w:hint="eastAsia" w:ascii="Times New Roman" w:hAnsi="Times New Roman" w:eastAsia="宋体" w:cs="Arial"/>
                <w:b w:val="0"/>
                <w:bCs w:val="0"/>
                <w:sz w:val="24"/>
                <w:shd w:val="clear" w:color="auto" w:fill="FFFFFF"/>
              </w:rPr>
              <w:t>，根据《国家危险废物名录》（2025年），废</w:t>
            </w:r>
            <w:r>
              <w:rPr>
                <w:rFonts w:hint="eastAsia" w:ascii="Times New Roman" w:hAnsi="Times New Roman" w:eastAsia="宋体" w:cs="Arial"/>
                <w:b w:val="0"/>
                <w:bCs w:val="0"/>
                <w:sz w:val="24"/>
                <w:shd w:val="clear" w:color="auto" w:fill="FFFFFF"/>
                <w:lang w:eastAsia="zh-CN"/>
              </w:rPr>
              <w:t>导热油</w:t>
            </w:r>
            <w:r>
              <w:rPr>
                <w:rFonts w:hint="eastAsia" w:ascii="Times New Roman" w:hAnsi="Times New Roman" w:eastAsia="宋体" w:cs="Arial"/>
                <w:b w:val="0"/>
                <w:bCs w:val="0"/>
                <w:sz w:val="24"/>
                <w:shd w:val="clear" w:color="auto" w:fill="FFFFFF"/>
              </w:rPr>
              <w:t>属于“HW08 900-</w:t>
            </w:r>
            <w:r>
              <w:rPr>
                <w:rFonts w:hint="eastAsia" w:ascii="Times New Roman" w:hAnsi="Times New Roman" w:eastAsia="宋体" w:cs="Arial"/>
                <w:b w:val="0"/>
                <w:bCs w:val="0"/>
                <w:sz w:val="24"/>
                <w:shd w:val="clear" w:color="auto" w:fill="FFFFFF"/>
                <w:lang w:val="en-US" w:eastAsia="zh-CN"/>
              </w:rPr>
              <w:t>249</w:t>
            </w:r>
            <w:r>
              <w:rPr>
                <w:rFonts w:hint="eastAsia" w:ascii="Times New Roman" w:hAnsi="Times New Roman" w:eastAsia="宋体" w:cs="Arial"/>
                <w:b w:val="0"/>
                <w:bCs w:val="0"/>
                <w:sz w:val="24"/>
                <w:shd w:val="clear" w:color="auto" w:fill="FFFFFF"/>
              </w:rPr>
              <w:t>-08</w:t>
            </w:r>
            <w:r>
              <w:rPr>
                <w:rFonts w:hint="eastAsia" w:ascii="Times New Roman" w:hAnsi="Times New Roman" w:eastAsia="宋体" w:cs="Arial"/>
                <w:b w:val="0"/>
                <w:bCs w:val="0"/>
                <w:sz w:val="24"/>
                <w:shd w:val="clear" w:color="auto" w:fill="FFFFFF"/>
                <w:lang w:val="en-US" w:eastAsia="zh-CN"/>
              </w:rPr>
              <w:t>其他生产、销售、使用过程中产生的废矿物油及沾染矿物油的废弃包装物</w:t>
            </w:r>
            <w:r>
              <w:rPr>
                <w:rFonts w:hint="eastAsia" w:ascii="Times New Roman" w:hAnsi="Times New Roman" w:eastAsia="宋体" w:cs="Arial"/>
                <w:b w:val="0"/>
                <w:bCs w:val="0"/>
                <w:sz w:val="24"/>
                <w:shd w:val="clear" w:color="auto" w:fill="FFFFFF"/>
              </w:rPr>
              <w:t>”，在危废贮存点暂存，定期由资质单位收运处置。</w:t>
            </w:r>
          </w:p>
          <w:p w14:paraId="5EF9E013">
            <w:pPr>
              <w:spacing w:line="368" w:lineRule="auto"/>
              <w:ind w:firstLine="482" w:firstLineChars="200"/>
              <w:rPr>
                <w:rFonts w:ascii="Times New Roman" w:hAnsi="Times New Roman" w:eastAsia="宋体"/>
                <w:sz w:val="24"/>
              </w:rPr>
            </w:pPr>
            <w:r>
              <w:rPr>
                <w:rFonts w:ascii="Times New Roman" w:hAnsi="Times New Roman" w:eastAsia="宋体" w:cs="Arial"/>
                <w:b/>
                <w:bCs/>
                <w:sz w:val="24"/>
                <w:shd w:val="clear" w:color="auto" w:fill="FFFFFF"/>
              </w:rPr>
              <w:t>③</w:t>
            </w:r>
            <w:r>
              <w:rPr>
                <w:rFonts w:hint="eastAsia" w:ascii="Times New Roman" w:hAnsi="Times New Roman" w:eastAsia="宋体" w:cs="Arial"/>
                <w:b/>
                <w:bCs/>
                <w:sz w:val="24"/>
                <w:shd w:val="clear" w:color="auto" w:fill="FFFFFF"/>
              </w:rPr>
              <w:t xml:space="preserve"> </w:t>
            </w:r>
            <w:r>
              <w:rPr>
                <w:rFonts w:hint="eastAsia" w:ascii="Times New Roman" w:hAnsi="Times New Roman" w:eastAsia="宋体"/>
                <w:sz w:val="24"/>
              </w:rPr>
              <w:t>废油桶：项目</w:t>
            </w:r>
            <w:r>
              <w:rPr>
                <w:rFonts w:hint="eastAsia" w:ascii="Times New Roman" w:hAnsi="Times New Roman" w:eastAsia="宋体"/>
                <w:sz w:val="24"/>
                <w:lang w:eastAsia="zh-CN"/>
              </w:rPr>
              <w:t>液压油、导热油</w:t>
            </w:r>
            <w:r>
              <w:rPr>
                <w:rFonts w:hint="eastAsia" w:ascii="Times New Roman" w:hAnsi="Times New Roman" w:eastAsia="宋体"/>
                <w:sz w:val="24"/>
              </w:rPr>
              <w:t>等</w:t>
            </w:r>
            <w:r>
              <w:rPr>
                <w:rFonts w:hint="eastAsia" w:ascii="Times New Roman" w:hAnsi="Times New Roman" w:eastAsia="宋体"/>
                <w:sz w:val="24"/>
                <w:lang w:eastAsia="zh-CN"/>
              </w:rPr>
              <w:t>更换时产生的</w:t>
            </w:r>
            <w:r>
              <w:rPr>
                <w:rFonts w:hint="eastAsia" w:ascii="Times New Roman" w:hAnsi="Times New Roman" w:eastAsia="宋体"/>
                <w:sz w:val="24"/>
              </w:rPr>
              <w:t>废油桶</w:t>
            </w:r>
            <w:r>
              <w:rPr>
                <w:rFonts w:hint="eastAsia" w:ascii="Times New Roman" w:hAnsi="Times New Roman" w:eastAsia="宋体"/>
                <w:sz w:val="24"/>
                <w:lang w:eastAsia="zh-CN"/>
              </w:rPr>
              <w:t>，</w:t>
            </w:r>
            <w:r>
              <w:rPr>
                <w:rFonts w:hint="eastAsia" w:ascii="Times New Roman" w:hAnsi="Times New Roman" w:eastAsia="宋体"/>
                <w:sz w:val="24"/>
              </w:rPr>
              <w:t>产生量约0.</w:t>
            </w:r>
            <w:r>
              <w:rPr>
                <w:rFonts w:hint="eastAsia" w:ascii="Times New Roman" w:hAnsi="Times New Roman" w:eastAsia="宋体"/>
                <w:sz w:val="24"/>
                <w:lang w:val="en-US" w:eastAsia="zh-CN"/>
              </w:rPr>
              <w:t>1</w:t>
            </w:r>
            <w:r>
              <w:rPr>
                <w:rFonts w:hint="eastAsia" w:ascii="Times New Roman" w:hAnsi="Times New Roman" w:eastAsia="宋体"/>
                <w:sz w:val="24"/>
              </w:rPr>
              <w:t>t/a，根据《国家危险废物名录》（2025年），废油桶属于“HW08 900-249-08 含有或沾染毒性、感染性危险废物的废弃包装物、容器、过滤吸附介质”在危废贮存点暂存，定期由资质单位收运处置。</w:t>
            </w:r>
          </w:p>
          <w:p w14:paraId="331623AD">
            <w:pPr>
              <w:spacing w:line="368" w:lineRule="auto"/>
              <w:ind w:firstLine="482" w:firstLineChars="200"/>
              <w:rPr>
                <w:rFonts w:ascii="Times New Roman" w:hAnsi="Times New Roman" w:eastAsia="宋体"/>
                <w:b/>
                <w:bCs/>
                <w:sz w:val="24"/>
              </w:rPr>
            </w:pPr>
            <w:r>
              <w:rPr>
                <w:rFonts w:ascii="Times New Roman" w:hAnsi="Times New Roman" w:eastAsia="宋体" w:cs="Arial"/>
                <w:b/>
                <w:bCs/>
                <w:sz w:val="24"/>
                <w:shd w:val="clear" w:color="auto" w:fill="FFFFFF"/>
              </w:rPr>
              <w:t>④</w:t>
            </w:r>
            <w:r>
              <w:rPr>
                <w:rFonts w:hint="eastAsia" w:ascii="Times New Roman" w:hAnsi="Times New Roman" w:eastAsia="宋体" w:cs="Arial"/>
                <w:b/>
                <w:bCs/>
                <w:sz w:val="24"/>
                <w:shd w:val="clear" w:color="auto" w:fill="FFFFFF"/>
              </w:rPr>
              <w:t xml:space="preserve"> </w:t>
            </w:r>
            <w:r>
              <w:rPr>
                <w:rFonts w:hint="eastAsia" w:ascii="Times New Roman" w:hAnsi="Times New Roman" w:eastAsia="宋体"/>
                <w:sz w:val="24"/>
              </w:rPr>
              <w:t>含油废棉纱手套：项目含油废棉纱手套产生量为0.05t/a，根据《国家危险废物名录》（2025版），废棉纱手套属于“HW49 900-041-49含有或沾染毒性、感染性危险废物的废弃包装物、容器、过滤吸附介质”，收集后暂存于危废贮存点，定期交有相应危险废物处理资质的单位进行收运处置。</w:t>
            </w:r>
          </w:p>
          <w:p w14:paraId="73637777">
            <w:pPr>
              <w:spacing w:line="368" w:lineRule="auto"/>
              <w:ind w:firstLine="482" w:firstLineChars="200"/>
              <w:rPr>
                <w:rFonts w:ascii="Times New Roman" w:hAnsi="Times New Roman" w:eastAsia="宋体"/>
                <w:color w:val="auto"/>
                <w:sz w:val="24"/>
              </w:rPr>
            </w:pPr>
            <w:r>
              <w:rPr>
                <w:rFonts w:ascii="Times New Roman" w:hAnsi="Times New Roman" w:eastAsia="宋体" w:cs="Arial"/>
                <w:b/>
                <w:bCs/>
                <w:sz w:val="24"/>
                <w:shd w:val="clear" w:color="auto" w:fill="FFFFFF"/>
              </w:rPr>
              <w:fldChar w:fldCharType="begin"/>
            </w:r>
            <w:r>
              <w:rPr>
                <w:rFonts w:ascii="Times New Roman" w:hAnsi="Times New Roman" w:eastAsia="宋体" w:cs="Arial"/>
                <w:b/>
                <w:bCs/>
                <w:sz w:val="24"/>
                <w:shd w:val="clear" w:color="auto" w:fill="FFFFFF"/>
              </w:rPr>
              <w:instrText xml:space="preserve"> = 5 \* GB3 \* MERGEFORMAT </w:instrText>
            </w:r>
            <w:r>
              <w:rPr>
                <w:rFonts w:ascii="Times New Roman" w:hAnsi="Times New Roman" w:eastAsia="宋体" w:cs="Arial"/>
                <w:b/>
                <w:bCs/>
                <w:sz w:val="24"/>
                <w:shd w:val="clear" w:color="auto" w:fill="FFFFFF"/>
              </w:rPr>
              <w:fldChar w:fldCharType="separate"/>
            </w:r>
            <w:r>
              <w:rPr>
                <w:rFonts w:ascii="Times New Roman" w:hAnsi="Times New Roman" w:eastAsia="宋体" w:cs="Arial"/>
                <w:b/>
                <w:bCs/>
                <w:sz w:val="24"/>
                <w:shd w:val="clear" w:color="auto" w:fill="FFFFFF"/>
              </w:rPr>
              <w:t>⑤</w:t>
            </w:r>
            <w:r>
              <w:rPr>
                <w:rFonts w:ascii="Times New Roman" w:hAnsi="Times New Roman" w:eastAsia="宋体" w:cs="Arial"/>
                <w:b/>
                <w:bCs/>
                <w:sz w:val="24"/>
                <w:shd w:val="clear" w:color="auto" w:fill="FFFFFF"/>
              </w:rPr>
              <w:fldChar w:fldCharType="end"/>
            </w:r>
            <w:r>
              <w:rPr>
                <w:rFonts w:hint="eastAsia" w:ascii="Times New Roman" w:hAnsi="Times New Roman" w:eastAsia="宋体" w:cs="Arial"/>
                <w:b/>
                <w:bCs/>
                <w:sz w:val="24"/>
                <w:shd w:val="clear" w:color="auto" w:fill="FFFFFF"/>
              </w:rPr>
              <w:t xml:space="preserve"> </w:t>
            </w:r>
            <w:r>
              <w:rPr>
                <w:rFonts w:hint="eastAsia" w:ascii="Times New Roman" w:hAnsi="Times New Roman" w:eastAsia="宋体" w:cs="Arial"/>
                <w:sz w:val="24"/>
                <w:shd w:val="clear" w:color="auto" w:fill="FFFFFF"/>
              </w:rPr>
              <w:t>废活性炭、废过滤棉：项目固化废气采取“干式过滤+活性炭”工艺处置，定期产生废活性炭、废过滤棉。</w:t>
            </w:r>
            <w:r>
              <w:rPr>
                <w:rFonts w:hint="eastAsia" w:ascii="Times New Roman" w:hAnsi="Times New Roman" w:eastAsia="宋体"/>
                <w:sz w:val="24"/>
              </w:rPr>
              <w:t>根据《国家危险废物名录》（2025年），废气处理设施产生的废活性炭、废过滤棉</w:t>
            </w:r>
            <w:r>
              <w:rPr>
                <w:rFonts w:hint="eastAsia" w:ascii="Times New Roman" w:hAnsi="Times New Roman" w:eastAsia="宋体" w:cs="Arial"/>
                <w:sz w:val="24"/>
                <w:shd w:val="clear" w:color="auto" w:fill="FFFFFF"/>
              </w:rPr>
              <w:t>危废类别为“HW49其他废物”，代码900-039-49。项目喷粉固化活性炭吸附装置年吸附有机废气为</w:t>
            </w:r>
            <w:r>
              <w:rPr>
                <w:rFonts w:hint="eastAsia" w:ascii="Times New Roman" w:hAnsi="Times New Roman" w:eastAsia="宋体" w:cs="Arial"/>
                <w:sz w:val="24"/>
                <w:shd w:val="clear" w:color="auto" w:fill="FFFFFF"/>
                <w:lang w:val="en-US" w:eastAsia="zh-CN"/>
              </w:rPr>
              <w:t>0.83</w:t>
            </w:r>
            <w:r>
              <w:rPr>
                <w:rFonts w:hint="eastAsia" w:ascii="Times New Roman" w:hAnsi="Times New Roman" w:eastAsia="宋体" w:cs="Arial"/>
                <w:sz w:val="24"/>
                <w:shd w:val="clear" w:color="auto" w:fill="FFFFFF"/>
              </w:rPr>
              <w:t>t/a</w:t>
            </w:r>
            <w:r>
              <w:rPr>
                <w:rFonts w:hint="eastAsia" w:ascii="Times New Roman" w:hAnsi="Times New Roman" w:eastAsia="宋体" w:cs="Arial"/>
                <w:sz w:val="24"/>
                <w:shd w:val="clear" w:color="auto" w:fill="FFFFFF"/>
                <w:lang w:eastAsia="zh-CN"/>
              </w:rPr>
              <w:t>。</w:t>
            </w:r>
            <w:r>
              <w:rPr>
                <w:rFonts w:hint="default" w:ascii="Times New Roman" w:hAnsi="Times New Roman" w:cs="Times New Roman"/>
                <w:bCs/>
                <w:color w:val="000000" w:themeColor="text1"/>
                <w:sz w:val="24"/>
                <w:lang w:eastAsia="zh-CN"/>
                <w14:textFill>
                  <w14:solidFill>
                    <w14:schemeClr w14:val="tx1"/>
                  </w14:solidFill>
                </w14:textFill>
              </w:rPr>
              <w:t>根据</w:t>
            </w:r>
            <w:r>
              <w:rPr>
                <w:rFonts w:hint="default" w:ascii="Times New Roman" w:hAnsi="Times New Roman" w:cs="Times New Roman"/>
                <w:bCs/>
                <w:color w:val="000000" w:themeColor="text1"/>
                <w:sz w:val="24"/>
                <w14:textFill>
                  <w14:solidFill>
                    <w14:schemeClr w14:val="tx1"/>
                  </w14:solidFill>
                </w14:textFill>
              </w:rPr>
              <w:t>《吸附法工业有机废气治理工程技术规范》（HJ2026-2013）</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采用蜂窝活性炭时，气体流速宜低于1.20m/s的要求。活性炭的更换频率不多于3个月一次或不应超过累计运行500小时。</w:t>
            </w:r>
            <w:r>
              <w:rPr>
                <w:rFonts w:hint="default" w:ascii="Times New Roman" w:hAnsi="Times New Roman" w:cs="Times New Roman"/>
                <w:bCs/>
                <w:color w:val="auto"/>
                <w:sz w:val="24"/>
                <w:lang w:eastAsia="zh-CN"/>
              </w:rPr>
              <w:t>项目废气收集风量为</w:t>
            </w:r>
            <w:r>
              <w:rPr>
                <w:rFonts w:hint="eastAsia" w:ascii="Times New Roman" w:hAnsi="Times New Roman" w:cs="Times New Roman"/>
                <w:bCs/>
                <w:color w:val="auto"/>
                <w:sz w:val="24"/>
                <w:lang w:val="en-US" w:eastAsia="zh-CN"/>
              </w:rPr>
              <w:t>30000</w:t>
            </w:r>
            <w:r>
              <w:rPr>
                <w:rFonts w:hint="default" w:ascii="Times New Roman" w:hAnsi="Times New Roman" w:cs="Times New Roman"/>
                <w:bCs/>
                <w:color w:val="auto"/>
                <w:sz w:val="24"/>
                <w:lang w:val="en-US" w:eastAsia="zh-CN"/>
              </w:rPr>
              <w:t>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/h，</w:t>
            </w:r>
            <w:r>
              <w:rPr>
                <w:rFonts w:hint="default" w:ascii="Times New Roman" w:hAnsi="Times New Roman" w:cs="Times New Roman"/>
                <w:bCs/>
                <w:color w:val="auto"/>
                <w:sz w:val="24"/>
              </w:rPr>
              <w:t>气体流速</w:t>
            </w:r>
            <w:r>
              <w:rPr>
                <w:rFonts w:hint="default" w:ascii="Times New Roman" w:hAnsi="Times New Roman" w:cs="Times New Roman"/>
                <w:bCs/>
                <w:color w:val="auto"/>
                <w:sz w:val="24"/>
                <w:lang w:eastAsia="zh-CN"/>
              </w:rPr>
              <w:t>取</w:t>
            </w:r>
            <w:r>
              <w:rPr>
                <w:rFonts w:hint="default" w:ascii="Times New Roman" w:hAnsi="Times New Roman" w:cs="Times New Roman"/>
                <w:bCs/>
                <w:color w:val="auto"/>
                <w:sz w:val="24"/>
              </w:rPr>
              <w:t>1.2m/s</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活性炭厚度约</w:t>
            </w:r>
            <w:r>
              <w:rPr>
                <w:rFonts w:hint="eastAsia" w:ascii="Times New Roman" w:hAnsi="Times New Roman" w:cs="Times New Roman"/>
                <w:bCs/>
                <w:color w:val="auto"/>
                <w:sz w:val="24"/>
                <w:lang w:val="en-US" w:eastAsia="zh-CN"/>
              </w:rPr>
              <w:t>0.3</w:t>
            </w:r>
            <w:r>
              <w:rPr>
                <w:rFonts w:hint="default" w:ascii="Times New Roman" w:hAnsi="Times New Roman" w:cs="Times New Roman"/>
                <w:bCs/>
                <w:color w:val="auto"/>
                <w:sz w:val="24"/>
                <w:lang w:val="en-US" w:eastAsia="zh-CN"/>
              </w:rPr>
              <w:t>m，则本项目活性炭装填量不应小于</w:t>
            </w:r>
            <w:r>
              <w:rPr>
                <w:rFonts w:hint="eastAsia" w:ascii="Times New Roman" w:hAnsi="Times New Roman" w:cs="Times New Roman"/>
                <w:bCs/>
                <w:color w:val="auto"/>
                <w:sz w:val="24"/>
                <w:lang w:val="en-US" w:eastAsia="zh-CN"/>
              </w:rPr>
              <w:t>2.08</w:t>
            </w:r>
            <w:r>
              <w:rPr>
                <w:rFonts w:hint="default" w:ascii="Times New Roman" w:hAnsi="Times New Roman" w:cs="Times New Roman"/>
                <w:bCs/>
                <w:color w:val="auto"/>
                <w:sz w:val="24"/>
                <w:lang w:val="en-US" w:eastAsia="zh-CN"/>
              </w:rPr>
              <w:t>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，约</w:t>
            </w:r>
            <w:r>
              <w:rPr>
                <w:rFonts w:hint="eastAsia" w:ascii="Times New Roman" w:hAnsi="Times New Roman" w:cs="Times New Roman"/>
                <w:bCs/>
                <w:color w:val="auto"/>
                <w:sz w:val="24"/>
                <w:lang w:val="en-US" w:eastAsia="zh-CN"/>
              </w:rPr>
              <w:t>1.17</w:t>
            </w:r>
            <w:r>
              <w:rPr>
                <w:rFonts w:hint="default" w:ascii="Times New Roman" w:hAnsi="Times New Roman" w:cs="Times New Roman"/>
                <w:bCs/>
                <w:color w:val="auto"/>
                <w:sz w:val="24"/>
                <w:lang w:val="en-US" w:eastAsia="zh-CN"/>
              </w:rPr>
              <w:t>t。</w:t>
            </w:r>
            <w:r>
              <w:rPr>
                <w:rFonts w:hint="eastAsia" w:ascii="Times New Roman" w:hAnsi="Times New Roman" w:eastAsia="宋体" w:cs="Arial"/>
                <w:color w:val="auto"/>
                <w:sz w:val="24"/>
                <w:shd w:val="clear" w:color="auto" w:fill="FFFFFF"/>
              </w:rPr>
              <w:t>则废活性炭产生量约</w:t>
            </w:r>
            <w:r>
              <w:rPr>
                <w:rFonts w:hint="eastAsia" w:ascii="Times New Roman" w:hAnsi="Times New Roman" w:eastAsia="宋体" w:cs="Arial"/>
                <w:color w:val="auto"/>
                <w:sz w:val="24"/>
                <w:shd w:val="clear" w:color="auto" w:fill="FFFFFF"/>
                <w:lang w:val="en-US" w:eastAsia="zh-CN"/>
              </w:rPr>
              <w:t>5.53</w:t>
            </w:r>
            <w:r>
              <w:rPr>
                <w:rFonts w:hint="eastAsia" w:ascii="Times New Roman" w:hAnsi="Times New Roman" w:eastAsia="宋体" w:cs="Arial"/>
                <w:color w:val="auto"/>
                <w:sz w:val="24"/>
                <w:shd w:val="clear" w:color="auto" w:fill="FFFFFF"/>
              </w:rPr>
              <w:t>t/a。过滤棉的产生量约为0.05t/a。</w:t>
            </w:r>
            <w:r>
              <w:rPr>
                <w:rFonts w:hint="eastAsia" w:ascii="Times New Roman" w:hAnsi="Times New Roman" w:eastAsia="宋体"/>
                <w:color w:val="auto"/>
                <w:sz w:val="24"/>
              </w:rPr>
              <w:t>定期由资质单位收运处置。</w:t>
            </w:r>
          </w:p>
          <w:p w14:paraId="49EB0558">
            <w:pPr>
              <w:spacing w:line="368" w:lineRule="auto"/>
              <w:ind w:firstLine="482" w:firstLineChars="200"/>
              <w:rPr>
                <w:rFonts w:ascii="Times New Roman" w:hAnsi="Times New Roman" w:eastAsia="宋体" w:cs="Arial"/>
                <w:sz w:val="24"/>
                <w:shd w:val="clear" w:color="auto" w:fill="FFFFFF"/>
              </w:rPr>
            </w:pPr>
            <w:r>
              <w:rPr>
                <w:rFonts w:hint="eastAsia" w:ascii="Times New Roman" w:hAnsi="Times New Roman" w:eastAsia="宋体" w:cs="Arial"/>
                <w:b/>
                <w:bCs/>
                <w:sz w:val="24"/>
                <w:shd w:val="clear" w:color="auto" w:fill="FFFFFF"/>
              </w:rPr>
              <w:fldChar w:fldCharType="begin"/>
            </w:r>
            <w:r>
              <w:rPr>
                <w:rFonts w:hint="eastAsia" w:ascii="Times New Roman" w:hAnsi="Times New Roman" w:eastAsia="宋体" w:cs="Arial"/>
                <w:b/>
                <w:bCs/>
                <w:sz w:val="24"/>
                <w:shd w:val="clear" w:color="auto" w:fill="FFFFFF"/>
              </w:rPr>
              <w:instrText xml:space="preserve"> = 6 \* GB3 \* MERGEFORMAT </w:instrText>
            </w:r>
            <w:r>
              <w:rPr>
                <w:rFonts w:hint="eastAsia" w:ascii="Times New Roman" w:hAnsi="Times New Roman" w:eastAsia="宋体" w:cs="Arial"/>
                <w:b/>
                <w:bCs/>
                <w:sz w:val="24"/>
                <w:shd w:val="clear" w:color="auto" w:fill="FFFFFF"/>
              </w:rPr>
              <w:fldChar w:fldCharType="separate"/>
            </w:r>
            <w:r>
              <w:rPr>
                <w:rFonts w:ascii="Times New Roman" w:hAnsi="Times New Roman" w:eastAsia="宋体" w:cs="Arial"/>
                <w:b/>
                <w:bCs/>
                <w:sz w:val="24"/>
                <w:shd w:val="clear" w:color="auto" w:fill="FFFFFF"/>
              </w:rPr>
              <w:t>⑥</w:t>
            </w:r>
            <w:r>
              <w:rPr>
                <w:rFonts w:hint="eastAsia" w:ascii="Times New Roman" w:hAnsi="Times New Roman" w:eastAsia="宋体" w:cs="Arial"/>
                <w:b/>
                <w:bCs/>
                <w:sz w:val="24"/>
                <w:shd w:val="clear" w:color="auto" w:fill="FFFFFF"/>
              </w:rPr>
              <w:fldChar w:fldCharType="end"/>
            </w:r>
            <w:r>
              <w:rPr>
                <w:rFonts w:hint="eastAsia" w:ascii="Times New Roman" w:hAnsi="Times New Roman" w:eastAsia="宋体" w:cs="Arial"/>
                <w:b/>
                <w:bCs/>
                <w:sz w:val="24"/>
                <w:shd w:val="clear" w:color="auto" w:fill="FFFFFF"/>
              </w:rPr>
              <w:t xml:space="preserve"> </w:t>
            </w:r>
            <w:r>
              <w:rPr>
                <w:rFonts w:hint="eastAsia" w:ascii="Times New Roman" w:hAnsi="Times New Roman" w:eastAsia="宋体" w:cs="Arial"/>
                <w:sz w:val="24"/>
                <w:shd w:val="clear" w:color="auto" w:fill="FFFFFF"/>
              </w:rPr>
              <w:t>空压机含油废水：空压机运行过程中会产生含油废水，项目空压机产生量约0.02t/a。根据《国家危险废物名录》（202</w:t>
            </w:r>
            <w:r>
              <w:rPr>
                <w:rFonts w:hint="eastAsia" w:ascii="Times New Roman" w:hAnsi="Times New Roman" w:eastAsia="宋体" w:cs="Arial"/>
                <w:sz w:val="24"/>
                <w:shd w:val="clear" w:color="auto" w:fill="FFFFFF"/>
                <w:lang w:val="en-US" w:eastAsia="zh-CN"/>
              </w:rPr>
              <w:t>5</w:t>
            </w:r>
            <w:r>
              <w:rPr>
                <w:rFonts w:hint="eastAsia" w:ascii="Times New Roman" w:hAnsi="Times New Roman" w:eastAsia="宋体" w:cs="Arial"/>
                <w:sz w:val="24"/>
                <w:shd w:val="clear" w:color="auto" w:fill="FFFFFF"/>
              </w:rPr>
              <w:t>版），空压机含油废水属“HW09 900-007-09油/水、烃/水混合物或乳化液”，收集后暂存于危废贮存点，定期交有相应危险废物处理资质的单位进行收运处置。</w:t>
            </w:r>
          </w:p>
          <w:p w14:paraId="5838D736">
            <w:pPr>
              <w:spacing w:line="377" w:lineRule="auto"/>
              <w:ind w:firstLine="480" w:firstLineChars="200"/>
              <w:rPr>
                <w:rFonts w:ascii="Times New Roman" w:hAnsi="Times New Roman" w:eastAsia="宋体"/>
                <w:sz w:val="24"/>
              </w:rPr>
            </w:pPr>
            <w:r>
              <w:rPr>
                <w:rFonts w:hint="eastAsia" w:ascii="Times New Roman" w:hAnsi="Times New Roman" w:eastAsia="宋体"/>
                <w:sz w:val="24"/>
              </w:rPr>
              <w:t>项目厂区建设1个危废贮存点（面积约5m</w:t>
            </w:r>
            <w:r>
              <w:rPr>
                <w:rFonts w:hint="eastAsia" w:ascii="Times New Roman" w:hAnsi="Times New Roman" w:eastAsia="宋体"/>
                <w:sz w:val="24"/>
                <w:vertAlign w:val="superscript"/>
              </w:rPr>
              <w:t>2</w:t>
            </w:r>
            <w:r>
              <w:rPr>
                <w:rFonts w:hint="eastAsia" w:ascii="Times New Roman" w:hAnsi="Times New Roman" w:eastAsia="宋体"/>
                <w:sz w:val="24"/>
              </w:rPr>
              <w:t>）分类暂存运营期项目产生危险废物，定期交由有相应危险废物处理资质的单位转运处置。</w:t>
            </w:r>
          </w:p>
          <w:p w14:paraId="17A50F15">
            <w:pPr>
              <w:numPr>
                <w:ilvl w:val="0"/>
                <w:numId w:val="7"/>
              </w:numPr>
              <w:spacing w:before="31" w:beforeLines="10" w:after="31" w:afterLines="10" w:line="377" w:lineRule="auto"/>
              <w:ind w:left="0" w:firstLine="482" w:firstLineChars="200"/>
              <w:rPr>
                <w:rFonts w:ascii="Times New Roman" w:hAnsi="Times New Roman" w:eastAsia="宋体"/>
                <w:sz w:val="24"/>
              </w:rPr>
            </w:pPr>
            <w:r>
              <w:rPr>
                <w:rFonts w:hint="eastAsia" w:ascii="Times New Roman" w:hAnsi="Times New Roman" w:eastAsia="宋体"/>
                <w:b/>
                <w:bCs/>
                <w:sz w:val="24"/>
                <w:u w:val="single"/>
              </w:rPr>
              <w:t>生活垃圾</w:t>
            </w:r>
            <w:r>
              <w:rPr>
                <w:rFonts w:hint="eastAsia" w:ascii="Times New Roman" w:hAnsi="Times New Roman" w:eastAsia="宋体"/>
                <w:sz w:val="24"/>
              </w:rPr>
              <w:t>：按人均产生量0.5kg/d计，本项目劳动定员</w:t>
            </w:r>
            <w:r>
              <w:rPr>
                <w:rFonts w:hint="eastAsia" w:ascii="Times New Roman" w:hAnsi="Times New Roman" w:eastAsia="宋体"/>
                <w:sz w:val="24"/>
                <w:lang w:val="en-US" w:eastAsia="zh-CN"/>
              </w:rPr>
              <w:t>20</w:t>
            </w:r>
            <w:r>
              <w:rPr>
                <w:rFonts w:hint="eastAsia" w:ascii="Times New Roman" w:hAnsi="Times New Roman" w:eastAsia="宋体"/>
                <w:sz w:val="24"/>
              </w:rPr>
              <w:t>人，预计生活垃圾年产生量</w:t>
            </w:r>
            <w:r>
              <w:rPr>
                <w:rFonts w:hint="eastAsia" w:ascii="Times New Roman" w:hAnsi="Times New Roman" w:eastAsia="宋体"/>
                <w:sz w:val="24"/>
                <w:lang w:val="en-US" w:eastAsia="zh-CN"/>
              </w:rPr>
              <w:t>2.5</w:t>
            </w:r>
            <w:r>
              <w:rPr>
                <w:rFonts w:hint="eastAsia" w:ascii="Times New Roman" w:hAnsi="Times New Roman" w:eastAsia="宋体"/>
                <w:sz w:val="24"/>
              </w:rPr>
              <w:t>t/a，收集后统一交环卫部门清运。</w:t>
            </w:r>
          </w:p>
          <w:p w14:paraId="324051A7">
            <w:pPr>
              <w:spacing w:before="31" w:beforeLines="10" w:after="31" w:afterLines="10" w:line="360" w:lineRule="auto"/>
              <w:ind w:firstLine="482" w:firstLineChars="200"/>
              <w:rPr>
                <w:rFonts w:ascii="Times New Roman" w:hAnsi="Times New Roman" w:cs="宋体"/>
                <w:b/>
                <w:bCs/>
                <w:sz w:val="24"/>
              </w:rPr>
            </w:pPr>
            <w:r>
              <w:rPr>
                <w:rFonts w:hint="eastAsia" w:ascii="Times New Roman" w:hAnsi="Times New Roman" w:cs="宋体"/>
                <w:b/>
                <w:bCs/>
                <w:sz w:val="24"/>
              </w:rPr>
              <w:t>① 固体废物产生环节</w:t>
            </w:r>
          </w:p>
          <w:p w14:paraId="68892FE8">
            <w:pPr>
              <w:spacing w:line="372" w:lineRule="auto"/>
              <w:ind w:firstLine="480" w:firstLineChars="200"/>
              <w:rPr>
                <w:rFonts w:ascii="Times New Roman" w:hAnsi="Times New Roman" w:eastAsia="宋体"/>
                <w:sz w:val="24"/>
              </w:rPr>
            </w:pPr>
            <w:r>
              <w:rPr>
                <w:rFonts w:hint="eastAsia" w:ascii="Times New Roman" w:hAnsi="Times New Roman" w:eastAsia="宋体"/>
                <w:sz w:val="24"/>
              </w:rPr>
              <w:t>评价根据《固体废物鉴别标准通则》（</w:t>
            </w:r>
            <w:r>
              <w:rPr>
                <w:rFonts w:ascii="Times New Roman" w:hAnsi="Times New Roman" w:eastAsia="宋体"/>
                <w:sz w:val="24"/>
              </w:rPr>
              <w:t>GB34330-2017</w:t>
            </w:r>
            <w:r>
              <w:rPr>
                <w:rFonts w:hint="eastAsia" w:ascii="Times New Roman" w:hAnsi="Times New Roman" w:eastAsia="宋体"/>
                <w:sz w:val="24"/>
              </w:rPr>
              <w:t>）和《国家危险废物名录（</w:t>
            </w:r>
            <w:r>
              <w:rPr>
                <w:rFonts w:ascii="Times New Roman" w:hAnsi="Times New Roman" w:eastAsia="宋体"/>
                <w:sz w:val="24"/>
              </w:rPr>
              <w:t>202</w:t>
            </w:r>
            <w:r>
              <w:rPr>
                <w:rFonts w:hint="eastAsia" w:ascii="Times New Roman" w:hAnsi="Times New Roman" w:eastAsia="宋体"/>
                <w:sz w:val="24"/>
              </w:rPr>
              <w:t>5版）》等相关文件判定，项目固体废物产生情况见下表：</w:t>
            </w:r>
          </w:p>
          <w:p w14:paraId="71FFD8FB">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w:t>
            </w:r>
            <w:r>
              <w:rPr>
                <w:rFonts w:hint="eastAsia" w:ascii="Times New Roman" w:hAnsi="Times New Roman" w:eastAsia="宋体" w:cs="Times New Roman"/>
                <w:szCs w:val="24"/>
              </w:rPr>
              <w:t>2</w:t>
            </w:r>
            <w:r>
              <w:rPr>
                <w:rFonts w:hint="eastAsia" w:ascii="Times New Roman" w:hAnsi="Times New Roman" w:eastAsia="宋体" w:cs="Times New Roman"/>
                <w:szCs w:val="24"/>
                <w:lang w:val="en-US" w:eastAsia="zh-CN"/>
              </w:rPr>
              <w:t>1</w:t>
            </w:r>
            <w:r>
              <w:rPr>
                <w:rFonts w:ascii="Times New Roman" w:hAnsi="Times New Roman" w:eastAsia="宋体" w:cs="Times New Roman"/>
                <w:szCs w:val="24"/>
              </w:rPr>
              <w:t xml:space="preserve">  固体废物产生环节、产生量核算一览表</w:t>
            </w:r>
          </w:p>
          <w:tbl>
            <w:tblPr>
              <w:tblStyle w:val="28"/>
              <w:tblW w:w="48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99"/>
              <w:gridCol w:w="1695"/>
              <w:gridCol w:w="1126"/>
              <w:gridCol w:w="774"/>
              <w:gridCol w:w="1371"/>
              <w:gridCol w:w="863"/>
              <w:gridCol w:w="863"/>
              <w:gridCol w:w="824"/>
            </w:tblGrid>
            <w:tr w14:paraId="19B03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vAlign w:val="center"/>
                </w:tcPr>
                <w:p w14:paraId="7F33FF21">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序号</w:t>
                  </w:r>
                </w:p>
              </w:tc>
              <w:tc>
                <w:tcPr>
                  <w:tcW w:w="1031" w:type="pct"/>
                  <w:tcBorders>
                    <w:tl2br w:val="nil"/>
                    <w:tr2bl w:val="nil"/>
                  </w:tcBorders>
                  <w:vAlign w:val="center"/>
                </w:tcPr>
                <w:p w14:paraId="08CF8F33">
                  <w:pPr>
                    <w:widowControl/>
                    <w:spacing w:before="78" w:beforeLines="25" w:after="78" w:afterLines="25" w:line="300" w:lineRule="auto"/>
                    <w:jc w:val="center"/>
                    <w:rPr>
                      <w:rFonts w:ascii="Times New Roman" w:hAnsi="Times New Roman" w:eastAsia="宋体" w:cs="Times New Roman"/>
                      <w:b/>
                      <w:bCs/>
                      <w:szCs w:val="21"/>
                    </w:rPr>
                  </w:pPr>
                  <w:r>
                    <w:rPr>
                      <w:rFonts w:hint="eastAsia" w:ascii="Times New Roman" w:hAnsi="Times New Roman" w:eastAsia="宋体"/>
                      <w:b/>
                      <w:bCs/>
                      <w:szCs w:val="21"/>
                    </w:rPr>
                    <w:t>固废名称</w:t>
                  </w:r>
                </w:p>
              </w:tc>
              <w:tc>
                <w:tcPr>
                  <w:tcW w:w="685" w:type="pct"/>
                  <w:tcBorders>
                    <w:tl2br w:val="nil"/>
                    <w:tr2bl w:val="nil"/>
                  </w:tcBorders>
                  <w:vAlign w:val="center"/>
                </w:tcPr>
                <w:p w14:paraId="1DB554E5">
                  <w:pPr>
                    <w:widowControl/>
                    <w:spacing w:before="78" w:beforeLines="25" w:after="78" w:afterLines="25" w:line="300" w:lineRule="auto"/>
                    <w:jc w:val="center"/>
                    <w:rPr>
                      <w:rFonts w:ascii="Times New Roman" w:hAnsi="Times New Roman" w:eastAsia="宋体" w:cs="Times New Roman"/>
                      <w:b/>
                      <w:bCs/>
                      <w:szCs w:val="21"/>
                    </w:rPr>
                  </w:pPr>
                  <w:r>
                    <w:rPr>
                      <w:rFonts w:hint="eastAsia" w:ascii="Times New Roman" w:hAnsi="Times New Roman" w:eastAsia="宋体"/>
                      <w:b/>
                      <w:bCs/>
                      <w:szCs w:val="21"/>
                    </w:rPr>
                    <w:t>产生环节</w:t>
                  </w:r>
                </w:p>
              </w:tc>
              <w:tc>
                <w:tcPr>
                  <w:tcW w:w="471" w:type="pct"/>
                  <w:tcBorders>
                    <w:tl2br w:val="nil"/>
                    <w:tr2bl w:val="nil"/>
                  </w:tcBorders>
                  <w:vAlign w:val="center"/>
                </w:tcPr>
                <w:p w14:paraId="5086A5F7">
                  <w:pPr>
                    <w:widowControl/>
                    <w:spacing w:before="78" w:beforeLines="25" w:after="78" w:afterLines="25" w:line="300" w:lineRule="auto"/>
                    <w:jc w:val="center"/>
                    <w:rPr>
                      <w:rFonts w:ascii="Times New Roman" w:hAnsi="Times New Roman" w:eastAsia="宋体" w:cs="Times New Roman"/>
                      <w:b/>
                      <w:bCs/>
                      <w:szCs w:val="21"/>
                    </w:rPr>
                  </w:pPr>
                  <w:r>
                    <w:rPr>
                      <w:rFonts w:hint="eastAsia" w:ascii="Times New Roman" w:hAnsi="Times New Roman" w:eastAsia="宋体"/>
                      <w:b/>
                      <w:bCs/>
                      <w:szCs w:val="21"/>
                    </w:rPr>
                    <w:t>形态</w:t>
                  </w:r>
                </w:p>
              </w:tc>
              <w:tc>
                <w:tcPr>
                  <w:tcW w:w="834" w:type="pct"/>
                  <w:tcBorders>
                    <w:tl2br w:val="nil"/>
                    <w:tr2bl w:val="nil"/>
                  </w:tcBorders>
                  <w:vAlign w:val="center"/>
                </w:tcPr>
                <w:p w14:paraId="5899C73A">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主要成分</w:t>
                  </w:r>
                </w:p>
              </w:tc>
              <w:tc>
                <w:tcPr>
                  <w:tcW w:w="525" w:type="pct"/>
                  <w:tcBorders>
                    <w:tl2br w:val="nil"/>
                    <w:tr2bl w:val="nil"/>
                  </w:tcBorders>
                  <w:vAlign w:val="center"/>
                </w:tcPr>
                <w:p w14:paraId="1E7CD563">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产生量</w:t>
                  </w:r>
                </w:p>
              </w:tc>
              <w:tc>
                <w:tcPr>
                  <w:tcW w:w="525" w:type="pct"/>
                  <w:tcBorders>
                    <w:tl2br w:val="nil"/>
                    <w:tr2bl w:val="nil"/>
                  </w:tcBorders>
                  <w:vAlign w:val="center"/>
                </w:tcPr>
                <w:p w14:paraId="3612FE39">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处置量</w:t>
                  </w:r>
                </w:p>
              </w:tc>
              <w:tc>
                <w:tcPr>
                  <w:tcW w:w="501" w:type="pct"/>
                  <w:tcBorders>
                    <w:tl2br w:val="nil"/>
                    <w:tr2bl w:val="nil"/>
                  </w:tcBorders>
                  <w:vAlign w:val="center"/>
                </w:tcPr>
                <w:p w14:paraId="11AFA095">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去向</w:t>
                  </w:r>
                </w:p>
              </w:tc>
            </w:tr>
            <w:tr w14:paraId="5605E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vAlign w:val="center"/>
                </w:tcPr>
                <w:p w14:paraId="1989CD57">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w:t>
                  </w:r>
                </w:p>
              </w:tc>
              <w:tc>
                <w:tcPr>
                  <w:tcW w:w="1031" w:type="pct"/>
                  <w:tcBorders>
                    <w:tl2br w:val="nil"/>
                    <w:tr2bl w:val="nil"/>
                  </w:tcBorders>
                  <w:vAlign w:val="center"/>
                </w:tcPr>
                <w:p w14:paraId="5697455E">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边角料</w:t>
                  </w:r>
                </w:p>
              </w:tc>
              <w:tc>
                <w:tcPr>
                  <w:tcW w:w="685" w:type="pct"/>
                  <w:tcBorders>
                    <w:tl2br w:val="nil"/>
                    <w:tr2bl w:val="nil"/>
                  </w:tcBorders>
                  <w:vAlign w:val="center"/>
                </w:tcPr>
                <w:p w14:paraId="044CFAE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下料</w:t>
                  </w:r>
                </w:p>
              </w:tc>
              <w:tc>
                <w:tcPr>
                  <w:tcW w:w="471" w:type="pct"/>
                  <w:tcBorders>
                    <w:tl2br w:val="nil"/>
                    <w:tr2bl w:val="nil"/>
                  </w:tcBorders>
                  <w:vAlign w:val="center"/>
                </w:tcPr>
                <w:p w14:paraId="1842E60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固态</w:t>
                  </w:r>
                </w:p>
              </w:tc>
              <w:tc>
                <w:tcPr>
                  <w:tcW w:w="834" w:type="pct"/>
                  <w:tcBorders>
                    <w:tl2br w:val="nil"/>
                    <w:tr2bl w:val="nil"/>
                  </w:tcBorders>
                  <w:vAlign w:val="center"/>
                </w:tcPr>
                <w:p w14:paraId="59809B60">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木材</w:t>
                  </w:r>
                </w:p>
              </w:tc>
              <w:tc>
                <w:tcPr>
                  <w:tcW w:w="525" w:type="pct"/>
                  <w:tcBorders>
                    <w:tl2br w:val="nil"/>
                    <w:tr2bl w:val="nil"/>
                  </w:tcBorders>
                  <w:vAlign w:val="center"/>
                </w:tcPr>
                <w:p w14:paraId="35D5881E">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0.2t/a</w:t>
                  </w:r>
                </w:p>
              </w:tc>
              <w:tc>
                <w:tcPr>
                  <w:tcW w:w="525" w:type="pct"/>
                  <w:tcBorders>
                    <w:tl2br w:val="nil"/>
                    <w:tr2bl w:val="nil"/>
                  </w:tcBorders>
                  <w:vAlign w:val="center"/>
                </w:tcPr>
                <w:p w14:paraId="5BD3C35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0.2t/a</w:t>
                  </w:r>
                </w:p>
              </w:tc>
              <w:tc>
                <w:tcPr>
                  <w:tcW w:w="501" w:type="pct"/>
                  <w:vMerge w:val="restart"/>
                  <w:tcBorders>
                    <w:tl2br w:val="nil"/>
                    <w:tr2bl w:val="nil"/>
                  </w:tcBorders>
                  <w:vAlign w:val="center"/>
                </w:tcPr>
                <w:p w14:paraId="65FA7FCE">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外售综合利用</w:t>
                  </w:r>
                </w:p>
              </w:tc>
            </w:tr>
            <w:tr w14:paraId="53418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vAlign w:val="center"/>
                </w:tcPr>
                <w:p w14:paraId="38BF4996">
                  <w:pPr>
                    <w:widowControl/>
                    <w:spacing w:before="78" w:beforeLines="25" w:after="78" w:afterLines="25" w:line="300" w:lineRule="auto"/>
                    <w:jc w:val="center"/>
                    <w:rPr>
                      <w:rFonts w:hint="eastAsia" w:ascii="Times New Roman" w:hAnsi="Times New Roman" w:eastAsia="宋体" w:cs="宋体"/>
                      <w:kern w:val="0"/>
                      <w:szCs w:val="21"/>
                      <w:lang w:val="en-US" w:eastAsia="zh-CN" w:bidi="ar"/>
                    </w:rPr>
                  </w:pPr>
                  <w:r>
                    <w:rPr>
                      <w:rFonts w:hint="eastAsia" w:ascii="Times New Roman" w:hAnsi="Times New Roman" w:eastAsia="宋体" w:cs="宋体"/>
                      <w:kern w:val="0"/>
                      <w:szCs w:val="21"/>
                      <w:lang w:val="en-US" w:eastAsia="zh-CN" w:bidi="ar"/>
                    </w:rPr>
                    <w:t>2</w:t>
                  </w:r>
                </w:p>
              </w:tc>
              <w:tc>
                <w:tcPr>
                  <w:tcW w:w="1031" w:type="pct"/>
                  <w:tcBorders>
                    <w:tl2br w:val="nil"/>
                    <w:tr2bl w:val="nil"/>
                  </w:tcBorders>
                  <w:vAlign w:val="center"/>
                </w:tcPr>
                <w:p w14:paraId="1D76E45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除尘灰</w:t>
                  </w:r>
                </w:p>
              </w:tc>
              <w:tc>
                <w:tcPr>
                  <w:tcW w:w="685" w:type="pct"/>
                  <w:tcBorders>
                    <w:tl2br w:val="nil"/>
                    <w:tr2bl w:val="nil"/>
                  </w:tcBorders>
                  <w:vAlign w:val="center"/>
                </w:tcPr>
                <w:p w14:paraId="7522F089">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齐边</w:t>
                  </w:r>
                </w:p>
              </w:tc>
              <w:tc>
                <w:tcPr>
                  <w:tcW w:w="471" w:type="pct"/>
                  <w:tcBorders>
                    <w:tl2br w:val="nil"/>
                    <w:tr2bl w:val="nil"/>
                  </w:tcBorders>
                  <w:vAlign w:val="center"/>
                </w:tcPr>
                <w:p w14:paraId="5872BF8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固态</w:t>
                  </w:r>
                </w:p>
              </w:tc>
              <w:tc>
                <w:tcPr>
                  <w:tcW w:w="834" w:type="pct"/>
                  <w:tcBorders>
                    <w:tl2br w:val="nil"/>
                    <w:tr2bl w:val="nil"/>
                  </w:tcBorders>
                  <w:vAlign w:val="center"/>
                </w:tcPr>
                <w:p w14:paraId="452AF011">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木屑</w:t>
                  </w:r>
                </w:p>
              </w:tc>
              <w:tc>
                <w:tcPr>
                  <w:tcW w:w="525" w:type="pct"/>
                  <w:tcBorders>
                    <w:tl2br w:val="nil"/>
                    <w:tr2bl w:val="nil"/>
                  </w:tcBorders>
                  <w:vAlign w:val="center"/>
                </w:tcPr>
                <w:p w14:paraId="1B489B56">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0.09</w:t>
                  </w:r>
                  <w:r>
                    <w:rPr>
                      <w:rFonts w:hint="eastAsia" w:ascii="Times New Roman" w:hAnsi="Times New Roman" w:eastAsia="宋体" w:cs="宋体"/>
                      <w:kern w:val="0"/>
                      <w:szCs w:val="21"/>
                      <w:lang w:bidi="ar"/>
                    </w:rPr>
                    <w:t>t/a</w:t>
                  </w:r>
                </w:p>
              </w:tc>
              <w:tc>
                <w:tcPr>
                  <w:tcW w:w="525" w:type="pct"/>
                  <w:tcBorders>
                    <w:tl2br w:val="nil"/>
                    <w:tr2bl w:val="nil"/>
                  </w:tcBorders>
                  <w:vAlign w:val="center"/>
                </w:tcPr>
                <w:p w14:paraId="4B7BFFF1">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0.09</w:t>
                  </w:r>
                  <w:r>
                    <w:rPr>
                      <w:rFonts w:hint="eastAsia" w:ascii="Times New Roman" w:hAnsi="Times New Roman" w:eastAsia="宋体" w:cs="宋体"/>
                      <w:kern w:val="0"/>
                      <w:szCs w:val="21"/>
                      <w:lang w:bidi="ar"/>
                    </w:rPr>
                    <w:t>t/a</w:t>
                  </w:r>
                </w:p>
              </w:tc>
              <w:tc>
                <w:tcPr>
                  <w:tcW w:w="501" w:type="pct"/>
                  <w:vMerge w:val="continue"/>
                  <w:tcBorders>
                    <w:tl2br w:val="nil"/>
                    <w:tr2bl w:val="nil"/>
                  </w:tcBorders>
                  <w:vAlign w:val="center"/>
                </w:tcPr>
                <w:p w14:paraId="6F16A840">
                  <w:pPr>
                    <w:widowControl/>
                    <w:spacing w:before="78" w:beforeLines="25" w:after="78" w:afterLines="25" w:line="300" w:lineRule="auto"/>
                    <w:jc w:val="center"/>
                    <w:rPr>
                      <w:rFonts w:ascii="Times New Roman" w:hAnsi="Times New Roman" w:eastAsia="宋体" w:cs="宋体"/>
                      <w:kern w:val="0"/>
                      <w:szCs w:val="21"/>
                      <w:lang w:bidi="ar"/>
                    </w:rPr>
                  </w:pPr>
                </w:p>
              </w:tc>
            </w:tr>
            <w:tr w14:paraId="364EA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3AE66EF4">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3</w:t>
                  </w:r>
                </w:p>
              </w:tc>
              <w:tc>
                <w:tcPr>
                  <w:tcW w:w="1031" w:type="pct"/>
                  <w:tcBorders>
                    <w:tl2br w:val="nil"/>
                    <w:tr2bl w:val="nil"/>
                  </w:tcBorders>
                  <w:vAlign w:val="center"/>
                </w:tcPr>
                <w:p w14:paraId="353B65A7">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废液压油</w:t>
                  </w:r>
                </w:p>
              </w:tc>
              <w:tc>
                <w:tcPr>
                  <w:tcW w:w="685" w:type="pct"/>
                  <w:tcBorders>
                    <w:tl2br w:val="nil"/>
                    <w:tr2bl w:val="nil"/>
                  </w:tcBorders>
                  <w:vAlign w:val="center"/>
                </w:tcPr>
                <w:p w14:paraId="42B7776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设备维护</w:t>
                  </w:r>
                </w:p>
              </w:tc>
              <w:tc>
                <w:tcPr>
                  <w:tcW w:w="471" w:type="pct"/>
                  <w:tcBorders>
                    <w:tl2br w:val="nil"/>
                    <w:tr2bl w:val="nil"/>
                  </w:tcBorders>
                  <w:vAlign w:val="center"/>
                </w:tcPr>
                <w:p w14:paraId="136DA6E8">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液态</w:t>
                  </w:r>
                </w:p>
              </w:tc>
              <w:tc>
                <w:tcPr>
                  <w:tcW w:w="834" w:type="pct"/>
                  <w:tcBorders>
                    <w:tl2br w:val="nil"/>
                    <w:tr2bl w:val="nil"/>
                  </w:tcBorders>
                  <w:vAlign w:val="center"/>
                </w:tcPr>
                <w:p w14:paraId="70A8D3FE">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矿物油</w:t>
                  </w:r>
                </w:p>
              </w:tc>
              <w:tc>
                <w:tcPr>
                  <w:tcW w:w="525" w:type="pct"/>
                  <w:tcBorders>
                    <w:tl2br w:val="nil"/>
                    <w:tr2bl w:val="nil"/>
                  </w:tcBorders>
                  <w:vAlign w:val="center"/>
                </w:tcPr>
                <w:p w14:paraId="17D99C94">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2</w:t>
                  </w:r>
                  <w:r>
                    <w:rPr>
                      <w:rFonts w:hint="eastAsia" w:ascii="Times New Roman" w:hAnsi="Times New Roman" w:eastAsia="宋体" w:cs="宋体"/>
                      <w:kern w:val="0"/>
                      <w:szCs w:val="21"/>
                      <w:lang w:bidi="ar"/>
                    </w:rPr>
                    <w:t>t/a</w:t>
                  </w:r>
                </w:p>
              </w:tc>
              <w:tc>
                <w:tcPr>
                  <w:tcW w:w="525" w:type="pct"/>
                  <w:tcBorders>
                    <w:tl2br w:val="nil"/>
                    <w:tr2bl w:val="nil"/>
                  </w:tcBorders>
                  <w:vAlign w:val="center"/>
                </w:tcPr>
                <w:p w14:paraId="1258A36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2</w:t>
                  </w:r>
                  <w:r>
                    <w:rPr>
                      <w:rFonts w:hint="eastAsia" w:ascii="Times New Roman" w:hAnsi="Times New Roman" w:eastAsia="宋体" w:cs="宋体"/>
                      <w:kern w:val="0"/>
                      <w:szCs w:val="21"/>
                      <w:lang w:bidi="ar"/>
                    </w:rPr>
                    <w:t>t/a</w:t>
                  </w:r>
                </w:p>
              </w:tc>
              <w:tc>
                <w:tcPr>
                  <w:tcW w:w="501" w:type="pct"/>
                  <w:vMerge w:val="restart"/>
                  <w:tcBorders>
                    <w:tl2br w:val="nil"/>
                    <w:tr2bl w:val="nil"/>
                  </w:tcBorders>
                  <w:vAlign w:val="center"/>
                </w:tcPr>
                <w:p w14:paraId="6D822EE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交有危废处置资质的单位转运处置</w:t>
                  </w:r>
                </w:p>
              </w:tc>
            </w:tr>
            <w:tr w14:paraId="643FD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029729E9">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val="en-US" w:eastAsia="zh-CN" w:bidi="ar"/>
                    </w:rPr>
                    <w:t>4</w:t>
                  </w:r>
                </w:p>
              </w:tc>
              <w:tc>
                <w:tcPr>
                  <w:tcW w:w="1031" w:type="pct"/>
                  <w:tcBorders>
                    <w:tl2br w:val="nil"/>
                    <w:tr2bl w:val="nil"/>
                  </w:tcBorders>
                  <w:vAlign w:val="center"/>
                </w:tcPr>
                <w:p w14:paraId="7C2F7568">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废导热油</w:t>
                  </w:r>
                </w:p>
              </w:tc>
              <w:tc>
                <w:tcPr>
                  <w:tcW w:w="685" w:type="pct"/>
                  <w:tcBorders>
                    <w:tl2br w:val="nil"/>
                    <w:tr2bl w:val="nil"/>
                  </w:tcBorders>
                  <w:shd w:val="clear" w:color="auto" w:fill="auto"/>
                  <w:vAlign w:val="center"/>
                </w:tcPr>
                <w:p w14:paraId="43B8059A">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设备维护</w:t>
                  </w:r>
                </w:p>
              </w:tc>
              <w:tc>
                <w:tcPr>
                  <w:tcW w:w="471" w:type="pct"/>
                  <w:tcBorders>
                    <w:tl2br w:val="nil"/>
                    <w:tr2bl w:val="nil"/>
                  </w:tcBorders>
                  <w:shd w:val="clear" w:color="auto" w:fill="auto"/>
                  <w:vAlign w:val="center"/>
                </w:tcPr>
                <w:p w14:paraId="05BBC83B">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液态</w:t>
                  </w:r>
                </w:p>
              </w:tc>
              <w:tc>
                <w:tcPr>
                  <w:tcW w:w="834" w:type="pct"/>
                  <w:tcBorders>
                    <w:tl2br w:val="nil"/>
                    <w:tr2bl w:val="nil"/>
                  </w:tcBorders>
                  <w:vAlign w:val="center"/>
                </w:tcPr>
                <w:p w14:paraId="0FFD2666">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矿物油</w:t>
                  </w:r>
                </w:p>
              </w:tc>
              <w:tc>
                <w:tcPr>
                  <w:tcW w:w="525" w:type="pct"/>
                  <w:tcBorders>
                    <w:tl2br w:val="nil"/>
                    <w:tr2bl w:val="nil"/>
                  </w:tcBorders>
                  <w:vAlign w:val="center"/>
                </w:tcPr>
                <w:p w14:paraId="7DB6DBE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6</w:t>
                  </w:r>
                  <w:r>
                    <w:rPr>
                      <w:rFonts w:hint="eastAsia" w:ascii="Times New Roman" w:hAnsi="Times New Roman" w:eastAsia="宋体" w:cs="宋体"/>
                      <w:kern w:val="0"/>
                      <w:szCs w:val="21"/>
                      <w:lang w:bidi="ar"/>
                    </w:rPr>
                    <w:t>t/a</w:t>
                  </w:r>
                </w:p>
              </w:tc>
              <w:tc>
                <w:tcPr>
                  <w:tcW w:w="525" w:type="pct"/>
                  <w:tcBorders>
                    <w:tl2br w:val="nil"/>
                    <w:tr2bl w:val="nil"/>
                  </w:tcBorders>
                  <w:vAlign w:val="center"/>
                </w:tcPr>
                <w:p w14:paraId="6B1F7712">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6</w:t>
                  </w:r>
                  <w:r>
                    <w:rPr>
                      <w:rFonts w:hint="eastAsia" w:ascii="Times New Roman" w:hAnsi="Times New Roman" w:eastAsia="宋体" w:cs="宋体"/>
                      <w:kern w:val="0"/>
                      <w:szCs w:val="21"/>
                      <w:lang w:bidi="ar"/>
                    </w:rPr>
                    <w:t>t/a</w:t>
                  </w:r>
                </w:p>
              </w:tc>
              <w:tc>
                <w:tcPr>
                  <w:tcW w:w="501" w:type="pct"/>
                  <w:vMerge w:val="continue"/>
                  <w:tcBorders>
                    <w:tl2br w:val="nil"/>
                    <w:tr2bl w:val="nil"/>
                  </w:tcBorders>
                  <w:vAlign w:val="center"/>
                </w:tcPr>
                <w:p w14:paraId="3127F071">
                  <w:pPr>
                    <w:widowControl/>
                    <w:spacing w:before="78" w:beforeLines="25" w:after="78" w:afterLines="25" w:line="300" w:lineRule="auto"/>
                    <w:jc w:val="center"/>
                    <w:rPr>
                      <w:rFonts w:ascii="Times New Roman" w:hAnsi="Times New Roman" w:eastAsia="宋体" w:cs="宋体"/>
                      <w:kern w:val="0"/>
                      <w:szCs w:val="21"/>
                      <w:lang w:bidi="ar"/>
                    </w:rPr>
                  </w:pPr>
                </w:p>
              </w:tc>
            </w:tr>
            <w:tr w14:paraId="39B14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2C3EA53A">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 w:val="21"/>
                      <w:szCs w:val="21"/>
                      <w:lang w:val="en-US" w:eastAsia="zh-CN" w:bidi="ar"/>
                    </w:rPr>
                    <w:t>5</w:t>
                  </w:r>
                </w:p>
              </w:tc>
              <w:tc>
                <w:tcPr>
                  <w:tcW w:w="1031" w:type="pct"/>
                  <w:tcBorders>
                    <w:tl2br w:val="nil"/>
                    <w:tr2bl w:val="nil"/>
                  </w:tcBorders>
                  <w:shd w:val="clear" w:color="auto" w:fill="auto"/>
                  <w:vAlign w:val="center"/>
                </w:tcPr>
                <w:p w14:paraId="59C0A3DD">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废 油 桶</w:t>
                  </w:r>
                </w:p>
              </w:tc>
              <w:tc>
                <w:tcPr>
                  <w:tcW w:w="685" w:type="pct"/>
                  <w:tcBorders>
                    <w:tl2br w:val="nil"/>
                    <w:tr2bl w:val="nil"/>
                  </w:tcBorders>
                  <w:shd w:val="clear" w:color="auto" w:fill="auto"/>
                  <w:vAlign w:val="center"/>
                </w:tcPr>
                <w:p w14:paraId="4F4777CB">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设备维护</w:t>
                  </w:r>
                </w:p>
              </w:tc>
              <w:tc>
                <w:tcPr>
                  <w:tcW w:w="471" w:type="pct"/>
                  <w:tcBorders>
                    <w:tl2br w:val="nil"/>
                    <w:tr2bl w:val="nil"/>
                  </w:tcBorders>
                  <w:shd w:val="clear" w:color="auto" w:fill="auto"/>
                  <w:vAlign w:val="center"/>
                </w:tcPr>
                <w:p w14:paraId="2B83B556">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固态</w:t>
                  </w:r>
                </w:p>
              </w:tc>
              <w:tc>
                <w:tcPr>
                  <w:tcW w:w="834" w:type="pct"/>
                  <w:tcBorders>
                    <w:tl2br w:val="nil"/>
                    <w:tr2bl w:val="nil"/>
                  </w:tcBorders>
                  <w:shd w:val="clear" w:color="auto" w:fill="auto"/>
                  <w:vAlign w:val="center"/>
                </w:tcPr>
                <w:p w14:paraId="61D2B77A">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矿物油</w:t>
                  </w:r>
                </w:p>
              </w:tc>
              <w:tc>
                <w:tcPr>
                  <w:tcW w:w="525" w:type="pct"/>
                  <w:tcBorders>
                    <w:tl2br w:val="nil"/>
                    <w:tr2bl w:val="nil"/>
                  </w:tcBorders>
                  <w:shd w:val="clear" w:color="auto" w:fill="auto"/>
                  <w:vAlign w:val="center"/>
                </w:tcPr>
                <w:p w14:paraId="5F3914B3">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1</w:t>
                  </w:r>
                  <w:r>
                    <w:rPr>
                      <w:rFonts w:hint="eastAsia" w:ascii="Times New Roman" w:hAnsi="Times New Roman" w:eastAsia="宋体" w:cs="宋体"/>
                      <w:kern w:val="0"/>
                      <w:szCs w:val="21"/>
                      <w:lang w:bidi="ar"/>
                    </w:rPr>
                    <w:t>t/a</w:t>
                  </w:r>
                </w:p>
              </w:tc>
              <w:tc>
                <w:tcPr>
                  <w:tcW w:w="525" w:type="pct"/>
                  <w:tcBorders>
                    <w:tl2br w:val="nil"/>
                    <w:tr2bl w:val="nil"/>
                  </w:tcBorders>
                  <w:shd w:val="clear" w:color="auto" w:fill="auto"/>
                  <w:vAlign w:val="center"/>
                </w:tcPr>
                <w:p w14:paraId="1E2B5751">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1</w:t>
                  </w:r>
                  <w:r>
                    <w:rPr>
                      <w:rFonts w:hint="eastAsia" w:ascii="Times New Roman" w:hAnsi="Times New Roman" w:eastAsia="宋体" w:cs="宋体"/>
                      <w:kern w:val="0"/>
                      <w:szCs w:val="21"/>
                      <w:lang w:bidi="ar"/>
                    </w:rPr>
                    <w:t>t/a</w:t>
                  </w:r>
                </w:p>
              </w:tc>
              <w:tc>
                <w:tcPr>
                  <w:tcW w:w="501" w:type="pct"/>
                  <w:vMerge w:val="continue"/>
                  <w:tcBorders>
                    <w:tl2br w:val="nil"/>
                    <w:tr2bl w:val="nil"/>
                  </w:tcBorders>
                  <w:vAlign w:val="center"/>
                </w:tcPr>
                <w:p w14:paraId="08D07B5C">
                  <w:pPr>
                    <w:widowControl/>
                    <w:spacing w:before="78" w:beforeLines="25" w:after="78" w:afterLines="25" w:line="300" w:lineRule="auto"/>
                    <w:jc w:val="center"/>
                    <w:rPr>
                      <w:rFonts w:ascii="Times New Roman" w:hAnsi="Times New Roman" w:eastAsia="宋体" w:cs="宋体"/>
                      <w:kern w:val="0"/>
                      <w:szCs w:val="21"/>
                      <w:lang w:bidi="ar"/>
                    </w:rPr>
                  </w:pPr>
                </w:p>
              </w:tc>
            </w:tr>
            <w:tr w14:paraId="42309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61F10B03">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val="en-US" w:eastAsia="zh-CN" w:bidi="ar"/>
                    </w:rPr>
                    <w:t>6</w:t>
                  </w:r>
                </w:p>
              </w:tc>
              <w:tc>
                <w:tcPr>
                  <w:tcW w:w="1031" w:type="pct"/>
                  <w:tcBorders>
                    <w:tl2br w:val="nil"/>
                    <w:tr2bl w:val="nil"/>
                  </w:tcBorders>
                  <w:shd w:val="clear" w:color="auto" w:fill="auto"/>
                  <w:vAlign w:val="center"/>
                </w:tcPr>
                <w:p w14:paraId="2FCAEC34">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含油废棉纱手套</w:t>
                  </w:r>
                </w:p>
              </w:tc>
              <w:tc>
                <w:tcPr>
                  <w:tcW w:w="685" w:type="pct"/>
                  <w:tcBorders>
                    <w:tl2br w:val="nil"/>
                    <w:tr2bl w:val="nil"/>
                  </w:tcBorders>
                  <w:shd w:val="clear" w:color="auto" w:fill="auto"/>
                  <w:vAlign w:val="center"/>
                </w:tcPr>
                <w:p w14:paraId="39628F76">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设备维护</w:t>
                  </w:r>
                </w:p>
              </w:tc>
              <w:tc>
                <w:tcPr>
                  <w:tcW w:w="471" w:type="pct"/>
                  <w:tcBorders>
                    <w:tl2br w:val="nil"/>
                    <w:tr2bl w:val="nil"/>
                  </w:tcBorders>
                  <w:shd w:val="clear" w:color="auto" w:fill="auto"/>
                  <w:vAlign w:val="center"/>
                </w:tcPr>
                <w:p w14:paraId="77E9AE95">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固态</w:t>
                  </w:r>
                </w:p>
              </w:tc>
              <w:tc>
                <w:tcPr>
                  <w:tcW w:w="834" w:type="pct"/>
                  <w:tcBorders>
                    <w:tl2br w:val="nil"/>
                    <w:tr2bl w:val="nil"/>
                  </w:tcBorders>
                  <w:shd w:val="clear" w:color="auto" w:fill="auto"/>
                  <w:vAlign w:val="center"/>
                </w:tcPr>
                <w:p w14:paraId="29B14FC5">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矿物油</w:t>
                  </w:r>
                </w:p>
              </w:tc>
              <w:tc>
                <w:tcPr>
                  <w:tcW w:w="525" w:type="pct"/>
                  <w:tcBorders>
                    <w:tl2br w:val="nil"/>
                    <w:tr2bl w:val="nil"/>
                  </w:tcBorders>
                  <w:shd w:val="clear" w:color="auto" w:fill="auto"/>
                  <w:vAlign w:val="center"/>
                </w:tcPr>
                <w:p w14:paraId="27379AF5">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0.05t/a</w:t>
                  </w:r>
                </w:p>
              </w:tc>
              <w:tc>
                <w:tcPr>
                  <w:tcW w:w="525" w:type="pct"/>
                  <w:tcBorders>
                    <w:tl2br w:val="nil"/>
                    <w:tr2bl w:val="nil"/>
                  </w:tcBorders>
                  <w:shd w:val="clear" w:color="auto" w:fill="auto"/>
                  <w:vAlign w:val="center"/>
                </w:tcPr>
                <w:p w14:paraId="33E14279">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0.05t/a</w:t>
                  </w:r>
                </w:p>
              </w:tc>
              <w:tc>
                <w:tcPr>
                  <w:tcW w:w="501" w:type="pct"/>
                  <w:vMerge w:val="continue"/>
                  <w:tcBorders>
                    <w:tl2br w:val="nil"/>
                    <w:tr2bl w:val="nil"/>
                  </w:tcBorders>
                  <w:vAlign w:val="center"/>
                </w:tcPr>
                <w:p w14:paraId="7C4FA13C">
                  <w:pPr>
                    <w:widowControl/>
                    <w:spacing w:before="78" w:beforeLines="25" w:after="78" w:afterLines="25" w:line="300" w:lineRule="auto"/>
                    <w:jc w:val="center"/>
                    <w:rPr>
                      <w:rFonts w:ascii="Times New Roman" w:hAnsi="Times New Roman" w:eastAsia="宋体" w:cs="宋体"/>
                      <w:kern w:val="0"/>
                      <w:szCs w:val="21"/>
                      <w:lang w:bidi="ar"/>
                    </w:rPr>
                  </w:pPr>
                </w:p>
              </w:tc>
            </w:tr>
            <w:tr w14:paraId="7F843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4EC7142B">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7</w:t>
                  </w:r>
                </w:p>
              </w:tc>
              <w:tc>
                <w:tcPr>
                  <w:tcW w:w="1031" w:type="pct"/>
                  <w:tcBorders>
                    <w:tl2br w:val="nil"/>
                    <w:tr2bl w:val="nil"/>
                  </w:tcBorders>
                  <w:vAlign w:val="center"/>
                </w:tcPr>
                <w:p w14:paraId="465D8B57">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空压机废油液</w:t>
                  </w:r>
                </w:p>
              </w:tc>
              <w:tc>
                <w:tcPr>
                  <w:tcW w:w="685" w:type="pct"/>
                  <w:tcBorders>
                    <w:tl2br w:val="nil"/>
                    <w:tr2bl w:val="nil"/>
                  </w:tcBorders>
                  <w:vAlign w:val="center"/>
                </w:tcPr>
                <w:p w14:paraId="0DB75AA8">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压缩空气</w:t>
                  </w:r>
                </w:p>
              </w:tc>
              <w:tc>
                <w:tcPr>
                  <w:tcW w:w="471" w:type="pct"/>
                  <w:tcBorders>
                    <w:tl2br w:val="nil"/>
                    <w:tr2bl w:val="nil"/>
                  </w:tcBorders>
                  <w:vAlign w:val="center"/>
                </w:tcPr>
                <w:p w14:paraId="4E1D8E8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液态</w:t>
                  </w:r>
                </w:p>
              </w:tc>
              <w:tc>
                <w:tcPr>
                  <w:tcW w:w="834" w:type="pct"/>
                  <w:tcBorders>
                    <w:tl2br w:val="nil"/>
                    <w:tr2bl w:val="nil"/>
                  </w:tcBorders>
                  <w:vAlign w:val="center"/>
                </w:tcPr>
                <w:p w14:paraId="5EF1FDC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矿物油</w:t>
                  </w:r>
                </w:p>
              </w:tc>
              <w:tc>
                <w:tcPr>
                  <w:tcW w:w="525" w:type="pct"/>
                  <w:tcBorders>
                    <w:tl2br w:val="nil"/>
                    <w:tr2bl w:val="nil"/>
                  </w:tcBorders>
                  <w:vAlign w:val="center"/>
                </w:tcPr>
                <w:p w14:paraId="04A0A2BE">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0.02t/a</w:t>
                  </w:r>
                </w:p>
              </w:tc>
              <w:tc>
                <w:tcPr>
                  <w:tcW w:w="525" w:type="pct"/>
                  <w:tcBorders>
                    <w:tl2br w:val="nil"/>
                    <w:tr2bl w:val="nil"/>
                  </w:tcBorders>
                  <w:vAlign w:val="center"/>
                </w:tcPr>
                <w:p w14:paraId="21900D65">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0.02t/a</w:t>
                  </w:r>
                </w:p>
              </w:tc>
              <w:tc>
                <w:tcPr>
                  <w:tcW w:w="501" w:type="pct"/>
                  <w:vMerge w:val="continue"/>
                  <w:tcBorders>
                    <w:tl2br w:val="nil"/>
                    <w:tr2bl w:val="nil"/>
                  </w:tcBorders>
                  <w:vAlign w:val="center"/>
                </w:tcPr>
                <w:p w14:paraId="2E5EA246">
                  <w:pPr>
                    <w:widowControl/>
                    <w:spacing w:before="78" w:beforeLines="25" w:after="78" w:afterLines="25" w:line="300" w:lineRule="auto"/>
                    <w:jc w:val="center"/>
                    <w:rPr>
                      <w:rFonts w:ascii="Times New Roman" w:hAnsi="Times New Roman" w:eastAsia="宋体" w:cs="宋体"/>
                      <w:kern w:val="0"/>
                      <w:szCs w:val="21"/>
                      <w:lang w:bidi="ar"/>
                    </w:rPr>
                  </w:pPr>
                </w:p>
              </w:tc>
            </w:tr>
            <w:tr w14:paraId="7ECC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0DFE2EC2">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8</w:t>
                  </w:r>
                </w:p>
              </w:tc>
              <w:tc>
                <w:tcPr>
                  <w:tcW w:w="1031" w:type="pct"/>
                  <w:tcBorders>
                    <w:tl2br w:val="nil"/>
                    <w:tr2bl w:val="nil"/>
                  </w:tcBorders>
                  <w:vAlign w:val="center"/>
                </w:tcPr>
                <w:p w14:paraId="6B548325">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废活性炭</w:t>
                  </w:r>
                </w:p>
              </w:tc>
              <w:tc>
                <w:tcPr>
                  <w:tcW w:w="685" w:type="pct"/>
                  <w:tcBorders>
                    <w:tl2br w:val="nil"/>
                    <w:tr2bl w:val="nil"/>
                  </w:tcBorders>
                  <w:vAlign w:val="center"/>
                </w:tcPr>
                <w:p w14:paraId="243804E6">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废气治理</w:t>
                  </w:r>
                </w:p>
              </w:tc>
              <w:tc>
                <w:tcPr>
                  <w:tcW w:w="471" w:type="pct"/>
                  <w:tcBorders>
                    <w:tl2br w:val="nil"/>
                    <w:tr2bl w:val="nil"/>
                  </w:tcBorders>
                  <w:vAlign w:val="center"/>
                </w:tcPr>
                <w:p w14:paraId="1420B91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固态</w:t>
                  </w:r>
                </w:p>
              </w:tc>
              <w:tc>
                <w:tcPr>
                  <w:tcW w:w="834" w:type="pct"/>
                  <w:tcBorders>
                    <w:tl2br w:val="nil"/>
                    <w:tr2bl w:val="nil"/>
                  </w:tcBorders>
                  <w:vAlign w:val="center"/>
                </w:tcPr>
                <w:p w14:paraId="466A1A93">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废活性炭</w:t>
                  </w:r>
                </w:p>
              </w:tc>
              <w:tc>
                <w:tcPr>
                  <w:tcW w:w="525" w:type="pct"/>
                  <w:tcBorders>
                    <w:tl2br w:val="nil"/>
                    <w:tr2bl w:val="nil"/>
                  </w:tcBorders>
                  <w:vAlign w:val="center"/>
                </w:tcPr>
                <w:p w14:paraId="6F8A441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5.53</w:t>
                  </w:r>
                  <w:r>
                    <w:rPr>
                      <w:rFonts w:hint="eastAsia" w:ascii="Times New Roman" w:hAnsi="Times New Roman" w:eastAsia="宋体" w:cs="宋体"/>
                      <w:kern w:val="0"/>
                      <w:szCs w:val="21"/>
                      <w:lang w:bidi="ar"/>
                    </w:rPr>
                    <w:t>t/a</w:t>
                  </w:r>
                </w:p>
              </w:tc>
              <w:tc>
                <w:tcPr>
                  <w:tcW w:w="525" w:type="pct"/>
                  <w:tcBorders>
                    <w:tl2br w:val="nil"/>
                    <w:tr2bl w:val="nil"/>
                  </w:tcBorders>
                  <w:vAlign w:val="center"/>
                </w:tcPr>
                <w:p w14:paraId="26639D52">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5.53</w:t>
                  </w:r>
                  <w:r>
                    <w:rPr>
                      <w:rFonts w:hint="eastAsia" w:ascii="Times New Roman" w:hAnsi="Times New Roman" w:eastAsia="宋体" w:cs="宋体"/>
                      <w:kern w:val="0"/>
                      <w:szCs w:val="21"/>
                      <w:lang w:bidi="ar"/>
                    </w:rPr>
                    <w:t>t/a</w:t>
                  </w:r>
                </w:p>
              </w:tc>
              <w:tc>
                <w:tcPr>
                  <w:tcW w:w="501" w:type="pct"/>
                  <w:vMerge w:val="continue"/>
                  <w:tcBorders>
                    <w:tl2br w:val="nil"/>
                    <w:tr2bl w:val="nil"/>
                  </w:tcBorders>
                  <w:vAlign w:val="center"/>
                </w:tcPr>
                <w:p w14:paraId="569720A3">
                  <w:pPr>
                    <w:widowControl/>
                    <w:spacing w:before="78" w:beforeLines="25" w:after="78" w:afterLines="25" w:line="300" w:lineRule="auto"/>
                    <w:jc w:val="center"/>
                    <w:rPr>
                      <w:rFonts w:ascii="Times New Roman" w:hAnsi="Times New Roman" w:eastAsia="宋体" w:cs="宋体"/>
                      <w:kern w:val="0"/>
                      <w:szCs w:val="21"/>
                      <w:lang w:bidi="ar"/>
                    </w:rPr>
                  </w:pPr>
                </w:p>
              </w:tc>
            </w:tr>
            <w:tr w14:paraId="2E38F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739645C6">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9</w:t>
                  </w:r>
                </w:p>
              </w:tc>
              <w:tc>
                <w:tcPr>
                  <w:tcW w:w="1031" w:type="pct"/>
                  <w:tcBorders>
                    <w:tl2br w:val="nil"/>
                    <w:tr2bl w:val="nil"/>
                  </w:tcBorders>
                  <w:vAlign w:val="center"/>
                </w:tcPr>
                <w:p w14:paraId="66FFC26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废过滤棉</w:t>
                  </w:r>
                </w:p>
              </w:tc>
              <w:tc>
                <w:tcPr>
                  <w:tcW w:w="685" w:type="pct"/>
                  <w:tcBorders>
                    <w:tl2br w:val="nil"/>
                    <w:tr2bl w:val="nil"/>
                  </w:tcBorders>
                  <w:vAlign w:val="center"/>
                </w:tcPr>
                <w:p w14:paraId="7CD0CA0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废气治理</w:t>
                  </w:r>
                </w:p>
              </w:tc>
              <w:tc>
                <w:tcPr>
                  <w:tcW w:w="471" w:type="pct"/>
                  <w:tcBorders>
                    <w:tl2br w:val="nil"/>
                    <w:tr2bl w:val="nil"/>
                  </w:tcBorders>
                  <w:vAlign w:val="center"/>
                </w:tcPr>
                <w:p w14:paraId="70E3FAC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固态</w:t>
                  </w:r>
                </w:p>
              </w:tc>
              <w:tc>
                <w:tcPr>
                  <w:tcW w:w="834" w:type="pct"/>
                  <w:tcBorders>
                    <w:tl2br w:val="nil"/>
                    <w:tr2bl w:val="nil"/>
                  </w:tcBorders>
                  <w:vAlign w:val="center"/>
                </w:tcPr>
                <w:p w14:paraId="7518D558">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废过滤棉</w:t>
                  </w:r>
                </w:p>
              </w:tc>
              <w:tc>
                <w:tcPr>
                  <w:tcW w:w="525" w:type="pct"/>
                  <w:tcBorders>
                    <w:tl2br w:val="nil"/>
                    <w:tr2bl w:val="nil"/>
                  </w:tcBorders>
                  <w:vAlign w:val="center"/>
                </w:tcPr>
                <w:p w14:paraId="54BD999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0.05t/a</w:t>
                  </w:r>
                </w:p>
              </w:tc>
              <w:tc>
                <w:tcPr>
                  <w:tcW w:w="525" w:type="pct"/>
                  <w:tcBorders>
                    <w:tl2br w:val="nil"/>
                    <w:tr2bl w:val="nil"/>
                  </w:tcBorders>
                  <w:vAlign w:val="center"/>
                </w:tcPr>
                <w:p w14:paraId="08B9084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0.05t/a</w:t>
                  </w:r>
                </w:p>
              </w:tc>
              <w:tc>
                <w:tcPr>
                  <w:tcW w:w="501" w:type="pct"/>
                  <w:vMerge w:val="continue"/>
                  <w:tcBorders>
                    <w:tl2br w:val="nil"/>
                    <w:tr2bl w:val="nil"/>
                  </w:tcBorders>
                  <w:vAlign w:val="center"/>
                </w:tcPr>
                <w:p w14:paraId="3D7E380C">
                  <w:pPr>
                    <w:widowControl/>
                    <w:spacing w:before="78" w:beforeLines="25" w:after="78" w:afterLines="25" w:line="300" w:lineRule="auto"/>
                    <w:jc w:val="center"/>
                    <w:rPr>
                      <w:rFonts w:ascii="Times New Roman" w:hAnsi="Times New Roman" w:eastAsia="宋体" w:cs="宋体"/>
                      <w:kern w:val="0"/>
                      <w:szCs w:val="21"/>
                      <w:lang w:bidi="ar"/>
                    </w:rPr>
                  </w:pPr>
                </w:p>
              </w:tc>
            </w:tr>
            <w:tr w14:paraId="4180C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5" w:type="pct"/>
                  <w:tcBorders>
                    <w:tl2br w:val="nil"/>
                    <w:tr2bl w:val="nil"/>
                  </w:tcBorders>
                  <w:shd w:val="clear" w:color="auto" w:fill="auto"/>
                  <w:vAlign w:val="center"/>
                </w:tcPr>
                <w:p w14:paraId="59AB1126">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 w:val="21"/>
                      <w:szCs w:val="21"/>
                      <w:lang w:val="en-US" w:eastAsia="zh-CN" w:bidi="ar"/>
                    </w:rPr>
                    <w:t>10</w:t>
                  </w:r>
                </w:p>
              </w:tc>
              <w:tc>
                <w:tcPr>
                  <w:tcW w:w="1031" w:type="pct"/>
                  <w:tcBorders>
                    <w:tl2br w:val="nil"/>
                    <w:tr2bl w:val="nil"/>
                  </w:tcBorders>
                  <w:vAlign w:val="center"/>
                </w:tcPr>
                <w:p w14:paraId="12BDC7A2">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生活垃圾</w:t>
                  </w:r>
                </w:p>
              </w:tc>
              <w:tc>
                <w:tcPr>
                  <w:tcW w:w="685" w:type="pct"/>
                  <w:tcBorders>
                    <w:tl2br w:val="nil"/>
                    <w:tr2bl w:val="nil"/>
                  </w:tcBorders>
                  <w:vAlign w:val="center"/>
                </w:tcPr>
                <w:p w14:paraId="15A049C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办公生活</w:t>
                  </w:r>
                </w:p>
              </w:tc>
              <w:tc>
                <w:tcPr>
                  <w:tcW w:w="471" w:type="pct"/>
                  <w:tcBorders>
                    <w:tl2br w:val="nil"/>
                    <w:tr2bl w:val="nil"/>
                  </w:tcBorders>
                  <w:vAlign w:val="center"/>
                </w:tcPr>
                <w:p w14:paraId="413A118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固态</w:t>
                  </w:r>
                </w:p>
              </w:tc>
              <w:tc>
                <w:tcPr>
                  <w:tcW w:w="834" w:type="pct"/>
                  <w:tcBorders>
                    <w:tl2br w:val="nil"/>
                    <w:tr2bl w:val="nil"/>
                  </w:tcBorders>
                  <w:vAlign w:val="center"/>
                </w:tcPr>
                <w:p w14:paraId="6BC0676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生活垃圾</w:t>
                  </w:r>
                </w:p>
              </w:tc>
              <w:tc>
                <w:tcPr>
                  <w:tcW w:w="525" w:type="pct"/>
                  <w:tcBorders>
                    <w:tl2br w:val="nil"/>
                    <w:tr2bl w:val="nil"/>
                  </w:tcBorders>
                  <w:vAlign w:val="center"/>
                </w:tcPr>
                <w:p w14:paraId="4F4AB234">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2.5</w:t>
                  </w:r>
                  <w:r>
                    <w:rPr>
                      <w:rFonts w:hint="eastAsia" w:ascii="Times New Roman" w:hAnsi="Times New Roman" w:eastAsia="宋体" w:cs="宋体"/>
                      <w:kern w:val="0"/>
                      <w:szCs w:val="21"/>
                      <w:lang w:bidi="ar"/>
                    </w:rPr>
                    <w:t>t/a</w:t>
                  </w:r>
                </w:p>
              </w:tc>
              <w:tc>
                <w:tcPr>
                  <w:tcW w:w="525" w:type="pct"/>
                  <w:tcBorders>
                    <w:tl2br w:val="nil"/>
                    <w:tr2bl w:val="nil"/>
                  </w:tcBorders>
                  <w:vAlign w:val="center"/>
                </w:tcPr>
                <w:p w14:paraId="7FA3571E">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2.5</w:t>
                  </w:r>
                  <w:r>
                    <w:rPr>
                      <w:rFonts w:hint="eastAsia" w:ascii="Times New Roman" w:hAnsi="Times New Roman" w:eastAsia="宋体" w:cs="宋体"/>
                      <w:kern w:val="0"/>
                      <w:szCs w:val="21"/>
                      <w:lang w:bidi="ar"/>
                    </w:rPr>
                    <w:t>t/a</w:t>
                  </w:r>
                </w:p>
              </w:tc>
              <w:tc>
                <w:tcPr>
                  <w:tcW w:w="501" w:type="pct"/>
                  <w:tcBorders>
                    <w:tl2br w:val="nil"/>
                    <w:tr2bl w:val="nil"/>
                  </w:tcBorders>
                  <w:vAlign w:val="center"/>
                </w:tcPr>
                <w:p w14:paraId="38521F1F">
                  <w:pPr>
                    <w:widowControl/>
                    <w:spacing w:before="78" w:beforeLines="25" w:after="78" w:afterLines="25"/>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环卫部门统一清运</w:t>
                  </w:r>
                </w:p>
              </w:tc>
            </w:tr>
          </w:tbl>
          <w:p w14:paraId="0369B3B5">
            <w:pPr>
              <w:spacing w:before="31" w:beforeLines="10" w:after="31" w:afterLines="10" w:line="360" w:lineRule="auto"/>
              <w:ind w:firstLine="482" w:firstLineChars="200"/>
              <w:rPr>
                <w:rFonts w:ascii="Times New Roman" w:hAnsi="Times New Roman" w:cs="宋体"/>
                <w:b/>
                <w:bCs/>
                <w:sz w:val="24"/>
              </w:rPr>
            </w:pPr>
            <w:r>
              <w:rPr>
                <w:rFonts w:hint="eastAsia" w:ascii="Times New Roman" w:hAnsi="Times New Roman" w:cs="宋体"/>
                <w:b/>
                <w:bCs/>
                <w:sz w:val="24"/>
              </w:rPr>
              <w:t>② 固体废物属性</w:t>
            </w:r>
          </w:p>
          <w:p w14:paraId="091FDF7A">
            <w:pPr>
              <w:spacing w:line="372" w:lineRule="auto"/>
              <w:ind w:firstLine="480" w:firstLineChars="200"/>
              <w:rPr>
                <w:rFonts w:ascii="Times New Roman" w:hAnsi="Times New Roman" w:eastAsia="宋体"/>
                <w:sz w:val="24"/>
              </w:rPr>
            </w:pPr>
            <w:r>
              <w:rPr>
                <w:rFonts w:hint="eastAsia" w:ascii="Times New Roman" w:hAnsi="Times New Roman" w:eastAsia="宋体"/>
                <w:sz w:val="24"/>
              </w:rPr>
              <w:t>根据《一般固体废物分类与代码》（GB/T 39198-2020）、《国家危险废物名录》（</w:t>
            </w:r>
            <w:r>
              <w:rPr>
                <w:rFonts w:ascii="Times New Roman" w:hAnsi="Times New Roman" w:eastAsia="宋体"/>
                <w:sz w:val="24"/>
              </w:rPr>
              <w:t>202</w:t>
            </w:r>
            <w:r>
              <w:rPr>
                <w:rFonts w:hint="eastAsia" w:ascii="Times New Roman" w:hAnsi="Times New Roman" w:eastAsia="宋体"/>
                <w:sz w:val="24"/>
              </w:rPr>
              <w:t>5版）以及《危险废物鉴别标准通则》（</w:t>
            </w:r>
            <w:r>
              <w:rPr>
                <w:rFonts w:ascii="Times New Roman" w:hAnsi="Times New Roman" w:eastAsia="宋体"/>
                <w:sz w:val="24"/>
              </w:rPr>
              <w:t>GB</w:t>
            </w:r>
            <w:r>
              <w:rPr>
                <w:rFonts w:hint="eastAsia" w:ascii="Times New Roman" w:hAnsi="Times New Roman" w:eastAsia="宋体"/>
                <w:sz w:val="24"/>
              </w:rPr>
              <w:t xml:space="preserve"> </w:t>
            </w:r>
            <w:r>
              <w:rPr>
                <w:rFonts w:ascii="Times New Roman" w:hAnsi="Times New Roman" w:eastAsia="宋体"/>
                <w:sz w:val="24"/>
              </w:rPr>
              <w:t>5085.7-2019</w:t>
            </w:r>
            <w:r>
              <w:rPr>
                <w:rFonts w:hint="eastAsia" w:ascii="Times New Roman" w:hAnsi="Times New Roman" w:eastAsia="宋体"/>
                <w:sz w:val="24"/>
              </w:rPr>
              <w:t>），项目固体废物属性一览表详见下表：</w:t>
            </w:r>
          </w:p>
          <w:p w14:paraId="26CD120E">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w:t>
            </w:r>
            <w:r>
              <w:rPr>
                <w:rFonts w:hint="eastAsia" w:ascii="Times New Roman" w:hAnsi="Times New Roman" w:eastAsia="宋体" w:cs="Times New Roman"/>
                <w:szCs w:val="24"/>
              </w:rPr>
              <w:t>2</w:t>
            </w: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 xml:space="preserve">  项目固体废物属性一览表</w:t>
            </w:r>
          </w:p>
          <w:tbl>
            <w:tblPr>
              <w:tblStyle w:val="28"/>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4"/>
              <w:gridCol w:w="1634"/>
              <w:gridCol w:w="1432"/>
              <w:gridCol w:w="2171"/>
              <w:gridCol w:w="1369"/>
              <w:gridCol w:w="1111"/>
            </w:tblGrid>
            <w:tr w14:paraId="10C58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243A688C">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序号</w:t>
                  </w:r>
                </w:p>
              </w:tc>
              <w:tc>
                <w:tcPr>
                  <w:tcW w:w="968" w:type="pct"/>
                  <w:tcBorders>
                    <w:tl2br w:val="nil"/>
                    <w:tr2bl w:val="nil"/>
                  </w:tcBorders>
                  <w:vAlign w:val="center"/>
                </w:tcPr>
                <w:p w14:paraId="6FC984F2">
                  <w:pPr>
                    <w:widowControl/>
                    <w:spacing w:before="78" w:beforeLines="25" w:after="78" w:afterLines="25" w:line="300" w:lineRule="auto"/>
                    <w:jc w:val="center"/>
                    <w:rPr>
                      <w:rFonts w:ascii="Times New Roman" w:hAnsi="Times New Roman" w:eastAsia="宋体" w:cs="Times New Roman"/>
                      <w:b/>
                      <w:bCs/>
                      <w:szCs w:val="21"/>
                    </w:rPr>
                  </w:pPr>
                  <w:r>
                    <w:rPr>
                      <w:rFonts w:hint="eastAsia" w:ascii="Times New Roman" w:hAnsi="Times New Roman" w:eastAsia="宋体"/>
                      <w:b/>
                      <w:bCs/>
                      <w:szCs w:val="21"/>
                    </w:rPr>
                    <w:t>固废名称</w:t>
                  </w:r>
                </w:p>
              </w:tc>
              <w:tc>
                <w:tcPr>
                  <w:tcW w:w="848" w:type="pct"/>
                  <w:tcBorders>
                    <w:tl2br w:val="nil"/>
                    <w:tr2bl w:val="nil"/>
                  </w:tcBorders>
                  <w:vAlign w:val="center"/>
                </w:tcPr>
                <w:p w14:paraId="20FE19B3">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是否属于危险废物</w:t>
                  </w:r>
                </w:p>
              </w:tc>
              <w:tc>
                <w:tcPr>
                  <w:tcW w:w="1286" w:type="pct"/>
                  <w:tcBorders>
                    <w:tl2br w:val="nil"/>
                    <w:tr2bl w:val="nil"/>
                  </w:tcBorders>
                  <w:vAlign w:val="center"/>
                </w:tcPr>
                <w:p w14:paraId="4F2C9D27">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一般固废代码/危险废物编号</w:t>
                  </w:r>
                </w:p>
              </w:tc>
              <w:tc>
                <w:tcPr>
                  <w:tcW w:w="811" w:type="pct"/>
                  <w:tcBorders>
                    <w:tl2br w:val="nil"/>
                    <w:tr2bl w:val="nil"/>
                  </w:tcBorders>
                  <w:vAlign w:val="center"/>
                </w:tcPr>
                <w:p w14:paraId="7D95B2B0">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主要有毒</w:t>
                  </w:r>
                </w:p>
                <w:p w14:paraId="72F4FBC0">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有害物质</w:t>
                  </w:r>
                </w:p>
              </w:tc>
              <w:tc>
                <w:tcPr>
                  <w:tcW w:w="655" w:type="pct"/>
                  <w:tcBorders>
                    <w:tl2br w:val="nil"/>
                    <w:tr2bl w:val="nil"/>
                  </w:tcBorders>
                  <w:vAlign w:val="center"/>
                </w:tcPr>
                <w:p w14:paraId="3B6AF1A8">
                  <w:pPr>
                    <w:widowControl/>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b/>
                      <w:bCs/>
                      <w:szCs w:val="21"/>
                    </w:rPr>
                    <w:t>环境危险特性</w:t>
                  </w:r>
                </w:p>
              </w:tc>
            </w:tr>
            <w:tr w14:paraId="5AEE9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59BB123">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w:t>
                  </w:r>
                </w:p>
              </w:tc>
              <w:tc>
                <w:tcPr>
                  <w:tcW w:w="968" w:type="pct"/>
                  <w:tcBorders>
                    <w:tl2br w:val="nil"/>
                    <w:tr2bl w:val="nil"/>
                  </w:tcBorders>
                  <w:vAlign w:val="center"/>
                </w:tcPr>
                <w:p w14:paraId="40E74556">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边角料</w:t>
                  </w:r>
                </w:p>
              </w:tc>
              <w:tc>
                <w:tcPr>
                  <w:tcW w:w="848" w:type="pct"/>
                  <w:tcBorders>
                    <w:tl2br w:val="nil"/>
                    <w:tr2bl w:val="nil"/>
                  </w:tcBorders>
                  <w:vAlign w:val="center"/>
                </w:tcPr>
                <w:p w14:paraId="035BC1D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否</w:t>
                  </w:r>
                </w:p>
              </w:tc>
              <w:tc>
                <w:tcPr>
                  <w:tcW w:w="1286" w:type="pct"/>
                  <w:tcBorders>
                    <w:tl2br w:val="nil"/>
                    <w:tr2bl w:val="nil"/>
                  </w:tcBorders>
                  <w:vAlign w:val="center"/>
                </w:tcPr>
                <w:p w14:paraId="72294261">
                  <w:pPr>
                    <w:widowControl/>
                    <w:spacing w:before="78" w:beforeLines="25" w:after="78" w:afterLines="25" w:line="300" w:lineRule="auto"/>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SW17/900-001-S17</w:t>
                  </w:r>
                </w:p>
              </w:tc>
              <w:tc>
                <w:tcPr>
                  <w:tcW w:w="811" w:type="pct"/>
                  <w:tcBorders>
                    <w:tl2br w:val="nil"/>
                    <w:tr2bl w:val="nil"/>
                  </w:tcBorders>
                  <w:vAlign w:val="center"/>
                </w:tcPr>
                <w:p w14:paraId="33E4702F">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w:t>
                  </w:r>
                </w:p>
              </w:tc>
              <w:tc>
                <w:tcPr>
                  <w:tcW w:w="655" w:type="pct"/>
                  <w:tcBorders>
                    <w:tl2br w:val="nil"/>
                    <w:tr2bl w:val="nil"/>
                  </w:tcBorders>
                  <w:vAlign w:val="center"/>
                </w:tcPr>
                <w:p w14:paraId="5DB0991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w:t>
                  </w:r>
                </w:p>
              </w:tc>
            </w:tr>
            <w:tr w14:paraId="476A2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F67647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2</w:t>
                  </w:r>
                </w:p>
              </w:tc>
              <w:tc>
                <w:tcPr>
                  <w:tcW w:w="968" w:type="pct"/>
                  <w:tcBorders>
                    <w:tl2br w:val="nil"/>
                    <w:tr2bl w:val="nil"/>
                  </w:tcBorders>
                  <w:vAlign w:val="center"/>
                </w:tcPr>
                <w:p w14:paraId="0C867F87">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除尘灰</w:t>
                  </w:r>
                </w:p>
              </w:tc>
              <w:tc>
                <w:tcPr>
                  <w:tcW w:w="848" w:type="pct"/>
                  <w:tcBorders>
                    <w:tl2br w:val="nil"/>
                    <w:tr2bl w:val="nil"/>
                  </w:tcBorders>
                  <w:vAlign w:val="center"/>
                </w:tcPr>
                <w:p w14:paraId="1ED72467">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否</w:t>
                  </w:r>
                </w:p>
              </w:tc>
              <w:tc>
                <w:tcPr>
                  <w:tcW w:w="1286" w:type="pct"/>
                  <w:tcBorders>
                    <w:tl2br w:val="nil"/>
                    <w:tr2bl w:val="nil"/>
                  </w:tcBorders>
                  <w:vAlign w:val="center"/>
                </w:tcPr>
                <w:p w14:paraId="3E9C4C66">
                  <w:pPr>
                    <w:widowControl/>
                    <w:spacing w:before="78" w:beforeLines="25" w:after="78" w:afterLines="25" w:line="300" w:lineRule="auto"/>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SW17/900-001-S17</w:t>
                  </w:r>
                </w:p>
              </w:tc>
              <w:tc>
                <w:tcPr>
                  <w:tcW w:w="811" w:type="pct"/>
                  <w:tcBorders>
                    <w:tl2br w:val="nil"/>
                    <w:tr2bl w:val="nil"/>
                  </w:tcBorders>
                  <w:vAlign w:val="center"/>
                </w:tcPr>
                <w:p w14:paraId="0D2BBBC0">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w:t>
                  </w:r>
                </w:p>
              </w:tc>
              <w:tc>
                <w:tcPr>
                  <w:tcW w:w="655" w:type="pct"/>
                  <w:tcBorders>
                    <w:tl2br w:val="nil"/>
                    <w:tr2bl w:val="nil"/>
                  </w:tcBorders>
                  <w:vAlign w:val="center"/>
                </w:tcPr>
                <w:p w14:paraId="61CE6E4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w:t>
                  </w:r>
                </w:p>
              </w:tc>
            </w:tr>
            <w:tr w14:paraId="62CDB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6ED930E3">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 w:val="21"/>
                      <w:szCs w:val="21"/>
                      <w:lang w:val="en-US" w:eastAsia="zh-CN" w:bidi="ar"/>
                    </w:rPr>
                    <w:t>3</w:t>
                  </w:r>
                </w:p>
              </w:tc>
              <w:tc>
                <w:tcPr>
                  <w:tcW w:w="968" w:type="pct"/>
                  <w:tcBorders>
                    <w:tl2br w:val="nil"/>
                    <w:tr2bl w:val="nil"/>
                  </w:tcBorders>
                  <w:vAlign w:val="center"/>
                </w:tcPr>
                <w:p w14:paraId="1D3555CD">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废液压油</w:t>
                  </w:r>
                </w:p>
              </w:tc>
              <w:tc>
                <w:tcPr>
                  <w:tcW w:w="848" w:type="pct"/>
                  <w:tcBorders>
                    <w:tl2br w:val="nil"/>
                    <w:tr2bl w:val="nil"/>
                  </w:tcBorders>
                  <w:vAlign w:val="center"/>
                </w:tcPr>
                <w:p w14:paraId="22294B27">
                  <w:pPr>
                    <w:widowControl/>
                    <w:spacing w:before="78" w:beforeLines="25" w:after="78" w:afterLines="25" w:line="30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2534DB0E">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HW08</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w:t>
                  </w:r>
                  <w:r>
                    <w:rPr>
                      <w:rFonts w:hint="eastAsia" w:ascii="Times New Roman" w:hAnsi="Times New Roman" w:eastAsia="宋体"/>
                      <w:color w:val="000000" w:themeColor="text1"/>
                      <w:szCs w:val="21"/>
                      <w:lang w:val="en-US" w:eastAsia="zh-CN"/>
                      <w14:textFill>
                        <w14:solidFill>
                          <w14:schemeClr w14:val="tx1"/>
                        </w14:solidFill>
                      </w14:textFill>
                    </w:rPr>
                    <w:t>218</w:t>
                  </w:r>
                  <w:r>
                    <w:rPr>
                      <w:rFonts w:hint="eastAsia" w:ascii="Times New Roman" w:hAnsi="Times New Roman" w:eastAsia="宋体"/>
                      <w:color w:val="000000" w:themeColor="text1"/>
                      <w:szCs w:val="21"/>
                      <w14:textFill>
                        <w14:solidFill>
                          <w14:schemeClr w14:val="tx1"/>
                        </w14:solidFill>
                      </w14:textFill>
                    </w:rPr>
                    <w:t>-08</w:t>
                  </w:r>
                </w:p>
              </w:tc>
              <w:tc>
                <w:tcPr>
                  <w:tcW w:w="811" w:type="pct"/>
                  <w:tcBorders>
                    <w:tl2br w:val="nil"/>
                    <w:tr2bl w:val="nil"/>
                  </w:tcBorders>
                  <w:vAlign w:val="center"/>
                </w:tcPr>
                <w:p w14:paraId="77C4714A">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矿物油</w:t>
                  </w:r>
                </w:p>
              </w:tc>
              <w:tc>
                <w:tcPr>
                  <w:tcW w:w="655" w:type="pct"/>
                  <w:tcBorders>
                    <w:tl2br w:val="nil"/>
                    <w:tr2bl w:val="nil"/>
                  </w:tcBorders>
                  <w:vAlign w:val="center"/>
                </w:tcPr>
                <w:p w14:paraId="463B0F7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T/I</w:t>
                  </w:r>
                </w:p>
              </w:tc>
            </w:tr>
            <w:tr w14:paraId="47BED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0BA3242C">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4</w:t>
                  </w:r>
                </w:p>
              </w:tc>
              <w:tc>
                <w:tcPr>
                  <w:tcW w:w="968" w:type="pct"/>
                  <w:tcBorders>
                    <w:tl2br w:val="nil"/>
                    <w:tr2bl w:val="nil"/>
                  </w:tcBorders>
                  <w:vAlign w:val="center"/>
                </w:tcPr>
                <w:p w14:paraId="4A3F5AAF">
                  <w:pPr>
                    <w:widowControl/>
                    <w:spacing w:before="78" w:beforeLines="25" w:after="78" w:afterLines="25" w:line="30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废导热油</w:t>
                  </w:r>
                </w:p>
              </w:tc>
              <w:tc>
                <w:tcPr>
                  <w:tcW w:w="848" w:type="pct"/>
                  <w:tcBorders>
                    <w:tl2br w:val="nil"/>
                    <w:tr2bl w:val="nil"/>
                  </w:tcBorders>
                  <w:shd w:val="clear" w:color="auto" w:fill="auto"/>
                  <w:vAlign w:val="center"/>
                </w:tcPr>
                <w:p w14:paraId="27AE8C71">
                  <w:pPr>
                    <w:widowControl/>
                    <w:spacing w:before="78" w:beforeLines="25" w:after="78" w:afterLines="25" w:line="300" w:lineRule="auto"/>
                    <w:jc w:val="center"/>
                    <w:rPr>
                      <w:rFonts w:hint="eastAsia" w:ascii="Times New Roman" w:hAnsi="Times New Roman" w:eastAsia="宋体" w:cs="宋体"/>
                      <w:b/>
                      <w:bCs/>
                      <w:kern w:val="0"/>
                      <w:sz w:val="21"/>
                      <w:szCs w:val="21"/>
                      <w:lang w:val="en-US" w:eastAsia="zh-CN"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5E2BCE29">
                  <w:pPr>
                    <w:widowControl/>
                    <w:spacing w:before="78" w:beforeLines="25" w:after="78" w:afterLines="25" w:line="300" w:lineRule="auto"/>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HW08</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900-214-08</w:t>
                  </w:r>
                </w:p>
              </w:tc>
              <w:tc>
                <w:tcPr>
                  <w:tcW w:w="811" w:type="pct"/>
                  <w:tcBorders>
                    <w:tl2br w:val="nil"/>
                    <w:tr2bl w:val="nil"/>
                  </w:tcBorders>
                  <w:shd w:val="clear" w:color="auto" w:fill="auto"/>
                  <w:vAlign w:val="center"/>
                </w:tcPr>
                <w:p w14:paraId="579C5D7A">
                  <w:pPr>
                    <w:widowControl/>
                    <w:spacing w:before="78" w:beforeLines="25" w:after="78" w:afterLines="25" w:line="300" w:lineRule="auto"/>
                    <w:jc w:val="cente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矿物油</w:t>
                  </w:r>
                </w:p>
              </w:tc>
              <w:tc>
                <w:tcPr>
                  <w:tcW w:w="655" w:type="pct"/>
                  <w:tcBorders>
                    <w:tl2br w:val="nil"/>
                    <w:tr2bl w:val="nil"/>
                  </w:tcBorders>
                  <w:shd w:val="clear" w:color="auto" w:fill="auto"/>
                  <w:vAlign w:val="center"/>
                </w:tcPr>
                <w:p w14:paraId="55F020CF">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T/I</w:t>
                  </w:r>
                </w:p>
              </w:tc>
            </w:tr>
            <w:tr w14:paraId="098A2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08AE6038">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5</w:t>
                  </w:r>
                </w:p>
              </w:tc>
              <w:tc>
                <w:tcPr>
                  <w:tcW w:w="968" w:type="pct"/>
                  <w:tcBorders>
                    <w:tl2br w:val="nil"/>
                    <w:tr2bl w:val="nil"/>
                  </w:tcBorders>
                  <w:vAlign w:val="center"/>
                </w:tcPr>
                <w:p w14:paraId="24ADF845">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废油桶</w:t>
                  </w:r>
                </w:p>
              </w:tc>
              <w:tc>
                <w:tcPr>
                  <w:tcW w:w="848" w:type="pct"/>
                  <w:tcBorders>
                    <w:tl2br w:val="nil"/>
                    <w:tr2bl w:val="nil"/>
                  </w:tcBorders>
                  <w:shd w:val="clear" w:color="auto" w:fill="auto"/>
                  <w:vAlign w:val="center"/>
                </w:tcPr>
                <w:p w14:paraId="411A442F">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27B6A61A">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HW08</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900-249-08</w:t>
                  </w:r>
                </w:p>
              </w:tc>
              <w:tc>
                <w:tcPr>
                  <w:tcW w:w="811" w:type="pct"/>
                  <w:tcBorders>
                    <w:tl2br w:val="nil"/>
                    <w:tr2bl w:val="nil"/>
                  </w:tcBorders>
                  <w:vAlign w:val="center"/>
                </w:tcPr>
                <w:p w14:paraId="250F03EC">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矿物油</w:t>
                  </w:r>
                </w:p>
              </w:tc>
              <w:tc>
                <w:tcPr>
                  <w:tcW w:w="655" w:type="pct"/>
                  <w:tcBorders>
                    <w:tl2br w:val="nil"/>
                    <w:tr2bl w:val="nil"/>
                  </w:tcBorders>
                  <w:vAlign w:val="center"/>
                </w:tcPr>
                <w:p w14:paraId="4C162B5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T/I</w:t>
                  </w:r>
                </w:p>
              </w:tc>
            </w:tr>
            <w:tr w14:paraId="7DEE3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14C15CAF">
                  <w:pPr>
                    <w:widowControl/>
                    <w:spacing w:before="78" w:beforeLines="25" w:after="78" w:afterLines="25" w:line="300" w:lineRule="auto"/>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6</w:t>
                  </w:r>
                </w:p>
              </w:tc>
              <w:tc>
                <w:tcPr>
                  <w:tcW w:w="968" w:type="pct"/>
                  <w:tcBorders>
                    <w:tl2br w:val="nil"/>
                    <w:tr2bl w:val="nil"/>
                  </w:tcBorders>
                  <w:vAlign w:val="center"/>
                </w:tcPr>
                <w:p w14:paraId="590D5D2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含油废棉纱手套</w:t>
                  </w:r>
                </w:p>
              </w:tc>
              <w:tc>
                <w:tcPr>
                  <w:tcW w:w="848" w:type="pct"/>
                  <w:tcBorders>
                    <w:tl2br w:val="nil"/>
                    <w:tr2bl w:val="nil"/>
                  </w:tcBorders>
                  <w:shd w:val="clear" w:color="auto" w:fill="auto"/>
                  <w:vAlign w:val="center"/>
                </w:tcPr>
                <w:p w14:paraId="70BC3247">
                  <w:pPr>
                    <w:widowControl/>
                    <w:spacing w:before="78" w:beforeLines="25" w:after="78" w:afterLines="25" w:line="300" w:lineRule="auto"/>
                    <w:jc w:val="center"/>
                    <w:rPr>
                      <w:rFonts w:ascii="Times New Roman" w:hAnsi="Times New Roman" w:eastAsia="宋体" w:cs="宋体"/>
                      <w:b/>
                      <w:bCs/>
                      <w:kern w:val="0"/>
                      <w:sz w:val="21"/>
                      <w:szCs w:val="21"/>
                      <w:lang w:val="en-US" w:eastAsia="zh-CN"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7EE1D110">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HW49</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900-041-49</w:t>
                  </w:r>
                </w:p>
              </w:tc>
              <w:tc>
                <w:tcPr>
                  <w:tcW w:w="811" w:type="pct"/>
                  <w:tcBorders>
                    <w:tl2br w:val="nil"/>
                    <w:tr2bl w:val="nil"/>
                  </w:tcBorders>
                  <w:vAlign w:val="center"/>
                </w:tcPr>
                <w:p w14:paraId="381E5C02">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矿物油</w:t>
                  </w:r>
                </w:p>
              </w:tc>
              <w:tc>
                <w:tcPr>
                  <w:tcW w:w="655" w:type="pct"/>
                  <w:tcBorders>
                    <w:tl2br w:val="nil"/>
                    <w:tr2bl w:val="nil"/>
                  </w:tcBorders>
                  <w:vAlign w:val="center"/>
                </w:tcPr>
                <w:p w14:paraId="7FBC82AD">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T/In</w:t>
                  </w:r>
                </w:p>
              </w:tc>
            </w:tr>
            <w:tr w14:paraId="7457B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35F7FD0D">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7</w:t>
                  </w:r>
                </w:p>
              </w:tc>
              <w:tc>
                <w:tcPr>
                  <w:tcW w:w="968" w:type="pct"/>
                  <w:tcBorders>
                    <w:tl2br w:val="nil"/>
                    <w:tr2bl w:val="nil"/>
                  </w:tcBorders>
                  <w:vAlign w:val="center"/>
                </w:tcPr>
                <w:p w14:paraId="05B3B544">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空压机废油液</w:t>
                  </w:r>
                </w:p>
              </w:tc>
              <w:tc>
                <w:tcPr>
                  <w:tcW w:w="848" w:type="pct"/>
                  <w:tcBorders>
                    <w:tl2br w:val="nil"/>
                    <w:tr2bl w:val="nil"/>
                  </w:tcBorders>
                  <w:vAlign w:val="center"/>
                </w:tcPr>
                <w:p w14:paraId="5A3DA780">
                  <w:pPr>
                    <w:widowControl/>
                    <w:spacing w:before="78" w:beforeLines="25" w:after="78" w:afterLines="25" w:line="30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0A4FC361">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HW08</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900-007-08</w:t>
                  </w:r>
                </w:p>
              </w:tc>
              <w:tc>
                <w:tcPr>
                  <w:tcW w:w="811" w:type="pct"/>
                  <w:tcBorders>
                    <w:tl2br w:val="nil"/>
                    <w:tr2bl w:val="nil"/>
                  </w:tcBorders>
                  <w:vAlign w:val="center"/>
                </w:tcPr>
                <w:p w14:paraId="3107069A">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矿物油</w:t>
                  </w:r>
                </w:p>
              </w:tc>
              <w:tc>
                <w:tcPr>
                  <w:tcW w:w="655" w:type="pct"/>
                  <w:tcBorders>
                    <w:tl2br w:val="nil"/>
                    <w:tr2bl w:val="nil"/>
                  </w:tcBorders>
                  <w:vAlign w:val="center"/>
                </w:tcPr>
                <w:p w14:paraId="75951BC8">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T/I</w:t>
                  </w:r>
                </w:p>
              </w:tc>
            </w:tr>
            <w:tr w14:paraId="754C3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6561C2D7">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8</w:t>
                  </w:r>
                </w:p>
              </w:tc>
              <w:tc>
                <w:tcPr>
                  <w:tcW w:w="968" w:type="pct"/>
                  <w:tcBorders>
                    <w:tl2br w:val="nil"/>
                    <w:tr2bl w:val="nil"/>
                  </w:tcBorders>
                  <w:vAlign w:val="center"/>
                </w:tcPr>
                <w:p w14:paraId="727C8E57">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废活性炭</w:t>
                  </w:r>
                </w:p>
              </w:tc>
              <w:tc>
                <w:tcPr>
                  <w:tcW w:w="848" w:type="pct"/>
                  <w:tcBorders>
                    <w:tl2br w:val="nil"/>
                    <w:tr2bl w:val="nil"/>
                  </w:tcBorders>
                  <w:vAlign w:val="center"/>
                </w:tcPr>
                <w:p w14:paraId="2F6D9073">
                  <w:pPr>
                    <w:widowControl/>
                    <w:spacing w:before="78" w:beforeLines="25" w:after="78" w:afterLines="25" w:line="30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194B5489">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HW49</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900-039-049</w:t>
                  </w:r>
                </w:p>
              </w:tc>
              <w:tc>
                <w:tcPr>
                  <w:tcW w:w="811" w:type="pct"/>
                  <w:tcBorders>
                    <w:tl2br w:val="nil"/>
                    <w:tr2bl w:val="nil"/>
                  </w:tcBorders>
                  <w:vAlign w:val="center"/>
                </w:tcPr>
                <w:p w14:paraId="79F6CD8E">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有机废物</w:t>
                  </w:r>
                </w:p>
              </w:tc>
              <w:tc>
                <w:tcPr>
                  <w:tcW w:w="655" w:type="pct"/>
                  <w:tcBorders>
                    <w:tl2br w:val="nil"/>
                    <w:tr2bl w:val="nil"/>
                  </w:tcBorders>
                  <w:vAlign w:val="center"/>
                </w:tcPr>
                <w:p w14:paraId="0C38ACD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w:t>
                  </w:r>
                </w:p>
              </w:tc>
            </w:tr>
            <w:tr w14:paraId="6572A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0847E66F">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9</w:t>
                  </w:r>
                </w:p>
              </w:tc>
              <w:tc>
                <w:tcPr>
                  <w:tcW w:w="968" w:type="pct"/>
                  <w:tcBorders>
                    <w:tl2br w:val="nil"/>
                    <w:tr2bl w:val="nil"/>
                  </w:tcBorders>
                  <w:vAlign w:val="center"/>
                </w:tcPr>
                <w:p w14:paraId="495FE38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废过滤棉</w:t>
                  </w:r>
                </w:p>
              </w:tc>
              <w:tc>
                <w:tcPr>
                  <w:tcW w:w="848" w:type="pct"/>
                  <w:tcBorders>
                    <w:tl2br w:val="nil"/>
                    <w:tr2bl w:val="nil"/>
                  </w:tcBorders>
                  <w:vAlign w:val="center"/>
                </w:tcPr>
                <w:p w14:paraId="7EA781A9">
                  <w:pPr>
                    <w:widowControl/>
                    <w:spacing w:before="78" w:beforeLines="25" w:after="78" w:afterLines="25" w:line="30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是</w:t>
                  </w:r>
                </w:p>
              </w:tc>
              <w:tc>
                <w:tcPr>
                  <w:tcW w:w="1286" w:type="pct"/>
                  <w:tcBorders>
                    <w:tl2br w:val="nil"/>
                    <w:tr2bl w:val="nil"/>
                  </w:tcBorders>
                  <w:vAlign w:val="center"/>
                </w:tcPr>
                <w:p w14:paraId="7B261A44">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HW49</w:t>
                  </w:r>
                  <w:r>
                    <w:rPr>
                      <w:rFonts w:hint="eastAsia" w:ascii="Times New Roman" w:hAnsi="Times New Roman" w:eastAsia="宋体"/>
                      <w:color w:val="000000" w:themeColor="text1"/>
                      <w:szCs w:val="21"/>
                      <w:lang w:val="en-US"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900-039-049</w:t>
                  </w:r>
                </w:p>
              </w:tc>
              <w:tc>
                <w:tcPr>
                  <w:tcW w:w="811" w:type="pct"/>
                  <w:tcBorders>
                    <w:tl2br w:val="nil"/>
                    <w:tr2bl w:val="nil"/>
                  </w:tcBorders>
                  <w:vAlign w:val="center"/>
                </w:tcPr>
                <w:p w14:paraId="7FCA95DD">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有机废物</w:t>
                  </w:r>
                </w:p>
              </w:tc>
              <w:tc>
                <w:tcPr>
                  <w:tcW w:w="655" w:type="pct"/>
                  <w:tcBorders>
                    <w:tl2br w:val="nil"/>
                    <w:tr2bl w:val="nil"/>
                  </w:tcBorders>
                  <w:vAlign w:val="center"/>
                </w:tcPr>
                <w:p w14:paraId="19E4468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T</w:t>
                  </w:r>
                </w:p>
              </w:tc>
            </w:tr>
            <w:tr w14:paraId="36FFA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7A0A709C">
                  <w:pPr>
                    <w:widowControl/>
                    <w:spacing w:before="78" w:beforeLines="25" w:after="78" w:afterLines="25" w:line="300" w:lineRule="auto"/>
                    <w:jc w:val="center"/>
                    <w:rPr>
                      <w:rFonts w:hint="default"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10</w:t>
                  </w:r>
                </w:p>
              </w:tc>
              <w:tc>
                <w:tcPr>
                  <w:tcW w:w="968" w:type="pct"/>
                  <w:tcBorders>
                    <w:tl2br w:val="nil"/>
                    <w:tr2bl w:val="nil"/>
                  </w:tcBorders>
                  <w:vAlign w:val="center"/>
                </w:tcPr>
                <w:p w14:paraId="7D8EFDFD">
                  <w:pPr>
                    <w:widowControl/>
                    <w:spacing w:before="78" w:beforeLines="25" w:after="78" w:afterLines="25" w:line="300" w:lineRule="auto"/>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生活垃圾</w:t>
                  </w:r>
                </w:p>
              </w:tc>
              <w:tc>
                <w:tcPr>
                  <w:tcW w:w="848" w:type="pct"/>
                  <w:tcBorders>
                    <w:tl2br w:val="nil"/>
                    <w:tr2bl w:val="nil"/>
                  </w:tcBorders>
                  <w:vAlign w:val="center"/>
                </w:tcPr>
                <w:p w14:paraId="71B2D3B6">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否</w:t>
                  </w:r>
                </w:p>
              </w:tc>
              <w:tc>
                <w:tcPr>
                  <w:tcW w:w="1286" w:type="pct"/>
                  <w:tcBorders>
                    <w:tl2br w:val="nil"/>
                    <w:tr2bl w:val="nil"/>
                  </w:tcBorders>
                  <w:vAlign w:val="center"/>
                </w:tcPr>
                <w:p w14:paraId="7470D03F">
                  <w:pPr>
                    <w:widowControl/>
                    <w:spacing w:before="78" w:beforeLines="25" w:after="78" w:afterLines="25" w:line="300" w:lineRule="auto"/>
                    <w:jc w:val="center"/>
                    <w:rPr>
                      <w:rFonts w:ascii="Times New Roman" w:hAnsi="Times New Roman" w:eastAsia="宋体"/>
                      <w:color w:val="000000" w:themeColor="text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SW64/900-099-S64</w:t>
                  </w:r>
                </w:p>
              </w:tc>
              <w:tc>
                <w:tcPr>
                  <w:tcW w:w="811" w:type="pct"/>
                  <w:tcBorders>
                    <w:tl2br w:val="nil"/>
                    <w:tr2bl w:val="nil"/>
                  </w:tcBorders>
                  <w:vAlign w:val="center"/>
                </w:tcPr>
                <w:p w14:paraId="26F1E6B7">
                  <w:pPr>
                    <w:widowControl/>
                    <w:spacing w:before="78" w:beforeLines="25" w:after="78" w:afterLines="25" w:line="300" w:lineRule="auto"/>
                    <w:jc w:val="center"/>
                    <w:rPr>
                      <w:rFonts w:ascii="Times New Roman" w:hAnsi="Times New Roman" w:eastAsia="宋体" w:cs="宋体"/>
                      <w:color w:val="000000" w:themeColor="text1"/>
                      <w:kern w:val="0"/>
                      <w:szCs w:val="21"/>
                      <w:lang w:bidi="ar"/>
                      <w14:textFill>
                        <w14:solidFill>
                          <w14:schemeClr w14:val="tx1"/>
                        </w14:solidFill>
                      </w14:textFill>
                    </w:rPr>
                  </w:pPr>
                  <w:r>
                    <w:rPr>
                      <w:rFonts w:hint="eastAsia" w:ascii="Times New Roman" w:hAnsi="Times New Roman" w:eastAsia="宋体" w:cs="宋体"/>
                      <w:color w:val="000000" w:themeColor="text1"/>
                      <w:kern w:val="0"/>
                      <w:szCs w:val="21"/>
                      <w:lang w:bidi="ar"/>
                      <w14:textFill>
                        <w14:solidFill>
                          <w14:schemeClr w14:val="tx1"/>
                        </w14:solidFill>
                      </w14:textFill>
                    </w:rPr>
                    <w:t>/</w:t>
                  </w:r>
                </w:p>
              </w:tc>
              <w:tc>
                <w:tcPr>
                  <w:tcW w:w="655" w:type="pct"/>
                  <w:tcBorders>
                    <w:tl2br w:val="nil"/>
                    <w:tr2bl w:val="nil"/>
                  </w:tcBorders>
                  <w:vAlign w:val="center"/>
                </w:tcPr>
                <w:p w14:paraId="292CCEA0">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w:t>
                  </w:r>
                </w:p>
              </w:tc>
            </w:tr>
            <w:tr w14:paraId="06DBA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090E5B92">
                  <w:pPr>
                    <w:widowControl/>
                    <w:spacing w:before="78" w:beforeLines="25" w:after="78" w:afterLines="25" w:line="300" w:lineRule="auto"/>
                    <w:rPr>
                      <w:rFonts w:ascii="Times New Roman" w:hAnsi="Times New Roman" w:eastAsia="宋体" w:cs="宋体"/>
                      <w:kern w:val="0"/>
                      <w:szCs w:val="21"/>
                      <w:lang w:bidi="ar"/>
                    </w:rPr>
                  </w:pPr>
                  <w:r>
                    <w:rPr>
                      <w:rFonts w:hint="eastAsia" w:ascii="Times New Roman" w:hAnsi="Times New Roman" w:eastAsia="宋体" w:cs="宋体"/>
                      <w:b/>
                      <w:bCs/>
                      <w:kern w:val="0"/>
                      <w:szCs w:val="21"/>
                      <w:lang w:bidi="ar"/>
                    </w:rPr>
                    <w:t>注：</w:t>
                  </w:r>
                  <w:r>
                    <w:rPr>
                      <w:rFonts w:hint="eastAsia" w:ascii="Times New Roman" w:hAnsi="Times New Roman" w:eastAsia="宋体" w:cs="宋体"/>
                      <w:kern w:val="0"/>
                      <w:szCs w:val="21"/>
                      <w:lang w:bidi="ar"/>
                    </w:rPr>
                    <w:t>“*”表示的危险特性，毒性（T）、易燃性（I）和感染性（In）。</w:t>
                  </w:r>
                </w:p>
              </w:tc>
            </w:tr>
          </w:tbl>
          <w:p w14:paraId="32DAB39A">
            <w:pPr>
              <w:spacing w:before="31" w:beforeLines="10" w:after="31" w:afterLines="10" w:line="372" w:lineRule="auto"/>
              <w:ind w:firstLine="482" w:firstLineChars="200"/>
              <w:rPr>
                <w:rFonts w:ascii="Times New Roman" w:hAnsi="Times New Roman" w:cs="宋体"/>
                <w:b/>
                <w:bCs/>
                <w:sz w:val="24"/>
              </w:rPr>
            </w:pPr>
            <w:r>
              <w:rPr>
                <w:rFonts w:hint="eastAsia" w:ascii="Times New Roman" w:hAnsi="Times New Roman" w:cs="宋体"/>
                <w:b/>
                <w:bCs/>
                <w:sz w:val="24"/>
              </w:rPr>
              <w:t>（2）固体废物防治措施及环境管理要求</w:t>
            </w:r>
          </w:p>
          <w:p w14:paraId="0B28E008">
            <w:pPr>
              <w:spacing w:before="31" w:beforeLines="10" w:after="31" w:afterLines="10" w:line="372" w:lineRule="auto"/>
              <w:ind w:firstLine="482" w:firstLineChars="200"/>
              <w:rPr>
                <w:rFonts w:ascii="Times New Roman" w:hAnsi="Times New Roman" w:cs="宋体"/>
                <w:b/>
                <w:bCs/>
                <w:sz w:val="24"/>
              </w:rPr>
            </w:pPr>
            <w:r>
              <w:rPr>
                <w:rFonts w:hint="eastAsia" w:ascii="Times New Roman" w:hAnsi="Times New Roman" w:cs="宋体"/>
                <w:b/>
                <w:bCs/>
                <w:sz w:val="24"/>
              </w:rPr>
              <w:t>① 固体废物防治措施</w:t>
            </w:r>
          </w:p>
          <w:p w14:paraId="75210191">
            <w:pPr>
              <w:numPr>
                <w:ilvl w:val="0"/>
                <w:numId w:val="7"/>
              </w:numPr>
              <w:spacing w:line="377" w:lineRule="auto"/>
              <w:ind w:left="0" w:firstLine="482" w:firstLineChars="200"/>
              <w:rPr>
                <w:rFonts w:hint="eastAsia" w:ascii="Times New Roman" w:hAnsi="Times New Roman"/>
                <w:b/>
                <w:bCs/>
                <w:sz w:val="24"/>
                <w:u w:val="single"/>
              </w:rPr>
            </w:pPr>
            <w:r>
              <w:rPr>
                <w:rFonts w:hint="eastAsia" w:ascii="Times New Roman" w:hAnsi="Times New Roman"/>
                <w:b/>
                <w:bCs/>
                <w:sz w:val="24"/>
                <w:u w:val="single"/>
                <w:lang w:eastAsia="zh-CN"/>
              </w:rPr>
              <w:t>生活垃圾</w:t>
            </w:r>
          </w:p>
          <w:p w14:paraId="7832FCC4">
            <w:pPr>
              <w:numPr>
                <w:ilvl w:val="0"/>
                <w:numId w:val="0"/>
              </w:numPr>
              <w:spacing w:line="377" w:lineRule="auto"/>
              <w:ind w:leftChars="200"/>
              <w:rPr>
                <w:rFonts w:hint="eastAsia" w:ascii="Times New Roman" w:hAnsi="Times New Roman" w:eastAsiaTheme="minorEastAsia"/>
                <w:sz w:val="24"/>
                <w:lang w:eastAsia="zh-CN"/>
              </w:rPr>
            </w:pPr>
            <w:r>
              <w:rPr>
                <w:rFonts w:hint="eastAsia" w:ascii="Times New Roman" w:hAnsi="Times New Roman"/>
                <w:sz w:val="24"/>
                <w:lang w:eastAsia="zh-CN"/>
              </w:rPr>
              <w:t>厂区内集中设置垃圾桶，交由环卫部门统一收运处置。</w:t>
            </w:r>
          </w:p>
          <w:p w14:paraId="3A275884">
            <w:pPr>
              <w:numPr>
                <w:ilvl w:val="0"/>
                <w:numId w:val="7"/>
              </w:numPr>
              <w:spacing w:line="377" w:lineRule="auto"/>
              <w:ind w:left="0" w:firstLine="482" w:firstLineChars="200"/>
              <w:rPr>
                <w:rFonts w:ascii="Times New Roman" w:hAnsi="Times New Roman"/>
                <w:sz w:val="24"/>
              </w:rPr>
            </w:pPr>
            <w:r>
              <w:rPr>
                <w:rFonts w:hint="eastAsia" w:ascii="Times New Roman" w:hAnsi="Times New Roman"/>
                <w:b/>
                <w:bCs/>
                <w:sz w:val="24"/>
                <w:u w:val="single"/>
              </w:rPr>
              <w:t>一般固废</w:t>
            </w:r>
            <w:r>
              <w:rPr>
                <w:rFonts w:hint="eastAsia" w:ascii="Times New Roman" w:hAnsi="Times New Roman"/>
                <w:sz w:val="24"/>
              </w:rPr>
              <w:t>：主要为</w:t>
            </w:r>
            <w:r>
              <w:rPr>
                <w:rFonts w:hint="eastAsia" w:ascii="Times New Roman" w:hAnsi="Times New Roman"/>
                <w:sz w:val="24"/>
                <w:lang w:eastAsia="zh-CN"/>
              </w:rPr>
              <w:t>边角料、</w:t>
            </w:r>
            <w:r>
              <w:rPr>
                <w:rFonts w:hint="eastAsia" w:ascii="Times New Roman" w:hAnsi="Times New Roman"/>
                <w:sz w:val="24"/>
              </w:rPr>
              <w:t>除尘灰等，分类暂存于厂房西北侧一般固废区（面积约</w:t>
            </w:r>
            <w:r>
              <w:rPr>
                <w:rFonts w:hint="eastAsia" w:ascii="Times New Roman" w:hAnsi="Times New Roman"/>
                <w:sz w:val="24"/>
                <w:lang w:val="en-US" w:eastAsia="zh-CN"/>
              </w:rPr>
              <w:t>5</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），定期外售综合利用。</w:t>
            </w:r>
          </w:p>
          <w:p w14:paraId="127B8FFB">
            <w:pPr>
              <w:spacing w:line="377" w:lineRule="auto"/>
              <w:ind w:firstLine="480" w:firstLineChars="200"/>
              <w:rPr>
                <w:rFonts w:ascii="Times New Roman" w:hAnsi="Times New Roman"/>
                <w:sz w:val="24"/>
              </w:rPr>
            </w:pPr>
            <w:r>
              <w:rPr>
                <w:rFonts w:hint="eastAsia" w:ascii="Times New Roman" w:hAnsi="Times New Roman"/>
                <w:sz w:val="24"/>
              </w:rPr>
              <w:t>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294F435D">
            <w:pPr>
              <w:numPr>
                <w:ilvl w:val="0"/>
                <w:numId w:val="7"/>
              </w:numPr>
              <w:spacing w:line="377" w:lineRule="auto"/>
              <w:ind w:left="0" w:firstLine="482" w:firstLineChars="200"/>
              <w:rPr>
                <w:rFonts w:ascii="Times New Roman" w:hAnsi="Times New Roman"/>
                <w:sz w:val="24"/>
              </w:rPr>
            </w:pPr>
            <w:r>
              <w:rPr>
                <w:rFonts w:hint="eastAsia" w:ascii="Times New Roman" w:hAnsi="Times New Roman"/>
                <w:b/>
                <w:bCs/>
                <w:sz w:val="24"/>
                <w:u w:val="single"/>
              </w:rPr>
              <w:t>危险废物</w:t>
            </w:r>
            <w:r>
              <w:rPr>
                <w:rFonts w:hint="eastAsia" w:ascii="Times New Roman" w:hAnsi="Times New Roman"/>
                <w:sz w:val="24"/>
              </w:rPr>
              <w:t>：主要为</w:t>
            </w:r>
            <w:r>
              <w:rPr>
                <w:rFonts w:hint="eastAsia" w:ascii="Times New Roman" w:hAnsi="Times New Roman" w:eastAsia="宋体"/>
                <w:sz w:val="24"/>
              </w:rPr>
              <w:t>废</w:t>
            </w:r>
            <w:r>
              <w:rPr>
                <w:rFonts w:hint="eastAsia" w:ascii="Times New Roman" w:hAnsi="Times New Roman" w:eastAsia="宋体"/>
                <w:sz w:val="24"/>
                <w:lang w:eastAsia="zh-CN"/>
              </w:rPr>
              <w:t>液压油、废导热油</w:t>
            </w:r>
            <w:r>
              <w:rPr>
                <w:rFonts w:hint="eastAsia" w:ascii="Times New Roman" w:hAnsi="Times New Roman" w:eastAsia="宋体"/>
                <w:sz w:val="24"/>
              </w:rPr>
              <w:t>、废油桶、含油废棉纱手套、废活性炭、空压机废油液</w:t>
            </w:r>
            <w:r>
              <w:rPr>
                <w:rFonts w:hint="eastAsia" w:ascii="Times New Roman" w:hAnsi="Times New Roman"/>
                <w:sz w:val="24"/>
              </w:rPr>
              <w:t>等，统一收集后，分类暂存于现有工程厂区东南侧新建的危废贮存点，定期交由有危险废物处理资质的单位转运处置。</w:t>
            </w:r>
          </w:p>
          <w:p w14:paraId="60D7FC95">
            <w:pPr>
              <w:spacing w:line="372" w:lineRule="auto"/>
              <w:ind w:firstLine="480" w:firstLineChars="200"/>
              <w:rPr>
                <w:rFonts w:ascii="Times New Roman" w:hAnsi="Times New Roman"/>
                <w:sz w:val="24"/>
              </w:rPr>
            </w:pPr>
            <w:r>
              <w:rPr>
                <w:rFonts w:hint="eastAsia" w:ascii="Times New Roman" w:hAnsi="Times New Roman"/>
                <w:sz w:val="24"/>
              </w:rPr>
              <w:t>危废贮存点面积约5m</w:t>
            </w:r>
            <w:r>
              <w:rPr>
                <w:rFonts w:hint="eastAsia" w:ascii="Times New Roman" w:hAnsi="Times New Roman"/>
                <w:sz w:val="24"/>
                <w:vertAlign w:val="superscript"/>
              </w:rPr>
              <w:t>2</w:t>
            </w:r>
            <w:r>
              <w:rPr>
                <w:rFonts w:hint="eastAsia" w:ascii="Times New Roman" w:hAnsi="Times New Roman"/>
                <w:sz w:val="24"/>
              </w:rPr>
              <w:t>，储存规模约0.5t（＜3t），严格采取“六防”措施，满足《危险废物贮存污染控制标准》（</w:t>
            </w:r>
            <w:r>
              <w:rPr>
                <w:rFonts w:ascii="Times New Roman" w:hAnsi="Times New Roman"/>
                <w:sz w:val="24"/>
              </w:rPr>
              <w:t>GB</w:t>
            </w:r>
            <w:r>
              <w:rPr>
                <w:rFonts w:hint="eastAsia" w:ascii="Times New Roman" w:hAnsi="Times New Roman"/>
                <w:sz w:val="24"/>
              </w:rPr>
              <w:t xml:space="preserve"> </w:t>
            </w:r>
            <w:r>
              <w:rPr>
                <w:rFonts w:ascii="Times New Roman" w:hAnsi="Times New Roman"/>
                <w:sz w:val="24"/>
              </w:rPr>
              <w:t>18597</w:t>
            </w:r>
            <w:r>
              <w:rPr>
                <w:rFonts w:hint="eastAsia" w:ascii="Times New Roman" w:hAnsi="Times New Roman"/>
                <w:sz w:val="24"/>
              </w:rPr>
              <w:t>-2023）的相关要求。危废贮存点由专人看守防遗失，并设置标识标牌、管理台账。</w:t>
            </w:r>
          </w:p>
          <w:p w14:paraId="5901CA00">
            <w:pPr>
              <w:spacing w:line="372" w:lineRule="auto"/>
              <w:ind w:firstLine="480" w:firstLineChars="200"/>
              <w:rPr>
                <w:rFonts w:ascii="Times New Roman" w:hAnsi="Times New Roman"/>
                <w:sz w:val="24"/>
              </w:rPr>
            </w:pPr>
            <w:r>
              <w:rPr>
                <w:rFonts w:hint="eastAsia" w:ascii="Times New Roman" w:hAnsi="Times New Roman"/>
                <w:sz w:val="24"/>
              </w:rPr>
              <w:t>运营期应严格按《中华人民共和国固体废物污染环境防治法</w:t>
            </w:r>
            <w:r>
              <w:rPr>
                <w:rFonts w:hint="eastAsia" w:ascii="Times New Roman" w:hAnsi="Times New Roman"/>
                <w:sz w:val="24"/>
                <w:lang w:eastAsia="zh-CN"/>
              </w:rPr>
              <w:t>》《</w:t>
            </w:r>
            <w:r>
              <w:rPr>
                <w:rFonts w:hint="eastAsia" w:ascii="Times New Roman" w:hAnsi="Times New Roman"/>
                <w:sz w:val="24"/>
              </w:rPr>
              <w:t>危险废物转移联单管理办法》等的规定，对厂区危险废物进行处置。转运处置前，厂内临时储存和运输也应按照危险废物管理和处置相关要求进行。</w:t>
            </w:r>
          </w:p>
          <w:p w14:paraId="34AF5517">
            <w:pPr>
              <w:spacing w:line="372" w:lineRule="auto"/>
              <w:ind w:firstLine="480" w:firstLineChars="200"/>
              <w:rPr>
                <w:rFonts w:ascii="Times New Roman" w:hAnsi="Times New Roman"/>
                <w:sz w:val="24"/>
              </w:rPr>
            </w:pPr>
            <w:r>
              <w:rPr>
                <w:rFonts w:hint="eastAsia" w:ascii="Times New Roman" w:hAnsi="Times New Roman"/>
                <w:sz w:val="24"/>
              </w:rPr>
              <w:t>项目危险废物贮存场所（设施）基本</w:t>
            </w:r>
            <w:r>
              <w:rPr>
                <w:rFonts w:hint="eastAsia" w:ascii="Times New Roman" w:hAnsi="Times New Roman"/>
                <w:sz w:val="24"/>
                <w:lang w:eastAsia="zh-CN"/>
              </w:rPr>
              <w:t>情况</w:t>
            </w:r>
            <w:r>
              <w:rPr>
                <w:rFonts w:hint="eastAsia" w:ascii="Times New Roman" w:hAnsi="Times New Roman"/>
                <w:sz w:val="24"/>
              </w:rPr>
              <w:t>见下表：</w:t>
            </w:r>
          </w:p>
          <w:p w14:paraId="45602D32">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w:t>
            </w:r>
            <w:r>
              <w:rPr>
                <w:rFonts w:hint="eastAsia" w:ascii="Times New Roman" w:hAnsi="Times New Roman" w:eastAsia="宋体" w:cs="Times New Roman"/>
                <w:szCs w:val="24"/>
              </w:rPr>
              <w:t>2</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 xml:space="preserve"> 项目危险废物贮存场所（设施）基本情况表</w:t>
            </w:r>
          </w:p>
          <w:tbl>
            <w:tblPr>
              <w:tblStyle w:val="28"/>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45"/>
              <w:gridCol w:w="1187"/>
              <w:gridCol w:w="1015"/>
              <w:gridCol w:w="1179"/>
              <w:gridCol w:w="803"/>
              <w:gridCol w:w="797"/>
              <w:gridCol w:w="699"/>
              <w:gridCol w:w="699"/>
              <w:gridCol w:w="655"/>
            </w:tblGrid>
            <w:tr w14:paraId="7094F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tcBorders>
                    <w:tl2br w:val="nil"/>
                    <w:tr2bl w:val="nil"/>
                  </w:tcBorders>
                  <w:vAlign w:val="center"/>
                </w:tcPr>
                <w:p w14:paraId="15B2A8D7">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贮存场所（设施）名称</w:t>
                  </w:r>
                </w:p>
              </w:tc>
              <w:tc>
                <w:tcPr>
                  <w:tcW w:w="708" w:type="pct"/>
                  <w:tcBorders>
                    <w:tl2br w:val="nil"/>
                    <w:tr2bl w:val="nil"/>
                  </w:tcBorders>
                  <w:vAlign w:val="center"/>
                </w:tcPr>
                <w:p w14:paraId="0203F323">
                  <w:pPr>
                    <w:widowControl/>
                    <w:spacing w:before="78" w:beforeLines="25" w:after="78" w:afterLines="25"/>
                    <w:jc w:val="center"/>
                    <w:rPr>
                      <w:rFonts w:ascii="Times New Roman" w:hAnsi="Times New Roman" w:eastAsia="宋体" w:cs="Times New Roman"/>
                      <w:b/>
                      <w:bCs/>
                      <w:szCs w:val="21"/>
                    </w:rPr>
                  </w:pPr>
                  <w:r>
                    <w:rPr>
                      <w:rFonts w:hint="eastAsia" w:ascii="Times New Roman" w:hAnsi="Times New Roman" w:eastAsia="宋体" w:cs="宋体"/>
                      <w:b/>
                      <w:bCs/>
                      <w:kern w:val="0"/>
                      <w:szCs w:val="21"/>
                      <w:lang w:bidi="ar"/>
                    </w:rPr>
                    <w:t>危险废物名称</w:t>
                  </w:r>
                </w:p>
              </w:tc>
              <w:tc>
                <w:tcPr>
                  <w:tcW w:w="605" w:type="pct"/>
                  <w:tcBorders>
                    <w:tl2br w:val="nil"/>
                    <w:tr2bl w:val="nil"/>
                  </w:tcBorders>
                  <w:vAlign w:val="center"/>
                </w:tcPr>
                <w:p w14:paraId="6C932D93">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危险废物类别</w:t>
                  </w:r>
                </w:p>
              </w:tc>
              <w:tc>
                <w:tcPr>
                  <w:tcW w:w="703" w:type="pct"/>
                  <w:tcBorders>
                    <w:tl2br w:val="nil"/>
                    <w:tr2bl w:val="nil"/>
                  </w:tcBorders>
                  <w:vAlign w:val="center"/>
                </w:tcPr>
                <w:p w14:paraId="65485285">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危险废物代码</w:t>
                  </w:r>
                </w:p>
              </w:tc>
              <w:tc>
                <w:tcPr>
                  <w:tcW w:w="479" w:type="pct"/>
                  <w:tcBorders>
                    <w:tl2br w:val="nil"/>
                    <w:tr2bl w:val="nil"/>
                  </w:tcBorders>
                  <w:vAlign w:val="center"/>
                </w:tcPr>
                <w:p w14:paraId="22929B4C">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位置</w:t>
                  </w:r>
                </w:p>
              </w:tc>
              <w:tc>
                <w:tcPr>
                  <w:tcW w:w="475" w:type="pct"/>
                  <w:tcBorders>
                    <w:tl2br w:val="nil"/>
                    <w:tr2bl w:val="nil"/>
                  </w:tcBorders>
                  <w:vAlign w:val="center"/>
                </w:tcPr>
                <w:p w14:paraId="6D5C8A6C">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占地面积（</w:t>
                  </w:r>
                  <w:r>
                    <w:rPr>
                      <w:rFonts w:ascii="Times New Roman" w:hAnsi="Times New Roman" w:eastAsia="宋体" w:cs="TimesNewRomanPSMT"/>
                      <w:b/>
                      <w:bCs/>
                      <w:kern w:val="0"/>
                      <w:szCs w:val="21"/>
                      <w:lang w:bidi="ar"/>
                    </w:rPr>
                    <w:t>m</w:t>
                  </w:r>
                  <w:r>
                    <w:rPr>
                      <w:rFonts w:ascii="Times New Roman" w:hAnsi="Times New Roman" w:eastAsia="宋体" w:cs="TimesNewRomanPSMT"/>
                      <w:b/>
                      <w:bCs/>
                      <w:kern w:val="0"/>
                      <w:szCs w:val="21"/>
                      <w:vertAlign w:val="superscript"/>
                      <w:lang w:bidi="ar"/>
                    </w:rPr>
                    <w:t>2</w:t>
                  </w:r>
                  <w:r>
                    <w:rPr>
                      <w:rFonts w:hint="eastAsia" w:ascii="Times New Roman" w:hAnsi="Times New Roman" w:eastAsia="宋体" w:cs="宋体"/>
                      <w:b/>
                      <w:bCs/>
                      <w:kern w:val="0"/>
                      <w:szCs w:val="21"/>
                      <w:lang w:bidi="ar"/>
                    </w:rPr>
                    <w:t>）</w:t>
                  </w:r>
                </w:p>
              </w:tc>
              <w:tc>
                <w:tcPr>
                  <w:tcW w:w="417" w:type="pct"/>
                  <w:tcBorders>
                    <w:tl2br w:val="nil"/>
                    <w:tr2bl w:val="nil"/>
                  </w:tcBorders>
                  <w:vAlign w:val="center"/>
                </w:tcPr>
                <w:p w14:paraId="12374CF2">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贮存方式</w:t>
                  </w:r>
                </w:p>
              </w:tc>
              <w:tc>
                <w:tcPr>
                  <w:tcW w:w="417" w:type="pct"/>
                  <w:tcBorders>
                    <w:tl2br w:val="nil"/>
                    <w:tr2bl w:val="nil"/>
                  </w:tcBorders>
                  <w:vAlign w:val="center"/>
                </w:tcPr>
                <w:p w14:paraId="6E8F8F31">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贮存能力</w:t>
                  </w:r>
                </w:p>
              </w:tc>
              <w:tc>
                <w:tcPr>
                  <w:tcW w:w="390" w:type="pct"/>
                  <w:tcBorders>
                    <w:tl2br w:val="nil"/>
                    <w:tr2bl w:val="nil"/>
                  </w:tcBorders>
                  <w:vAlign w:val="center"/>
                </w:tcPr>
                <w:p w14:paraId="14753C3F">
                  <w:pPr>
                    <w:widowControl/>
                    <w:spacing w:before="78" w:beforeLines="25" w:after="78" w:afterLines="25"/>
                    <w:jc w:val="center"/>
                    <w:rPr>
                      <w:rFonts w:ascii="Times New Roman" w:hAnsi="Times New Roman" w:eastAsia="宋体"/>
                      <w:b/>
                      <w:bCs/>
                      <w:szCs w:val="21"/>
                    </w:rPr>
                  </w:pPr>
                  <w:r>
                    <w:rPr>
                      <w:rFonts w:hint="eastAsia" w:ascii="Times New Roman" w:hAnsi="Times New Roman" w:eastAsia="宋体" w:cs="宋体"/>
                      <w:b/>
                      <w:bCs/>
                      <w:kern w:val="0"/>
                      <w:szCs w:val="21"/>
                      <w:lang w:bidi="ar"/>
                    </w:rPr>
                    <w:t>贮存周期</w:t>
                  </w:r>
                </w:p>
              </w:tc>
            </w:tr>
            <w:tr w14:paraId="69A15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vMerge w:val="restart"/>
                  <w:tcBorders>
                    <w:tl2br w:val="nil"/>
                    <w:tr2bl w:val="nil"/>
                  </w:tcBorders>
                  <w:vAlign w:val="center"/>
                </w:tcPr>
                <w:p w14:paraId="1CE170F1">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危废贮存点</w:t>
                  </w:r>
                </w:p>
              </w:tc>
              <w:tc>
                <w:tcPr>
                  <w:tcW w:w="708" w:type="pct"/>
                  <w:tcBorders>
                    <w:tl2br w:val="nil"/>
                    <w:tr2bl w:val="nil"/>
                  </w:tcBorders>
                  <w:vAlign w:val="center"/>
                </w:tcPr>
                <w:p w14:paraId="0FB6969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eastAsia="zh-CN" w:bidi="ar"/>
                    </w:rPr>
                    <w:t>废液压油</w:t>
                  </w:r>
                </w:p>
              </w:tc>
              <w:tc>
                <w:tcPr>
                  <w:tcW w:w="605" w:type="pct"/>
                  <w:tcBorders>
                    <w:tl2br w:val="nil"/>
                    <w:tr2bl w:val="nil"/>
                  </w:tcBorders>
                  <w:vAlign w:val="center"/>
                </w:tcPr>
                <w:p w14:paraId="6ABC95F7">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HW08</w:t>
                  </w:r>
                </w:p>
              </w:tc>
              <w:tc>
                <w:tcPr>
                  <w:tcW w:w="703" w:type="pct"/>
                  <w:tcBorders>
                    <w:tl2br w:val="nil"/>
                    <w:tr2bl w:val="nil"/>
                  </w:tcBorders>
                  <w:vAlign w:val="center"/>
                </w:tcPr>
                <w:p w14:paraId="5FD226E1">
                  <w:pPr>
                    <w:widowControl/>
                    <w:spacing w:before="78" w:beforeLines="25" w:after="78" w:afterLines="25" w:line="300" w:lineRule="auto"/>
                    <w:jc w:val="center"/>
                    <w:rPr>
                      <w:rFonts w:ascii="Times New Roman" w:hAnsi="Times New Roman" w:eastAsia="宋体" w:cs="Times New Roman"/>
                      <w:szCs w:val="21"/>
                    </w:rPr>
                  </w:pPr>
                  <w:r>
                    <w:rPr>
                      <w:rFonts w:hint="eastAsia" w:ascii="Times New Roman" w:hAnsi="Times New Roman" w:eastAsia="宋体"/>
                      <w:szCs w:val="21"/>
                    </w:rPr>
                    <w:t>900-214-08</w:t>
                  </w:r>
                </w:p>
              </w:tc>
              <w:tc>
                <w:tcPr>
                  <w:tcW w:w="479" w:type="pct"/>
                  <w:vMerge w:val="restart"/>
                  <w:tcBorders>
                    <w:tl2br w:val="nil"/>
                    <w:tr2bl w:val="nil"/>
                  </w:tcBorders>
                  <w:vAlign w:val="center"/>
                </w:tcPr>
                <w:p w14:paraId="1C2A7323">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位于厂房1F东侧单独设置</w:t>
                  </w:r>
                </w:p>
              </w:tc>
              <w:tc>
                <w:tcPr>
                  <w:tcW w:w="475" w:type="pct"/>
                  <w:vMerge w:val="restart"/>
                  <w:tcBorders>
                    <w:tl2br w:val="nil"/>
                    <w:tr2bl w:val="nil"/>
                  </w:tcBorders>
                  <w:vAlign w:val="center"/>
                </w:tcPr>
                <w:p w14:paraId="238FC0A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5m</w:t>
                  </w:r>
                  <w:r>
                    <w:rPr>
                      <w:rFonts w:hint="eastAsia" w:ascii="Times New Roman" w:hAnsi="Times New Roman" w:eastAsia="宋体" w:cs="宋体"/>
                      <w:kern w:val="0"/>
                      <w:szCs w:val="21"/>
                      <w:vertAlign w:val="superscript"/>
                      <w:lang w:bidi="ar"/>
                    </w:rPr>
                    <w:t>2</w:t>
                  </w:r>
                </w:p>
              </w:tc>
              <w:tc>
                <w:tcPr>
                  <w:tcW w:w="417" w:type="pct"/>
                  <w:tcBorders>
                    <w:tl2br w:val="nil"/>
                    <w:tr2bl w:val="nil"/>
                  </w:tcBorders>
                  <w:vAlign w:val="center"/>
                </w:tcPr>
                <w:p w14:paraId="5CDFD18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桶装</w:t>
                  </w:r>
                </w:p>
              </w:tc>
              <w:tc>
                <w:tcPr>
                  <w:tcW w:w="417" w:type="pct"/>
                  <w:tcBorders>
                    <w:tl2br w:val="nil"/>
                    <w:tr2bl w:val="nil"/>
                  </w:tcBorders>
                  <w:vAlign w:val="center"/>
                </w:tcPr>
                <w:p w14:paraId="11767E6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2</w:t>
                  </w:r>
                  <w:r>
                    <w:rPr>
                      <w:rFonts w:hint="eastAsia" w:ascii="Times New Roman" w:hAnsi="Times New Roman" w:eastAsia="宋体" w:cs="宋体"/>
                      <w:kern w:val="0"/>
                      <w:szCs w:val="21"/>
                      <w:lang w:bidi="ar"/>
                    </w:rPr>
                    <w:t>t</w:t>
                  </w:r>
                </w:p>
              </w:tc>
              <w:tc>
                <w:tcPr>
                  <w:tcW w:w="390" w:type="pct"/>
                  <w:tcBorders>
                    <w:tl2br w:val="nil"/>
                    <w:tr2bl w:val="nil"/>
                  </w:tcBorders>
                  <w:vAlign w:val="center"/>
                </w:tcPr>
                <w:p w14:paraId="09DC75D6">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r w14:paraId="0EF55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vMerge w:val="continue"/>
                  <w:tcBorders>
                    <w:tl2br w:val="nil"/>
                    <w:tr2bl w:val="nil"/>
                  </w:tcBorders>
                  <w:vAlign w:val="center"/>
                </w:tcPr>
                <w:p w14:paraId="5A84D03E">
                  <w:pPr>
                    <w:widowControl/>
                    <w:spacing w:before="78" w:beforeLines="25" w:after="78" w:afterLines="25" w:line="300" w:lineRule="auto"/>
                    <w:jc w:val="center"/>
                    <w:rPr>
                      <w:rFonts w:hint="eastAsia" w:ascii="Times New Roman" w:hAnsi="Times New Roman" w:eastAsia="宋体" w:cs="宋体"/>
                      <w:kern w:val="0"/>
                      <w:szCs w:val="21"/>
                      <w:lang w:bidi="ar"/>
                    </w:rPr>
                  </w:pPr>
                </w:p>
              </w:tc>
              <w:tc>
                <w:tcPr>
                  <w:tcW w:w="708" w:type="pct"/>
                  <w:tcBorders>
                    <w:tl2br w:val="nil"/>
                    <w:tr2bl w:val="nil"/>
                  </w:tcBorders>
                  <w:vAlign w:val="center"/>
                </w:tcPr>
                <w:p w14:paraId="363E8BFE">
                  <w:pPr>
                    <w:widowControl/>
                    <w:spacing w:before="78" w:beforeLines="25" w:after="78" w:afterLines="25" w:line="300" w:lineRule="auto"/>
                    <w:jc w:val="center"/>
                    <w:rPr>
                      <w:rFonts w:hint="eastAsia" w:ascii="Times New Roman" w:hAnsi="Times New Roman" w:eastAsia="宋体" w:cs="宋体"/>
                      <w:kern w:val="0"/>
                      <w:szCs w:val="21"/>
                      <w:lang w:bidi="ar"/>
                    </w:rPr>
                  </w:pPr>
                  <w:r>
                    <w:rPr>
                      <w:rFonts w:hint="eastAsia" w:ascii="Times New Roman" w:hAnsi="Times New Roman" w:eastAsia="宋体" w:cs="宋体"/>
                      <w:kern w:val="0"/>
                      <w:szCs w:val="21"/>
                      <w:lang w:eastAsia="zh-CN" w:bidi="ar"/>
                    </w:rPr>
                    <w:t>废导热油</w:t>
                  </w:r>
                </w:p>
              </w:tc>
              <w:tc>
                <w:tcPr>
                  <w:tcW w:w="605" w:type="pct"/>
                  <w:tcBorders>
                    <w:tl2br w:val="nil"/>
                    <w:tr2bl w:val="nil"/>
                  </w:tcBorders>
                  <w:vAlign w:val="center"/>
                </w:tcPr>
                <w:p w14:paraId="52F31FE1">
                  <w:pPr>
                    <w:widowControl/>
                    <w:spacing w:before="78" w:beforeLines="25" w:after="78" w:afterLines="25" w:line="300" w:lineRule="auto"/>
                    <w:jc w:val="center"/>
                    <w:rPr>
                      <w:rFonts w:hint="eastAsia" w:ascii="Times New Roman" w:hAnsi="Times New Roman" w:eastAsia="宋体"/>
                      <w:szCs w:val="21"/>
                    </w:rPr>
                  </w:pPr>
                  <w:r>
                    <w:rPr>
                      <w:rFonts w:hint="eastAsia" w:ascii="Times New Roman" w:hAnsi="Times New Roman" w:eastAsia="宋体"/>
                      <w:szCs w:val="21"/>
                    </w:rPr>
                    <w:t>HW08</w:t>
                  </w:r>
                </w:p>
              </w:tc>
              <w:tc>
                <w:tcPr>
                  <w:tcW w:w="703" w:type="pct"/>
                  <w:tcBorders>
                    <w:tl2br w:val="nil"/>
                    <w:tr2bl w:val="nil"/>
                  </w:tcBorders>
                  <w:vAlign w:val="center"/>
                </w:tcPr>
                <w:p w14:paraId="5379AE53">
                  <w:pPr>
                    <w:widowControl/>
                    <w:spacing w:before="78" w:beforeLines="25" w:after="78" w:afterLines="25" w:line="300" w:lineRule="auto"/>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900-218-08</w:t>
                  </w:r>
                </w:p>
              </w:tc>
              <w:tc>
                <w:tcPr>
                  <w:tcW w:w="479" w:type="pct"/>
                  <w:vMerge w:val="continue"/>
                  <w:tcBorders>
                    <w:tl2br w:val="nil"/>
                    <w:tr2bl w:val="nil"/>
                  </w:tcBorders>
                  <w:vAlign w:val="center"/>
                </w:tcPr>
                <w:p w14:paraId="0AC623EA">
                  <w:pPr>
                    <w:widowControl/>
                    <w:spacing w:before="78" w:beforeLines="25" w:after="78" w:afterLines="25" w:line="300" w:lineRule="auto"/>
                    <w:jc w:val="center"/>
                    <w:rPr>
                      <w:rFonts w:hint="eastAsia" w:ascii="Times New Roman" w:hAnsi="Times New Roman" w:eastAsia="宋体" w:cs="宋体"/>
                      <w:kern w:val="0"/>
                      <w:szCs w:val="21"/>
                      <w:lang w:bidi="ar"/>
                    </w:rPr>
                  </w:pPr>
                </w:p>
              </w:tc>
              <w:tc>
                <w:tcPr>
                  <w:tcW w:w="475" w:type="pct"/>
                  <w:vMerge w:val="continue"/>
                  <w:tcBorders>
                    <w:tl2br w:val="nil"/>
                    <w:tr2bl w:val="nil"/>
                  </w:tcBorders>
                  <w:vAlign w:val="center"/>
                </w:tcPr>
                <w:p w14:paraId="3012413E">
                  <w:pPr>
                    <w:widowControl/>
                    <w:spacing w:before="78" w:beforeLines="25" w:after="78" w:afterLines="25" w:line="300" w:lineRule="auto"/>
                    <w:jc w:val="center"/>
                    <w:rPr>
                      <w:rFonts w:hint="eastAsia" w:ascii="Times New Roman" w:hAnsi="Times New Roman" w:eastAsia="宋体" w:cs="宋体"/>
                      <w:kern w:val="0"/>
                      <w:szCs w:val="21"/>
                      <w:lang w:bidi="ar"/>
                    </w:rPr>
                  </w:pPr>
                </w:p>
              </w:tc>
              <w:tc>
                <w:tcPr>
                  <w:tcW w:w="417" w:type="pct"/>
                  <w:tcBorders>
                    <w:tl2br w:val="nil"/>
                    <w:tr2bl w:val="nil"/>
                  </w:tcBorders>
                  <w:vAlign w:val="center"/>
                </w:tcPr>
                <w:p w14:paraId="6EB7473B">
                  <w:pPr>
                    <w:widowControl/>
                    <w:spacing w:before="78" w:beforeLines="25" w:after="78" w:afterLines="25" w:line="300" w:lineRule="auto"/>
                    <w:jc w:val="center"/>
                    <w:rPr>
                      <w:rFonts w:hint="eastAsia" w:ascii="Times New Roman" w:hAnsi="Times New Roman" w:eastAsia="宋体" w:cs="宋体"/>
                      <w:kern w:val="0"/>
                      <w:szCs w:val="21"/>
                      <w:lang w:bidi="ar"/>
                    </w:rPr>
                  </w:pPr>
                  <w:r>
                    <w:rPr>
                      <w:rFonts w:hint="eastAsia" w:ascii="Times New Roman" w:hAnsi="Times New Roman" w:eastAsia="宋体" w:cs="宋体"/>
                      <w:kern w:val="0"/>
                      <w:szCs w:val="21"/>
                      <w:lang w:bidi="ar"/>
                    </w:rPr>
                    <w:t>桶装</w:t>
                  </w:r>
                </w:p>
              </w:tc>
              <w:tc>
                <w:tcPr>
                  <w:tcW w:w="417" w:type="pct"/>
                  <w:tcBorders>
                    <w:tl2br w:val="nil"/>
                    <w:tr2bl w:val="nil"/>
                  </w:tcBorders>
                  <w:vAlign w:val="center"/>
                </w:tcPr>
                <w:p w14:paraId="20BB24E6">
                  <w:pPr>
                    <w:widowControl/>
                    <w:spacing w:before="78" w:beforeLines="25" w:after="78" w:afterLines="25" w:line="300" w:lineRule="auto"/>
                    <w:jc w:val="center"/>
                    <w:rPr>
                      <w:rFonts w:hint="default" w:ascii="Times New Roman" w:hAnsi="Times New Roman" w:eastAsia="宋体" w:cs="宋体"/>
                      <w:kern w:val="0"/>
                      <w:szCs w:val="21"/>
                      <w:lang w:val="en-US" w:eastAsia="zh-CN" w:bidi="ar"/>
                    </w:rPr>
                  </w:pPr>
                  <w:r>
                    <w:rPr>
                      <w:rFonts w:hint="eastAsia" w:ascii="Times New Roman" w:hAnsi="Times New Roman" w:eastAsia="宋体" w:cs="宋体"/>
                      <w:kern w:val="0"/>
                      <w:szCs w:val="21"/>
                      <w:lang w:val="en-US" w:eastAsia="zh-CN" w:bidi="ar"/>
                    </w:rPr>
                    <w:t>0.6</w:t>
                  </w:r>
                  <w:r>
                    <w:rPr>
                      <w:rFonts w:hint="eastAsia" w:ascii="Times New Roman" w:hAnsi="Times New Roman" w:eastAsia="宋体" w:cs="宋体"/>
                      <w:kern w:val="0"/>
                      <w:szCs w:val="21"/>
                      <w:lang w:bidi="ar"/>
                    </w:rPr>
                    <w:t>t</w:t>
                  </w:r>
                </w:p>
              </w:tc>
              <w:tc>
                <w:tcPr>
                  <w:tcW w:w="390" w:type="pct"/>
                  <w:tcBorders>
                    <w:tl2br w:val="nil"/>
                    <w:tr2bl w:val="nil"/>
                  </w:tcBorders>
                  <w:vAlign w:val="center"/>
                </w:tcPr>
                <w:p w14:paraId="0215902C">
                  <w:pPr>
                    <w:widowControl/>
                    <w:spacing w:before="78" w:beforeLines="25" w:after="78" w:afterLines="25" w:line="300" w:lineRule="auto"/>
                    <w:jc w:val="center"/>
                    <w:rPr>
                      <w:rFonts w:hint="eastAsia"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r w14:paraId="50489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vMerge w:val="continue"/>
                  <w:tcBorders>
                    <w:tl2br w:val="nil"/>
                    <w:tr2bl w:val="nil"/>
                  </w:tcBorders>
                  <w:vAlign w:val="center"/>
                </w:tcPr>
                <w:p w14:paraId="6D6E7CD0">
                  <w:pPr>
                    <w:widowControl/>
                    <w:spacing w:before="78" w:beforeLines="25" w:after="78" w:afterLines="25" w:line="300" w:lineRule="auto"/>
                    <w:jc w:val="center"/>
                    <w:rPr>
                      <w:rFonts w:ascii="Times New Roman" w:hAnsi="Times New Roman" w:eastAsia="宋体" w:cs="宋体"/>
                      <w:kern w:val="0"/>
                      <w:szCs w:val="21"/>
                      <w:lang w:bidi="ar"/>
                    </w:rPr>
                  </w:pPr>
                </w:p>
              </w:tc>
              <w:tc>
                <w:tcPr>
                  <w:tcW w:w="708" w:type="pct"/>
                  <w:tcBorders>
                    <w:tl2br w:val="nil"/>
                    <w:tr2bl w:val="nil"/>
                  </w:tcBorders>
                  <w:vAlign w:val="center"/>
                </w:tcPr>
                <w:p w14:paraId="41E3FD7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废油桶</w:t>
                  </w:r>
                </w:p>
              </w:tc>
              <w:tc>
                <w:tcPr>
                  <w:tcW w:w="605" w:type="pct"/>
                  <w:tcBorders>
                    <w:tl2br w:val="nil"/>
                    <w:tr2bl w:val="nil"/>
                  </w:tcBorders>
                  <w:vAlign w:val="center"/>
                </w:tcPr>
                <w:p w14:paraId="628009CF">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HW08</w:t>
                  </w:r>
                </w:p>
              </w:tc>
              <w:tc>
                <w:tcPr>
                  <w:tcW w:w="703" w:type="pct"/>
                  <w:tcBorders>
                    <w:tl2br w:val="nil"/>
                    <w:tr2bl w:val="nil"/>
                  </w:tcBorders>
                  <w:vAlign w:val="center"/>
                </w:tcPr>
                <w:p w14:paraId="650537E4">
                  <w:pPr>
                    <w:widowControl/>
                    <w:spacing w:before="78" w:beforeLines="25" w:after="78" w:afterLines="25" w:line="300" w:lineRule="auto"/>
                    <w:jc w:val="center"/>
                    <w:rPr>
                      <w:rFonts w:ascii="Times New Roman" w:hAnsi="Times New Roman" w:eastAsia="宋体" w:cs="Times New Roman"/>
                      <w:szCs w:val="21"/>
                    </w:rPr>
                  </w:pPr>
                  <w:r>
                    <w:rPr>
                      <w:rFonts w:hint="eastAsia" w:ascii="Times New Roman" w:hAnsi="Times New Roman" w:eastAsia="宋体"/>
                      <w:szCs w:val="21"/>
                    </w:rPr>
                    <w:t>900-249-08</w:t>
                  </w:r>
                </w:p>
              </w:tc>
              <w:tc>
                <w:tcPr>
                  <w:tcW w:w="479" w:type="pct"/>
                  <w:vMerge w:val="continue"/>
                  <w:tcBorders>
                    <w:tl2br w:val="nil"/>
                    <w:tr2bl w:val="nil"/>
                  </w:tcBorders>
                  <w:vAlign w:val="center"/>
                </w:tcPr>
                <w:p w14:paraId="143E2309">
                  <w:pPr>
                    <w:widowControl/>
                    <w:spacing w:before="78" w:beforeLines="25" w:after="78" w:afterLines="25" w:line="300" w:lineRule="auto"/>
                    <w:jc w:val="center"/>
                    <w:rPr>
                      <w:rFonts w:ascii="Times New Roman" w:hAnsi="Times New Roman" w:eastAsia="宋体" w:cs="宋体"/>
                      <w:kern w:val="0"/>
                      <w:szCs w:val="21"/>
                      <w:lang w:bidi="ar"/>
                    </w:rPr>
                  </w:pPr>
                </w:p>
              </w:tc>
              <w:tc>
                <w:tcPr>
                  <w:tcW w:w="475" w:type="pct"/>
                  <w:vMerge w:val="continue"/>
                  <w:tcBorders>
                    <w:tl2br w:val="nil"/>
                    <w:tr2bl w:val="nil"/>
                  </w:tcBorders>
                  <w:vAlign w:val="center"/>
                </w:tcPr>
                <w:p w14:paraId="2ED2D7C1">
                  <w:pPr>
                    <w:widowControl/>
                    <w:spacing w:before="78" w:beforeLines="25" w:after="78" w:afterLines="25" w:line="300" w:lineRule="auto"/>
                    <w:jc w:val="center"/>
                    <w:rPr>
                      <w:rFonts w:ascii="Times New Roman" w:hAnsi="Times New Roman" w:eastAsia="宋体" w:cs="宋体"/>
                      <w:kern w:val="0"/>
                      <w:szCs w:val="21"/>
                      <w:lang w:bidi="ar"/>
                    </w:rPr>
                  </w:pPr>
                </w:p>
              </w:tc>
              <w:tc>
                <w:tcPr>
                  <w:tcW w:w="417" w:type="pct"/>
                  <w:tcBorders>
                    <w:tl2br w:val="nil"/>
                    <w:tr2bl w:val="nil"/>
                  </w:tcBorders>
                  <w:vAlign w:val="center"/>
                </w:tcPr>
                <w:p w14:paraId="69ABC587">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堆放</w:t>
                  </w:r>
                </w:p>
              </w:tc>
              <w:tc>
                <w:tcPr>
                  <w:tcW w:w="417" w:type="pct"/>
                  <w:tcBorders>
                    <w:tl2br w:val="nil"/>
                    <w:tr2bl w:val="nil"/>
                  </w:tcBorders>
                  <w:vAlign w:val="center"/>
                </w:tcPr>
                <w:p w14:paraId="7DC5B1A4">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w:t>
                  </w:r>
                  <w:r>
                    <w:rPr>
                      <w:rFonts w:hint="eastAsia" w:ascii="Times New Roman" w:hAnsi="Times New Roman" w:eastAsia="宋体" w:cs="宋体"/>
                      <w:kern w:val="0"/>
                      <w:szCs w:val="21"/>
                      <w:lang w:val="en-US" w:eastAsia="zh-CN" w:bidi="ar"/>
                    </w:rPr>
                    <w:t>1</w:t>
                  </w:r>
                  <w:r>
                    <w:rPr>
                      <w:rFonts w:hint="eastAsia" w:ascii="Times New Roman" w:hAnsi="Times New Roman" w:eastAsia="宋体" w:cs="宋体"/>
                      <w:kern w:val="0"/>
                      <w:szCs w:val="21"/>
                      <w:lang w:bidi="ar"/>
                    </w:rPr>
                    <w:t>t</w:t>
                  </w:r>
                </w:p>
              </w:tc>
              <w:tc>
                <w:tcPr>
                  <w:tcW w:w="390" w:type="pct"/>
                  <w:tcBorders>
                    <w:tl2br w:val="nil"/>
                    <w:tr2bl w:val="nil"/>
                  </w:tcBorders>
                  <w:vAlign w:val="center"/>
                </w:tcPr>
                <w:p w14:paraId="243CEC7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r w14:paraId="7497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5" w:hRule="atLeast"/>
                <w:jc w:val="center"/>
              </w:trPr>
              <w:tc>
                <w:tcPr>
                  <w:tcW w:w="802" w:type="pct"/>
                  <w:vMerge w:val="continue"/>
                  <w:tcBorders>
                    <w:tl2br w:val="nil"/>
                    <w:tr2bl w:val="nil"/>
                  </w:tcBorders>
                  <w:vAlign w:val="center"/>
                </w:tcPr>
                <w:p w14:paraId="0BB818B9">
                  <w:pPr>
                    <w:widowControl/>
                    <w:spacing w:before="78" w:beforeLines="25" w:after="78" w:afterLines="25" w:line="300" w:lineRule="auto"/>
                    <w:jc w:val="center"/>
                    <w:rPr>
                      <w:rFonts w:ascii="Times New Roman" w:hAnsi="Times New Roman" w:eastAsia="宋体" w:cs="宋体"/>
                      <w:kern w:val="0"/>
                      <w:szCs w:val="21"/>
                      <w:lang w:bidi="ar"/>
                    </w:rPr>
                  </w:pPr>
                </w:p>
              </w:tc>
              <w:tc>
                <w:tcPr>
                  <w:tcW w:w="708" w:type="pct"/>
                  <w:tcBorders>
                    <w:tl2br w:val="nil"/>
                    <w:tr2bl w:val="nil"/>
                  </w:tcBorders>
                  <w:vAlign w:val="center"/>
                </w:tcPr>
                <w:p w14:paraId="30992908">
                  <w:pPr>
                    <w:widowControl/>
                    <w:spacing w:before="68" w:beforeLines="22" w:after="68" w:afterLines="22"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含油废棉纱、手套</w:t>
                  </w:r>
                </w:p>
              </w:tc>
              <w:tc>
                <w:tcPr>
                  <w:tcW w:w="605" w:type="pct"/>
                  <w:tcBorders>
                    <w:tl2br w:val="nil"/>
                    <w:tr2bl w:val="nil"/>
                  </w:tcBorders>
                  <w:vAlign w:val="center"/>
                </w:tcPr>
                <w:p w14:paraId="7EC7D7BE">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HW49</w:t>
                  </w:r>
                </w:p>
              </w:tc>
              <w:tc>
                <w:tcPr>
                  <w:tcW w:w="703" w:type="pct"/>
                  <w:tcBorders>
                    <w:tl2br w:val="nil"/>
                    <w:tr2bl w:val="nil"/>
                  </w:tcBorders>
                  <w:vAlign w:val="center"/>
                </w:tcPr>
                <w:p w14:paraId="53AC8AEF">
                  <w:pPr>
                    <w:widowControl/>
                    <w:spacing w:before="78" w:beforeLines="25" w:after="78" w:afterLines="25" w:line="300" w:lineRule="auto"/>
                    <w:jc w:val="center"/>
                    <w:rPr>
                      <w:rFonts w:ascii="Times New Roman" w:hAnsi="Times New Roman" w:eastAsia="宋体" w:cs="Times New Roman"/>
                      <w:szCs w:val="21"/>
                    </w:rPr>
                  </w:pPr>
                  <w:r>
                    <w:rPr>
                      <w:rFonts w:hint="eastAsia" w:ascii="Times New Roman" w:hAnsi="Times New Roman" w:eastAsia="宋体"/>
                      <w:szCs w:val="21"/>
                    </w:rPr>
                    <w:t>900-041-49</w:t>
                  </w:r>
                </w:p>
              </w:tc>
              <w:tc>
                <w:tcPr>
                  <w:tcW w:w="479" w:type="pct"/>
                  <w:vMerge w:val="continue"/>
                  <w:tcBorders>
                    <w:tl2br w:val="nil"/>
                    <w:tr2bl w:val="nil"/>
                  </w:tcBorders>
                  <w:vAlign w:val="center"/>
                </w:tcPr>
                <w:p w14:paraId="1D5AD6DB">
                  <w:pPr>
                    <w:widowControl/>
                    <w:spacing w:before="78" w:beforeLines="25" w:after="78" w:afterLines="25" w:line="300" w:lineRule="auto"/>
                    <w:jc w:val="center"/>
                    <w:rPr>
                      <w:rFonts w:ascii="Times New Roman" w:hAnsi="Times New Roman" w:eastAsia="宋体" w:cs="宋体"/>
                      <w:kern w:val="0"/>
                      <w:szCs w:val="21"/>
                      <w:lang w:bidi="ar"/>
                    </w:rPr>
                  </w:pPr>
                </w:p>
              </w:tc>
              <w:tc>
                <w:tcPr>
                  <w:tcW w:w="475" w:type="pct"/>
                  <w:vMerge w:val="continue"/>
                  <w:tcBorders>
                    <w:tl2br w:val="nil"/>
                    <w:tr2bl w:val="nil"/>
                  </w:tcBorders>
                  <w:vAlign w:val="center"/>
                </w:tcPr>
                <w:p w14:paraId="40F155D7">
                  <w:pPr>
                    <w:widowControl/>
                    <w:spacing w:before="78" w:beforeLines="25" w:after="78" w:afterLines="25" w:line="300" w:lineRule="auto"/>
                    <w:jc w:val="center"/>
                    <w:rPr>
                      <w:rFonts w:ascii="Times New Roman" w:hAnsi="Times New Roman" w:eastAsia="宋体" w:cs="宋体"/>
                      <w:kern w:val="0"/>
                      <w:szCs w:val="21"/>
                      <w:lang w:bidi="ar"/>
                    </w:rPr>
                  </w:pPr>
                </w:p>
              </w:tc>
              <w:tc>
                <w:tcPr>
                  <w:tcW w:w="417" w:type="pct"/>
                  <w:tcBorders>
                    <w:tl2br w:val="nil"/>
                    <w:tr2bl w:val="nil"/>
                  </w:tcBorders>
                  <w:vAlign w:val="center"/>
                </w:tcPr>
                <w:p w14:paraId="0577017C">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袋装</w:t>
                  </w:r>
                </w:p>
              </w:tc>
              <w:tc>
                <w:tcPr>
                  <w:tcW w:w="417" w:type="pct"/>
                  <w:tcBorders>
                    <w:tl2br w:val="nil"/>
                    <w:tr2bl w:val="nil"/>
                  </w:tcBorders>
                  <w:vAlign w:val="center"/>
                </w:tcPr>
                <w:p w14:paraId="4180A67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0.05t</w:t>
                  </w:r>
                </w:p>
              </w:tc>
              <w:tc>
                <w:tcPr>
                  <w:tcW w:w="390" w:type="pct"/>
                  <w:tcBorders>
                    <w:tl2br w:val="nil"/>
                    <w:tr2bl w:val="nil"/>
                  </w:tcBorders>
                  <w:vAlign w:val="center"/>
                </w:tcPr>
                <w:p w14:paraId="7F8035AB">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r w14:paraId="22510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vMerge w:val="continue"/>
                  <w:tcBorders>
                    <w:tl2br w:val="nil"/>
                    <w:tr2bl w:val="nil"/>
                  </w:tcBorders>
                  <w:vAlign w:val="center"/>
                </w:tcPr>
                <w:p w14:paraId="7F533A00">
                  <w:pPr>
                    <w:widowControl/>
                    <w:spacing w:before="78" w:beforeLines="25" w:after="78" w:afterLines="25" w:line="300" w:lineRule="auto"/>
                    <w:jc w:val="center"/>
                    <w:rPr>
                      <w:rFonts w:ascii="Times New Roman" w:hAnsi="Times New Roman" w:eastAsia="宋体" w:cs="宋体"/>
                      <w:kern w:val="0"/>
                      <w:szCs w:val="21"/>
                      <w:lang w:bidi="ar"/>
                    </w:rPr>
                  </w:pPr>
                </w:p>
              </w:tc>
              <w:tc>
                <w:tcPr>
                  <w:tcW w:w="708" w:type="pct"/>
                  <w:tcBorders>
                    <w:tl2br w:val="nil"/>
                    <w:tr2bl w:val="nil"/>
                  </w:tcBorders>
                  <w:vAlign w:val="center"/>
                </w:tcPr>
                <w:p w14:paraId="36E50AB6">
                  <w:pPr>
                    <w:widowControl/>
                    <w:spacing w:before="68" w:beforeLines="22" w:after="68" w:afterLines="22"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废活性炭、废过滤棉</w:t>
                  </w:r>
                </w:p>
              </w:tc>
              <w:tc>
                <w:tcPr>
                  <w:tcW w:w="605" w:type="pct"/>
                  <w:tcBorders>
                    <w:tl2br w:val="nil"/>
                    <w:tr2bl w:val="nil"/>
                  </w:tcBorders>
                  <w:vAlign w:val="center"/>
                </w:tcPr>
                <w:p w14:paraId="0BD8B393">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HW49</w:t>
                  </w:r>
                </w:p>
              </w:tc>
              <w:tc>
                <w:tcPr>
                  <w:tcW w:w="703" w:type="pct"/>
                  <w:tcBorders>
                    <w:tl2br w:val="nil"/>
                    <w:tr2bl w:val="nil"/>
                  </w:tcBorders>
                  <w:vAlign w:val="center"/>
                </w:tcPr>
                <w:p w14:paraId="136DBE82">
                  <w:pPr>
                    <w:widowControl/>
                    <w:spacing w:before="78" w:beforeLines="25" w:after="78" w:afterLines="25" w:line="300" w:lineRule="auto"/>
                    <w:jc w:val="center"/>
                    <w:rPr>
                      <w:rFonts w:ascii="Times New Roman" w:hAnsi="Times New Roman" w:eastAsia="宋体" w:cs="Times New Roman"/>
                      <w:szCs w:val="21"/>
                    </w:rPr>
                  </w:pPr>
                  <w:r>
                    <w:rPr>
                      <w:rFonts w:hint="eastAsia" w:ascii="Times New Roman" w:hAnsi="Times New Roman" w:eastAsia="宋体"/>
                      <w:szCs w:val="21"/>
                    </w:rPr>
                    <w:t>900-039-49</w:t>
                  </w:r>
                </w:p>
              </w:tc>
              <w:tc>
                <w:tcPr>
                  <w:tcW w:w="479" w:type="pct"/>
                  <w:vMerge w:val="continue"/>
                  <w:tcBorders>
                    <w:tl2br w:val="nil"/>
                    <w:tr2bl w:val="nil"/>
                  </w:tcBorders>
                  <w:vAlign w:val="center"/>
                </w:tcPr>
                <w:p w14:paraId="74324C3A">
                  <w:pPr>
                    <w:widowControl/>
                    <w:spacing w:before="78" w:beforeLines="25" w:after="78" w:afterLines="25" w:line="300" w:lineRule="auto"/>
                    <w:jc w:val="center"/>
                    <w:rPr>
                      <w:rFonts w:ascii="Times New Roman" w:hAnsi="Times New Roman" w:eastAsia="宋体" w:cs="宋体"/>
                      <w:kern w:val="0"/>
                      <w:szCs w:val="21"/>
                      <w:lang w:bidi="ar"/>
                    </w:rPr>
                  </w:pPr>
                </w:p>
              </w:tc>
              <w:tc>
                <w:tcPr>
                  <w:tcW w:w="475" w:type="pct"/>
                  <w:vMerge w:val="continue"/>
                  <w:tcBorders>
                    <w:tl2br w:val="nil"/>
                    <w:tr2bl w:val="nil"/>
                  </w:tcBorders>
                  <w:vAlign w:val="center"/>
                </w:tcPr>
                <w:p w14:paraId="48A34674">
                  <w:pPr>
                    <w:widowControl/>
                    <w:spacing w:before="78" w:beforeLines="25" w:after="78" w:afterLines="25" w:line="300" w:lineRule="auto"/>
                    <w:jc w:val="center"/>
                    <w:rPr>
                      <w:rFonts w:ascii="Times New Roman" w:hAnsi="Times New Roman" w:eastAsia="宋体" w:cs="宋体"/>
                      <w:kern w:val="0"/>
                      <w:szCs w:val="21"/>
                      <w:lang w:bidi="ar"/>
                    </w:rPr>
                  </w:pPr>
                </w:p>
              </w:tc>
              <w:tc>
                <w:tcPr>
                  <w:tcW w:w="417" w:type="pct"/>
                  <w:tcBorders>
                    <w:tl2br w:val="nil"/>
                    <w:tr2bl w:val="nil"/>
                  </w:tcBorders>
                  <w:vAlign w:val="center"/>
                </w:tcPr>
                <w:p w14:paraId="3AD2B3DF">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袋装</w:t>
                  </w:r>
                </w:p>
              </w:tc>
              <w:tc>
                <w:tcPr>
                  <w:tcW w:w="417" w:type="pct"/>
                  <w:tcBorders>
                    <w:tl2br w:val="nil"/>
                    <w:tr2bl w:val="nil"/>
                  </w:tcBorders>
                  <w:vAlign w:val="center"/>
                </w:tcPr>
                <w:p w14:paraId="404B42C9">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val="en-US" w:eastAsia="zh-CN" w:bidi="ar"/>
                    </w:rPr>
                    <w:t>5.53</w:t>
                  </w:r>
                  <w:r>
                    <w:rPr>
                      <w:rFonts w:hint="eastAsia" w:ascii="Times New Roman" w:hAnsi="Times New Roman" w:eastAsia="宋体" w:cs="宋体"/>
                      <w:kern w:val="0"/>
                      <w:szCs w:val="21"/>
                      <w:lang w:bidi="ar"/>
                    </w:rPr>
                    <w:t>t</w:t>
                  </w:r>
                </w:p>
              </w:tc>
              <w:tc>
                <w:tcPr>
                  <w:tcW w:w="390" w:type="pct"/>
                  <w:tcBorders>
                    <w:tl2br w:val="nil"/>
                    <w:tr2bl w:val="nil"/>
                  </w:tcBorders>
                  <w:vAlign w:val="center"/>
                </w:tcPr>
                <w:p w14:paraId="224DEB85">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r w14:paraId="56BDE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2" w:type="pct"/>
                  <w:vMerge w:val="continue"/>
                  <w:tcBorders>
                    <w:tl2br w:val="nil"/>
                    <w:tr2bl w:val="nil"/>
                  </w:tcBorders>
                  <w:vAlign w:val="center"/>
                </w:tcPr>
                <w:p w14:paraId="18841E53">
                  <w:pPr>
                    <w:widowControl/>
                    <w:spacing w:before="78" w:beforeLines="25" w:after="78" w:afterLines="25" w:line="300" w:lineRule="auto"/>
                    <w:jc w:val="center"/>
                    <w:rPr>
                      <w:rFonts w:ascii="Times New Roman" w:hAnsi="Times New Roman" w:eastAsia="宋体" w:cs="宋体"/>
                      <w:kern w:val="0"/>
                      <w:szCs w:val="21"/>
                      <w:lang w:bidi="ar"/>
                    </w:rPr>
                  </w:pPr>
                </w:p>
              </w:tc>
              <w:tc>
                <w:tcPr>
                  <w:tcW w:w="708" w:type="pct"/>
                  <w:tcBorders>
                    <w:tl2br w:val="nil"/>
                    <w:tr2bl w:val="nil"/>
                  </w:tcBorders>
                  <w:vAlign w:val="center"/>
                </w:tcPr>
                <w:p w14:paraId="1F8C2607">
                  <w:pPr>
                    <w:widowControl/>
                    <w:spacing w:before="68" w:beforeLines="22" w:after="68" w:afterLines="22"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空压机废油液</w:t>
                  </w:r>
                </w:p>
              </w:tc>
              <w:tc>
                <w:tcPr>
                  <w:tcW w:w="605" w:type="pct"/>
                  <w:tcBorders>
                    <w:tl2br w:val="nil"/>
                    <w:tr2bl w:val="nil"/>
                  </w:tcBorders>
                  <w:vAlign w:val="center"/>
                </w:tcPr>
                <w:p w14:paraId="5E9BA625">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HW08</w:t>
                  </w:r>
                </w:p>
              </w:tc>
              <w:tc>
                <w:tcPr>
                  <w:tcW w:w="703" w:type="pct"/>
                  <w:tcBorders>
                    <w:tl2br w:val="nil"/>
                    <w:tr2bl w:val="nil"/>
                  </w:tcBorders>
                  <w:vAlign w:val="center"/>
                </w:tcPr>
                <w:p w14:paraId="1441BDD9">
                  <w:pPr>
                    <w:widowControl/>
                    <w:spacing w:before="78" w:beforeLines="25" w:after="78" w:afterLines="25" w:line="300" w:lineRule="auto"/>
                    <w:jc w:val="center"/>
                    <w:rPr>
                      <w:rFonts w:ascii="Times New Roman" w:hAnsi="Times New Roman" w:eastAsia="宋体"/>
                      <w:szCs w:val="21"/>
                    </w:rPr>
                  </w:pPr>
                  <w:r>
                    <w:rPr>
                      <w:rFonts w:hint="eastAsia" w:ascii="Times New Roman" w:hAnsi="Times New Roman" w:eastAsia="宋体"/>
                      <w:szCs w:val="21"/>
                    </w:rPr>
                    <w:t>900-007-09</w:t>
                  </w:r>
                </w:p>
              </w:tc>
              <w:tc>
                <w:tcPr>
                  <w:tcW w:w="479" w:type="pct"/>
                  <w:vMerge w:val="continue"/>
                  <w:tcBorders>
                    <w:tl2br w:val="nil"/>
                    <w:tr2bl w:val="nil"/>
                  </w:tcBorders>
                  <w:vAlign w:val="center"/>
                </w:tcPr>
                <w:p w14:paraId="391CF098">
                  <w:pPr>
                    <w:widowControl/>
                    <w:spacing w:before="78" w:beforeLines="25" w:after="78" w:afterLines="25" w:line="300" w:lineRule="auto"/>
                    <w:jc w:val="center"/>
                    <w:rPr>
                      <w:rFonts w:ascii="Times New Roman" w:hAnsi="Times New Roman" w:eastAsia="宋体" w:cs="宋体"/>
                      <w:kern w:val="0"/>
                      <w:szCs w:val="21"/>
                      <w:lang w:bidi="ar"/>
                    </w:rPr>
                  </w:pPr>
                </w:p>
              </w:tc>
              <w:tc>
                <w:tcPr>
                  <w:tcW w:w="475" w:type="pct"/>
                  <w:vMerge w:val="continue"/>
                  <w:tcBorders>
                    <w:tl2br w:val="nil"/>
                    <w:tr2bl w:val="nil"/>
                  </w:tcBorders>
                  <w:vAlign w:val="center"/>
                </w:tcPr>
                <w:p w14:paraId="2646CAFE">
                  <w:pPr>
                    <w:widowControl/>
                    <w:spacing w:before="78" w:beforeLines="25" w:after="78" w:afterLines="25" w:line="300" w:lineRule="auto"/>
                    <w:jc w:val="center"/>
                    <w:rPr>
                      <w:rFonts w:ascii="Times New Roman" w:hAnsi="Times New Roman" w:eastAsia="宋体" w:cs="宋体"/>
                      <w:kern w:val="0"/>
                      <w:szCs w:val="21"/>
                      <w:lang w:bidi="ar"/>
                    </w:rPr>
                  </w:pPr>
                </w:p>
              </w:tc>
              <w:tc>
                <w:tcPr>
                  <w:tcW w:w="417" w:type="pct"/>
                  <w:tcBorders>
                    <w:tl2br w:val="nil"/>
                    <w:tr2bl w:val="nil"/>
                  </w:tcBorders>
                  <w:vAlign w:val="center"/>
                </w:tcPr>
                <w:p w14:paraId="04E6289A">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桶装</w:t>
                  </w:r>
                </w:p>
              </w:tc>
              <w:tc>
                <w:tcPr>
                  <w:tcW w:w="417" w:type="pct"/>
                  <w:tcBorders>
                    <w:tl2br w:val="nil"/>
                    <w:tr2bl w:val="nil"/>
                  </w:tcBorders>
                  <w:vAlign w:val="center"/>
                </w:tcPr>
                <w:p w14:paraId="0CB04383">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0.1t</w:t>
                  </w:r>
                </w:p>
              </w:tc>
              <w:tc>
                <w:tcPr>
                  <w:tcW w:w="390" w:type="pct"/>
                  <w:tcBorders>
                    <w:tl2br w:val="nil"/>
                    <w:tr2bl w:val="nil"/>
                  </w:tcBorders>
                  <w:vAlign w:val="center"/>
                </w:tcPr>
                <w:p w14:paraId="611AA878">
                  <w:pPr>
                    <w:widowControl/>
                    <w:spacing w:before="78" w:beforeLines="25" w:after="78" w:afterLines="25" w:line="30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1年</w:t>
                  </w:r>
                </w:p>
              </w:tc>
            </w:tr>
          </w:tbl>
          <w:p w14:paraId="4D495878">
            <w:pPr>
              <w:spacing w:before="31" w:beforeLines="10" w:after="31" w:afterLines="10" w:line="360" w:lineRule="auto"/>
              <w:ind w:firstLine="482" w:firstLineChars="200"/>
              <w:rPr>
                <w:rFonts w:ascii="Times New Roman" w:hAnsi="Times New Roman" w:cs="宋体"/>
                <w:b/>
                <w:bCs/>
                <w:sz w:val="24"/>
              </w:rPr>
            </w:pPr>
            <w:r>
              <w:rPr>
                <w:rFonts w:hint="eastAsia" w:ascii="Times New Roman" w:hAnsi="Times New Roman" w:cs="宋体"/>
                <w:b/>
                <w:bCs/>
                <w:sz w:val="24"/>
              </w:rPr>
              <w:t>② 环境管理要求</w:t>
            </w:r>
          </w:p>
          <w:p w14:paraId="11D3D634">
            <w:pPr>
              <w:spacing w:line="372" w:lineRule="auto"/>
              <w:ind w:firstLine="482" w:firstLineChars="200"/>
              <w:rPr>
                <w:rFonts w:ascii="Times New Roman" w:hAnsi="Times New Roman"/>
                <w:sz w:val="24"/>
              </w:rPr>
            </w:pPr>
            <w:r>
              <w:rPr>
                <w:rFonts w:hint="eastAsia" w:ascii="Times New Roman" w:hAnsi="Times New Roman"/>
                <w:b/>
                <w:bCs/>
                <w:sz w:val="24"/>
                <w:lang w:eastAsia="zh-CN"/>
              </w:rPr>
              <w:t>a.</w:t>
            </w:r>
            <w:r>
              <w:rPr>
                <w:rFonts w:hint="eastAsia" w:ascii="Times New Roman" w:hAnsi="Times New Roman"/>
                <w:sz w:val="24"/>
              </w:rPr>
              <w:t>危险废物收集装于密闭容器内，容器选用与装盛物相容的材料制成，容器表面应粘贴危险废物标识，禁止将一般固废和生活垃圾混合。</w:t>
            </w:r>
          </w:p>
          <w:p w14:paraId="06CD3DDE">
            <w:pPr>
              <w:spacing w:line="372" w:lineRule="auto"/>
              <w:ind w:firstLine="482" w:firstLineChars="200"/>
              <w:rPr>
                <w:rFonts w:ascii="Times New Roman" w:hAnsi="Times New Roman"/>
                <w:sz w:val="24"/>
              </w:rPr>
            </w:pPr>
            <w:r>
              <w:rPr>
                <w:rFonts w:hint="eastAsia" w:ascii="Times New Roman" w:hAnsi="Times New Roman"/>
                <w:b/>
                <w:bCs/>
                <w:sz w:val="24"/>
                <w:lang w:eastAsia="zh-CN"/>
              </w:rPr>
              <w:t>b.</w:t>
            </w:r>
            <w:r>
              <w:rPr>
                <w:rFonts w:hint="eastAsia" w:ascii="Times New Roman" w:hAnsi="Times New Roman"/>
                <w:sz w:val="24"/>
              </w:rPr>
              <w:t>不相容的危险废物必须分开存放，并设有隔离间隔断。</w:t>
            </w:r>
          </w:p>
          <w:p w14:paraId="0ACB313D">
            <w:pPr>
              <w:spacing w:line="372" w:lineRule="auto"/>
              <w:ind w:firstLine="482" w:firstLineChars="200"/>
              <w:rPr>
                <w:rFonts w:ascii="Times New Roman" w:hAnsi="Times New Roman"/>
                <w:sz w:val="24"/>
              </w:rPr>
            </w:pPr>
            <w:r>
              <w:rPr>
                <w:rFonts w:hint="eastAsia" w:ascii="Times New Roman" w:hAnsi="Times New Roman"/>
                <w:b/>
                <w:bCs/>
                <w:sz w:val="24"/>
                <w:lang w:eastAsia="zh-CN"/>
              </w:rPr>
              <w:t>c.</w:t>
            </w:r>
            <w:r>
              <w:rPr>
                <w:rFonts w:hint="eastAsia" w:ascii="Times New Roman" w:hAnsi="Times New Roman"/>
                <w:sz w:val="24"/>
              </w:rPr>
              <w:t>危险废物贮存设施必须按照</w:t>
            </w:r>
            <w:r>
              <w:rPr>
                <w:rFonts w:ascii="Times New Roman" w:hAnsi="Times New Roman"/>
                <w:sz w:val="24"/>
              </w:rPr>
              <w:t>GB15562.2</w:t>
            </w:r>
            <w:r>
              <w:rPr>
                <w:rFonts w:hint="eastAsia" w:ascii="Times New Roman" w:hAnsi="Times New Roman"/>
                <w:sz w:val="24"/>
              </w:rPr>
              <w:t>的规定设置警示标志。</w:t>
            </w:r>
          </w:p>
          <w:p w14:paraId="302C9E7E">
            <w:pPr>
              <w:spacing w:line="372" w:lineRule="auto"/>
              <w:ind w:firstLine="482" w:firstLineChars="200"/>
              <w:rPr>
                <w:rFonts w:ascii="Times New Roman" w:hAnsi="Times New Roman"/>
                <w:sz w:val="24"/>
              </w:rPr>
            </w:pPr>
            <w:r>
              <w:rPr>
                <w:rFonts w:hint="eastAsia" w:ascii="Times New Roman" w:hAnsi="Times New Roman"/>
                <w:b/>
                <w:bCs/>
                <w:sz w:val="24"/>
                <w:lang w:eastAsia="zh-CN"/>
              </w:rPr>
              <w:t>d.</w:t>
            </w:r>
            <w:r>
              <w:rPr>
                <w:rFonts w:hint="eastAsia" w:ascii="Times New Roman" w:hAnsi="Times New Roman"/>
                <w:sz w:val="24"/>
              </w:rPr>
              <w:t>企业内部需建立危废台账管理，危险废物转移应按照转移联单登记制度转移，</w:t>
            </w:r>
            <w:r>
              <w:rPr>
                <w:rFonts w:hint="eastAsia" w:ascii="Times New Roman" w:hAnsi="Times New Roman"/>
                <w:sz w:val="24"/>
                <w:lang w:eastAsia="zh-CN"/>
              </w:rPr>
              <w:t>必须</w:t>
            </w:r>
            <w:r>
              <w:rPr>
                <w:rFonts w:hint="eastAsia" w:ascii="Times New Roman" w:hAnsi="Times New Roman"/>
                <w:sz w:val="24"/>
              </w:rPr>
              <w:t>有危险废物处理资质且具备该类危废收纳资格方位的单位。</w:t>
            </w:r>
          </w:p>
          <w:p w14:paraId="3AC91D7E">
            <w:pPr>
              <w:spacing w:line="372" w:lineRule="auto"/>
              <w:ind w:firstLine="482" w:firstLineChars="200"/>
              <w:rPr>
                <w:rFonts w:ascii="Times New Roman" w:hAnsi="Times New Roman"/>
                <w:sz w:val="24"/>
              </w:rPr>
            </w:pPr>
            <w:r>
              <w:rPr>
                <w:rFonts w:hint="eastAsia" w:ascii="Times New Roman" w:hAnsi="Times New Roman"/>
                <w:b/>
                <w:bCs/>
                <w:sz w:val="24"/>
                <w:lang w:eastAsia="zh-CN"/>
              </w:rPr>
              <w:t>e.</w:t>
            </w:r>
            <w:r>
              <w:rPr>
                <w:rFonts w:hint="eastAsia" w:ascii="Times New Roman" w:hAnsi="Times New Roman"/>
                <w:sz w:val="24"/>
              </w:rPr>
              <w:t>根据企业生产情况定期转移危险废物，贮存期限一般不超过</w:t>
            </w:r>
            <w:r>
              <w:rPr>
                <w:rFonts w:ascii="Times New Roman" w:hAnsi="Times New Roman"/>
                <w:sz w:val="24"/>
              </w:rPr>
              <w:t>1</w:t>
            </w:r>
            <w:r>
              <w:rPr>
                <w:rFonts w:hint="eastAsia" w:ascii="Times New Roman" w:hAnsi="Times New Roman"/>
                <w:sz w:val="24"/>
              </w:rPr>
              <w:t>年，超过</w:t>
            </w:r>
            <w:r>
              <w:rPr>
                <w:rFonts w:ascii="Times New Roman" w:hAnsi="Times New Roman"/>
                <w:sz w:val="24"/>
              </w:rPr>
              <w:t>1</w:t>
            </w:r>
            <w:r>
              <w:rPr>
                <w:rFonts w:hint="eastAsia" w:ascii="Times New Roman" w:hAnsi="Times New Roman"/>
                <w:sz w:val="24"/>
              </w:rPr>
              <w:t>年需补办延期转移批复。</w:t>
            </w:r>
          </w:p>
          <w:p w14:paraId="507D3CD2">
            <w:pPr>
              <w:spacing w:line="372" w:lineRule="auto"/>
              <w:ind w:firstLine="480" w:firstLineChars="200"/>
              <w:rPr>
                <w:rFonts w:ascii="Times New Roman" w:hAnsi="Times New Roman"/>
                <w:sz w:val="24"/>
              </w:rPr>
            </w:pPr>
            <w:r>
              <w:rPr>
                <w:rFonts w:hint="eastAsia" w:ascii="Times New Roman" w:hAnsi="Times New Roman"/>
                <w:sz w:val="24"/>
              </w:rPr>
              <w:t>通过上述方法妥善处置后，本项目产生的固废对周围环境影响较小。</w:t>
            </w:r>
          </w:p>
          <w:p w14:paraId="6F931A28">
            <w:pPr>
              <w:pStyle w:val="22"/>
              <w:widowControl w:val="0"/>
              <w:spacing w:before="31" w:beforeLines="10" w:beforeAutospacing="0" w:after="31" w:afterLines="10" w:afterAutospacing="0" w:line="360"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eastAsia="zh-CN" w:bidi="ar"/>
              </w:rPr>
              <w:t>5.</w:t>
            </w:r>
            <w:r>
              <w:rPr>
                <w:rFonts w:hint="eastAsia" w:ascii="Times New Roman" w:hAnsi="Times New Roman" w:eastAsia="宋体" w:cs="宋体"/>
                <w:b/>
                <w:bCs/>
                <w:szCs w:val="24"/>
                <w:lang w:bidi="ar"/>
              </w:rPr>
              <w:t>运营期环境风险及防范措施：</w:t>
            </w:r>
          </w:p>
          <w:p w14:paraId="795F5083">
            <w:pPr>
              <w:spacing w:before="31" w:beforeLines="10" w:after="31" w:afterLines="10" w:line="360" w:lineRule="auto"/>
              <w:ind w:firstLine="482" w:firstLineChars="200"/>
              <w:rPr>
                <w:rFonts w:hint="eastAsia" w:ascii="Times New Roman" w:hAnsi="Times New Roman" w:eastAsia="宋体" w:cs="宋体"/>
                <w:b/>
                <w:bCs/>
                <w:sz w:val="24"/>
                <w:lang w:eastAsia="zh-CN"/>
              </w:rPr>
            </w:pPr>
            <w:r>
              <w:rPr>
                <w:rFonts w:hint="eastAsia" w:ascii="Times New Roman" w:hAnsi="Times New Roman" w:eastAsia="宋体" w:cs="宋体"/>
                <w:b/>
                <w:bCs/>
                <w:sz w:val="24"/>
              </w:rPr>
              <w:t>（1）</w:t>
            </w:r>
            <w:r>
              <w:rPr>
                <w:rFonts w:hint="eastAsia" w:ascii="Times New Roman" w:hAnsi="Times New Roman" w:eastAsia="宋体" w:cs="宋体"/>
                <w:b/>
                <w:bCs/>
                <w:sz w:val="24"/>
                <w:lang w:eastAsia="zh-CN"/>
              </w:rPr>
              <w:t>环境风险源调查</w:t>
            </w:r>
          </w:p>
          <w:p w14:paraId="6879783E">
            <w:pPr>
              <w:tabs>
                <w:tab w:val="left" w:pos="3570"/>
              </w:tabs>
              <w:adjustRightIn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根据《建设项目环境风险评价技术导则》（HJ169-2018），对照附录B，本项目涉及的危险物质为</w:t>
            </w:r>
            <w:r>
              <w:rPr>
                <w:rFonts w:hint="default" w:ascii="Times New Roman" w:hAnsi="Times New Roman" w:cs="Times New Roman"/>
                <w:color w:val="000000" w:themeColor="text1"/>
                <w:sz w:val="24"/>
                <w:lang w:eastAsia="zh-CN"/>
                <w14:textFill>
                  <w14:solidFill>
                    <w14:schemeClr w14:val="tx1"/>
                  </w14:solidFill>
                </w14:textFill>
              </w:rPr>
              <w:t>废油</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空压机废油液</w:t>
            </w:r>
            <w:r>
              <w:rPr>
                <w:rFonts w:hint="default" w:ascii="Times New Roman" w:hAnsi="Times New Roman" w:cs="Times New Roman"/>
                <w:color w:val="000000" w:themeColor="text1"/>
                <w:sz w:val="24"/>
                <w14:textFill>
                  <w14:solidFill>
                    <w14:schemeClr w14:val="tx1"/>
                  </w14:solidFill>
                </w14:textFill>
              </w:rPr>
              <w:t>等</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废油贮存在危废贮存点。危险物质临界量见表</w:t>
            </w:r>
            <w:r>
              <w:rPr>
                <w:rFonts w:hint="default" w:ascii="Times New Roman" w:hAnsi="Times New Roman" w:cs="Times New Roman"/>
                <w:color w:val="000000" w:themeColor="text1"/>
                <w:sz w:val="24"/>
                <w:lang w:val="en-US" w:eastAsia="zh-CN"/>
                <w14:textFill>
                  <w14:solidFill>
                    <w14:schemeClr w14:val="tx1"/>
                  </w14:solidFill>
                </w14:textFill>
              </w:rPr>
              <w:t>4-2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p>
          <w:p w14:paraId="1706D1CB">
            <w:pPr>
              <w:tabs>
                <w:tab w:val="left" w:pos="3570"/>
              </w:tabs>
              <w:adjustRightInd w:val="0"/>
              <w:spacing w:line="360" w:lineRule="auto"/>
              <w:ind w:firstLine="482" w:firstLineChars="200"/>
              <w:jc w:val="center"/>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w:t>
            </w:r>
            <w:r>
              <w:rPr>
                <w:rFonts w:hint="default" w:ascii="Times New Roman" w:hAnsi="Times New Roman" w:cs="Times New Roman"/>
                <w:b/>
                <w:bCs/>
                <w:color w:val="000000" w:themeColor="text1"/>
                <w:sz w:val="24"/>
                <w:lang w:val="en-US" w:eastAsia="zh-CN"/>
                <w14:textFill>
                  <w14:solidFill>
                    <w14:schemeClr w14:val="tx1"/>
                  </w14:solidFill>
                </w14:textFill>
              </w:rPr>
              <w:t>4-2</w:t>
            </w:r>
            <w:r>
              <w:rPr>
                <w:rFonts w:hint="eastAsia"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14:textFill>
                  <w14:solidFill>
                    <w14:schemeClr w14:val="tx1"/>
                  </w14:solidFill>
                </w14:textFill>
              </w:rPr>
              <w:t>本项目风险物质</w:t>
            </w:r>
            <w:r>
              <w:rPr>
                <w:rFonts w:hint="default" w:ascii="Times New Roman" w:hAnsi="Times New Roman" w:cs="Times New Roman"/>
                <w:b/>
                <w:bCs/>
                <w:color w:val="000000" w:themeColor="text1"/>
                <w:sz w:val="24"/>
                <w:lang w:eastAsia="zh-CN"/>
                <w14:textFill>
                  <w14:solidFill>
                    <w14:schemeClr w14:val="tx1"/>
                  </w14:solidFill>
                </w14:textFill>
              </w:rPr>
              <w:t>分布情况表</w:t>
            </w:r>
          </w:p>
          <w:tbl>
            <w:tblPr>
              <w:tblStyle w:val="27"/>
              <w:tblW w:w="495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766"/>
              <w:gridCol w:w="1902"/>
              <w:gridCol w:w="1508"/>
              <w:gridCol w:w="2582"/>
            </w:tblGrid>
            <w:tr w14:paraId="0F37B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 w:type="pct"/>
                  <w:tcBorders>
                    <w:tl2br w:val="nil"/>
                    <w:tr2bl w:val="nil"/>
                  </w:tcBorders>
                  <w:vAlign w:val="center"/>
                </w:tcPr>
                <w:p w14:paraId="19FA3C2C">
                  <w:pPr>
                    <w:adjustRightInd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序号</w:t>
                  </w:r>
                </w:p>
              </w:tc>
              <w:tc>
                <w:tcPr>
                  <w:tcW w:w="1054" w:type="pct"/>
                  <w:tcBorders>
                    <w:tl2br w:val="nil"/>
                    <w:tr2bl w:val="nil"/>
                  </w:tcBorders>
                  <w:vAlign w:val="center"/>
                </w:tcPr>
                <w:p w14:paraId="42C29A2B">
                  <w:pPr>
                    <w:adjustRightInd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物料名称</w:t>
                  </w:r>
                </w:p>
              </w:tc>
              <w:tc>
                <w:tcPr>
                  <w:tcW w:w="1135" w:type="pct"/>
                  <w:tcBorders>
                    <w:tl2br w:val="nil"/>
                    <w:tr2bl w:val="nil"/>
                  </w:tcBorders>
                  <w:vAlign w:val="center"/>
                </w:tcPr>
                <w:p w14:paraId="06595348">
                  <w:pPr>
                    <w:adjustRightInd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储存位置</w:t>
                  </w:r>
                </w:p>
              </w:tc>
              <w:tc>
                <w:tcPr>
                  <w:tcW w:w="897" w:type="pct"/>
                  <w:tcBorders>
                    <w:tl2br w:val="nil"/>
                    <w:tr2bl w:val="nil"/>
                  </w:tcBorders>
                  <w:vAlign w:val="center"/>
                </w:tcPr>
                <w:p w14:paraId="11EFF04B">
                  <w:pPr>
                    <w:adjustRightInd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储存方式</w:t>
                  </w:r>
                </w:p>
              </w:tc>
              <w:tc>
                <w:tcPr>
                  <w:tcW w:w="1541" w:type="pct"/>
                  <w:tcBorders>
                    <w:tl2br w:val="nil"/>
                    <w:tr2bl w:val="nil"/>
                  </w:tcBorders>
                  <w:vAlign w:val="center"/>
                </w:tcPr>
                <w:p w14:paraId="3A4C4281">
                  <w:pPr>
                    <w:adjustRightInd w:val="0"/>
                    <w:snapToGrid w:val="0"/>
                    <w:jc w:val="center"/>
                    <w:rPr>
                      <w:rFonts w:hint="default" w:ascii="Times New Roman" w:hAnsi="Times New Roman" w:cs="Times New Roman"/>
                      <w:b/>
                      <w:color w:val="000000" w:themeColor="text1"/>
                      <w:szCs w:val="21"/>
                      <w:lang w:val="zh-CN"/>
                      <w14:textFill>
                        <w14:solidFill>
                          <w14:schemeClr w14:val="tx1"/>
                        </w14:solidFill>
                      </w14:textFill>
                    </w:rPr>
                  </w:pPr>
                  <w:r>
                    <w:rPr>
                      <w:rFonts w:hint="default" w:ascii="Times New Roman" w:hAnsi="Times New Roman" w:cs="Times New Roman"/>
                      <w:b/>
                      <w:color w:val="000000" w:themeColor="text1"/>
                      <w:szCs w:val="21"/>
                      <w:lang w:val="zh-CN"/>
                      <w14:textFill>
                        <w14:solidFill>
                          <w14:schemeClr w14:val="tx1"/>
                        </w14:solidFill>
                      </w14:textFill>
                    </w:rPr>
                    <w:t>最大储存量（t）</w:t>
                  </w:r>
                </w:p>
              </w:tc>
            </w:tr>
            <w:tr w14:paraId="4ED53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 w:type="pct"/>
                  <w:tcBorders>
                    <w:tl2br w:val="nil"/>
                    <w:tr2bl w:val="nil"/>
                  </w:tcBorders>
                  <w:vAlign w:val="center"/>
                </w:tcPr>
                <w:p w14:paraId="482948F6">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1054" w:type="pct"/>
                  <w:tcBorders>
                    <w:tl2br w:val="nil"/>
                    <w:tr2bl w:val="nil"/>
                  </w:tcBorders>
                  <w:vAlign w:val="center"/>
                </w:tcPr>
                <w:p w14:paraId="4B6CC087">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宋体"/>
                      <w:kern w:val="0"/>
                      <w:szCs w:val="21"/>
                      <w:lang w:bidi="ar"/>
                    </w:rPr>
                    <w:t>废油</w:t>
                  </w:r>
                  <w:r>
                    <w:rPr>
                      <w:rFonts w:hint="eastAsia" w:ascii="Times New Roman" w:hAnsi="Times New Roman" w:eastAsia="宋体" w:cs="宋体"/>
                      <w:kern w:val="0"/>
                      <w:szCs w:val="21"/>
                      <w:lang w:eastAsia="zh-CN" w:bidi="ar"/>
                    </w:rPr>
                    <w:t>（液压油、导热油）</w:t>
                  </w:r>
                </w:p>
              </w:tc>
              <w:tc>
                <w:tcPr>
                  <w:tcW w:w="1135" w:type="pct"/>
                  <w:tcBorders>
                    <w:tl2br w:val="nil"/>
                    <w:tr2bl w:val="nil"/>
                  </w:tcBorders>
                  <w:vAlign w:val="center"/>
                </w:tcPr>
                <w:p w14:paraId="3CB60EE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危险废物贮存点</w:t>
                  </w:r>
                </w:p>
              </w:tc>
              <w:tc>
                <w:tcPr>
                  <w:tcW w:w="897" w:type="pct"/>
                  <w:tcBorders>
                    <w:tl2br w:val="nil"/>
                    <w:tr2bl w:val="nil"/>
                  </w:tcBorders>
                  <w:vAlign w:val="center"/>
                </w:tcPr>
                <w:p w14:paraId="6AD6FFE8">
                  <w:pPr>
                    <w:adjustRightInd w:val="0"/>
                    <w:snapToGri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val="0"/>
                      <w:bCs/>
                      <w:color w:val="000000" w:themeColor="text1"/>
                      <w:szCs w:val="21"/>
                      <w:lang w:val="en-US" w:eastAsia="zh-CN"/>
                      <w14:textFill>
                        <w14:solidFill>
                          <w14:schemeClr w14:val="tx1"/>
                        </w14:solidFill>
                      </w14:textFill>
                    </w:rPr>
                    <w:t>170</w:t>
                  </w:r>
                  <w:r>
                    <w:rPr>
                      <w:rFonts w:hint="default" w:ascii="Times New Roman" w:hAnsi="Times New Roman" w:cs="Times New Roman"/>
                      <w:b w:val="0"/>
                      <w:bCs/>
                      <w:color w:val="000000" w:themeColor="text1"/>
                      <w:szCs w:val="21"/>
                      <w:lang w:val="en-US" w:eastAsia="zh-CN"/>
                      <w14:textFill>
                        <w14:solidFill>
                          <w14:schemeClr w14:val="tx1"/>
                        </w14:solidFill>
                      </w14:textFill>
                    </w:rPr>
                    <w:t>kg/桶</w:t>
                  </w:r>
                </w:p>
              </w:tc>
              <w:tc>
                <w:tcPr>
                  <w:tcW w:w="1541" w:type="pct"/>
                  <w:tcBorders>
                    <w:tl2br w:val="nil"/>
                    <w:tr2bl w:val="nil"/>
                  </w:tcBorders>
                  <w:vAlign w:val="center"/>
                </w:tcPr>
                <w:p w14:paraId="7BBB8FAA">
                  <w:pPr>
                    <w:adjustRightInd w:val="0"/>
                    <w:snapToGri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0.2</w:t>
                  </w:r>
                </w:p>
              </w:tc>
            </w:tr>
            <w:tr w14:paraId="292B8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 w:type="pct"/>
                  <w:tcBorders>
                    <w:tl2br w:val="nil"/>
                    <w:tr2bl w:val="nil"/>
                  </w:tcBorders>
                  <w:vAlign w:val="center"/>
                </w:tcPr>
                <w:p w14:paraId="7AF70CB2">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w:t>
                  </w:r>
                </w:p>
              </w:tc>
              <w:tc>
                <w:tcPr>
                  <w:tcW w:w="1054" w:type="pct"/>
                  <w:tcBorders>
                    <w:tl2br w:val="nil"/>
                    <w:tr2bl w:val="nil"/>
                  </w:tcBorders>
                  <w:vAlign w:val="center"/>
                </w:tcPr>
                <w:p w14:paraId="51B559EE">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宋体"/>
                      <w:kern w:val="0"/>
                      <w:szCs w:val="21"/>
                      <w:lang w:bidi="ar"/>
                    </w:rPr>
                    <w:t>空压机废油液</w:t>
                  </w:r>
                </w:p>
              </w:tc>
              <w:tc>
                <w:tcPr>
                  <w:tcW w:w="1135" w:type="pct"/>
                  <w:tcBorders>
                    <w:tl2br w:val="nil"/>
                    <w:tr2bl w:val="nil"/>
                  </w:tcBorders>
                  <w:vAlign w:val="center"/>
                </w:tcPr>
                <w:p w14:paraId="77E24E5D">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机加原料区（存放架）</w:t>
                  </w:r>
                </w:p>
              </w:tc>
              <w:tc>
                <w:tcPr>
                  <w:tcW w:w="897" w:type="pct"/>
                  <w:tcBorders>
                    <w:tl2br w:val="nil"/>
                    <w:tr2bl w:val="nil"/>
                  </w:tcBorders>
                  <w:vAlign w:val="center"/>
                </w:tcPr>
                <w:p w14:paraId="6721D52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10kg/桶</w:t>
                  </w:r>
                </w:p>
              </w:tc>
              <w:tc>
                <w:tcPr>
                  <w:tcW w:w="1541" w:type="pct"/>
                  <w:tcBorders>
                    <w:tl2br w:val="nil"/>
                    <w:tr2bl w:val="nil"/>
                  </w:tcBorders>
                  <w:vAlign w:val="center"/>
                </w:tcPr>
                <w:p w14:paraId="7809E5D8">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0.01</w:t>
                  </w:r>
                </w:p>
              </w:tc>
            </w:tr>
            <w:tr w14:paraId="447E3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 w:type="pct"/>
                  <w:tcBorders>
                    <w:tl2br w:val="nil"/>
                    <w:tr2bl w:val="nil"/>
                  </w:tcBorders>
                  <w:vAlign w:val="center"/>
                </w:tcPr>
                <w:p w14:paraId="799C371E">
                  <w:pPr>
                    <w:adjustRightInd w:val="0"/>
                    <w:snapToGrid w:val="0"/>
                    <w:jc w:val="center"/>
                    <w:rPr>
                      <w:rFonts w:hint="default" w:ascii="Times New Roman" w:hAnsi="Times New Roman" w:eastAsia="宋体" w:cs="Times New Roman"/>
                      <w:color w:val="000000" w:themeColor="text1"/>
                      <w:szCs w:val="21"/>
                      <w:lang w:val="zh-CN"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054" w:type="pct"/>
                  <w:tcBorders>
                    <w:tl2br w:val="nil"/>
                    <w:tr2bl w:val="nil"/>
                  </w:tcBorders>
                  <w:vAlign w:val="center"/>
                </w:tcPr>
                <w:p w14:paraId="31E0FBE0">
                  <w:pPr>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液压油、</w:t>
                  </w:r>
                  <w:r>
                    <w:rPr>
                      <w:rFonts w:hint="eastAsia" w:ascii="Times New Roman" w:hAnsi="Times New Roman" w:cs="Times New Roman"/>
                      <w:color w:val="000000" w:themeColor="text1"/>
                      <w:szCs w:val="21"/>
                      <w:lang w:eastAsia="zh-CN"/>
                      <w14:textFill>
                        <w14:solidFill>
                          <w14:schemeClr w14:val="tx1"/>
                        </w14:solidFill>
                      </w14:textFill>
                    </w:rPr>
                    <w:t>导热油</w:t>
                  </w:r>
                </w:p>
              </w:tc>
              <w:tc>
                <w:tcPr>
                  <w:tcW w:w="1135" w:type="pct"/>
                  <w:tcBorders>
                    <w:tl2br w:val="nil"/>
                    <w:tr2bl w:val="nil"/>
                  </w:tcBorders>
                  <w:vAlign w:val="center"/>
                </w:tcPr>
                <w:p w14:paraId="7513BA8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设备在线使用</w:t>
                  </w:r>
                </w:p>
              </w:tc>
              <w:tc>
                <w:tcPr>
                  <w:tcW w:w="897" w:type="pct"/>
                  <w:tcBorders>
                    <w:tl2br w:val="nil"/>
                    <w:tr2bl w:val="nil"/>
                  </w:tcBorders>
                  <w:vAlign w:val="center"/>
                </w:tcPr>
                <w:p w14:paraId="15E8D04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541" w:type="pct"/>
                  <w:tcBorders>
                    <w:tl2br w:val="nil"/>
                    <w:tr2bl w:val="nil"/>
                  </w:tcBorders>
                  <w:vAlign w:val="center"/>
                </w:tcPr>
                <w:p w14:paraId="58705F41">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3.2</w:t>
                  </w:r>
                </w:p>
              </w:tc>
            </w:tr>
            <w:tr w14:paraId="061AC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8" w:type="pct"/>
                  <w:gridSpan w:val="4"/>
                  <w:tcBorders>
                    <w:tl2br w:val="nil"/>
                    <w:tr2bl w:val="nil"/>
                  </w:tcBorders>
                  <w:vAlign w:val="center"/>
                </w:tcPr>
                <w:p w14:paraId="76DDB512">
                  <w:pPr>
                    <w:adjustRightInd w:val="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合计</w:t>
                  </w:r>
                </w:p>
              </w:tc>
              <w:tc>
                <w:tcPr>
                  <w:tcW w:w="1541" w:type="pct"/>
                  <w:tcBorders>
                    <w:tl2br w:val="nil"/>
                    <w:tr2bl w:val="nil"/>
                  </w:tcBorders>
                  <w:vAlign w:val="center"/>
                </w:tcPr>
                <w:p w14:paraId="24EB6473">
                  <w:pPr>
                    <w:adjustRightInd w:val="0"/>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cs="Times New Roman"/>
                      <w:color w:val="000000" w:themeColor="text1"/>
                      <w:kern w:val="0"/>
                      <w:szCs w:val="21"/>
                      <w:lang w:val="en-US" w:eastAsia="zh-CN" w:bidi="ar"/>
                      <w14:textFill>
                        <w14:solidFill>
                          <w14:schemeClr w14:val="tx1"/>
                        </w14:solidFill>
                      </w14:textFill>
                    </w:rPr>
                    <w:t>3.41</w:t>
                  </w:r>
                </w:p>
              </w:tc>
            </w:tr>
          </w:tbl>
          <w:p w14:paraId="158782B3">
            <w:pPr>
              <w:adjustRightInd w:val="0"/>
              <w:spacing w:line="360" w:lineRule="auto"/>
              <w:ind w:firstLine="482" w:firstLineChars="200"/>
              <w:rPr>
                <w:b/>
                <w:color w:val="000000" w:themeColor="text1"/>
                <w:kern w:val="0"/>
                <w:sz w:val="24"/>
                <w14:textFill>
                  <w14:solidFill>
                    <w14:schemeClr w14:val="tx1"/>
                  </w14:solidFill>
                </w14:textFill>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sz w:val="24"/>
                <w:lang w:eastAsia="zh-CN"/>
              </w:rPr>
              <w:t>）</w:t>
            </w:r>
            <w:r>
              <w:rPr>
                <w:rFonts w:hint="default" w:ascii="Times New Roman" w:hAnsi="Times New Roman" w:cs="Times New Roman"/>
                <w:b/>
                <w:bCs/>
                <w:color w:val="000000" w:themeColor="text1"/>
                <w:kern w:val="0"/>
                <w:sz w:val="24"/>
                <w:lang w:eastAsia="zh-CN"/>
                <w14:textFill>
                  <w14:solidFill>
                    <w14:schemeClr w14:val="tx1"/>
                  </w14:solidFill>
                </w14:textFill>
              </w:rPr>
              <w:t>风险</w:t>
            </w:r>
            <w:r>
              <w:rPr>
                <w:rFonts w:hint="eastAsia"/>
                <w:b/>
                <w:color w:val="000000" w:themeColor="text1"/>
                <w:kern w:val="0"/>
                <w:sz w:val="24"/>
                <w:lang w:eastAsia="zh-CN"/>
                <w14:textFill>
                  <w14:solidFill>
                    <w14:schemeClr w14:val="tx1"/>
                  </w14:solidFill>
                </w14:textFill>
              </w:rPr>
              <w:t>潜势初判</w:t>
            </w:r>
          </w:p>
          <w:p w14:paraId="5F3750F3">
            <w:pPr>
              <w:pStyle w:val="8"/>
              <w:keepNext w:val="0"/>
              <w:keepLines w:val="0"/>
              <w:pageBreakBefore w:val="0"/>
              <w:widowControl w:val="0"/>
              <w:kinsoku/>
              <w:wordWrap/>
              <w:overflowPunct/>
              <w:topLinePunct w:val="0"/>
              <w:autoSpaceDE/>
              <w:autoSpaceDN/>
              <w:bidi w:val="0"/>
              <w:spacing w:line="360" w:lineRule="auto"/>
              <w:ind w:firstLine="480"/>
              <w:textAlignment w:val="auto"/>
              <w:rPr>
                <w:rFonts w:ascii="Times New Roman" w:hAnsi="Times New Roman"/>
                <w:color w:val="000000" w:themeColor="text1"/>
                <w:kern w:val="2"/>
                <w:sz w:val="24"/>
                <w:szCs w:val="24"/>
                <w:lang w:val="en-US" w:eastAsia="zh-CN"/>
                <w14:textFill>
                  <w14:solidFill>
                    <w14:schemeClr w14:val="tx1"/>
                  </w14:solidFill>
                </w14:textFill>
              </w:rPr>
            </w:pPr>
            <w:r>
              <w:rPr>
                <w:rFonts w:hint="eastAsia" w:ascii="Times New Roman" w:hAnsi="Times New Roman"/>
                <w:color w:val="000000" w:themeColor="text1"/>
                <w:kern w:val="2"/>
                <w:sz w:val="24"/>
                <w:szCs w:val="24"/>
                <w:lang w:val="en-US" w:eastAsia="zh-CN"/>
                <w14:textFill>
                  <w14:solidFill>
                    <w14:schemeClr w14:val="tx1"/>
                  </w14:solidFill>
                </w14:textFill>
              </w:rPr>
              <w:t>根据《建设项目环境风险评价技术导则》（</w:t>
            </w:r>
            <w:r>
              <w:rPr>
                <w:rFonts w:ascii="Times New Roman" w:hAnsi="Times New Roman"/>
                <w:color w:val="000000" w:themeColor="text1"/>
                <w:kern w:val="2"/>
                <w:sz w:val="24"/>
                <w:szCs w:val="24"/>
                <w:lang w:val="en-US" w:eastAsia="zh-CN"/>
                <w14:textFill>
                  <w14:solidFill>
                    <w14:schemeClr w14:val="tx1"/>
                  </w14:solidFill>
                </w14:textFill>
              </w:rPr>
              <w:t>HJ169-2018</w:t>
            </w:r>
            <w:r>
              <w:rPr>
                <w:rFonts w:hint="eastAsia" w:ascii="Times New Roman" w:hAnsi="Times New Roman"/>
                <w:color w:val="000000" w:themeColor="text1"/>
                <w:kern w:val="2"/>
                <w:sz w:val="24"/>
                <w:szCs w:val="24"/>
                <w:lang w:val="en-US" w:eastAsia="zh-CN"/>
                <w14:textFill>
                  <w14:solidFill>
                    <w14:schemeClr w14:val="tx1"/>
                  </w14:solidFill>
                </w14:textFill>
              </w:rPr>
              <w:t>）附录</w:t>
            </w:r>
            <w:r>
              <w:rPr>
                <w:rFonts w:ascii="Times New Roman" w:hAnsi="Times New Roman"/>
                <w:color w:val="000000" w:themeColor="text1"/>
                <w:kern w:val="2"/>
                <w:sz w:val="24"/>
                <w:szCs w:val="24"/>
                <w:lang w:val="en-US" w:eastAsia="zh-CN"/>
                <w14:textFill>
                  <w14:solidFill>
                    <w14:schemeClr w14:val="tx1"/>
                  </w14:solidFill>
                </w14:textFill>
              </w:rPr>
              <w:t xml:space="preserve"> B.1</w:t>
            </w:r>
            <w:r>
              <w:rPr>
                <w:rFonts w:hint="eastAsia" w:ascii="Times New Roman" w:hAnsi="Times New Roman"/>
                <w:color w:val="000000" w:themeColor="text1"/>
                <w:kern w:val="2"/>
                <w:sz w:val="24"/>
                <w:szCs w:val="24"/>
                <w:lang w:val="en-US" w:eastAsia="zh-CN"/>
                <w14:textFill>
                  <w14:solidFill>
                    <w14:schemeClr w14:val="tx1"/>
                  </w14:solidFill>
                </w14:textFill>
              </w:rPr>
              <w:t>，计算所涉及的</w:t>
            </w:r>
            <w:r>
              <w:rPr>
                <w:rFonts w:ascii="Times New Roman" w:hAnsi="Times New Roman"/>
                <w:color w:val="000000" w:themeColor="text1"/>
                <w:kern w:val="2"/>
                <w:sz w:val="24"/>
                <w:szCs w:val="24"/>
                <w:lang w:val="en-US" w:eastAsia="zh-CN"/>
                <w14:textFill>
                  <w14:solidFill>
                    <w14:schemeClr w14:val="tx1"/>
                  </w14:solidFill>
                </w14:textFill>
              </w:rPr>
              <w:t xml:space="preserve"> </w:t>
            </w:r>
            <w:r>
              <w:rPr>
                <w:rFonts w:hint="eastAsia" w:ascii="Times New Roman" w:hAnsi="Times New Roman"/>
                <w:color w:val="000000" w:themeColor="text1"/>
                <w:kern w:val="2"/>
                <w:sz w:val="24"/>
                <w:szCs w:val="24"/>
                <w:lang w:val="en-US" w:eastAsia="zh-CN"/>
                <w14:textFill>
                  <w14:solidFill>
                    <w14:schemeClr w14:val="tx1"/>
                  </w14:solidFill>
                </w14:textFill>
              </w:rPr>
              <w:t>每种危险物质在厂界内的最大储存量与其在附录</w:t>
            </w:r>
            <w:r>
              <w:rPr>
                <w:rFonts w:ascii="Times New Roman" w:hAnsi="Times New Roman"/>
                <w:color w:val="000000" w:themeColor="text1"/>
                <w:kern w:val="2"/>
                <w:sz w:val="24"/>
                <w:szCs w:val="24"/>
                <w:lang w:val="en-US" w:eastAsia="zh-CN"/>
                <w14:textFill>
                  <w14:solidFill>
                    <w14:schemeClr w14:val="tx1"/>
                  </w14:solidFill>
                </w14:textFill>
              </w:rPr>
              <w:t xml:space="preserve"> B </w:t>
            </w:r>
            <w:r>
              <w:rPr>
                <w:rFonts w:hint="eastAsia" w:ascii="Times New Roman" w:hAnsi="Times New Roman"/>
                <w:color w:val="000000" w:themeColor="text1"/>
                <w:kern w:val="2"/>
                <w:sz w:val="24"/>
                <w:szCs w:val="24"/>
                <w:lang w:val="en-US" w:eastAsia="zh-CN"/>
                <w14:textFill>
                  <w14:solidFill>
                    <w14:schemeClr w14:val="tx1"/>
                  </w14:solidFill>
                </w14:textFill>
              </w:rPr>
              <w:t>中对应临界量的比值</w:t>
            </w:r>
            <w:r>
              <w:rPr>
                <w:rFonts w:ascii="Times New Roman" w:hAnsi="Times New Roman"/>
                <w:color w:val="000000" w:themeColor="text1"/>
                <w:kern w:val="2"/>
                <w:sz w:val="24"/>
                <w:szCs w:val="24"/>
                <w:lang w:val="en-US" w:eastAsia="zh-CN"/>
                <w14:textFill>
                  <w14:solidFill>
                    <w14:schemeClr w14:val="tx1"/>
                  </w14:solidFill>
                </w14:textFill>
              </w:rPr>
              <w:t>Q</w:t>
            </w:r>
            <w:r>
              <w:rPr>
                <w:rFonts w:hint="eastAsia" w:ascii="Times New Roman" w:hAnsi="Times New Roman"/>
                <w:color w:val="000000" w:themeColor="text1"/>
                <w:kern w:val="2"/>
                <w:sz w:val="24"/>
                <w:szCs w:val="24"/>
                <w:lang w:val="en-US" w:eastAsia="zh-CN"/>
                <w14:textFill>
                  <w14:solidFill>
                    <w14:schemeClr w14:val="tx1"/>
                  </w14:solidFill>
                </w14:textFill>
              </w:rPr>
              <w:t>。</w:t>
            </w:r>
          </w:p>
          <w:p w14:paraId="5097C63E">
            <w:pPr>
              <w:pStyle w:val="8"/>
              <w:keepNext w:val="0"/>
              <w:keepLines w:val="0"/>
              <w:pageBreakBefore w:val="0"/>
              <w:widowControl w:val="0"/>
              <w:kinsoku/>
              <w:wordWrap/>
              <w:overflowPunct/>
              <w:topLinePunct w:val="0"/>
              <w:autoSpaceDE/>
              <w:autoSpaceDN/>
              <w:bidi w:val="0"/>
              <w:spacing w:line="360" w:lineRule="auto"/>
              <w:ind w:firstLine="480"/>
              <w:textAlignment w:val="auto"/>
              <w:rPr>
                <w:rStyle w:val="55"/>
                <w:b/>
                <w:color w:val="000000" w:themeColor="text1"/>
                <w:kern w:val="24"/>
                <w:sz w:val="24"/>
                <w:szCs w:val="24"/>
                <w14:textFill>
                  <w14:solidFill>
                    <w14:schemeClr w14:val="tx1"/>
                  </w14:solidFill>
                </w14:textFill>
              </w:rPr>
            </w:pPr>
            <w:r>
              <w:rPr>
                <w:rFonts w:hint="eastAsia" w:ascii="Times New Roman" w:hAnsi="Times New Roman"/>
                <w:color w:val="000000" w:themeColor="text1"/>
                <w:kern w:val="2"/>
                <w:sz w:val="24"/>
                <w:szCs w:val="24"/>
                <w:lang w:val="en-US" w:eastAsia="zh-CN"/>
                <w14:textFill>
                  <w14:solidFill>
                    <w14:schemeClr w14:val="tx1"/>
                  </w14:solidFill>
                </w14:textFill>
              </w:rPr>
              <w:t>当企业只涉及一种风险物质时，该物质的数量与其临界量比值，即为</w:t>
            </w:r>
            <w:r>
              <w:rPr>
                <w:rFonts w:ascii="Times New Roman" w:hAnsi="Times New Roman"/>
                <w:color w:val="000000" w:themeColor="text1"/>
                <w:kern w:val="2"/>
                <w:sz w:val="24"/>
                <w:szCs w:val="24"/>
                <w:lang w:val="en-US" w:eastAsia="zh-CN"/>
                <w14:textFill>
                  <w14:solidFill>
                    <w14:schemeClr w14:val="tx1"/>
                  </w14:solidFill>
                </w14:textFill>
              </w:rPr>
              <w:t>S</w:t>
            </w:r>
            <w:r>
              <w:rPr>
                <w:rFonts w:hint="eastAsia" w:ascii="Times New Roman" w:hAnsi="Times New Roman"/>
                <w:color w:val="000000" w:themeColor="text1"/>
                <w:kern w:val="2"/>
                <w:sz w:val="24"/>
                <w:szCs w:val="24"/>
                <w:lang w:val="en-US" w:eastAsia="zh-CN"/>
                <w14:textFill>
                  <w14:solidFill>
                    <w14:schemeClr w14:val="tx1"/>
                  </w14:solidFill>
                </w14:textFill>
              </w:rPr>
              <w:t>。</w:t>
            </w:r>
            <w:r>
              <w:rPr>
                <w:rStyle w:val="55"/>
                <w:bCs/>
                <w:color w:val="000000" w:themeColor="text1"/>
                <w:sz w:val="24"/>
                <w:szCs w:val="24"/>
                <w14:textFill>
                  <w14:solidFill>
                    <w14:schemeClr w14:val="tx1"/>
                  </w14:solidFill>
                </w14:textFill>
              </w:rPr>
              <w:t>在不同厂区的同一种物质，按其在厂界内的最大存在总量计算。单元内存在的危险物质为多品种时，则按下式计算：</w:t>
            </w:r>
          </w:p>
          <w:p w14:paraId="3F5B8B95">
            <w:pPr>
              <w:keepNext w:val="0"/>
              <w:keepLines w:val="0"/>
              <w:pageBreakBefore w:val="0"/>
              <w:widowControl w:val="0"/>
              <w:kinsoku/>
              <w:wordWrap/>
              <w:overflowPunct/>
              <w:topLinePunct w:val="0"/>
              <w:autoSpaceDE/>
              <w:autoSpaceDN/>
              <w:bidi w:val="0"/>
              <w:adjustRightInd w:val="0"/>
              <w:snapToGrid w:val="0"/>
              <w:spacing w:line="360" w:lineRule="auto"/>
              <w:ind w:firstLine="200"/>
              <w:jc w:val="center"/>
              <w:textAlignment w:val="auto"/>
              <w:rPr>
                <w:rStyle w:val="55"/>
                <w:rFonts w:ascii="Times New Roman" w:hAnsi="Times New Roman" w:cs="Times New Roman"/>
                <w:bCs/>
                <w:color w:val="000000" w:themeColor="text1"/>
                <w:sz w:val="24"/>
                <w:szCs w:val="24"/>
                <w14:textFill>
                  <w14:solidFill>
                    <w14:schemeClr w14:val="tx1"/>
                  </w14:solidFill>
                </w14:textFill>
              </w:rPr>
            </w:pPr>
            <w:r>
              <w:rPr>
                <w:rStyle w:val="55"/>
                <w:rFonts w:ascii="Times New Roman" w:hAnsi="Times New Roman" w:cs="Times New Roman"/>
                <w:bCs/>
                <w:color w:val="000000" w:themeColor="text1"/>
                <w:sz w:val="24"/>
                <w:szCs w:val="24"/>
                <w14:textFill>
                  <w14:solidFill>
                    <w14:schemeClr w14:val="tx1"/>
                  </w14:solidFill>
                </w14:textFill>
              </w:rPr>
              <w:t>Q=q</w:t>
            </w:r>
            <w:r>
              <w:rPr>
                <w:rStyle w:val="55"/>
                <w:rFonts w:ascii="Times New Roman" w:hAnsi="Times New Roman" w:cs="Times New Roman"/>
                <w:bCs/>
                <w:color w:val="000000" w:themeColor="text1"/>
                <w:sz w:val="24"/>
                <w:szCs w:val="24"/>
                <w:vertAlign w:val="subscript"/>
                <w14:textFill>
                  <w14:solidFill>
                    <w14:schemeClr w14:val="tx1"/>
                  </w14:solidFill>
                </w14:textFill>
              </w:rPr>
              <w:t>1</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1</w:t>
            </w:r>
            <w:r>
              <w:rPr>
                <w:rStyle w:val="55"/>
                <w:rFonts w:ascii="Times New Roman" w:hAnsi="Times New Roman" w:cs="Times New Roman"/>
                <w:bCs/>
                <w:color w:val="000000" w:themeColor="text1"/>
                <w:sz w:val="24"/>
                <w:szCs w:val="24"/>
                <w14:textFill>
                  <w14:solidFill>
                    <w14:schemeClr w14:val="tx1"/>
                  </w14:solidFill>
                </w14:textFill>
              </w:rPr>
              <w:t>+ q</w:t>
            </w:r>
            <w:r>
              <w:rPr>
                <w:rStyle w:val="55"/>
                <w:rFonts w:ascii="Times New Roman" w:hAnsi="Times New Roman" w:cs="Times New Roman"/>
                <w:bCs/>
                <w:color w:val="000000" w:themeColor="text1"/>
                <w:sz w:val="24"/>
                <w:szCs w:val="24"/>
                <w:vertAlign w:val="subscript"/>
                <w14:textFill>
                  <w14:solidFill>
                    <w14:schemeClr w14:val="tx1"/>
                  </w14:solidFill>
                </w14:textFill>
              </w:rPr>
              <w:t>2</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2</w:t>
            </w:r>
            <w:r>
              <w:rPr>
                <w:rStyle w:val="55"/>
                <w:rFonts w:ascii="Times New Roman" w:hAnsi="Times New Roman" w:cs="Times New Roman"/>
                <w:bCs/>
                <w:color w:val="000000" w:themeColor="text1"/>
                <w:sz w:val="24"/>
                <w:szCs w:val="24"/>
                <w14:textFill>
                  <w14:solidFill>
                    <w14:schemeClr w14:val="tx1"/>
                  </w14:solidFill>
                </w14:textFill>
              </w:rPr>
              <w:t>……+ q</w:t>
            </w:r>
            <w:r>
              <w:rPr>
                <w:rStyle w:val="55"/>
                <w:rFonts w:ascii="Times New Roman" w:hAnsi="Times New Roman" w:cs="Times New Roman"/>
                <w:bCs/>
                <w:color w:val="000000" w:themeColor="text1"/>
                <w:sz w:val="24"/>
                <w:szCs w:val="24"/>
                <w:vertAlign w:val="subscript"/>
                <w14:textFill>
                  <w14:solidFill>
                    <w14:schemeClr w14:val="tx1"/>
                  </w14:solidFill>
                </w14:textFill>
              </w:rPr>
              <w:t>n</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n</w:t>
            </w:r>
          </w:p>
          <w:p w14:paraId="05038C68">
            <w:pPr>
              <w:pStyle w:val="56"/>
              <w:keepNext w:val="0"/>
              <w:keepLines w:val="0"/>
              <w:pageBreakBefore w:val="0"/>
              <w:widowControl w:val="0"/>
              <w:kinsoku/>
              <w:wordWrap/>
              <w:overflowPunct/>
              <w:topLinePunct w:val="0"/>
              <w:autoSpaceDE/>
              <w:autoSpaceDN/>
              <w:bidi w:val="0"/>
              <w:adjustRightInd w:val="0"/>
              <w:spacing w:line="360" w:lineRule="auto"/>
              <w:ind w:firstLine="480"/>
              <w:textAlignment w:val="auto"/>
              <w:rPr>
                <w:rStyle w:val="55"/>
                <w:rFonts w:ascii="Times New Roman" w:hAnsi="Times New Roman" w:cs="Times New Roman"/>
                <w:bCs/>
                <w:color w:val="000000" w:themeColor="text1"/>
                <w:sz w:val="24"/>
                <w:szCs w:val="24"/>
                <w14:textFill>
                  <w14:solidFill>
                    <w14:schemeClr w14:val="tx1"/>
                  </w14:solidFill>
                </w14:textFill>
              </w:rPr>
            </w:pPr>
            <w:r>
              <w:rPr>
                <w:rStyle w:val="55"/>
                <w:rFonts w:ascii="Times New Roman" w:cs="Times New Roman"/>
                <w:bCs/>
                <w:color w:val="000000" w:themeColor="text1"/>
                <w:sz w:val="24"/>
                <w:szCs w:val="24"/>
                <w14:textFill>
                  <w14:solidFill>
                    <w14:schemeClr w14:val="tx1"/>
                  </w14:solidFill>
                </w14:textFill>
              </w:rPr>
              <w:t>式中：</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1</w:t>
            </w:r>
            <w:r>
              <w:rPr>
                <w:rStyle w:val="55"/>
                <w:rFonts w:ascii="Times New Roman" w:cs="Times New Roman"/>
                <w:bCs/>
                <w:color w:val="000000" w:themeColor="text1"/>
                <w:sz w:val="24"/>
                <w:szCs w:val="24"/>
                <w14:textFill>
                  <w14:solidFill>
                    <w14:schemeClr w14:val="tx1"/>
                  </w14:solidFill>
                </w14:textFill>
              </w:rPr>
              <w:t>，</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2</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n</w:t>
            </w:r>
            <w:r>
              <w:rPr>
                <w:rStyle w:val="55"/>
                <w:rFonts w:ascii="Times New Roman" w:hAnsi="Times New Roman" w:cs="Times New Roman"/>
                <w:bCs/>
                <w:color w:val="000000" w:themeColor="text1"/>
                <w:sz w:val="24"/>
                <w:szCs w:val="24"/>
                <w14:textFill>
                  <w14:solidFill>
                    <w14:schemeClr w14:val="tx1"/>
                  </w14:solidFill>
                </w14:textFill>
              </w:rPr>
              <w:t xml:space="preserve"> </w:t>
            </w:r>
            <w:r>
              <w:rPr>
                <w:rStyle w:val="55"/>
                <w:rFonts w:ascii="Times New Roman" w:cs="Times New Roman"/>
                <w:bCs/>
                <w:color w:val="000000" w:themeColor="text1"/>
                <w:sz w:val="24"/>
                <w:szCs w:val="24"/>
                <w14:textFill>
                  <w14:solidFill>
                    <w14:schemeClr w14:val="tx1"/>
                  </w14:solidFill>
                </w14:textFill>
              </w:rPr>
              <w:t>为每种危险物质实际存在量，</w:t>
            </w:r>
            <w:r>
              <w:rPr>
                <w:rStyle w:val="55"/>
                <w:rFonts w:ascii="Times New Roman" w:hAnsi="Times New Roman" w:cs="Times New Roman"/>
                <w:bCs/>
                <w:color w:val="000000" w:themeColor="text1"/>
                <w:sz w:val="24"/>
                <w:szCs w:val="24"/>
                <w14:textFill>
                  <w14:solidFill>
                    <w14:schemeClr w14:val="tx1"/>
                  </w14:solidFill>
                </w14:textFill>
              </w:rPr>
              <w:t>t</w:t>
            </w:r>
            <w:r>
              <w:rPr>
                <w:rStyle w:val="55"/>
                <w:rFonts w:ascii="Times New Roman" w:cs="Times New Roman"/>
                <w:bCs/>
                <w:color w:val="000000" w:themeColor="text1"/>
                <w:sz w:val="24"/>
                <w:szCs w:val="24"/>
                <w14:textFill>
                  <w14:solidFill>
                    <w14:schemeClr w14:val="tx1"/>
                  </w14:solidFill>
                </w14:textFill>
              </w:rPr>
              <w:t>；</w:t>
            </w:r>
          </w:p>
          <w:p w14:paraId="73968805">
            <w:pPr>
              <w:pStyle w:val="56"/>
              <w:keepNext w:val="0"/>
              <w:keepLines w:val="0"/>
              <w:pageBreakBefore w:val="0"/>
              <w:widowControl w:val="0"/>
              <w:kinsoku/>
              <w:wordWrap/>
              <w:overflowPunct/>
              <w:topLinePunct w:val="0"/>
              <w:autoSpaceDE/>
              <w:autoSpaceDN/>
              <w:bidi w:val="0"/>
              <w:adjustRightInd w:val="0"/>
              <w:spacing w:line="360" w:lineRule="auto"/>
              <w:ind w:firstLine="480"/>
              <w:textAlignment w:val="auto"/>
              <w:rPr>
                <w:rStyle w:val="55"/>
                <w:rFonts w:ascii="Times New Roman" w:hAnsi="Times New Roman" w:cs="Times New Roman"/>
                <w:bCs/>
                <w:color w:val="000000" w:themeColor="text1"/>
                <w:sz w:val="24"/>
                <w:szCs w:val="24"/>
                <w14:textFill>
                  <w14:solidFill>
                    <w14:schemeClr w14:val="tx1"/>
                  </w14:solidFill>
                </w14:textFill>
              </w:rPr>
            </w:pP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1</w:t>
            </w:r>
            <w:r>
              <w:rPr>
                <w:rStyle w:val="55"/>
                <w:rFonts w:ascii="Times New Roman" w:cs="Times New Roman"/>
                <w:bCs/>
                <w:color w:val="000000" w:themeColor="text1"/>
                <w:sz w:val="24"/>
                <w:szCs w:val="24"/>
                <w14:textFill>
                  <w14:solidFill>
                    <w14:schemeClr w14:val="tx1"/>
                  </w14:solidFill>
                </w14:textFill>
              </w:rPr>
              <w:t>、</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2</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hAnsi="Times New Roman" w:cs="Times New Roman"/>
                <w:bCs/>
                <w:color w:val="000000" w:themeColor="text1"/>
                <w:sz w:val="24"/>
                <w:szCs w:val="24"/>
                <w:vertAlign w:val="subscript"/>
                <w14:textFill>
                  <w14:solidFill>
                    <w14:schemeClr w14:val="tx1"/>
                  </w14:solidFill>
                </w14:textFill>
              </w:rPr>
              <w:t>n</w:t>
            </w:r>
            <w:r>
              <w:rPr>
                <w:rStyle w:val="55"/>
                <w:rFonts w:ascii="Times New Roman" w:hAnsi="Times New Roman" w:cs="Times New Roman"/>
                <w:bCs/>
                <w:color w:val="000000" w:themeColor="text1"/>
                <w:sz w:val="24"/>
                <w:szCs w:val="24"/>
                <w14:textFill>
                  <w14:solidFill>
                    <w14:schemeClr w14:val="tx1"/>
                  </w14:solidFill>
                </w14:textFill>
              </w:rPr>
              <w:t xml:space="preserve"> </w:t>
            </w:r>
            <w:r>
              <w:rPr>
                <w:rStyle w:val="55"/>
                <w:rFonts w:ascii="Times New Roman" w:cs="Times New Roman"/>
                <w:bCs/>
                <w:color w:val="000000" w:themeColor="text1"/>
                <w:sz w:val="24"/>
                <w:szCs w:val="24"/>
                <w14:textFill>
                  <w14:solidFill>
                    <w14:schemeClr w14:val="tx1"/>
                  </w14:solidFill>
                </w14:textFill>
              </w:rPr>
              <w:t>为每种危险物质的临界量，</w:t>
            </w:r>
            <w:r>
              <w:rPr>
                <w:rStyle w:val="55"/>
                <w:rFonts w:ascii="Times New Roman" w:hAnsi="Times New Roman" w:cs="Times New Roman"/>
                <w:bCs/>
                <w:color w:val="000000" w:themeColor="text1"/>
                <w:sz w:val="24"/>
                <w:szCs w:val="24"/>
                <w14:textFill>
                  <w14:solidFill>
                    <w14:schemeClr w14:val="tx1"/>
                  </w14:solidFill>
                </w14:textFill>
              </w:rPr>
              <w:t>t</w:t>
            </w:r>
            <w:r>
              <w:rPr>
                <w:rStyle w:val="55"/>
                <w:rFonts w:ascii="Times New Roman" w:cs="Times New Roman"/>
                <w:bCs/>
                <w:color w:val="000000" w:themeColor="text1"/>
                <w:sz w:val="24"/>
                <w:szCs w:val="24"/>
                <w14:textFill>
                  <w14:solidFill>
                    <w14:schemeClr w14:val="tx1"/>
                  </w14:solidFill>
                </w14:textFill>
              </w:rPr>
              <w:t>；</w:t>
            </w:r>
          </w:p>
          <w:p w14:paraId="76F46A18">
            <w:pPr>
              <w:pStyle w:val="56"/>
              <w:keepNext w:val="0"/>
              <w:keepLines w:val="0"/>
              <w:pageBreakBefore w:val="0"/>
              <w:widowControl w:val="0"/>
              <w:kinsoku/>
              <w:wordWrap/>
              <w:overflowPunct/>
              <w:topLinePunct w:val="0"/>
              <w:autoSpaceDE/>
              <w:autoSpaceDN/>
              <w:bidi w:val="0"/>
              <w:adjustRightInd w:val="0"/>
              <w:spacing w:line="360" w:lineRule="auto"/>
              <w:ind w:firstLine="480"/>
              <w:textAlignment w:val="auto"/>
              <w:rPr>
                <w:rStyle w:val="55"/>
                <w:rFonts w:ascii="Times New Roman" w:hAnsi="Times New Roman" w:cs="Times New Roman"/>
                <w:bCs/>
                <w:color w:val="000000" w:themeColor="text1"/>
                <w:sz w:val="24"/>
                <w:szCs w:val="24"/>
                <w14:textFill>
                  <w14:solidFill>
                    <w14:schemeClr w14:val="tx1"/>
                  </w14:solidFill>
                </w14:textFill>
              </w:rPr>
            </w:pPr>
            <w:r>
              <w:rPr>
                <w:rStyle w:val="55"/>
                <w:rFonts w:ascii="Times New Roman" w:cs="Times New Roman"/>
                <w:bCs/>
                <w:color w:val="000000" w:themeColor="text1"/>
                <w:sz w:val="24"/>
                <w:szCs w:val="24"/>
                <w14:textFill>
                  <w14:solidFill>
                    <w14:schemeClr w14:val="tx1"/>
                  </w14:solidFill>
                </w14:textFill>
              </w:rPr>
              <w:t>当</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cs="Times New Roman"/>
                <w:bCs/>
                <w:color w:val="000000" w:themeColor="text1"/>
                <w:sz w:val="24"/>
                <w:szCs w:val="24"/>
                <w14:textFill>
                  <w14:solidFill>
                    <w14:schemeClr w14:val="tx1"/>
                  </w14:solidFill>
                </w14:textFill>
              </w:rPr>
              <w:t>＜</w:t>
            </w:r>
            <w:r>
              <w:rPr>
                <w:rStyle w:val="55"/>
                <w:rFonts w:ascii="Times New Roman" w:hAnsi="Times New Roman" w:cs="Times New Roman"/>
                <w:bCs/>
                <w:color w:val="000000" w:themeColor="text1"/>
                <w:sz w:val="24"/>
                <w:szCs w:val="24"/>
                <w14:textFill>
                  <w14:solidFill>
                    <w14:schemeClr w14:val="tx1"/>
                  </w14:solidFill>
                </w14:textFill>
              </w:rPr>
              <w:t>1</w:t>
            </w:r>
            <w:r>
              <w:rPr>
                <w:rStyle w:val="55"/>
                <w:rFonts w:ascii="Times New Roman" w:cs="Times New Roman"/>
                <w:bCs/>
                <w:color w:val="000000" w:themeColor="text1"/>
                <w:sz w:val="24"/>
                <w:szCs w:val="24"/>
                <w14:textFill>
                  <w14:solidFill>
                    <w14:schemeClr w14:val="tx1"/>
                  </w14:solidFill>
                </w14:textFill>
              </w:rPr>
              <w:t>时，该项目的环境风险潜势为</w:t>
            </w:r>
            <w:r>
              <w:rPr>
                <w:rStyle w:val="55"/>
                <w:rFonts w:ascii="Times New Roman" w:hAnsi="Times New Roman" w:cs="Times New Roman"/>
                <w:bCs/>
                <w:color w:val="000000" w:themeColor="text1"/>
                <w:sz w:val="24"/>
                <w:szCs w:val="24"/>
                <w14:textFill>
                  <w14:solidFill>
                    <w14:schemeClr w14:val="tx1"/>
                  </w14:solidFill>
                </w14:textFill>
              </w:rPr>
              <w:t>I</w:t>
            </w:r>
            <w:r>
              <w:rPr>
                <w:rStyle w:val="55"/>
                <w:rFonts w:ascii="Times New Roman" w:cs="Times New Roman"/>
                <w:bCs/>
                <w:color w:val="000000" w:themeColor="text1"/>
                <w:sz w:val="24"/>
                <w:szCs w:val="24"/>
                <w14:textFill>
                  <w14:solidFill>
                    <w14:schemeClr w14:val="tx1"/>
                  </w14:solidFill>
                </w14:textFill>
              </w:rPr>
              <w:t>；</w:t>
            </w:r>
          </w:p>
          <w:p w14:paraId="6788BAB2">
            <w:pPr>
              <w:pStyle w:val="56"/>
              <w:adjustRightInd w:val="0"/>
              <w:ind w:firstLine="480"/>
              <w:rPr>
                <w:rStyle w:val="55"/>
                <w:rFonts w:ascii="Times New Roman" w:hAnsi="Times New Roman" w:cs="Times New Roman"/>
                <w:bCs/>
                <w:color w:val="000000" w:themeColor="text1"/>
                <w:sz w:val="24"/>
                <w:szCs w:val="24"/>
                <w14:textFill>
                  <w14:solidFill>
                    <w14:schemeClr w14:val="tx1"/>
                  </w14:solidFill>
                </w14:textFill>
              </w:rPr>
            </w:pPr>
            <w:r>
              <w:rPr>
                <w:rStyle w:val="55"/>
                <w:rFonts w:ascii="Times New Roman" w:cs="Times New Roman"/>
                <w:bCs/>
                <w:color w:val="000000" w:themeColor="text1"/>
                <w:sz w:val="24"/>
                <w:szCs w:val="24"/>
                <w14:textFill>
                  <w14:solidFill>
                    <w14:schemeClr w14:val="tx1"/>
                  </w14:solidFill>
                </w14:textFill>
              </w:rPr>
              <w:t>当</w:t>
            </w:r>
            <w:r>
              <w:rPr>
                <w:rStyle w:val="55"/>
                <w:rFonts w:ascii="Times New Roman" w:hAnsi="Times New Roman" w:cs="Times New Roman"/>
                <w:bCs/>
                <w:color w:val="000000" w:themeColor="text1"/>
                <w:sz w:val="24"/>
                <w:szCs w:val="24"/>
                <w14:textFill>
                  <w14:solidFill>
                    <w14:schemeClr w14:val="tx1"/>
                  </w14:solidFill>
                </w14:textFill>
              </w:rPr>
              <w:t>Q≥1</w:t>
            </w:r>
            <w:r>
              <w:rPr>
                <w:rStyle w:val="55"/>
                <w:rFonts w:ascii="Times New Roman" w:cs="Times New Roman"/>
                <w:bCs/>
                <w:color w:val="000000" w:themeColor="text1"/>
                <w:sz w:val="24"/>
                <w:szCs w:val="24"/>
                <w14:textFill>
                  <w14:solidFill>
                    <w14:schemeClr w14:val="tx1"/>
                  </w14:solidFill>
                </w14:textFill>
              </w:rPr>
              <w:t>时，将</w:t>
            </w:r>
            <w:r>
              <w:rPr>
                <w:rStyle w:val="55"/>
                <w:rFonts w:ascii="Times New Roman" w:hAnsi="Times New Roman" w:cs="Times New Roman"/>
                <w:bCs/>
                <w:color w:val="000000" w:themeColor="text1"/>
                <w:sz w:val="24"/>
                <w:szCs w:val="24"/>
                <w14:textFill>
                  <w14:solidFill>
                    <w14:schemeClr w14:val="tx1"/>
                  </w14:solidFill>
                </w14:textFill>
              </w:rPr>
              <w:t>Q</w:t>
            </w:r>
            <w:r>
              <w:rPr>
                <w:rStyle w:val="55"/>
                <w:rFonts w:ascii="Times New Roman" w:cs="Times New Roman"/>
                <w:bCs/>
                <w:color w:val="000000" w:themeColor="text1"/>
                <w:sz w:val="24"/>
                <w:szCs w:val="24"/>
                <w14:textFill>
                  <w14:solidFill>
                    <w14:schemeClr w14:val="tx1"/>
                  </w14:solidFill>
                </w14:textFill>
              </w:rPr>
              <w:t>值划分为：</w:t>
            </w:r>
            <w:r>
              <w:rPr>
                <w:rStyle w:val="55"/>
                <w:rFonts w:hint="eastAsia" w:ascii="Times New Roman" w:hAnsi="Times New Roman" w:cs="Times New Roman"/>
                <w:bCs/>
                <w:color w:val="000000" w:themeColor="text1"/>
                <w:sz w:val="24"/>
                <w:szCs w:val="24"/>
                <w14:textFill>
                  <w14:solidFill>
                    <w14:schemeClr w14:val="tx1"/>
                  </w14:solidFill>
                </w14:textFill>
              </w:rPr>
              <w:t>（1）</w:t>
            </w:r>
            <w:r>
              <w:rPr>
                <w:rStyle w:val="55"/>
                <w:rFonts w:ascii="Times New Roman" w:hAnsi="Times New Roman" w:cs="Times New Roman"/>
                <w:bCs/>
                <w:color w:val="000000" w:themeColor="text1"/>
                <w:sz w:val="24"/>
                <w:szCs w:val="24"/>
                <w14:textFill>
                  <w14:solidFill>
                    <w14:schemeClr w14:val="tx1"/>
                  </w14:solidFill>
                </w14:textFill>
              </w:rPr>
              <w:t>1≤Q</w:t>
            </w:r>
            <w:r>
              <w:rPr>
                <w:rStyle w:val="55"/>
                <w:rFonts w:ascii="Times New Roman" w:cs="Times New Roman"/>
                <w:bCs/>
                <w:color w:val="000000" w:themeColor="text1"/>
                <w:sz w:val="24"/>
                <w:szCs w:val="24"/>
                <w14:textFill>
                  <w14:solidFill>
                    <w14:schemeClr w14:val="tx1"/>
                  </w14:solidFill>
                </w14:textFill>
              </w:rPr>
              <w:t>＜</w:t>
            </w:r>
            <w:r>
              <w:rPr>
                <w:rStyle w:val="55"/>
                <w:rFonts w:ascii="Times New Roman" w:hAnsi="Times New Roman" w:cs="Times New Roman"/>
                <w:bCs/>
                <w:color w:val="000000" w:themeColor="text1"/>
                <w:sz w:val="24"/>
                <w:szCs w:val="24"/>
                <w14:textFill>
                  <w14:solidFill>
                    <w14:schemeClr w14:val="tx1"/>
                  </w14:solidFill>
                </w14:textFill>
              </w:rPr>
              <w:t>10</w:t>
            </w:r>
            <w:r>
              <w:rPr>
                <w:rStyle w:val="55"/>
                <w:rFonts w:ascii="Times New Roman" w:cs="Times New Roman"/>
                <w:bCs/>
                <w:color w:val="000000" w:themeColor="text1"/>
                <w:sz w:val="24"/>
                <w:szCs w:val="24"/>
                <w14:textFill>
                  <w14:solidFill>
                    <w14:schemeClr w14:val="tx1"/>
                  </w14:solidFill>
                </w14:textFill>
              </w:rPr>
              <w:t>；</w:t>
            </w:r>
            <w:r>
              <w:rPr>
                <w:rStyle w:val="55"/>
                <w:rFonts w:hint="eastAsia" w:ascii="Times New Roman" w:hAnsi="Times New Roman" w:cs="Times New Roman"/>
                <w:bCs/>
                <w:color w:val="000000" w:themeColor="text1"/>
                <w:sz w:val="24"/>
                <w:szCs w:val="24"/>
                <w14:textFill>
                  <w14:solidFill>
                    <w14:schemeClr w14:val="tx1"/>
                  </w14:solidFill>
                </w14:textFill>
              </w:rPr>
              <w:t>（2）</w:t>
            </w:r>
            <w:r>
              <w:rPr>
                <w:rStyle w:val="55"/>
                <w:rFonts w:ascii="Times New Roman" w:hAnsi="Times New Roman" w:cs="Times New Roman"/>
                <w:bCs/>
                <w:color w:val="000000" w:themeColor="text1"/>
                <w:sz w:val="24"/>
                <w:szCs w:val="24"/>
                <w14:textFill>
                  <w14:solidFill>
                    <w14:schemeClr w14:val="tx1"/>
                  </w14:solidFill>
                </w14:textFill>
              </w:rPr>
              <w:t>10≤Q</w:t>
            </w:r>
            <w:r>
              <w:rPr>
                <w:rStyle w:val="55"/>
                <w:rFonts w:ascii="Times New Roman" w:cs="Times New Roman"/>
                <w:bCs/>
                <w:color w:val="000000" w:themeColor="text1"/>
                <w:sz w:val="24"/>
                <w:szCs w:val="24"/>
                <w14:textFill>
                  <w14:solidFill>
                    <w14:schemeClr w14:val="tx1"/>
                  </w14:solidFill>
                </w14:textFill>
              </w:rPr>
              <w:t>＜</w:t>
            </w:r>
            <w:r>
              <w:rPr>
                <w:rStyle w:val="55"/>
                <w:rFonts w:ascii="Times New Roman" w:hAnsi="Times New Roman" w:cs="Times New Roman"/>
                <w:bCs/>
                <w:color w:val="000000" w:themeColor="text1"/>
                <w:sz w:val="24"/>
                <w:szCs w:val="24"/>
                <w14:textFill>
                  <w14:solidFill>
                    <w14:schemeClr w14:val="tx1"/>
                  </w14:solidFill>
                </w14:textFill>
              </w:rPr>
              <w:t>100</w:t>
            </w:r>
            <w:r>
              <w:rPr>
                <w:rStyle w:val="55"/>
                <w:rFonts w:ascii="Times New Roman" w:cs="Times New Roman"/>
                <w:bCs/>
                <w:color w:val="000000" w:themeColor="text1"/>
                <w:sz w:val="24"/>
                <w:szCs w:val="24"/>
                <w14:textFill>
                  <w14:solidFill>
                    <w14:schemeClr w14:val="tx1"/>
                  </w14:solidFill>
                </w14:textFill>
              </w:rPr>
              <w:t>；</w:t>
            </w:r>
            <w:r>
              <w:rPr>
                <w:rStyle w:val="55"/>
                <w:rFonts w:hint="eastAsia" w:ascii="Times New Roman" w:hAnsi="Times New Roman" w:cs="Times New Roman"/>
                <w:bCs/>
                <w:color w:val="000000" w:themeColor="text1"/>
                <w:sz w:val="24"/>
                <w:szCs w:val="24"/>
                <w14:textFill>
                  <w14:solidFill>
                    <w14:schemeClr w14:val="tx1"/>
                  </w14:solidFill>
                </w14:textFill>
              </w:rPr>
              <w:t>（3）</w:t>
            </w:r>
            <w:r>
              <w:rPr>
                <w:rStyle w:val="55"/>
                <w:rFonts w:ascii="Times New Roman" w:hAnsi="Times New Roman" w:cs="Times New Roman"/>
                <w:bCs/>
                <w:color w:val="000000" w:themeColor="text1"/>
                <w:sz w:val="24"/>
                <w:szCs w:val="24"/>
                <w14:textFill>
                  <w14:solidFill>
                    <w14:schemeClr w14:val="tx1"/>
                  </w14:solidFill>
                </w14:textFill>
              </w:rPr>
              <w:t>)Q≥100</w:t>
            </w:r>
            <w:r>
              <w:rPr>
                <w:rStyle w:val="55"/>
                <w:rFonts w:ascii="Times New Roman" w:cs="Times New Roman"/>
                <w:bCs/>
                <w:color w:val="000000" w:themeColor="text1"/>
                <w:sz w:val="24"/>
                <w:szCs w:val="24"/>
                <w14:textFill>
                  <w14:solidFill>
                    <w14:schemeClr w14:val="tx1"/>
                  </w14:solidFill>
                </w14:textFill>
              </w:rPr>
              <w:t>；</w:t>
            </w:r>
          </w:p>
          <w:p w14:paraId="7F6F5A40">
            <w:pPr>
              <w:adjustRightInd w:val="0"/>
              <w:snapToGrid w:val="0"/>
              <w:spacing w:line="360" w:lineRule="auto"/>
              <w:ind w:firstLine="480" w:firstLineChars="200"/>
              <w:jc w:val="left"/>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结果如下。</w:t>
            </w:r>
          </w:p>
          <w:p w14:paraId="1657EBCD">
            <w:pPr>
              <w:pStyle w:val="56"/>
              <w:adjustRightInd w:val="0"/>
              <w:ind w:firstLine="480"/>
              <w:jc w:val="center"/>
              <w:rPr>
                <w:rStyle w:val="55"/>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w:t>
            </w:r>
            <w:r>
              <w:rPr>
                <w:rFonts w:hint="default" w:ascii="Times New Roman" w:hAnsi="Times New Roman" w:cs="Times New Roman"/>
                <w:b/>
                <w:bCs/>
                <w:color w:val="000000" w:themeColor="text1"/>
                <w:sz w:val="24"/>
                <w:lang w:val="en-US" w:eastAsia="zh-CN"/>
                <w14:textFill>
                  <w14:solidFill>
                    <w14:schemeClr w14:val="tx1"/>
                  </w14:solidFill>
                </w14:textFill>
              </w:rPr>
              <w:t>4-2</w:t>
            </w:r>
            <w:r>
              <w:rPr>
                <w:rFonts w:hint="eastAsia" w:ascii="Times New Roman" w:hAnsi="Times New Roman"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lang w:eastAsia="zh-CN"/>
                <w14:textFill>
                  <w14:solidFill>
                    <w14:schemeClr w14:val="tx1"/>
                  </w14:solidFill>
                </w14:textFill>
              </w:rPr>
              <w:t>危险物质与临界量比值（</w:t>
            </w:r>
            <w:r>
              <w:rPr>
                <w:rFonts w:hint="default" w:ascii="Times New Roman" w:hAnsi="Times New Roman" w:cs="Times New Roman"/>
                <w:b/>
                <w:bCs/>
                <w:color w:val="000000" w:themeColor="text1"/>
                <w:sz w:val="24"/>
                <w:lang w:val="en-US" w:eastAsia="zh-CN"/>
                <w14:textFill>
                  <w14:solidFill>
                    <w14:schemeClr w14:val="tx1"/>
                  </w14:solidFill>
                </w14:textFill>
              </w:rPr>
              <w:t>Q</w:t>
            </w:r>
            <w:r>
              <w:rPr>
                <w:rFonts w:hint="default" w:ascii="Times New Roman" w:hAnsi="Times New Roman" w:cs="Times New Roman"/>
                <w:b/>
                <w:bCs/>
                <w:color w:val="000000" w:themeColor="text1"/>
                <w:sz w:val="24"/>
                <w:lang w:eastAsia="zh-CN"/>
                <w14:textFill>
                  <w14:solidFill>
                    <w14:schemeClr w14:val="tx1"/>
                  </w14:solidFill>
                </w14:textFill>
              </w:rPr>
              <w:t>）计算结果一览表</w:t>
            </w:r>
          </w:p>
          <w:tbl>
            <w:tblPr>
              <w:tblStyle w:val="27"/>
              <w:tblW w:w="4793" w:type="pct"/>
              <w:jc w:val="center"/>
              <w:tblLayout w:type="autofit"/>
              <w:tblCellMar>
                <w:top w:w="0" w:type="dxa"/>
                <w:left w:w="0" w:type="dxa"/>
                <w:bottom w:w="0" w:type="dxa"/>
                <w:right w:w="0" w:type="dxa"/>
              </w:tblCellMar>
            </w:tblPr>
            <w:tblGrid>
              <w:gridCol w:w="631"/>
              <w:gridCol w:w="2168"/>
              <w:gridCol w:w="1031"/>
              <w:gridCol w:w="1333"/>
              <w:gridCol w:w="1677"/>
              <w:gridCol w:w="1265"/>
            </w:tblGrid>
            <w:tr w14:paraId="056D8952">
              <w:tblPrEx>
                <w:tblCellMar>
                  <w:top w:w="0" w:type="dxa"/>
                  <w:left w:w="0" w:type="dxa"/>
                  <w:bottom w:w="0" w:type="dxa"/>
                  <w:right w:w="0" w:type="dxa"/>
                </w:tblCellMar>
              </w:tblPrEx>
              <w:trPr>
                <w:trHeight w:val="632" w:hRule="exact"/>
                <w:jc w:val="center"/>
              </w:trPr>
              <w:tc>
                <w:tcPr>
                  <w:tcW w:w="390" w:type="pct"/>
                  <w:tcBorders>
                    <w:top w:val="single" w:color="000000" w:sz="4" w:space="0"/>
                    <w:left w:val="single" w:color="000000" w:sz="4" w:space="0"/>
                    <w:bottom w:val="single" w:color="000000" w:sz="4" w:space="0"/>
                    <w:right w:val="single" w:color="000000" w:sz="4" w:space="0"/>
                  </w:tcBorders>
                  <w:noWrap w:val="0"/>
                  <w:vAlign w:val="center"/>
                </w:tcPr>
                <w:p w14:paraId="249147FA">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序号</w:t>
                  </w:r>
                </w:p>
              </w:tc>
              <w:tc>
                <w:tcPr>
                  <w:tcW w:w="1337" w:type="pct"/>
                  <w:tcBorders>
                    <w:top w:val="single" w:color="000000" w:sz="4" w:space="0"/>
                    <w:left w:val="single" w:color="000000" w:sz="4" w:space="0"/>
                    <w:bottom w:val="single" w:color="000000" w:sz="4" w:space="0"/>
                    <w:right w:val="single" w:color="000000" w:sz="4" w:space="0"/>
                  </w:tcBorders>
                  <w:noWrap w:val="0"/>
                  <w:vAlign w:val="center"/>
                </w:tcPr>
                <w:p w14:paraId="172E7E74">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危险物质</w:t>
                  </w:r>
                </w:p>
                <w:p w14:paraId="738E69A8">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名称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DB8ACA8">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CAS号</w:t>
                  </w:r>
                </w:p>
              </w:tc>
              <w:tc>
                <w:tcPr>
                  <w:tcW w:w="822" w:type="pct"/>
                  <w:tcBorders>
                    <w:top w:val="single" w:color="000000" w:sz="4" w:space="0"/>
                    <w:left w:val="single" w:color="000000" w:sz="4" w:space="0"/>
                    <w:bottom w:val="single" w:color="000000" w:sz="4" w:space="0"/>
                    <w:right w:val="single" w:color="000000" w:sz="4" w:space="0"/>
                  </w:tcBorders>
                  <w:noWrap w:val="0"/>
                  <w:vAlign w:val="center"/>
                </w:tcPr>
                <w:p w14:paraId="6754D359">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临界量</w:t>
                  </w:r>
                </w:p>
                <w:p w14:paraId="6E16027D">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Q</w:t>
                  </w:r>
                  <w:r>
                    <w:rPr>
                      <w:rFonts w:ascii="Times New Roman" w:hAnsi="宋体" w:cs="Times New Roman"/>
                      <w:color w:val="000000" w:themeColor="text1"/>
                      <w:kern w:val="0"/>
                      <w:sz w:val="21"/>
                      <w:szCs w:val="21"/>
                      <w:vertAlign w:val="subscript"/>
                      <w14:textFill>
                        <w14:solidFill>
                          <w14:schemeClr w14:val="tx1"/>
                        </w14:solidFill>
                      </w14:textFill>
                    </w:rPr>
                    <w:t>i</w:t>
                  </w:r>
                  <w:r>
                    <w:rPr>
                      <w:rFonts w:ascii="Times New Roman" w:hAnsi="宋体" w:cs="Times New Roman"/>
                      <w:color w:val="000000" w:themeColor="text1"/>
                      <w:kern w:val="0"/>
                      <w:sz w:val="21"/>
                      <w:szCs w:val="21"/>
                      <w14:textFill>
                        <w14:solidFill>
                          <w14:schemeClr w14:val="tx1"/>
                        </w14:solidFill>
                      </w14:textFill>
                    </w:rPr>
                    <w:t>（t）</w:t>
                  </w:r>
                </w:p>
              </w:tc>
              <w:tc>
                <w:tcPr>
                  <w:tcW w:w="1032" w:type="pct"/>
                  <w:tcBorders>
                    <w:top w:val="single" w:color="000000" w:sz="4" w:space="0"/>
                    <w:left w:val="single" w:color="000000" w:sz="4" w:space="0"/>
                    <w:bottom w:val="single" w:color="000000" w:sz="4" w:space="0"/>
                    <w:right w:val="single" w:color="000000" w:sz="4" w:space="0"/>
                  </w:tcBorders>
                  <w:noWrap w:val="0"/>
                  <w:vAlign w:val="center"/>
                </w:tcPr>
                <w:p w14:paraId="70C0E30F">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最大存在总量</w:t>
                  </w:r>
                </w:p>
                <w:p w14:paraId="05D218A4">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q</w:t>
                  </w:r>
                  <w:r>
                    <w:rPr>
                      <w:rFonts w:ascii="Times New Roman" w:hAnsi="宋体" w:cs="Times New Roman"/>
                      <w:color w:val="000000" w:themeColor="text1"/>
                      <w:kern w:val="0"/>
                      <w:sz w:val="21"/>
                      <w:szCs w:val="21"/>
                      <w:vertAlign w:val="subscript"/>
                      <w14:textFill>
                        <w14:solidFill>
                          <w14:schemeClr w14:val="tx1"/>
                        </w14:solidFill>
                      </w14:textFill>
                    </w:rPr>
                    <w:t>i</w:t>
                  </w:r>
                  <w:r>
                    <w:rPr>
                      <w:rFonts w:ascii="Times New Roman" w:hAnsi="宋体" w:cs="Times New Roman"/>
                      <w:color w:val="000000" w:themeColor="text1"/>
                      <w:kern w:val="0"/>
                      <w:sz w:val="21"/>
                      <w:szCs w:val="21"/>
                      <w14:textFill>
                        <w14:solidFill>
                          <w14:schemeClr w14:val="tx1"/>
                        </w14:solidFill>
                      </w14:textFill>
                    </w:rPr>
                    <w:t>(t)</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06E772CC">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q</w:t>
                  </w:r>
                  <w:r>
                    <w:rPr>
                      <w:rFonts w:ascii="Times New Roman" w:hAnsi="宋体" w:cs="Times New Roman"/>
                      <w:color w:val="000000" w:themeColor="text1"/>
                      <w:kern w:val="0"/>
                      <w:sz w:val="21"/>
                      <w:szCs w:val="21"/>
                      <w:vertAlign w:val="subscript"/>
                      <w14:textFill>
                        <w14:solidFill>
                          <w14:schemeClr w14:val="tx1"/>
                        </w14:solidFill>
                      </w14:textFill>
                    </w:rPr>
                    <w:t>i</w:t>
                  </w:r>
                  <w:r>
                    <w:rPr>
                      <w:rFonts w:ascii="Times New Roman" w:hAnsi="宋体" w:cs="Times New Roman"/>
                      <w:color w:val="000000" w:themeColor="text1"/>
                      <w:kern w:val="0"/>
                      <w:sz w:val="21"/>
                      <w:szCs w:val="21"/>
                      <w14:textFill>
                        <w14:solidFill>
                          <w14:schemeClr w14:val="tx1"/>
                        </w14:solidFill>
                      </w14:textFill>
                    </w:rPr>
                    <w:t>/Q</w:t>
                  </w:r>
                  <w:r>
                    <w:rPr>
                      <w:rFonts w:ascii="Times New Roman" w:hAnsi="宋体" w:cs="Times New Roman"/>
                      <w:color w:val="000000" w:themeColor="text1"/>
                      <w:kern w:val="0"/>
                      <w:sz w:val="21"/>
                      <w:szCs w:val="21"/>
                      <w:vertAlign w:val="subscript"/>
                      <w14:textFill>
                        <w14:solidFill>
                          <w14:schemeClr w14:val="tx1"/>
                        </w14:solidFill>
                      </w14:textFill>
                    </w:rPr>
                    <w:t>i</w:t>
                  </w:r>
                </w:p>
              </w:tc>
            </w:tr>
            <w:tr w14:paraId="06A36DA4">
              <w:tblPrEx>
                <w:tblCellMar>
                  <w:top w:w="0" w:type="dxa"/>
                  <w:left w:w="0" w:type="dxa"/>
                  <w:bottom w:w="0" w:type="dxa"/>
                  <w:right w:w="0" w:type="dxa"/>
                </w:tblCellMar>
              </w:tblPrEx>
              <w:trPr>
                <w:trHeight w:val="321" w:hRule="exact"/>
                <w:jc w:val="center"/>
              </w:trPr>
              <w:tc>
                <w:tcPr>
                  <w:tcW w:w="390" w:type="pct"/>
                  <w:tcBorders>
                    <w:top w:val="single" w:color="000000" w:sz="4" w:space="0"/>
                    <w:left w:val="single" w:color="000000" w:sz="4" w:space="0"/>
                    <w:bottom w:val="single" w:color="000000" w:sz="4" w:space="0"/>
                    <w:right w:val="single" w:color="000000" w:sz="4" w:space="0"/>
                  </w:tcBorders>
                  <w:noWrap w:val="0"/>
                  <w:vAlign w:val="center"/>
                </w:tcPr>
                <w:p w14:paraId="6FD6CC69">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1</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2D49C">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kern w:val="0"/>
                      <w:szCs w:val="21"/>
                      <w:lang w:bidi="ar"/>
                    </w:rPr>
                    <w:t>废油</w:t>
                  </w:r>
                  <w:r>
                    <w:rPr>
                      <w:rFonts w:hint="eastAsia" w:ascii="Times New Roman" w:hAnsi="Times New Roman" w:eastAsia="宋体" w:cs="宋体"/>
                      <w:kern w:val="0"/>
                      <w:szCs w:val="21"/>
                      <w:lang w:eastAsia="zh-CN" w:bidi="ar"/>
                    </w:rPr>
                    <w:t>（液压油、导热油）</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8355E18">
                  <w:pPr>
                    <w:autoSpaceDE w:val="0"/>
                    <w:autoSpaceDN w:val="0"/>
                    <w:adjustRightInd w:val="0"/>
                    <w:jc w:val="center"/>
                    <w:rPr>
                      <w:rFonts w:hint="eastAsia" w:ascii="Times New Roman" w:hAnsi="宋体" w:eastAsia="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w:t>
                  </w:r>
                </w:p>
              </w:tc>
              <w:tc>
                <w:tcPr>
                  <w:tcW w:w="822" w:type="pct"/>
                  <w:tcBorders>
                    <w:top w:val="single" w:color="000000" w:sz="4" w:space="0"/>
                    <w:left w:val="single" w:color="000000" w:sz="4" w:space="0"/>
                    <w:bottom w:val="single" w:color="000000" w:sz="4" w:space="0"/>
                    <w:right w:val="single" w:color="000000" w:sz="4" w:space="0"/>
                  </w:tcBorders>
                  <w:noWrap w:val="0"/>
                  <w:vAlign w:val="center"/>
                </w:tcPr>
                <w:p w14:paraId="7BA4E2AD">
                  <w:pPr>
                    <w:autoSpaceDE w:val="0"/>
                    <w:autoSpaceDN w:val="0"/>
                    <w:adjustRightInd w:val="0"/>
                    <w:jc w:val="center"/>
                    <w:rPr>
                      <w:rFonts w:hint="default" w:ascii="Times New Roman" w:hAnsi="宋体" w:cs="Times New Roman" w:eastAsiaTheme="minorEastAsia"/>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50</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1BA83">
                  <w:pPr>
                    <w:autoSpaceDE w:val="0"/>
                    <w:autoSpaceDN w:val="0"/>
                    <w:adjustRightInd w:val="0"/>
                    <w:jc w:val="center"/>
                    <w:rPr>
                      <w:rFonts w:hint="eastAsia"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0.2</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16E8CBCC">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0.004</w:t>
                  </w:r>
                </w:p>
              </w:tc>
            </w:tr>
            <w:tr w14:paraId="41AC3B47">
              <w:tblPrEx>
                <w:tblCellMar>
                  <w:top w:w="0" w:type="dxa"/>
                  <w:left w:w="0" w:type="dxa"/>
                  <w:bottom w:w="0" w:type="dxa"/>
                  <w:right w:w="0" w:type="dxa"/>
                </w:tblCellMar>
              </w:tblPrEx>
              <w:trPr>
                <w:trHeight w:val="322" w:hRule="exact"/>
                <w:jc w:val="center"/>
              </w:trPr>
              <w:tc>
                <w:tcPr>
                  <w:tcW w:w="390" w:type="pct"/>
                  <w:tcBorders>
                    <w:top w:val="single" w:color="000000" w:sz="4" w:space="0"/>
                    <w:left w:val="single" w:color="000000" w:sz="4" w:space="0"/>
                    <w:bottom w:val="single" w:color="000000" w:sz="4" w:space="0"/>
                    <w:right w:val="single" w:color="000000" w:sz="4" w:space="0"/>
                  </w:tcBorders>
                  <w:noWrap w:val="0"/>
                  <w:vAlign w:val="center"/>
                </w:tcPr>
                <w:p w14:paraId="36B20300">
                  <w:pPr>
                    <w:autoSpaceDE w:val="0"/>
                    <w:autoSpaceDN w:val="0"/>
                    <w:adjustRightInd w:val="0"/>
                    <w:jc w:val="center"/>
                    <w:rPr>
                      <w:rFonts w:ascii="Times New Roman" w:hAnsi="宋体" w:cs="Times New Roman"/>
                      <w:color w:val="000000" w:themeColor="text1"/>
                      <w:kern w:val="0"/>
                      <w:sz w:val="21"/>
                      <w:szCs w:val="21"/>
                      <w14:textFill>
                        <w14:solidFill>
                          <w14:schemeClr w14:val="tx1"/>
                        </w14:solidFill>
                      </w14:textFill>
                    </w:rPr>
                  </w:pPr>
                  <w:r>
                    <w:rPr>
                      <w:rFonts w:ascii="Times New Roman" w:hAnsi="宋体" w:cs="Times New Roman"/>
                      <w:color w:val="000000" w:themeColor="text1"/>
                      <w:kern w:val="0"/>
                      <w:sz w:val="21"/>
                      <w:szCs w:val="21"/>
                      <w14:textFill>
                        <w14:solidFill>
                          <w14:schemeClr w14:val="tx1"/>
                        </w14:solidFill>
                      </w14:textFill>
                    </w:rPr>
                    <w:t>2</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CBE0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kern w:val="0"/>
                      <w:szCs w:val="21"/>
                      <w:lang w:bidi="ar"/>
                    </w:rPr>
                    <w:t>空压机废油液</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6D6021E">
                  <w:pPr>
                    <w:autoSpaceDE w:val="0"/>
                    <w:autoSpaceDN w:val="0"/>
                    <w:adjustRightInd w:val="0"/>
                    <w:jc w:val="center"/>
                    <w:rPr>
                      <w:rFonts w:hint="eastAsia" w:ascii="Times New Roman" w:hAnsi="宋体" w:eastAsia="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w:t>
                  </w:r>
                </w:p>
              </w:tc>
              <w:tc>
                <w:tcPr>
                  <w:tcW w:w="822" w:type="pct"/>
                  <w:tcBorders>
                    <w:top w:val="single" w:color="000000" w:sz="4" w:space="0"/>
                    <w:left w:val="single" w:color="000000" w:sz="4" w:space="0"/>
                    <w:bottom w:val="single" w:color="000000" w:sz="4" w:space="0"/>
                    <w:right w:val="single" w:color="000000" w:sz="4" w:space="0"/>
                  </w:tcBorders>
                  <w:noWrap w:val="0"/>
                  <w:vAlign w:val="center"/>
                </w:tcPr>
                <w:p w14:paraId="3831ADC0">
                  <w:pPr>
                    <w:autoSpaceDE w:val="0"/>
                    <w:autoSpaceDN w:val="0"/>
                    <w:adjustRightInd w:val="0"/>
                    <w:jc w:val="center"/>
                    <w:rPr>
                      <w:rFonts w:hint="default" w:ascii="Times New Roman" w:hAnsi="宋体" w:cs="Times New Roman" w:eastAsiaTheme="minorEastAsia"/>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50</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EA0A6">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0.01</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46549D83">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0.0002</w:t>
                  </w:r>
                </w:p>
              </w:tc>
            </w:tr>
            <w:tr w14:paraId="72B328B2">
              <w:tblPrEx>
                <w:tblCellMar>
                  <w:top w:w="0" w:type="dxa"/>
                  <w:left w:w="0" w:type="dxa"/>
                  <w:bottom w:w="0" w:type="dxa"/>
                  <w:right w:w="0" w:type="dxa"/>
                </w:tblCellMar>
              </w:tblPrEx>
              <w:trPr>
                <w:trHeight w:val="586" w:hRule="exact"/>
                <w:jc w:val="center"/>
              </w:trPr>
              <w:tc>
                <w:tcPr>
                  <w:tcW w:w="390" w:type="pct"/>
                  <w:tcBorders>
                    <w:top w:val="single" w:color="000000" w:sz="4" w:space="0"/>
                    <w:left w:val="single" w:color="000000" w:sz="4" w:space="0"/>
                    <w:bottom w:val="single" w:color="000000" w:sz="4" w:space="0"/>
                    <w:right w:val="single" w:color="000000" w:sz="4" w:space="0"/>
                  </w:tcBorders>
                  <w:noWrap w:val="0"/>
                  <w:vAlign w:val="center"/>
                </w:tcPr>
                <w:p w14:paraId="0032AF2A">
                  <w:pPr>
                    <w:autoSpaceDE w:val="0"/>
                    <w:autoSpaceDN w:val="0"/>
                    <w:adjustRightInd w:val="0"/>
                    <w:jc w:val="center"/>
                    <w:rPr>
                      <w:rFonts w:hint="eastAsia" w:ascii="Times New Roman" w:hAnsi="宋体" w:eastAsia="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3</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A762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液压油、</w:t>
                  </w:r>
                  <w:r>
                    <w:rPr>
                      <w:rFonts w:hint="eastAsia" w:ascii="Times New Roman" w:hAnsi="Times New Roman" w:cs="Times New Roman"/>
                      <w:color w:val="000000" w:themeColor="text1"/>
                      <w:szCs w:val="21"/>
                      <w:lang w:eastAsia="zh-CN"/>
                      <w14:textFill>
                        <w14:solidFill>
                          <w14:schemeClr w14:val="tx1"/>
                        </w14:solidFill>
                      </w14:textFill>
                    </w:rPr>
                    <w:t>导热油</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82AA5ED">
                  <w:pPr>
                    <w:autoSpaceDE w:val="0"/>
                    <w:autoSpaceDN w:val="0"/>
                    <w:adjustRightInd w:val="0"/>
                    <w:jc w:val="center"/>
                    <w:rPr>
                      <w:rFonts w:hint="eastAsia" w:ascii="Times New Roman" w:hAnsi="宋体" w:eastAsia="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w:t>
                  </w:r>
                </w:p>
              </w:tc>
              <w:tc>
                <w:tcPr>
                  <w:tcW w:w="822" w:type="pct"/>
                  <w:tcBorders>
                    <w:top w:val="single" w:color="000000" w:sz="4" w:space="0"/>
                    <w:left w:val="single" w:color="000000" w:sz="4" w:space="0"/>
                    <w:bottom w:val="single" w:color="000000" w:sz="4" w:space="0"/>
                    <w:right w:val="single" w:color="000000" w:sz="4" w:space="0"/>
                  </w:tcBorders>
                  <w:noWrap w:val="0"/>
                  <w:vAlign w:val="center"/>
                </w:tcPr>
                <w:p w14:paraId="307471D4">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2500</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FF908">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3.2</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72C0D12E">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0.00128</w:t>
                  </w:r>
                </w:p>
              </w:tc>
            </w:tr>
            <w:tr w14:paraId="188A7D0E">
              <w:tblPrEx>
                <w:tblCellMar>
                  <w:top w:w="0" w:type="dxa"/>
                  <w:left w:w="0" w:type="dxa"/>
                  <w:bottom w:w="0" w:type="dxa"/>
                  <w:right w:w="0" w:type="dxa"/>
                </w:tblCellMar>
              </w:tblPrEx>
              <w:trPr>
                <w:trHeight w:val="322" w:hRule="exact"/>
                <w:jc w:val="center"/>
              </w:trPr>
              <w:tc>
                <w:tcPr>
                  <w:tcW w:w="4219" w:type="pct"/>
                  <w:gridSpan w:val="5"/>
                  <w:tcBorders>
                    <w:top w:val="single" w:color="000000" w:sz="4" w:space="0"/>
                    <w:left w:val="single" w:color="000000" w:sz="4" w:space="0"/>
                    <w:bottom w:val="single" w:color="000000" w:sz="4" w:space="0"/>
                    <w:right w:val="single" w:color="000000" w:sz="4" w:space="0"/>
                  </w:tcBorders>
                  <w:noWrap w:val="0"/>
                  <w:vAlign w:val="center"/>
                </w:tcPr>
                <w:p w14:paraId="7BB7E6DC">
                  <w:pPr>
                    <w:autoSpaceDE w:val="0"/>
                    <w:autoSpaceDN w:val="0"/>
                    <w:adjustRightInd w:val="0"/>
                    <w:jc w:val="center"/>
                    <w:rPr>
                      <w:rFonts w:hint="eastAsia"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合计</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19232F91">
                  <w:pPr>
                    <w:autoSpaceDE w:val="0"/>
                    <w:autoSpaceDN w:val="0"/>
                    <w:adjustRightInd w:val="0"/>
                    <w:jc w:val="center"/>
                    <w:rPr>
                      <w:rFonts w:hint="default" w:ascii="Times New Roman" w:hAnsi="宋体" w:cs="Times New Roman"/>
                      <w:color w:val="000000" w:themeColor="text1"/>
                      <w:kern w:val="0"/>
                      <w:sz w:val="21"/>
                      <w:szCs w:val="21"/>
                      <w:lang w:val="en-US" w:eastAsia="zh-CN"/>
                      <w14:textFill>
                        <w14:solidFill>
                          <w14:schemeClr w14:val="tx1"/>
                        </w14:solidFill>
                      </w14:textFill>
                    </w:rPr>
                  </w:pPr>
                  <w:r>
                    <w:rPr>
                      <w:rFonts w:hint="eastAsia" w:ascii="Times New Roman" w:hAnsi="宋体" w:cs="Times New Roman"/>
                      <w:color w:val="000000" w:themeColor="text1"/>
                      <w:kern w:val="0"/>
                      <w:sz w:val="21"/>
                      <w:szCs w:val="21"/>
                      <w:lang w:val="en-US" w:eastAsia="zh-CN"/>
                      <w14:textFill>
                        <w14:solidFill>
                          <w14:schemeClr w14:val="tx1"/>
                        </w14:solidFill>
                      </w14:textFill>
                    </w:rPr>
                    <w:t>0.008284</w:t>
                  </w:r>
                </w:p>
              </w:tc>
            </w:tr>
          </w:tbl>
          <w:p w14:paraId="5F68248B">
            <w:pPr>
              <w:pStyle w:val="56"/>
              <w:adjustRightInd w:val="0"/>
              <w:ind w:firstLine="480"/>
              <w:rPr>
                <w:rStyle w:val="55"/>
                <w:rFonts w:ascii="Times New Roman" w:hAnsi="Times New Roman" w:cs="Times New Roman"/>
                <w:bCs/>
                <w:color w:val="000000" w:themeColor="text1"/>
                <w:sz w:val="24"/>
                <w14:textFill>
                  <w14:solidFill>
                    <w14:schemeClr w14:val="tx1"/>
                  </w14:solidFill>
                </w14:textFill>
              </w:rPr>
            </w:pPr>
            <w:r>
              <w:rPr>
                <w:rStyle w:val="55"/>
                <w:rFonts w:ascii="Times New Roman" w:hAnsi="Times New Roman" w:cs="Times New Roman"/>
                <w:bCs/>
                <w:color w:val="000000" w:themeColor="text1"/>
                <w:sz w:val="24"/>
                <w14:textFill>
                  <w14:solidFill>
                    <w14:schemeClr w14:val="tx1"/>
                  </w14:solidFill>
                </w14:textFill>
              </w:rPr>
              <w:t>根据上表，</w:t>
            </w:r>
            <w:r>
              <w:rPr>
                <w:rStyle w:val="55"/>
                <w:rFonts w:hint="eastAsia" w:ascii="Times New Roman" w:hAnsi="Times New Roman" w:cs="Times New Roman"/>
                <w:bCs/>
                <w:color w:val="000000" w:themeColor="text1"/>
                <w:sz w:val="24"/>
                <w:lang w:eastAsia="zh-CN"/>
                <w14:textFill>
                  <w14:solidFill>
                    <w14:schemeClr w14:val="tx1"/>
                  </w14:solidFill>
                </w14:textFill>
              </w:rPr>
              <w:t>项目</w:t>
            </w:r>
            <w:r>
              <w:rPr>
                <w:rStyle w:val="55"/>
                <w:rFonts w:ascii="Times New Roman" w:hAnsi="Times New Roman" w:cs="Times New Roman"/>
                <w:bCs/>
                <w:color w:val="000000" w:themeColor="text1"/>
                <w:sz w:val="24"/>
                <w14:textFill>
                  <w14:solidFill>
                    <w14:schemeClr w14:val="tx1"/>
                  </w14:solidFill>
                </w14:textFill>
              </w:rPr>
              <w:t>Q=</w:t>
            </w:r>
            <w:r>
              <w:rPr>
                <w:rStyle w:val="55"/>
                <w:rFonts w:hint="eastAsia" w:ascii="Times New Roman" w:hAnsi="Times New Roman" w:cs="Times New Roman"/>
                <w:bCs/>
                <w:color w:val="000000" w:themeColor="text1"/>
                <w:sz w:val="24"/>
                <w:lang w:val="en-US" w:eastAsia="zh-CN"/>
                <w14:textFill>
                  <w14:solidFill>
                    <w14:schemeClr w14:val="tx1"/>
                  </w14:solidFill>
                </w14:textFill>
              </w:rPr>
              <w:t>0.008284</w:t>
            </w:r>
            <w:r>
              <w:rPr>
                <w:rStyle w:val="55"/>
                <w:rFonts w:ascii="Times New Roman" w:hAnsi="Times New Roman" w:cs="Times New Roman"/>
                <w:bCs/>
                <w:color w:val="000000" w:themeColor="text1"/>
                <w:sz w:val="24"/>
                <w14:textFill>
                  <w14:solidFill>
                    <w14:schemeClr w14:val="tx1"/>
                  </w14:solidFill>
                </w14:textFill>
              </w:rPr>
              <w:t>＜1，故该项目风险物质最大储存量远小于临界量，该项目环境风险潜势为I。</w:t>
            </w:r>
          </w:p>
          <w:p w14:paraId="3BF3E241">
            <w:pPr>
              <w:spacing w:before="31" w:beforeLines="10" w:after="31" w:afterLines="10" w:line="377"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w:t>
            </w:r>
            <w:r>
              <w:rPr>
                <w:rFonts w:hint="eastAsia" w:ascii="Times New Roman" w:hAnsi="Times New Roman" w:eastAsia="宋体" w:cs="宋体"/>
                <w:b/>
                <w:bCs/>
                <w:sz w:val="24"/>
                <w:lang w:val="en-US" w:eastAsia="zh-CN"/>
              </w:rPr>
              <w:t>3</w:t>
            </w:r>
            <w:r>
              <w:rPr>
                <w:rFonts w:hint="eastAsia" w:ascii="Times New Roman" w:hAnsi="Times New Roman" w:eastAsia="宋体" w:cs="宋体"/>
                <w:b/>
                <w:bCs/>
                <w:sz w:val="24"/>
              </w:rPr>
              <w:t>）环境风险影响途径</w:t>
            </w:r>
          </w:p>
          <w:p w14:paraId="7C714D0A">
            <w:pPr>
              <w:tabs>
                <w:tab w:val="left" w:pos="3570"/>
              </w:tabs>
              <w:adjustRightIn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导热油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液压油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空压机油、废油</w:t>
            </w:r>
            <w:r>
              <w:rPr>
                <w:color w:val="000000" w:themeColor="text1"/>
                <w:sz w:val="24"/>
                <w14:textFill>
                  <w14:solidFill>
                    <w14:schemeClr w14:val="tx1"/>
                  </w14:solidFill>
                </w14:textFill>
              </w:rPr>
              <w:t>泄漏若未及时收集，可能对土壤、地下水造成影响；</w:t>
            </w:r>
            <w:r>
              <w:rPr>
                <w:rFonts w:hint="eastAsia"/>
                <w:color w:val="000000" w:themeColor="text1"/>
                <w:sz w:val="24"/>
                <w:lang w:eastAsia="zh-CN"/>
                <w14:textFill>
                  <w14:solidFill>
                    <w14:schemeClr w14:val="tx1"/>
                  </w14:solidFill>
                </w14:textFill>
              </w:rPr>
              <w:t>导热油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液压油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空压机油、废油</w:t>
            </w:r>
            <w:r>
              <w:rPr>
                <w:color w:val="000000" w:themeColor="text1"/>
                <w:sz w:val="24"/>
                <w14:textFill>
                  <w14:solidFill>
                    <w14:schemeClr w14:val="tx1"/>
                  </w14:solidFill>
                </w14:textFill>
              </w:rPr>
              <w:t>发生泄漏、火灾、爆炸产生的伴生、次生污染物对大气环境造成影响。</w:t>
            </w:r>
          </w:p>
          <w:p w14:paraId="38C265E7">
            <w:pPr>
              <w:tabs>
                <w:tab w:val="left" w:pos="3570"/>
              </w:tabs>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①生产过程中的风险分析</w:t>
            </w:r>
          </w:p>
          <w:p w14:paraId="216785A0">
            <w:pPr>
              <w:tabs>
                <w:tab w:val="left" w:pos="3570"/>
              </w:tabs>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生产过程中因操作不当或设备老化</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引起的火灾甚至爆炸产生的二次污染物对大气环境产生不利影响。</w:t>
            </w:r>
          </w:p>
          <w:p w14:paraId="707C2FCA">
            <w:pPr>
              <w:tabs>
                <w:tab w:val="left" w:pos="3570"/>
              </w:tabs>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②油料存储过程中的风险分析</w:t>
            </w:r>
          </w:p>
          <w:p w14:paraId="34CDC66D">
            <w:pPr>
              <w:tabs>
                <w:tab w:val="left" w:pos="3570"/>
              </w:tabs>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液态物质在存放过程中，若包装发生破损或人为操作不当，可能发生泄漏，遇明火或高温引起的火灾事故，对人或设施设备、建筑物造成不同程度的伤害和破坏以及对周边地表水、土壤及地下水造成一定的污染影响。</w:t>
            </w:r>
          </w:p>
          <w:p w14:paraId="5F8F0022">
            <w:pPr>
              <w:tabs>
                <w:tab w:val="left" w:pos="3570"/>
              </w:tabs>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③危险废物贮存过程中的风险分析</w:t>
            </w:r>
          </w:p>
          <w:p w14:paraId="277494D4">
            <w:pPr>
              <w:tabs>
                <w:tab w:val="left" w:pos="3570"/>
              </w:tabs>
              <w:adjustRightIn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废采用专用容器分类存放于危险废物贮存场，若储存设施损坏、管理不善，导致包装桶破损，泄漏至地面，可能进入雨水管网，最后进入地表水、地下水。泄漏物料遇火燃烧产生的二次污染物排入地表水、大气环境。</w:t>
            </w:r>
          </w:p>
          <w:p w14:paraId="3F3F144C">
            <w:pPr>
              <w:spacing w:before="31" w:beforeLines="10" w:after="31" w:afterLines="10" w:line="377"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w:t>
            </w:r>
            <w:r>
              <w:rPr>
                <w:rFonts w:hint="eastAsia" w:ascii="Times New Roman" w:hAnsi="Times New Roman" w:eastAsia="宋体" w:cs="宋体"/>
                <w:b/>
                <w:bCs/>
                <w:sz w:val="24"/>
                <w:lang w:val="en-US" w:eastAsia="zh-CN"/>
              </w:rPr>
              <w:t>4</w:t>
            </w:r>
            <w:r>
              <w:rPr>
                <w:rFonts w:hint="eastAsia" w:ascii="Times New Roman" w:hAnsi="Times New Roman" w:eastAsia="宋体" w:cs="宋体"/>
                <w:b/>
                <w:bCs/>
                <w:sz w:val="24"/>
              </w:rPr>
              <w:t>）环境风险防范措施</w:t>
            </w:r>
          </w:p>
          <w:p w14:paraId="71FA7622">
            <w:pPr>
              <w:spacing w:line="52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1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建立完善的安全生产管理制度、操作规范，加强生产工人安全环境意识教育。</w:t>
            </w:r>
          </w:p>
          <w:p w14:paraId="3092DDFB">
            <w:pPr>
              <w:spacing w:line="52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2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危废贮存点按《危险废物贮存污染控制标准》（GB 18597-202</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进行设置，采取重点防渗措施，同时做好防风、防雨、防晒、防渗、防漏、防腐措施，设置明显的专用标志，定期委托有资质单位进行收运和处置，危险废物的转移按照《危险废物转移管理办法》（部令第23号）执行。危险废物设置托盘或采取其他液体泄漏收集、拦截设施。</w:t>
            </w:r>
          </w:p>
          <w:p w14:paraId="0D5AA1C1">
            <w:pPr>
              <w:spacing w:line="520" w:lineRule="exact"/>
              <w:ind w:firstLine="480" w:firstLineChars="200"/>
              <w:rPr>
                <w:rFonts w:ascii="Times New Roman" w:hAnsi="Times New Roman" w:cs="Times New Roman"/>
                <w:color w:val="000000" w:themeColor="text1"/>
                <w:sz w:val="24"/>
                <w:lang w:val="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3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做好员工培训：</w:t>
            </w:r>
            <w:r>
              <w:rPr>
                <w:rFonts w:ascii="Times New Roman" w:hAnsi="Times New Roman" w:cs="Times New Roman"/>
                <w:color w:val="000000" w:themeColor="text1"/>
                <w:sz w:val="24"/>
                <w:lang w:val="zh-CN"/>
                <w14:textFill>
                  <w14:solidFill>
                    <w14:schemeClr w14:val="tx1"/>
                  </w14:solidFill>
                </w14:textFill>
              </w:rPr>
              <w:t>坚持“安全第一，预防为主”的方针，积极推行全员预防性管理，实行安全工作责任制，建立安全规章制度，设立安全机构，</w:t>
            </w:r>
            <w:r>
              <w:rPr>
                <w:rFonts w:ascii="Times New Roman" w:hAnsi="Times New Roman" w:cs="Times New Roman"/>
                <w:color w:val="000000" w:themeColor="text1"/>
                <w:sz w:val="24"/>
                <w14:textFill>
                  <w14:solidFill>
                    <w14:schemeClr w14:val="tx1"/>
                  </w14:solidFill>
                </w14:textFill>
              </w:rPr>
              <w:t>加强员工培训。工作</w:t>
            </w:r>
            <w:r>
              <w:rPr>
                <w:rFonts w:ascii="Times New Roman" w:hAnsi="Times New Roman" w:cs="Times New Roman"/>
                <w:color w:val="000000" w:themeColor="text1"/>
                <w:sz w:val="24"/>
                <w:lang w:val="zh-CN"/>
                <w14:textFill>
                  <w14:solidFill>
                    <w14:schemeClr w14:val="tx1"/>
                  </w14:solidFill>
                </w14:textFill>
              </w:rPr>
              <w:t>人员必须经过专业知识培训，熟悉贮存物品的特性、事故处理办法和防护知识，必须配备有关的个人防护用品。</w:t>
            </w:r>
          </w:p>
          <w:p w14:paraId="68FC2C19">
            <w:pPr>
              <w:spacing w:line="520" w:lineRule="exact"/>
              <w:ind w:firstLine="480" w:firstLineChars="200"/>
              <w:rPr>
                <w:rFonts w:ascii="Times New Roman" w:hAnsi="Times New Roman" w:cs="Times New Roman"/>
                <w:color w:val="000000" w:themeColor="text1"/>
                <w:sz w:val="24"/>
                <w:lang w:val="zh-CN"/>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fldChar w:fldCharType="begin"/>
            </w:r>
            <w:r>
              <w:rPr>
                <w:rFonts w:ascii="Times New Roman" w:hAnsi="Times New Roman" w:cs="Times New Roman"/>
                <w:color w:val="000000" w:themeColor="text1"/>
                <w:sz w:val="24"/>
                <w:lang w:val="zh-CN"/>
                <w14:textFill>
                  <w14:solidFill>
                    <w14:schemeClr w14:val="tx1"/>
                  </w14:solidFill>
                </w14:textFill>
              </w:rPr>
              <w:instrText xml:space="preserve"> = 4 \* GB3 \* MERGEFORMAT </w:instrText>
            </w:r>
            <w:r>
              <w:rPr>
                <w:rFonts w:ascii="Times New Roman" w:hAnsi="Times New Roman" w:cs="Times New Roman"/>
                <w:color w:val="000000" w:themeColor="text1"/>
                <w:sz w:val="24"/>
                <w:lang w:val="zh-CN"/>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④</w:t>
            </w:r>
            <w:r>
              <w:rPr>
                <w:rFonts w:ascii="Times New Roman" w:hAnsi="Times New Roman" w:cs="Times New Roman"/>
                <w:color w:val="000000" w:themeColor="text1"/>
                <w:sz w:val="24"/>
                <w:lang w:val="zh-CN"/>
                <w14:textFill>
                  <w14:solidFill>
                    <w14:schemeClr w14:val="tx1"/>
                  </w14:solidFill>
                </w14:textFill>
              </w:rPr>
              <w:fldChar w:fldCharType="end"/>
            </w:r>
            <w:r>
              <w:rPr>
                <w:rFonts w:ascii="Times New Roman" w:hAnsi="Times New Roman" w:cs="Times New Roman"/>
                <w:color w:val="000000" w:themeColor="text1"/>
                <w:sz w:val="24"/>
                <w:lang w:val="zh-CN"/>
                <w14:textFill>
                  <w14:solidFill>
                    <w14:schemeClr w14:val="tx1"/>
                  </w14:solidFill>
                </w14:textFill>
              </w:rPr>
              <w:t>组建事故应急队伍，</w:t>
            </w:r>
            <w:r>
              <w:rPr>
                <w:rFonts w:ascii="Times New Roman" w:hAnsi="Times New Roman" w:cs="Times New Roman"/>
                <w:color w:val="000000" w:themeColor="text1"/>
                <w:sz w:val="24"/>
                <w14:textFill>
                  <w14:solidFill>
                    <w14:schemeClr w14:val="tx1"/>
                  </w14:solidFill>
                </w14:textFill>
              </w:rPr>
              <w:t>厂区准备一定的灭火毯、灭火器、干沙、吸油毡等物资，可在化学品及油料泄漏时吸收或者灭火之用，</w:t>
            </w:r>
            <w:r>
              <w:rPr>
                <w:rFonts w:ascii="Times New Roman" w:hAnsi="Times New Roman" w:cs="Times New Roman"/>
                <w:color w:val="000000" w:themeColor="text1"/>
                <w:sz w:val="24"/>
                <w:lang w:val="zh-CN"/>
                <w14:textFill>
                  <w14:solidFill>
                    <w14:schemeClr w14:val="tx1"/>
                  </w14:solidFill>
                </w14:textFill>
              </w:rPr>
              <w:t>定期举行安全消防演练，并制定</w:t>
            </w:r>
            <w:r>
              <w:rPr>
                <w:rFonts w:ascii="Times New Roman" w:hAnsi="Times New Roman" w:cs="Times New Roman"/>
                <w:color w:val="000000" w:themeColor="text1"/>
                <w:sz w:val="24"/>
                <w14:textFill>
                  <w14:solidFill>
                    <w14:schemeClr w14:val="tx1"/>
                  </w14:solidFill>
                </w14:textFill>
              </w:rPr>
              <w:t>应急</w:t>
            </w:r>
            <w:r>
              <w:rPr>
                <w:rFonts w:ascii="Times New Roman" w:hAnsi="Times New Roman" w:cs="Times New Roman"/>
                <w:color w:val="000000" w:themeColor="text1"/>
                <w:sz w:val="24"/>
                <w:lang w:val="zh-CN"/>
                <w14:textFill>
                  <w14:solidFill>
                    <w14:schemeClr w14:val="tx1"/>
                  </w14:solidFill>
                </w14:textFill>
              </w:rPr>
              <w:t>预案。</w:t>
            </w:r>
          </w:p>
          <w:p w14:paraId="2D34A3C2">
            <w:pPr>
              <w:spacing w:before="31" w:beforeLines="10" w:after="31" w:afterLines="10"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（5）分析结论</w:t>
            </w:r>
          </w:p>
          <w:p w14:paraId="577B19CC">
            <w:pPr>
              <w:spacing w:line="372" w:lineRule="auto"/>
              <w:ind w:firstLine="480" w:firstLineChars="200"/>
              <w:rPr>
                <w:rFonts w:ascii="Times New Roman" w:hAnsi="Times New Roman" w:eastAsia="宋体"/>
                <w:sz w:val="24"/>
              </w:rPr>
            </w:pPr>
            <w:r>
              <w:rPr>
                <w:rFonts w:hint="eastAsia" w:ascii="Times New Roman" w:hAnsi="Times New Roman" w:eastAsia="宋体"/>
                <w:sz w:val="24"/>
              </w:rPr>
              <w:t>综上，项目采取环境风险管理和防范措施后，环境风险可防可控，事故状态下不会对周围环境及人群造成大的环境危害，风险水平可接受。</w:t>
            </w:r>
          </w:p>
          <w:p w14:paraId="28999C86">
            <w:pPr>
              <w:pStyle w:val="22"/>
              <w:widowControl w:val="0"/>
              <w:spacing w:before="31" w:beforeLines="10" w:beforeAutospacing="0" w:after="31" w:afterLines="10" w:afterAutospacing="0" w:line="360"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eastAsia="zh-CN" w:bidi="ar"/>
              </w:rPr>
              <w:t>6.</w:t>
            </w:r>
            <w:r>
              <w:rPr>
                <w:rFonts w:hint="eastAsia" w:ascii="Times New Roman" w:hAnsi="Times New Roman" w:eastAsia="宋体" w:cs="宋体"/>
                <w:b/>
                <w:bCs/>
                <w:szCs w:val="24"/>
                <w:lang w:bidi="ar"/>
              </w:rPr>
              <w:t>地下水、土壤</w:t>
            </w:r>
          </w:p>
          <w:p w14:paraId="28168C5C">
            <w:pPr>
              <w:spacing w:line="372" w:lineRule="auto"/>
              <w:ind w:firstLine="480" w:firstLineChars="200"/>
              <w:rPr>
                <w:rFonts w:ascii="Times New Roman" w:hAnsi="Times New Roman" w:eastAsia="宋体"/>
                <w:sz w:val="24"/>
              </w:rPr>
            </w:pPr>
            <w:r>
              <w:rPr>
                <w:rFonts w:hint="eastAsia" w:ascii="Times New Roman" w:hAnsi="Times New Roman" w:eastAsia="宋体"/>
                <w:sz w:val="24"/>
              </w:rPr>
              <w:t>建设单位租赁</w:t>
            </w:r>
            <w:r>
              <w:rPr>
                <w:rFonts w:hint="eastAsia" w:ascii="Times New Roman" w:hAnsi="Times New Roman" w:eastAsia="宋体"/>
                <w:sz w:val="24"/>
                <w:lang w:eastAsia="zh-CN"/>
              </w:rPr>
              <w:t>盛德佳</w:t>
            </w:r>
            <w:r>
              <w:rPr>
                <w:rFonts w:hint="eastAsia" w:ascii="Times New Roman" w:hAnsi="Times New Roman" w:eastAsia="宋体"/>
                <w:sz w:val="24"/>
              </w:rPr>
              <w:t>公司部分厂房建设本项目，目前车间地面已完全进行硬化处理，危废贮存点等均按要求完成分区防渗处理。废油液容器下方应设置防漏托盘。正常情况下不具有地下水、土壤污染影响途径，不会对土壤及地下水造成影响。</w:t>
            </w:r>
          </w:p>
          <w:p w14:paraId="04136A6F">
            <w:pPr>
              <w:spacing w:line="372" w:lineRule="auto"/>
              <w:ind w:firstLine="480" w:firstLineChars="200"/>
              <w:rPr>
                <w:rFonts w:ascii="Times New Roman" w:hAnsi="Times New Roman" w:eastAsia="宋体"/>
                <w:sz w:val="24"/>
              </w:rPr>
            </w:pPr>
            <w:r>
              <w:rPr>
                <w:rFonts w:hint="eastAsia" w:ascii="Times New Roman" w:hAnsi="Times New Roman" w:eastAsia="宋体"/>
                <w:sz w:val="24"/>
              </w:rPr>
              <w:t>项目各区域采取的具体防渗措施见下表：</w:t>
            </w:r>
          </w:p>
          <w:p w14:paraId="77E6E2F6">
            <w:pPr>
              <w:pStyle w:val="22"/>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szCs w:val="24"/>
              </w:rPr>
              <w:t>表4-2</w:t>
            </w:r>
            <w:r>
              <w:rPr>
                <w:rFonts w:hint="eastAsia" w:ascii="Times New Roman" w:hAnsi="Times New Roman" w:eastAsia="宋体" w:cs="Times New Roman"/>
                <w:szCs w:val="24"/>
                <w:lang w:val="en-US" w:eastAsia="zh-CN"/>
              </w:rPr>
              <w:t>6</w:t>
            </w:r>
            <w:r>
              <w:rPr>
                <w:rFonts w:ascii="Times New Roman" w:hAnsi="Times New Roman" w:eastAsia="宋体" w:cs="Times New Roman"/>
                <w:szCs w:val="24"/>
              </w:rPr>
              <w:t xml:space="preserve"> 分区防渗措施一览表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38"/>
              <w:gridCol w:w="3211"/>
              <w:gridCol w:w="3703"/>
            </w:tblGrid>
            <w:tr w14:paraId="46A49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6F9DF1DF">
                  <w:pPr>
                    <w:spacing w:before="62" w:beforeLines="20" w:after="62" w:afterLines="20" w:line="288" w:lineRule="auto"/>
                    <w:jc w:val="center"/>
                    <w:rPr>
                      <w:rFonts w:ascii="Times New Roman" w:hAnsi="Times New Roman" w:eastAsia="宋体"/>
                      <w:b/>
                      <w:bCs/>
                      <w:szCs w:val="21"/>
                    </w:rPr>
                  </w:pPr>
                  <w:r>
                    <w:rPr>
                      <w:rFonts w:ascii="Times New Roman" w:hAnsi="Times New Roman" w:eastAsia="宋体" w:cs="宋体"/>
                      <w:b/>
                      <w:bCs/>
                      <w:szCs w:val="21"/>
                    </w:rPr>
                    <w:t>防渗分区</w:t>
                  </w:r>
                </w:p>
              </w:tc>
              <w:tc>
                <w:tcPr>
                  <w:tcW w:w="1899" w:type="pct"/>
                  <w:tcBorders>
                    <w:tl2br w:val="nil"/>
                    <w:tr2bl w:val="nil"/>
                  </w:tcBorders>
                  <w:vAlign w:val="center"/>
                </w:tcPr>
                <w:p w14:paraId="1954F79E">
                  <w:pPr>
                    <w:spacing w:before="62" w:beforeLines="20" w:after="62" w:afterLines="20" w:line="288" w:lineRule="auto"/>
                    <w:jc w:val="center"/>
                    <w:rPr>
                      <w:rFonts w:ascii="Times New Roman" w:hAnsi="Times New Roman" w:eastAsia="宋体"/>
                      <w:b/>
                      <w:bCs/>
                      <w:szCs w:val="21"/>
                    </w:rPr>
                  </w:pPr>
                  <w:r>
                    <w:rPr>
                      <w:rFonts w:ascii="Times New Roman" w:hAnsi="Times New Roman" w:eastAsia="宋体" w:cs="宋体"/>
                      <w:b/>
                      <w:bCs/>
                      <w:szCs w:val="21"/>
                    </w:rPr>
                    <w:t>厂区分布</w:t>
                  </w:r>
                </w:p>
              </w:tc>
              <w:tc>
                <w:tcPr>
                  <w:tcW w:w="2190" w:type="pct"/>
                  <w:tcBorders>
                    <w:tl2br w:val="nil"/>
                    <w:tr2bl w:val="nil"/>
                  </w:tcBorders>
                  <w:vAlign w:val="center"/>
                </w:tcPr>
                <w:p w14:paraId="6BAC28C2">
                  <w:pPr>
                    <w:spacing w:before="62" w:beforeLines="20" w:after="62" w:afterLines="20" w:line="288" w:lineRule="auto"/>
                    <w:jc w:val="center"/>
                    <w:rPr>
                      <w:rFonts w:ascii="Times New Roman" w:hAnsi="Times New Roman" w:eastAsia="宋体"/>
                      <w:b/>
                      <w:bCs/>
                      <w:szCs w:val="21"/>
                    </w:rPr>
                  </w:pPr>
                  <w:r>
                    <w:rPr>
                      <w:rFonts w:ascii="Times New Roman" w:hAnsi="Times New Roman" w:eastAsia="宋体" w:cs="宋体"/>
                      <w:b/>
                      <w:bCs/>
                      <w:szCs w:val="21"/>
                    </w:rPr>
                    <w:t>防渗</w:t>
                  </w:r>
                  <w:r>
                    <w:rPr>
                      <w:rFonts w:hint="eastAsia" w:ascii="Times New Roman" w:hAnsi="Times New Roman" w:eastAsia="宋体" w:cs="宋体"/>
                      <w:b/>
                      <w:bCs/>
                      <w:szCs w:val="21"/>
                    </w:rPr>
                    <w:t>要求</w:t>
                  </w:r>
                </w:p>
              </w:tc>
            </w:tr>
            <w:tr w14:paraId="6DB7D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33F9F518">
                  <w:pPr>
                    <w:spacing w:before="78" w:beforeLines="25" w:after="78" w:afterLines="25" w:line="288" w:lineRule="auto"/>
                    <w:jc w:val="center"/>
                    <w:rPr>
                      <w:rFonts w:ascii="Times New Roman" w:hAnsi="Times New Roman" w:eastAsia="宋体"/>
                      <w:b/>
                      <w:bCs/>
                      <w:szCs w:val="21"/>
                    </w:rPr>
                  </w:pPr>
                  <w:r>
                    <w:rPr>
                      <w:rFonts w:ascii="Times New Roman" w:hAnsi="Times New Roman" w:eastAsia="宋体" w:cs="宋体"/>
                      <w:szCs w:val="21"/>
                    </w:rPr>
                    <w:t>简单</w:t>
                  </w:r>
                  <w:r>
                    <w:rPr>
                      <w:rFonts w:hint="eastAsia" w:ascii="Times New Roman" w:hAnsi="Times New Roman" w:eastAsia="宋体"/>
                      <w:szCs w:val="21"/>
                    </w:rPr>
                    <w:t>防渗</w:t>
                  </w:r>
                  <w:r>
                    <w:rPr>
                      <w:rFonts w:ascii="Times New Roman" w:hAnsi="Times New Roman" w:eastAsia="宋体" w:cs="宋体"/>
                      <w:szCs w:val="21"/>
                    </w:rPr>
                    <w:t>区</w:t>
                  </w:r>
                </w:p>
              </w:tc>
              <w:tc>
                <w:tcPr>
                  <w:tcW w:w="1899" w:type="pct"/>
                  <w:tcBorders>
                    <w:tl2br w:val="nil"/>
                    <w:tr2bl w:val="nil"/>
                  </w:tcBorders>
                  <w:vAlign w:val="center"/>
                </w:tcPr>
                <w:p w14:paraId="173C6998">
                  <w:pPr>
                    <w:spacing w:before="78" w:beforeLines="25" w:after="78" w:afterLines="25" w:line="288" w:lineRule="auto"/>
                    <w:jc w:val="center"/>
                    <w:rPr>
                      <w:rFonts w:ascii="Times New Roman" w:hAnsi="Times New Roman" w:eastAsia="宋体"/>
                      <w:b/>
                      <w:bCs/>
                      <w:szCs w:val="21"/>
                    </w:rPr>
                  </w:pPr>
                  <w:r>
                    <w:rPr>
                      <w:rFonts w:hint="eastAsia" w:ascii="Times New Roman" w:hAnsi="Times New Roman" w:eastAsia="宋体"/>
                      <w:szCs w:val="21"/>
                    </w:rPr>
                    <w:t>厂区道路及空地</w:t>
                  </w:r>
                </w:p>
              </w:tc>
              <w:tc>
                <w:tcPr>
                  <w:tcW w:w="2190" w:type="pct"/>
                  <w:tcBorders>
                    <w:tl2br w:val="nil"/>
                    <w:tr2bl w:val="nil"/>
                  </w:tcBorders>
                  <w:vAlign w:val="center"/>
                </w:tcPr>
                <w:p w14:paraId="03ABB7D3">
                  <w:pPr>
                    <w:spacing w:before="78" w:beforeLines="25" w:after="78" w:afterLines="25" w:line="288" w:lineRule="auto"/>
                    <w:jc w:val="center"/>
                    <w:rPr>
                      <w:rFonts w:ascii="Times New Roman" w:hAnsi="Times New Roman" w:eastAsia="宋体"/>
                      <w:b/>
                      <w:bCs/>
                      <w:szCs w:val="21"/>
                    </w:rPr>
                  </w:pPr>
                  <w:r>
                    <w:rPr>
                      <w:rFonts w:ascii="Times New Roman" w:hAnsi="Times New Roman" w:eastAsia="宋体" w:cs="宋体"/>
                      <w:szCs w:val="21"/>
                    </w:rPr>
                    <w:t>一般地面硬化</w:t>
                  </w:r>
                </w:p>
              </w:tc>
            </w:tr>
            <w:tr w14:paraId="08681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40DA8A6D">
                  <w:pPr>
                    <w:spacing w:before="78" w:beforeLines="25" w:after="78" w:afterLines="25" w:line="288" w:lineRule="auto"/>
                    <w:jc w:val="center"/>
                    <w:rPr>
                      <w:rFonts w:ascii="Times New Roman" w:hAnsi="Times New Roman" w:eastAsia="宋体"/>
                      <w:b/>
                      <w:bCs/>
                      <w:szCs w:val="21"/>
                    </w:rPr>
                  </w:pPr>
                  <w:r>
                    <w:rPr>
                      <w:rFonts w:ascii="Times New Roman" w:hAnsi="Times New Roman" w:eastAsia="宋体" w:cs="宋体"/>
                      <w:szCs w:val="21"/>
                    </w:rPr>
                    <w:t>一般</w:t>
                  </w:r>
                  <w:r>
                    <w:rPr>
                      <w:rFonts w:hint="eastAsia" w:ascii="Times New Roman" w:hAnsi="Times New Roman" w:eastAsia="宋体"/>
                      <w:szCs w:val="21"/>
                    </w:rPr>
                    <w:t>防渗</w:t>
                  </w:r>
                  <w:r>
                    <w:rPr>
                      <w:rFonts w:ascii="Times New Roman" w:hAnsi="Times New Roman" w:eastAsia="宋体" w:cs="宋体"/>
                      <w:szCs w:val="21"/>
                    </w:rPr>
                    <w:t>区</w:t>
                  </w:r>
                </w:p>
              </w:tc>
              <w:tc>
                <w:tcPr>
                  <w:tcW w:w="1899" w:type="pct"/>
                  <w:tcBorders>
                    <w:tl2br w:val="nil"/>
                    <w:tr2bl w:val="nil"/>
                  </w:tcBorders>
                  <w:vAlign w:val="center"/>
                </w:tcPr>
                <w:p w14:paraId="1AFD4B72">
                  <w:pPr>
                    <w:spacing w:before="68" w:beforeLines="22" w:after="68" w:afterLines="22" w:line="288" w:lineRule="auto"/>
                    <w:jc w:val="center"/>
                    <w:rPr>
                      <w:rFonts w:ascii="Times New Roman" w:hAnsi="Times New Roman" w:eastAsia="宋体"/>
                      <w:b/>
                      <w:bCs/>
                      <w:szCs w:val="21"/>
                    </w:rPr>
                  </w:pPr>
                  <w:r>
                    <w:rPr>
                      <w:rFonts w:hint="eastAsia" w:ascii="Times New Roman" w:hAnsi="Times New Roman" w:eastAsia="宋体"/>
                      <w:szCs w:val="21"/>
                    </w:rPr>
                    <w:t>除重点防渗区以外的生产区域</w:t>
                  </w:r>
                </w:p>
              </w:tc>
              <w:tc>
                <w:tcPr>
                  <w:tcW w:w="2190" w:type="pct"/>
                  <w:tcBorders>
                    <w:tl2br w:val="nil"/>
                    <w:tr2bl w:val="nil"/>
                  </w:tcBorders>
                  <w:vAlign w:val="center"/>
                </w:tcPr>
                <w:p w14:paraId="024411B6">
                  <w:pPr>
                    <w:spacing w:before="62" w:beforeLines="20" w:after="62" w:afterLines="20" w:line="288" w:lineRule="auto"/>
                    <w:jc w:val="center"/>
                    <w:rPr>
                      <w:rFonts w:ascii="Times New Roman" w:hAnsi="Times New Roman" w:eastAsia="宋体"/>
                      <w:b/>
                      <w:bCs/>
                      <w:szCs w:val="21"/>
                    </w:rPr>
                  </w:pPr>
                  <w:r>
                    <w:rPr>
                      <w:rFonts w:hint="eastAsia" w:ascii="Times New Roman" w:hAnsi="Times New Roman" w:eastAsia="宋体"/>
                      <w:szCs w:val="21"/>
                    </w:rPr>
                    <w:t>防渗性能不低于</w:t>
                  </w:r>
                  <w:r>
                    <w:rPr>
                      <w:rFonts w:ascii="Times New Roman" w:hAnsi="Times New Roman" w:eastAsia="宋体"/>
                      <w:szCs w:val="21"/>
                    </w:rPr>
                    <w:t>1.5m</w:t>
                  </w:r>
                  <w:r>
                    <w:rPr>
                      <w:rFonts w:hint="eastAsia" w:ascii="Times New Roman" w:hAnsi="Times New Roman" w:eastAsia="宋体"/>
                      <w:szCs w:val="21"/>
                    </w:rPr>
                    <w:t>厚渗透系数为</w:t>
                  </w:r>
                  <w:r>
                    <w:rPr>
                      <w:rFonts w:ascii="Times New Roman" w:hAnsi="Times New Roman" w:eastAsia="宋体"/>
                      <w:szCs w:val="21"/>
                    </w:rPr>
                    <w:t>1.0×10</w:t>
                  </w:r>
                  <w:r>
                    <w:rPr>
                      <w:rFonts w:ascii="Times New Roman" w:hAnsi="Times New Roman" w:eastAsia="宋体"/>
                      <w:szCs w:val="21"/>
                      <w:vertAlign w:val="superscript"/>
                    </w:rPr>
                    <w:t>-7</w:t>
                  </w:r>
                  <w:r>
                    <w:rPr>
                      <w:rFonts w:ascii="Times New Roman" w:hAnsi="Times New Roman" w:eastAsia="宋体"/>
                      <w:szCs w:val="21"/>
                    </w:rPr>
                    <w:t>cm/s</w:t>
                  </w:r>
                  <w:r>
                    <w:rPr>
                      <w:rFonts w:hint="eastAsia" w:ascii="Times New Roman" w:hAnsi="Times New Roman" w:eastAsia="宋体"/>
                      <w:szCs w:val="21"/>
                    </w:rPr>
                    <w:t>的黏土层防渗性能</w:t>
                  </w:r>
                </w:p>
              </w:tc>
            </w:tr>
            <w:tr w14:paraId="6A177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1C364292">
                  <w:pPr>
                    <w:spacing w:before="78" w:beforeLines="25" w:after="78" w:afterLines="25" w:line="288" w:lineRule="auto"/>
                    <w:jc w:val="center"/>
                    <w:rPr>
                      <w:rFonts w:ascii="Times New Roman" w:hAnsi="Times New Roman" w:eastAsia="宋体"/>
                      <w:b/>
                      <w:bCs/>
                      <w:szCs w:val="21"/>
                    </w:rPr>
                  </w:pPr>
                  <w:r>
                    <w:rPr>
                      <w:rFonts w:ascii="Times New Roman" w:hAnsi="Times New Roman" w:eastAsia="宋体" w:cs="宋体"/>
                      <w:szCs w:val="21"/>
                    </w:rPr>
                    <w:t>重点</w:t>
                  </w:r>
                  <w:r>
                    <w:rPr>
                      <w:rFonts w:hint="eastAsia" w:ascii="Times New Roman" w:hAnsi="Times New Roman" w:eastAsia="宋体"/>
                      <w:szCs w:val="21"/>
                    </w:rPr>
                    <w:t>防渗</w:t>
                  </w:r>
                  <w:r>
                    <w:rPr>
                      <w:rFonts w:ascii="Times New Roman" w:hAnsi="Times New Roman" w:eastAsia="宋体" w:cs="宋体"/>
                      <w:szCs w:val="21"/>
                    </w:rPr>
                    <w:t>区</w:t>
                  </w:r>
                </w:p>
              </w:tc>
              <w:tc>
                <w:tcPr>
                  <w:tcW w:w="1899" w:type="pct"/>
                  <w:tcBorders>
                    <w:tl2br w:val="nil"/>
                    <w:tr2bl w:val="nil"/>
                  </w:tcBorders>
                  <w:vAlign w:val="center"/>
                </w:tcPr>
                <w:p w14:paraId="68A4A49B">
                  <w:pPr>
                    <w:spacing w:before="78" w:beforeLines="25" w:after="78" w:afterLines="25" w:line="300" w:lineRule="auto"/>
                    <w:jc w:val="center"/>
                    <w:rPr>
                      <w:rFonts w:ascii="Times New Roman" w:hAnsi="Times New Roman" w:eastAsia="宋体"/>
                      <w:b/>
                      <w:bCs/>
                      <w:szCs w:val="21"/>
                    </w:rPr>
                  </w:pPr>
                  <w:r>
                    <w:rPr>
                      <w:rFonts w:hint="eastAsia" w:ascii="Times New Roman" w:hAnsi="Times New Roman" w:eastAsia="宋体"/>
                      <w:szCs w:val="21"/>
                    </w:rPr>
                    <w:t>危废贮存点</w:t>
                  </w:r>
                </w:p>
              </w:tc>
              <w:tc>
                <w:tcPr>
                  <w:tcW w:w="2190" w:type="pct"/>
                  <w:tcBorders>
                    <w:tl2br w:val="nil"/>
                    <w:tr2bl w:val="nil"/>
                  </w:tcBorders>
                  <w:vAlign w:val="center"/>
                </w:tcPr>
                <w:p w14:paraId="0F4BCD81">
                  <w:pPr>
                    <w:spacing w:before="78" w:beforeLines="25" w:after="78" w:afterLines="25" w:line="288" w:lineRule="auto"/>
                    <w:jc w:val="center"/>
                    <w:rPr>
                      <w:rFonts w:ascii="Times New Roman" w:hAnsi="Times New Roman" w:eastAsia="宋体"/>
                      <w:b/>
                      <w:bCs/>
                      <w:szCs w:val="21"/>
                    </w:rPr>
                  </w:pPr>
                  <w:r>
                    <w:rPr>
                      <w:rFonts w:hint="eastAsia" w:ascii="Times New Roman" w:hAnsi="Times New Roman" w:eastAsia="宋体"/>
                      <w:szCs w:val="21"/>
                    </w:rPr>
                    <w:t>防渗性能不低于6.0m厚渗透系数为</w:t>
                  </w:r>
                  <w:r>
                    <w:rPr>
                      <w:rFonts w:ascii="Times New Roman" w:hAnsi="Times New Roman" w:eastAsia="宋体"/>
                      <w:szCs w:val="21"/>
                    </w:rPr>
                    <w:t>1.0×10</w:t>
                  </w:r>
                  <w:r>
                    <w:rPr>
                      <w:rFonts w:ascii="Times New Roman" w:hAnsi="Times New Roman" w:eastAsia="宋体"/>
                      <w:szCs w:val="21"/>
                      <w:vertAlign w:val="superscript"/>
                    </w:rPr>
                    <w:t>-7</w:t>
                  </w:r>
                  <w:r>
                    <w:rPr>
                      <w:rFonts w:ascii="Times New Roman" w:hAnsi="Times New Roman" w:eastAsia="宋体"/>
                      <w:szCs w:val="21"/>
                    </w:rPr>
                    <w:t>cm/s</w:t>
                  </w:r>
                  <w:r>
                    <w:rPr>
                      <w:rFonts w:hint="eastAsia" w:ascii="Times New Roman" w:hAnsi="Times New Roman" w:eastAsia="宋体"/>
                      <w:szCs w:val="21"/>
                    </w:rPr>
                    <w:t>的黏土层防渗性能</w:t>
                  </w:r>
                </w:p>
              </w:tc>
            </w:tr>
          </w:tbl>
          <w:p w14:paraId="21D56346">
            <w:pPr>
              <w:pStyle w:val="22"/>
              <w:widowControl w:val="0"/>
              <w:spacing w:before="31" w:beforeLines="10" w:beforeAutospacing="0" w:after="31" w:afterLines="10" w:afterAutospacing="0" w:line="360"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bidi="ar"/>
              </w:rPr>
              <w:t>7、生态</w:t>
            </w:r>
          </w:p>
          <w:p w14:paraId="124E2C7B">
            <w:pPr>
              <w:spacing w:line="372" w:lineRule="auto"/>
              <w:ind w:firstLine="480" w:firstLineChars="200"/>
              <w:rPr>
                <w:rFonts w:ascii="Times New Roman" w:hAnsi="Times New Roman" w:eastAsia="宋体"/>
                <w:sz w:val="24"/>
              </w:rPr>
            </w:pPr>
            <w:r>
              <w:rPr>
                <w:rFonts w:hint="eastAsia" w:ascii="Times New Roman" w:hAnsi="Times New Roman" w:eastAsia="宋体"/>
                <w:sz w:val="24"/>
              </w:rPr>
              <w:t>由于本项目在</w:t>
            </w:r>
            <w:r>
              <w:rPr>
                <w:rFonts w:hint="eastAsia" w:ascii="Times New Roman" w:hAnsi="Times New Roman" w:eastAsia="宋体"/>
                <w:sz w:val="24"/>
                <w:lang w:eastAsia="zh-CN"/>
              </w:rPr>
              <w:t>重庆盛德佳工贸有限公司</w:t>
            </w:r>
            <w:r>
              <w:rPr>
                <w:rFonts w:hint="eastAsia" w:ascii="Times New Roman" w:hAnsi="Times New Roman" w:eastAsia="宋体"/>
                <w:sz w:val="24"/>
              </w:rPr>
              <w:t>现有厂房内布置实施，且场地内无生态环境保护目标，故本项目不涉及生态影响。</w:t>
            </w:r>
          </w:p>
          <w:p w14:paraId="5C0D1910">
            <w:pPr>
              <w:pStyle w:val="22"/>
              <w:widowControl w:val="0"/>
              <w:spacing w:before="31" w:beforeLines="10" w:beforeAutospacing="0" w:after="31" w:afterLines="10" w:afterAutospacing="0" w:line="360" w:lineRule="auto"/>
              <w:jc w:val="both"/>
              <w:rPr>
                <w:rFonts w:ascii="Times New Roman" w:hAnsi="Times New Roman" w:eastAsia="宋体" w:cs="宋体"/>
                <w:b/>
                <w:bCs/>
                <w:szCs w:val="24"/>
                <w:lang w:bidi="ar"/>
              </w:rPr>
            </w:pPr>
            <w:r>
              <w:rPr>
                <w:rFonts w:hint="eastAsia" w:ascii="Times New Roman" w:hAnsi="Times New Roman" w:eastAsia="宋体" w:cs="宋体"/>
                <w:b/>
                <w:bCs/>
                <w:szCs w:val="24"/>
                <w:lang w:eastAsia="zh-CN" w:bidi="ar"/>
              </w:rPr>
              <w:t>8.</w:t>
            </w:r>
            <w:r>
              <w:rPr>
                <w:rFonts w:hint="eastAsia" w:ascii="Times New Roman" w:hAnsi="Times New Roman" w:eastAsia="宋体" w:cs="宋体"/>
                <w:b/>
                <w:bCs/>
                <w:szCs w:val="24"/>
                <w:lang w:bidi="ar"/>
              </w:rPr>
              <w:t>电磁辐射</w:t>
            </w:r>
          </w:p>
          <w:p w14:paraId="7D87655B">
            <w:pPr>
              <w:spacing w:line="372" w:lineRule="auto"/>
              <w:ind w:firstLine="480" w:firstLineChars="200"/>
              <w:rPr>
                <w:rFonts w:ascii="Times New Roman" w:hAnsi="Times New Roman" w:eastAsia="宋体"/>
                <w:sz w:val="24"/>
              </w:rPr>
            </w:pPr>
            <w:r>
              <w:rPr>
                <w:rFonts w:hint="eastAsia" w:ascii="Times New Roman" w:hAnsi="Times New Roman" w:eastAsia="宋体"/>
                <w:sz w:val="24"/>
              </w:rPr>
              <w:t>无。</w:t>
            </w:r>
          </w:p>
          <w:p w14:paraId="4E485F80">
            <w:pPr>
              <w:pStyle w:val="45"/>
              <w:ind w:firstLine="420"/>
            </w:pPr>
          </w:p>
        </w:tc>
      </w:tr>
    </w:tbl>
    <w:p w14:paraId="7D1617F2">
      <w:pPr>
        <w:pStyle w:val="25"/>
      </w:pPr>
    </w:p>
    <w:p w14:paraId="53A1A137">
      <w:pPr>
        <w:pStyle w:val="25"/>
      </w:pPr>
    </w:p>
    <w:p w14:paraId="7AB29005">
      <w:pPr>
        <w:pStyle w:val="25"/>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F4C163D">
      <w:pPr>
        <w:pStyle w:val="22"/>
        <w:spacing w:before="31" w:beforeLines="10" w:beforeAutospacing="0" w:after="31" w:afterLines="10" w:afterAutospacing="0"/>
        <w:jc w:val="center"/>
        <w:outlineLvl w:val="0"/>
        <w:rPr>
          <w:rFonts w:ascii="Times New Roman" w:hAnsi="Times New Roman" w:eastAsia="黑体"/>
          <w:snapToGrid w:val="0"/>
          <w:sz w:val="30"/>
          <w:szCs w:val="30"/>
        </w:rPr>
      </w:pPr>
      <w:bookmarkStart w:id="13" w:name="_Toc29953"/>
      <w:r>
        <w:rPr>
          <w:rFonts w:hint="eastAsia" w:ascii="Times New Roman" w:hAnsi="Times New Roman" w:eastAsia="黑体"/>
          <w:snapToGrid w:val="0"/>
          <w:sz w:val="30"/>
          <w:szCs w:val="30"/>
        </w:rPr>
        <w:t>五、</w:t>
      </w:r>
      <w:bookmarkStart w:id="14" w:name="_Hlk54167917"/>
      <w:r>
        <w:rPr>
          <w:rFonts w:hint="eastAsia" w:ascii="Times New Roman" w:hAnsi="Times New Roman" w:eastAsia="黑体"/>
          <w:snapToGrid w:val="0"/>
          <w:sz w:val="30"/>
          <w:szCs w:val="30"/>
        </w:rPr>
        <w:t>环境保护措施监督检查清单</w:t>
      </w:r>
      <w:bookmarkEnd w:id="13"/>
      <w:bookmarkEnd w:id="14"/>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562"/>
        <w:gridCol w:w="1632"/>
        <w:gridCol w:w="986"/>
        <w:gridCol w:w="2867"/>
        <w:gridCol w:w="2110"/>
      </w:tblGrid>
      <w:tr w14:paraId="0A00C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tcBorders>
              <w:tl2br w:val="single" w:color="auto" w:sz="4" w:space="0"/>
            </w:tcBorders>
          </w:tcPr>
          <w:p w14:paraId="14FDF6E8">
            <w:pPr>
              <w:spacing w:before="62" w:beforeLines="20" w:after="62" w:afterLines="20" w:line="288" w:lineRule="auto"/>
              <w:ind w:firstLine="840"/>
              <w:rPr>
                <w:rFonts w:ascii="Times New Roman" w:hAnsi="Times New Roman" w:eastAsia="宋体" w:cs="宋体"/>
                <w:b/>
                <w:bCs/>
                <w:sz w:val="24"/>
              </w:rPr>
            </w:pPr>
            <w:r>
              <w:rPr>
                <w:rFonts w:hint="eastAsia" w:ascii="Times New Roman" w:hAnsi="Times New Roman" w:eastAsia="宋体" w:cs="宋体"/>
                <w:b/>
                <w:bCs/>
                <w:sz w:val="24"/>
              </w:rPr>
              <w:t>内容</w:t>
            </w:r>
          </w:p>
          <w:p w14:paraId="6DF5E677">
            <w:pPr>
              <w:spacing w:before="62" w:beforeLines="20" w:after="62" w:afterLines="20" w:line="288" w:lineRule="auto"/>
              <w:rPr>
                <w:rFonts w:ascii="Times New Roman" w:hAnsi="Times New Roman" w:eastAsia="宋体" w:cs="宋体"/>
                <w:b/>
                <w:bCs/>
                <w:sz w:val="24"/>
              </w:rPr>
            </w:pPr>
            <w:r>
              <w:rPr>
                <w:rFonts w:hint="eastAsia" w:ascii="Times New Roman" w:hAnsi="Times New Roman" w:eastAsia="宋体" w:cs="宋体"/>
                <w:b/>
                <w:bCs/>
                <w:sz w:val="24"/>
              </w:rPr>
              <w:t>要素</w:t>
            </w:r>
          </w:p>
        </w:tc>
        <w:tc>
          <w:tcPr>
            <w:tcW w:w="891" w:type="pct"/>
            <w:vAlign w:val="center"/>
          </w:tcPr>
          <w:p w14:paraId="0D974850">
            <w:pPr>
              <w:spacing w:before="62" w:beforeLines="20" w:after="62" w:afterLines="20" w:line="288" w:lineRule="auto"/>
              <w:jc w:val="center"/>
              <w:rPr>
                <w:rFonts w:ascii="Times New Roman" w:hAnsi="Times New Roman" w:eastAsia="宋体" w:cs="宋体"/>
                <w:b/>
                <w:bCs/>
                <w:sz w:val="24"/>
              </w:rPr>
            </w:pPr>
            <w:r>
              <w:rPr>
                <w:rFonts w:hint="eastAsia" w:ascii="Times New Roman" w:hAnsi="Times New Roman" w:eastAsia="宋体" w:cs="宋体"/>
                <w:b/>
                <w:bCs/>
                <w:sz w:val="24"/>
              </w:rPr>
              <w:t>排放口（编号、</w:t>
            </w:r>
          </w:p>
          <w:p w14:paraId="7FBDD9E2">
            <w:pPr>
              <w:spacing w:before="62" w:beforeLines="20" w:after="62" w:afterLines="20" w:line="288" w:lineRule="auto"/>
              <w:jc w:val="center"/>
              <w:rPr>
                <w:rFonts w:ascii="Times New Roman" w:hAnsi="Times New Roman" w:eastAsia="宋体" w:cs="宋体"/>
                <w:b/>
                <w:bCs/>
                <w:sz w:val="24"/>
              </w:rPr>
            </w:pPr>
            <w:r>
              <w:rPr>
                <w:rFonts w:hint="eastAsia" w:ascii="Times New Roman" w:hAnsi="Times New Roman" w:eastAsia="宋体" w:cs="宋体"/>
                <w:b/>
                <w:bCs/>
                <w:sz w:val="24"/>
              </w:rPr>
              <w:t>名称）/污染源</w:t>
            </w:r>
          </w:p>
        </w:tc>
        <w:tc>
          <w:tcPr>
            <w:tcW w:w="538" w:type="pct"/>
            <w:vAlign w:val="center"/>
          </w:tcPr>
          <w:p w14:paraId="315CB57A">
            <w:pPr>
              <w:spacing w:before="62" w:beforeLines="20" w:after="62" w:afterLines="20" w:line="288" w:lineRule="auto"/>
              <w:jc w:val="center"/>
              <w:rPr>
                <w:rFonts w:ascii="Times New Roman" w:hAnsi="Times New Roman" w:eastAsia="宋体" w:cs="宋体"/>
                <w:b/>
                <w:bCs/>
                <w:sz w:val="24"/>
              </w:rPr>
            </w:pPr>
            <w:r>
              <w:rPr>
                <w:rFonts w:hint="eastAsia" w:ascii="Times New Roman" w:hAnsi="Times New Roman" w:eastAsia="宋体" w:cs="宋体"/>
                <w:b/>
                <w:bCs/>
                <w:sz w:val="24"/>
              </w:rPr>
              <w:t>污染物项目</w:t>
            </w:r>
          </w:p>
        </w:tc>
        <w:tc>
          <w:tcPr>
            <w:tcW w:w="1565" w:type="pct"/>
            <w:vAlign w:val="center"/>
          </w:tcPr>
          <w:p w14:paraId="4CAAE542">
            <w:pPr>
              <w:spacing w:before="62" w:beforeLines="20" w:after="62" w:afterLines="20" w:line="288" w:lineRule="auto"/>
              <w:jc w:val="center"/>
              <w:rPr>
                <w:rFonts w:ascii="Times New Roman" w:hAnsi="Times New Roman" w:eastAsia="宋体" w:cs="宋体"/>
                <w:b/>
                <w:bCs/>
                <w:sz w:val="24"/>
              </w:rPr>
            </w:pPr>
            <w:r>
              <w:rPr>
                <w:rFonts w:hint="eastAsia" w:ascii="Times New Roman" w:hAnsi="Times New Roman" w:eastAsia="宋体" w:cs="宋体"/>
                <w:b/>
                <w:bCs/>
                <w:sz w:val="24"/>
              </w:rPr>
              <w:t>环境保护措施</w:t>
            </w:r>
          </w:p>
        </w:tc>
        <w:tc>
          <w:tcPr>
            <w:tcW w:w="1151" w:type="pct"/>
            <w:vAlign w:val="center"/>
          </w:tcPr>
          <w:p w14:paraId="5329E9F2">
            <w:pPr>
              <w:spacing w:before="62" w:beforeLines="20" w:after="62" w:afterLines="20" w:line="288" w:lineRule="auto"/>
              <w:jc w:val="center"/>
              <w:rPr>
                <w:rFonts w:ascii="Times New Roman" w:hAnsi="Times New Roman" w:eastAsia="宋体" w:cs="宋体"/>
                <w:b/>
                <w:bCs/>
                <w:sz w:val="24"/>
              </w:rPr>
            </w:pPr>
            <w:r>
              <w:rPr>
                <w:rFonts w:hint="eastAsia" w:ascii="Times New Roman" w:hAnsi="Times New Roman" w:eastAsia="宋体" w:cs="宋体"/>
                <w:b/>
                <w:bCs/>
                <w:sz w:val="24"/>
              </w:rPr>
              <w:t>执行标准</w:t>
            </w:r>
          </w:p>
        </w:tc>
      </w:tr>
      <w:tr w14:paraId="6F985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Merge w:val="restart"/>
            <w:vAlign w:val="center"/>
          </w:tcPr>
          <w:p w14:paraId="5A1F7914">
            <w:pPr>
              <w:spacing w:before="78" w:beforeLines="25" w:after="78" w:afterLines="25" w:line="264" w:lineRule="auto"/>
              <w:jc w:val="center"/>
              <w:rPr>
                <w:rFonts w:ascii="Times New Roman" w:hAnsi="Times New Roman" w:eastAsia="宋体" w:cs="宋体"/>
                <w:b/>
                <w:bCs/>
                <w:sz w:val="24"/>
              </w:rPr>
            </w:pPr>
            <w:r>
              <w:rPr>
                <w:rFonts w:hint="eastAsia" w:ascii="Times New Roman" w:hAnsi="Times New Roman" w:eastAsia="宋体" w:cs="宋体"/>
                <w:b/>
                <w:bCs/>
                <w:sz w:val="24"/>
              </w:rPr>
              <w:t>大气环境</w:t>
            </w:r>
          </w:p>
        </w:tc>
        <w:tc>
          <w:tcPr>
            <w:tcW w:w="891" w:type="pct"/>
            <w:vAlign w:val="center"/>
          </w:tcPr>
          <w:p w14:paraId="0474D082">
            <w:pPr>
              <w:pStyle w:val="11"/>
              <w:snapToGrid/>
              <w:spacing w:before="0" w:after="0" w:line="264" w:lineRule="auto"/>
              <w:ind w:right="0"/>
              <w:jc w:val="center"/>
              <w:rPr>
                <w:rFonts w:ascii="Times New Roman" w:hAnsi="Times New Roman" w:eastAsia="宋体"/>
                <w:sz w:val="21"/>
                <w:szCs w:val="21"/>
              </w:rPr>
            </w:pPr>
          </w:p>
        </w:tc>
        <w:tc>
          <w:tcPr>
            <w:tcW w:w="538" w:type="pct"/>
            <w:vAlign w:val="center"/>
          </w:tcPr>
          <w:p w14:paraId="106FAF58">
            <w:pPr>
              <w:spacing w:line="264" w:lineRule="auto"/>
              <w:jc w:val="center"/>
              <w:rPr>
                <w:rFonts w:hint="eastAsia" w:ascii="Times New Roman" w:hAnsi="Times New Roman" w:eastAsia="宋体"/>
                <w:szCs w:val="21"/>
                <w:lang w:eastAsia="zh-CN"/>
              </w:rPr>
            </w:pPr>
          </w:p>
        </w:tc>
        <w:tc>
          <w:tcPr>
            <w:tcW w:w="1565" w:type="pct"/>
            <w:vAlign w:val="center"/>
          </w:tcPr>
          <w:p w14:paraId="27A68B93">
            <w:pPr>
              <w:spacing w:line="305" w:lineRule="auto"/>
              <w:rPr>
                <w:rFonts w:ascii="Times New Roman" w:hAnsi="Times New Roman" w:eastAsia="宋体" w:cs="宋体"/>
                <w:szCs w:val="21"/>
              </w:rPr>
            </w:pPr>
          </w:p>
        </w:tc>
        <w:tc>
          <w:tcPr>
            <w:tcW w:w="1151" w:type="pct"/>
            <w:tcBorders>
              <w:bottom w:val="single" w:color="auto" w:sz="4" w:space="0"/>
            </w:tcBorders>
            <w:vAlign w:val="center"/>
          </w:tcPr>
          <w:p w14:paraId="3B45609E">
            <w:pPr>
              <w:pStyle w:val="42"/>
              <w:spacing w:beforeLines="0"/>
              <w:rPr>
                <w:rFonts w:ascii="Times New Roman" w:hAnsi="Times New Roman" w:eastAsia="宋体"/>
              </w:rPr>
            </w:pPr>
          </w:p>
        </w:tc>
      </w:tr>
      <w:tr w14:paraId="4414E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Merge w:val="continue"/>
            <w:vAlign w:val="center"/>
          </w:tcPr>
          <w:p w14:paraId="23928745">
            <w:pPr>
              <w:spacing w:before="78" w:beforeLines="25" w:after="78" w:afterLines="25" w:line="264" w:lineRule="auto"/>
              <w:jc w:val="center"/>
              <w:rPr>
                <w:rFonts w:hint="eastAsia" w:ascii="Times New Roman" w:hAnsi="Times New Roman" w:eastAsia="宋体" w:cs="宋体"/>
                <w:b/>
                <w:bCs/>
                <w:sz w:val="24"/>
              </w:rPr>
            </w:pPr>
          </w:p>
        </w:tc>
        <w:tc>
          <w:tcPr>
            <w:tcW w:w="891" w:type="pct"/>
            <w:shd w:val="clear" w:color="auto" w:fill="auto"/>
            <w:vAlign w:val="center"/>
          </w:tcPr>
          <w:p w14:paraId="721DD8DC">
            <w:pPr>
              <w:pStyle w:val="11"/>
              <w:snapToGrid/>
              <w:spacing w:before="0" w:after="0" w:line="264" w:lineRule="auto"/>
              <w:ind w:right="0" w:rightChars="0"/>
              <w:jc w:val="center"/>
              <w:rPr>
                <w:rFonts w:hint="eastAsia" w:ascii="Times New Roman" w:hAnsi="Times New Roman" w:eastAsia="宋体" w:cstheme="minorBidi"/>
                <w:kern w:val="0"/>
                <w:sz w:val="21"/>
                <w:szCs w:val="21"/>
                <w:lang w:val="en-US" w:eastAsia="zh-CN" w:bidi="ar-SA"/>
              </w:rPr>
            </w:pPr>
            <w:r>
              <w:rPr>
                <w:rFonts w:hint="eastAsia" w:ascii="Times New Roman" w:hAnsi="Times New Roman" w:eastAsia="宋体"/>
                <w:sz w:val="21"/>
                <w:szCs w:val="21"/>
                <w:lang w:eastAsia="zh-CN"/>
              </w:rPr>
              <w:t>热压</w:t>
            </w:r>
            <w:r>
              <w:rPr>
                <w:rFonts w:hint="eastAsia" w:ascii="Times New Roman" w:hAnsi="Times New Roman" w:eastAsia="宋体"/>
                <w:sz w:val="21"/>
                <w:szCs w:val="21"/>
              </w:rPr>
              <w:t>废气排放口（DA00</w:t>
            </w:r>
            <w:r>
              <w:rPr>
                <w:rFonts w:hint="eastAsia" w:ascii="Times New Roman" w:hAnsi="Times New Roman" w:eastAsia="宋体"/>
                <w:sz w:val="21"/>
                <w:szCs w:val="21"/>
                <w:lang w:val="en-US" w:eastAsia="zh-CN"/>
              </w:rPr>
              <w:t>1</w:t>
            </w:r>
            <w:r>
              <w:rPr>
                <w:rFonts w:hint="eastAsia" w:ascii="Times New Roman" w:hAnsi="Times New Roman" w:eastAsia="宋体"/>
                <w:sz w:val="21"/>
                <w:szCs w:val="21"/>
              </w:rPr>
              <w:t>）</w:t>
            </w:r>
          </w:p>
        </w:tc>
        <w:tc>
          <w:tcPr>
            <w:tcW w:w="538" w:type="pct"/>
            <w:shd w:val="clear" w:color="auto" w:fill="auto"/>
            <w:vAlign w:val="center"/>
          </w:tcPr>
          <w:p w14:paraId="0FA56951">
            <w:pPr>
              <w:spacing w:line="264" w:lineRule="auto"/>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lang w:eastAsia="zh-CN"/>
              </w:rPr>
              <w:t>非甲烷总烃、甲醛</w:t>
            </w:r>
          </w:p>
        </w:tc>
        <w:tc>
          <w:tcPr>
            <w:tcW w:w="1565" w:type="pct"/>
            <w:shd w:val="clear" w:color="auto" w:fill="auto"/>
            <w:vAlign w:val="center"/>
          </w:tcPr>
          <w:p w14:paraId="2872402E">
            <w:pPr>
              <w:spacing w:line="305" w:lineRule="auto"/>
              <w:rPr>
                <w:rFonts w:hint="eastAsia" w:ascii="Times New Roman" w:hAnsi="Times New Roman" w:eastAsia="宋体" w:cs="宋体"/>
                <w:kern w:val="2"/>
                <w:sz w:val="21"/>
                <w:szCs w:val="21"/>
                <w:lang w:val="en-US" w:eastAsia="zh-CN" w:bidi="ar-SA"/>
              </w:rPr>
            </w:pPr>
            <w:r>
              <w:rPr>
                <w:rFonts w:hint="eastAsia" w:ascii="Times New Roman" w:hAnsi="Times New Roman" w:eastAsia="宋体"/>
                <w:color w:val="000000" w:themeColor="text1"/>
                <w:kern w:val="44"/>
                <w:szCs w:val="21"/>
                <w14:textFill>
                  <w14:solidFill>
                    <w14:schemeClr w14:val="tx1"/>
                  </w14:solidFill>
                </w14:textFill>
              </w:rPr>
              <w:t>项目</w:t>
            </w:r>
            <w:r>
              <w:rPr>
                <w:rFonts w:hint="eastAsia" w:ascii="Times New Roman" w:hAnsi="Times New Roman" w:eastAsia="宋体"/>
                <w:color w:val="000000" w:themeColor="text1"/>
                <w:kern w:val="44"/>
                <w:szCs w:val="21"/>
                <w:lang w:eastAsia="zh-CN"/>
                <w14:textFill>
                  <w14:solidFill>
                    <w14:schemeClr w14:val="tx1"/>
                  </w14:solidFill>
                </w14:textFill>
              </w:rPr>
              <w:t>热压</w:t>
            </w:r>
            <w:r>
              <w:rPr>
                <w:rFonts w:hint="eastAsia" w:ascii="Times New Roman" w:hAnsi="Times New Roman" w:eastAsia="宋体"/>
                <w:color w:val="000000" w:themeColor="text1"/>
                <w:kern w:val="44"/>
                <w:szCs w:val="21"/>
                <w14:textFill>
                  <w14:solidFill>
                    <w14:schemeClr w14:val="tx1"/>
                  </w14:solidFill>
                </w14:textFill>
              </w:rPr>
              <w:t>工序产生的废气经“干式过滤+</w:t>
            </w:r>
            <w:r>
              <w:rPr>
                <w:rFonts w:hint="eastAsia" w:ascii="Times New Roman" w:hAnsi="Times New Roman" w:eastAsia="宋体"/>
                <w:color w:val="000000" w:themeColor="text1"/>
                <w:kern w:val="44"/>
                <w:szCs w:val="21"/>
                <w:lang w:eastAsia="zh-CN"/>
                <w14:textFill>
                  <w14:solidFill>
                    <w14:schemeClr w14:val="tx1"/>
                  </w14:solidFill>
                </w14:textFill>
              </w:rPr>
              <w:t>两级</w:t>
            </w:r>
            <w:r>
              <w:rPr>
                <w:rFonts w:hint="eastAsia" w:ascii="Times New Roman" w:hAnsi="Times New Roman" w:eastAsia="宋体"/>
                <w:color w:val="000000" w:themeColor="text1"/>
                <w:kern w:val="44"/>
                <w:szCs w:val="21"/>
                <w14:textFill>
                  <w14:solidFill>
                    <w14:schemeClr w14:val="tx1"/>
                  </w14:solidFill>
                </w14:textFill>
              </w:rPr>
              <w:t>活性炭”</w:t>
            </w:r>
            <w:r>
              <w:rPr>
                <w:rFonts w:hint="eastAsia" w:ascii="Times New Roman" w:hAnsi="Times New Roman" w:eastAsia="宋体"/>
                <w:color w:val="000000" w:themeColor="text1"/>
                <w:kern w:val="44"/>
                <w:szCs w:val="21"/>
                <w:lang w:eastAsia="zh-CN"/>
                <w14:textFill>
                  <w14:solidFill>
                    <w14:schemeClr w14:val="tx1"/>
                  </w14:solidFill>
                </w14:textFill>
              </w:rPr>
              <w:t>装置</w:t>
            </w:r>
            <w:r>
              <w:rPr>
                <w:rFonts w:hint="eastAsia" w:ascii="Times New Roman" w:hAnsi="Times New Roman" w:eastAsia="宋体"/>
                <w:color w:val="000000" w:themeColor="text1"/>
                <w:kern w:val="44"/>
                <w:szCs w:val="21"/>
                <w14:textFill>
                  <w14:solidFill>
                    <w14:schemeClr w14:val="tx1"/>
                  </w14:solidFill>
                </w14:textFill>
              </w:rPr>
              <w:t>处置后引入1根15m高</w:t>
            </w:r>
            <w:r>
              <w:rPr>
                <w:rFonts w:hint="eastAsia" w:ascii="Times New Roman" w:hAnsi="Times New Roman" w:eastAsia="宋体"/>
                <w:b/>
                <w:bCs/>
                <w:color w:val="000000" w:themeColor="text1"/>
                <w:kern w:val="44"/>
                <w:szCs w:val="21"/>
                <w14:textFill>
                  <w14:solidFill>
                    <w14:schemeClr w14:val="tx1"/>
                  </w14:solidFill>
                </w14:textFill>
              </w:rPr>
              <w:t>DA00</w:t>
            </w:r>
            <w:r>
              <w:rPr>
                <w:rFonts w:hint="eastAsia" w:ascii="Times New Roman" w:hAnsi="Times New Roman" w:eastAsia="宋体"/>
                <w:b/>
                <w:bCs/>
                <w:color w:val="000000" w:themeColor="text1"/>
                <w:kern w:val="44"/>
                <w:szCs w:val="21"/>
                <w:lang w:val="en-US" w:eastAsia="zh-CN"/>
                <w14:textFill>
                  <w14:solidFill>
                    <w14:schemeClr w14:val="tx1"/>
                  </w14:solidFill>
                </w14:textFill>
              </w:rPr>
              <w:t>2</w:t>
            </w:r>
            <w:r>
              <w:rPr>
                <w:rFonts w:hint="eastAsia" w:ascii="Times New Roman" w:hAnsi="Times New Roman" w:eastAsia="宋体"/>
                <w:color w:val="000000" w:themeColor="text1"/>
                <w:kern w:val="44"/>
                <w:szCs w:val="21"/>
                <w14:textFill>
                  <w14:solidFill>
                    <w14:schemeClr w14:val="tx1"/>
                  </w14:solidFill>
                </w14:textFill>
              </w:rPr>
              <w:t>排气筒排放</w:t>
            </w:r>
            <w:r>
              <w:rPr>
                <w:rFonts w:hint="eastAsia" w:ascii="Times New Roman" w:hAnsi="Times New Roman" w:eastAsia="宋体" w:cs="宋体"/>
                <w:szCs w:val="21"/>
              </w:rPr>
              <w:t>（</w:t>
            </w:r>
            <w:r>
              <w:rPr>
                <w:rFonts w:ascii="Times New Roman" w:hAnsi="Times New Roman" w:eastAsia="宋体" w:cs="宋体"/>
                <w:szCs w:val="21"/>
              </w:rPr>
              <w:t>D=</w:t>
            </w:r>
            <w:r>
              <w:rPr>
                <w:rFonts w:hint="eastAsia" w:ascii="Times New Roman" w:hAnsi="Times New Roman" w:eastAsia="宋体" w:cs="宋体"/>
                <w:szCs w:val="21"/>
              </w:rPr>
              <w:t>0.5</w:t>
            </w:r>
            <w:r>
              <w:rPr>
                <w:rFonts w:ascii="Times New Roman" w:hAnsi="Times New Roman" w:eastAsia="宋体" w:cs="宋体"/>
                <w:szCs w:val="21"/>
              </w:rPr>
              <w:t>m</w:t>
            </w:r>
            <w:r>
              <w:rPr>
                <w:rFonts w:hint="eastAsia" w:ascii="Times New Roman" w:hAnsi="Times New Roman" w:eastAsia="宋体" w:cs="宋体"/>
                <w:szCs w:val="21"/>
              </w:rPr>
              <w:t>，风量</w:t>
            </w:r>
            <w:r>
              <w:rPr>
                <w:rFonts w:hint="eastAsia" w:ascii="Times New Roman" w:hAnsi="Times New Roman" w:eastAsia="宋体" w:cs="宋体"/>
                <w:szCs w:val="21"/>
                <w:lang w:val="en-US" w:eastAsia="zh-CN"/>
              </w:rPr>
              <w:t>30</w:t>
            </w:r>
            <w:r>
              <w:rPr>
                <w:rFonts w:hint="eastAsia" w:ascii="Times New Roman" w:hAnsi="Times New Roman" w:eastAsia="宋体" w:cs="宋体"/>
                <w:szCs w:val="21"/>
              </w:rPr>
              <w:t>000</w:t>
            </w:r>
            <w:r>
              <w:rPr>
                <w:rFonts w:ascii="Times New Roman" w:hAnsi="Times New Roman" w:eastAsia="宋体" w:cs="宋体"/>
                <w:szCs w:val="21"/>
              </w:rPr>
              <w:t>m</w:t>
            </w:r>
            <w:r>
              <w:rPr>
                <w:rFonts w:ascii="Times New Roman" w:hAnsi="Times New Roman" w:eastAsia="宋体" w:cs="宋体"/>
                <w:szCs w:val="21"/>
                <w:vertAlign w:val="superscript"/>
              </w:rPr>
              <w:t>3</w:t>
            </w:r>
            <w:r>
              <w:rPr>
                <w:rFonts w:ascii="Times New Roman" w:hAnsi="Times New Roman" w:eastAsia="宋体" w:cs="宋体"/>
                <w:szCs w:val="21"/>
              </w:rPr>
              <w:t>/h</w:t>
            </w:r>
            <w:r>
              <w:rPr>
                <w:rFonts w:hint="eastAsia" w:ascii="Times New Roman" w:hAnsi="Times New Roman" w:eastAsia="宋体" w:cs="宋体"/>
                <w:szCs w:val="21"/>
              </w:rPr>
              <w:t>）</w:t>
            </w:r>
          </w:p>
        </w:tc>
        <w:tc>
          <w:tcPr>
            <w:tcW w:w="1151" w:type="pct"/>
            <w:tcBorders>
              <w:bottom w:val="single" w:color="auto" w:sz="4" w:space="0"/>
            </w:tcBorders>
            <w:shd w:val="clear" w:color="auto" w:fill="auto"/>
            <w:vAlign w:val="center"/>
          </w:tcPr>
          <w:p w14:paraId="3BA7EAE3">
            <w:pPr>
              <w:pStyle w:val="42"/>
              <w:spacing w:beforeLines="0"/>
              <w:rPr>
                <w:rFonts w:hint="eastAsia" w:ascii="Times New Roman" w:hAnsi="Times New Roman" w:eastAsia="宋体" w:cs="宋体"/>
                <w:kern w:val="2"/>
                <w:sz w:val="21"/>
                <w:szCs w:val="21"/>
                <w:lang w:val="en-US" w:eastAsia="zh-CN" w:bidi="ar-SA"/>
              </w:rPr>
            </w:pPr>
            <w:r>
              <w:rPr>
                <w:rFonts w:hint="eastAsia" w:ascii="Times New Roman" w:hAnsi="Times New Roman" w:cs="宋体"/>
                <w:sz w:val="21"/>
                <w:szCs w:val="21"/>
                <w:lang w:val="en-US" w:eastAsia="zh-CN"/>
              </w:rPr>
              <w:t>《家具制造业大气污染物排放标准》（DB 50/757-2017）</w:t>
            </w:r>
          </w:p>
        </w:tc>
      </w:tr>
      <w:tr w14:paraId="0D711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Merge w:val="continue"/>
            <w:vAlign w:val="center"/>
          </w:tcPr>
          <w:p w14:paraId="20086C19">
            <w:pPr>
              <w:spacing w:before="78" w:beforeLines="25" w:after="78" w:afterLines="25" w:line="264" w:lineRule="auto"/>
              <w:jc w:val="center"/>
              <w:rPr>
                <w:rFonts w:ascii="Times New Roman" w:hAnsi="Times New Roman" w:eastAsia="宋体" w:cs="宋体"/>
                <w:b/>
                <w:bCs/>
                <w:sz w:val="24"/>
              </w:rPr>
            </w:pPr>
          </w:p>
        </w:tc>
        <w:tc>
          <w:tcPr>
            <w:tcW w:w="891" w:type="pct"/>
            <w:shd w:val="clear" w:color="auto" w:fill="auto"/>
            <w:vAlign w:val="center"/>
          </w:tcPr>
          <w:p w14:paraId="7D501DF9">
            <w:pPr>
              <w:pStyle w:val="11"/>
              <w:snapToGrid/>
              <w:spacing w:before="0" w:after="0" w:line="264" w:lineRule="auto"/>
              <w:ind w:right="0" w:rightChars="0"/>
              <w:jc w:val="center"/>
              <w:rPr>
                <w:rFonts w:ascii="Times New Roman" w:hAnsi="Times New Roman" w:eastAsia="宋体" w:cstheme="minorBidi"/>
                <w:kern w:val="0"/>
                <w:sz w:val="21"/>
                <w:szCs w:val="21"/>
                <w:lang w:val="en-US" w:eastAsia="zh-CN" w:bidi="ar-SA"/>
              </w:rPr>
            </w:pPr>
            <w:r>
              <w:rPr>
                <w:rFonts w:hint="eastAsia" w:ascii="Times New Roman" w:hAnsi="Times New Roman" w:eastAsia="宋体"/>
                <w:sz w:val="21"/>
                <w:szCs w:val="21"/>
                <w:lang w:eastAsia="zh-CN"/>
              </w:rPr>
              <w:t>天然气燃烧废气</w:t>
            </w:r>
            <w:r>
              <w:rPr>
                <w:rFonts w:hint="eastAsia" w:ascii="Times New Roman" w:hAnsi="Times New Roman" w:eastAsia="宋体"/>
                <w:sz w:val="21"/>
                <w:szCs w:val="21"/>
              </w:rPr>
              <w:t>排放口（</w:t>
            </w:r>
            <w:r>
              <w:rPr>
                <w:rFonts w:hint="eastAsia" w:ascii="Times New Roman" w:hAnsi="Times New Roman" w:eastAsia="宋体" w:cs="宋体"/>
                <w:sz w:val="21"/>
                <w:szCs w:val="21"/>
              </w:rPr>
              <w:t>DA00</w:t>
            </w:r>
            <w:r>
              <w:rPr>
                <w:rFonts w:hint="eastAsia" w:ascii="Times New Roman" w:hAnsi="Times New Roman" w:eastAsia="宋体" w:cs="宋体"/>
                <w:sz w:val="21"/>
                <w:szCs w:val="21"/>
                <w:lang w:val="en-US" w:eastAsia="zh-CN"/>
              </w:rPr>
              <w:t>2</w:t>
            </w:r>
            <w:r>
              <w:rPr>
                <w:rFonts w:hint="eastAsia" w:ascii="Times New Roman" w:hAnsi="Times New Roman" w:eastAsia="宋体"/>
                <w:sz w:val="21"/>
                <w:szCs w:val="21"/>
              </w:rPr>
              <w:t>）</w:t>
            </w:r>
          </w:p>
        </w:tc>
        <w:tc>
          <w:tcPr>
            <w:tcW w:w="538" w:type="pct"/>
            <w:shd w:val="clear" w:color="auto" w:fill="auto"/>
            <w:vAlign w:val="center"/>
          </w:tcPr>
          <w:p w14:paraId="059AC7E8">
            <w:pPr>
              <w:spacing w:line="264" w:lineRule="auto"/>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颗粒物</w:t>
            </w:r>
            <w:r>
              <w:rPr>
                <w:rFonts w:hint="eastAsia" w:ascii="Times New Roman" w:hAnsi="Times New Roman" w:eastAsia="宋体"/>
                <w:szCs w:val="21"/>
                <w:lang w:eastAsia="zh-CN"/>
              </w:rPr>
              <w:t>、二氧化硫、氮氧化物</w:t>
            </w:r>
          </w:p>
        </w:tc>
        <w:tc>
          <w:tcPr>
            <w:tcW w:w="1565" w:type="pct"/>
            <w:shd w:val="clear" w:color="auto" w:fill="auto"/>
            <w:vAlign w:val="center"/>
          </w:tcPr>
          <w:p w14:paraId="1DF3B8DE">
            <w:pPr>
              <w:spacing w:line="305" w:lineRule="auto"/>
              <w:rPr>
                <w:rFonts w:ascii="Times New Roman" w:hAnsi="Times New Roman" w:eastAsia="宋体" w:cs="宋体"/>
                <w:kern w:val="2"/>
                <w:sz w:val="21"/>
                <w:szCs w:val="21"/>
                <w:lang w:val="en-US" w:eastAsia="zh-CN" w:bidi="ar-SA"/>
              </w:rPr>
            </w:pPr>
            <w:r>
              <w:rPr>
                <w:rFonts w:hint="eastAsia" w:ascii="Times New Roman" w:hAnsi="Times New Roman" w:eastAsia="宋体"/>
                <w:color w:val="000000" w:themeColor="text1"/>
                <w:kern w:val="44"/>
                <w:szCs w:val="21"/>
                <w:lang w:eastAsia="zh-CN"/>
                <w14:textFill>
                  <w14:solidFill>
                    <w14:schemeClr w14:val="tx1"/>
                  </w14:solidFill>
                </w14:textFill>
              </w:rPr>
              <w:t>模温机加热系统产生的天然气燃烧废气经</w:t>
            </w:r>
            <w:r>
              <w:rPr>
                <w:rFonts w:hint="eastAsia" w:ascii="Times New Roman" w:hAnsi="Times New Roman" w:eastAsia="宋体"/>
                <w:color w:val="000000" w:themeColor="text1"/>
                <w:kern w:val="44"/>
                <w:szCs w:val="21"/>
                <w14:textFill>
                  <w14:solidFill>
                    <w14:schemeClr w14:val="tx1"/>
                  </w14:solidFill>
                </w14:textFill>
              </w:rPr>
              <w:t>1根</w:t>
            </w:r>
            <w:r>
              <w:rPr>
                <w:rFonts w:hint="eastAsia" w:ascii="Times New Roman" w:hAnsi="Times New Roman" w:eastAsia="宋体"/>
                <w:color w:val="000000" w:themeColor="text1"/>
                <w:kern w:val="44"/>
                <w:szCs w:val="21"/>
                <w:lang w:val="en-US" w:eastAsia="zh-CN"/>
                <w14:textFill>
                  <w14:solidFill>
                    <w14:schemeClr w14:val="tx1"/>
                  </w14:solidFill>
                </w14:textFill>
              </w:rPr>
              <w:t>15</w:t>
            </w:r>
            <w:r>
              <w:rPr>
                <w:rFonts w:hint="eastAsia" w:ascii="Times New Roman" w:hAnsi="Times New Roman" w:eastAsia="宋体"/>
                <w:color w:val="000000" w:themeColor="text1"/>
                <w:kern w:val="44"/>
                <w:szCs w:val="21"/>
                <w14:textFill>
                  <w14:solidFill>
                    <w14:schemeClr w14:val="tx1"/>
                  </w14:solidFill>
                </w14:textFill>
              </w:rPr>
              <w:t>m高</w:t>
            </w:r>
            <w:r>
              <w:rPr>
                <w:rFonts w:hint="eastAsia" w:ascii="Times New Roman" w:hAnsi="Times New Roman" w:eastAsia="宋体"/>
                <w:b/>
                <w:bCs/>
                <w:color w:val="000000" w:themeColor="text1"/>
                <w:kern w:val="44"/>
                <w:szCs w:val="21"/>
                <w14:textFill>
                  <w14:solidFill>
                    <w14:schemeClr w14:val="tx1"/>
                  </w14:solidFill>
                </w14:textFill>
              </w:rPr>
              <w:t>DA00</w:t>
            </w:r>
            <w:r>
              <w:rPr>
                <w:rFonts w:hint="eastAsia" w:ascii="Times New Roman" w:hAnsi="Times New Roman" w:eastAsia="宋体"/>
                <w:b/>
                <w:bCs/>
                <w:color w:val="000000" w:themeColor="text1"/>
                <w:kern w:val="44"/>
                <w:szCs w:val="21"/>
                <w:lang w:val="en-US" w:eastAsia="zh-CN"/>
                <w14:textFill>
                  <w14:solidFill>
                    <w14:schemeClr w14:val="tx1"/>
                  </w14:solidFill>
                </w14:textFill>
              </w:rPr>
              <w:t>1</w:t>
            </w:r>
            <w:r>
              <w:rPr>
                <w:rFonts w:hint="eastAsia" w:ascii="Times New Roman" w:hAnsi="Times New Roman" w:eastAsia="宋体"/>
                <w:color w:val="000000" w:themeColor="text1"/>
                <w:kern w:val="44"/>
                <w:szCs w:val="21"/>
                <w14:textFill>
                  <w14:solidFill>
                    <w14:schemeClr w14:val="tx1"/>
                  </w14:solidFill>
                </w14:textFill>
              </w:rPr>
              <w:t>排气筒排放</w:t>
            </w:r>
            <w:r>
              <w:rPr>
                <w:rFonts w:hint="eastAsia" w:ascii="Times New Roman" w:hAnsi="Times New Roman" w:eastAsia="宋体" w:cs="宋体"/>
                <w:szCs w:val="21"/>
              </w:rPr>
              <w:t>（</w:t>
            </w:r>
            <w:r>
              <w:rPr>
                <w:rFonts w:ascii="Times New Roman" w:hAnsi="Times New Roman" w:eastAsia="宋体" w:cs="宋体"/>
                <w:szCs w:val="21"/>
              </w:rPr>
              <w:t>D=</w:t>
            </w:r>
            <w:r>
              <w:rPr>
                <w:rFonts w:hint="eastAsia" w:ascii="Times New Roman" w:hAnsi="Times New Roman" w:eastAsia="宋体" w:cs="宋体"/>
                <w:szCs w:val="21"/>
                <w:lang w:val="en-US" w:eastAsia="zh-CN"/>
              </w:rPr>
              <w:t>0.15</w:t>
            </w:r>
            <w:r>
              <w:rPr>
                <w:rFonts w:ascii="Times New Roman" w:hAnsi="Times New Roman" w:eastAsia="宋体" w:cs="宋体"/>
                <w:szCs w:val="21"/>
              </w:rPr>
              <w:t>m</w:t>
            </w:r>
            <w:r>
              <w:rPr>
                <w:rFonts w:hint="eastAsia" w:ascii="Times New Roman" w:hAnsi="Times New Roman" w:eastAsia="宋体" w:cs="宋体"/>
                <w:szCs w:val="21"/>
              </w:rPr>
              <w:t>，风量</w:t>
            </w:r>
            <w:r>
              <w:rPr>
                <w:rFonts w:hint="eastAsia" w:ascii="Times New Roman" w:hAnsi="Times New Roman" w:eastAsia="宋体" w:cs="宋体"/>
                <w:szCs w:val="21"/>
                <w:lang w:val="en-US" w:eastAsia="zh-CN"/>
              </w:rPr>
              <w:t>647</w:t>
            </w:r>
            <w:r>
              <w:rPr>
                <w:rFonts w:ascii="Times New Roman" w:hAnsi="Times New Roman" w:eastAsia="宋体" w:cs="宋体"/>
                <w:szCs w:val="21"/>
              </w:rPr>
              <w:t>m</w:t>
            </w:r>
            <w:r>
              <w:rPr>
                <w:rFonts w:ascii="Times New Roman" w:hAnsi="Times New Roman" w:eastAsia="宋体" w:cs="宋体"/>
                <w:szCs w:val="21"/>
                <w:vertAlign w:val="superscript"/>
              </w:rPr>
              <w:t>3</w:t>
            </w:r>
            <w:r>
              <w:rPr>
                <w:rFonts w:ascii="Times New Roman" w:hAnsi="Times New Roman" w:eastAsia="宋体" w:cs="宋体"/>
                <w:szCs w:val="21"/>
              </w:rPr>
              <w:t>/h</w:t>
            </w:r>
            <w:r>
              <w:rPr>
                <w:rFonts w:hint="eastAsia" w:ascii="Times New Roman" w:hAnsi="Times New Roman" w:eastAsia="宋体" w:cs="宋体"/>
                <w:szCs w:val="21"/>
              </w:rPr>
              <w:t>）</w:t>
            </w:r>
          </w:p>
        </w:tc>
        <w:tc>
          <w:tcPr>
            <w:tcW w:w="1151" w:type="pct"/>
            <w:tcBorders>
              <w:top w:val="single" w:color="auto" w:sz="4" w:space="0"/>
              <w:bottom w:val="single" w:color="auto" w:sz="4" w:space="0"/>
            </w:tcBorders>
            <w:shd w:val="clear" w:color="auto" w:fill="auto"/>
            <w:vAlign w:val="center"/>
          </w:tcPr>
          <w:p w14:paraId="2A07EF39">
            <w:pPr>
              <w:pStyle w:val="42"/>
              <w:spacing w:beforeLines="0"/>
              <w:rPr>
                <w:rFonts w:ascii="Times New Roman" w:hAnsi="Times New Roman" w:eastAsia="宋体" w:cs="宋体"/>
                <w:kern w:val="2"/>
                <w:sz w:val="21"/>
                <w:szCs w:val="21"/>
                <w:lang w:val="en-US" w:eastAsia="zh-CN" w:bidi="ar-SA"/>
              </w:rPr>
            </w:pPr>
            <w:r>
              <w:rPr>
                <w:rFonts w:hint="eastAsia" w:ascii="Times New Roman" w:hAnsi="Times New Roman" w:cs="宋体"/>
                <w:sz w:val="21"/>
                <w:szCs w:val="21"/>
                <w:lang w:val="en-US" w:eastAsia="zh-CN"/>
              </w:rPr>
              <w:t>《锅炉大气污染物排放标准》（DB50/658-2016）及“DB50/658-2016《锅炉大气污染物排放标准》重庆市地方标准第1号修改单”</w:t>
            </w:r>
          </w:p>
        </w:tc>
      </w:tr>
      <w:tr w14:paraId="17EC9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7" w:hRule="atLeast"/>
          <w:jc w:val="center"/>
        </w:trPr>
        <w:tc>
          <w:tcPr>
            <w:tcW w:w="853" w:type="pct"/>
            <w:vMerge w:val="continue"/>
            <w:vAlign w:val="center"/>
          </w:tcPr>
          <w:p w14:paraId="10FA1071">
            <w:pPr>
              <w:spacing w:before="78" w:beforeLines="25" w:after="78" w:afterLines="25" w:line="264" w:lineRule="auto"/>
              <w:jc w:val="center"/>
              <w:rPr>
                <w:rFonts w:ascii="Times New Roman" w:hAnsi="Times New Roman" w:eastAsia="宋体" w:cs="宋体"/>
                <w:b/>
                <w:bCs/>
                <w:sz w:val="24"/>
              </w:rPr>
            </w:pPr>
          </w:p>
        </w:tc>
        <w:tc>
          <w:tcPr>
            <w:tcW w:w="891" w:type="pct"/>
            <w:vAlign w:val="center"/>
          </w:tcPr>
          <w:p w14:paraId="6455869B">
            <w:pPr>
              <w:pStyle w:val="11"/>
              <w:snapToGrid/>
              <w:spacing w:before="0" w:after="0" w:line="264" w:lineRule="auto"/>
              <w:ind w:right="0"/>
              <w:jc w:val="center"/>
              <w:rPr>
                <w:rFonts w:ascii="Times New Roman" w:hAnsi="Times New Roman" w:eastAsia="宋体"/>
                <w:sz w:val="21"/>
                <w:szCs w:val="21"/>
              </w:rPr>
            </w:pPr>
            <w:r>
              <w:rPr>
                <w:rFonts w:hint="eastAsia" w:ascii="Times New Roman" w:hAnsi="Times New Roman" w:eastAsia="宋体"/>
                <w:sz w:val="21"/>
                <w:szCs w:val="21"/>
              </w:rPr>
              <w:t>厂房外</w:t>
            </w:r>
          </w:p>
        </w:tc>
        <w:tc>
          <w:tcPr>
            <w:tcW w:w="538" w:type="pct"/>
            <w:vAlign w:val="center"/>
          </w:tcPr>
          <w:p w14:paraId="4019D40E">
            <w:pPr>
              <w:spacing w:line="264" w:lineRule="auto"/>
              <w:jc w:val="center"/>
              <w:rPr>
                <w:rFonts w:ascii="Times New Roman" w:hAnsi="Times New Roman" w:eastAsia="宋体" w:cs="Times New Roman"/>
                <w:szCs w:val="21"/>
              </w:rPr>
            </w:pPr>
            <w:r>
              <w:rPr>
                <w:rFonts w:hint="eastAsia" w:ascii="Times New Roman" w:hAnsi="Times New Roman" w:eastAsia="宋体"/>
                <w:szCs w:val="21"/>
              </w:rPr>
              <w:t>非甲烷总烃</w:t>
            </w:r>
          </w:p>
        </w:tc>
        <w:tc>
          <w:tcPr>
            <w:tcW w:w="1565" w:type="pct"/>
            <w:vMerge w:val="restart"/>
            <w:vAlign w:val="center"/>
          </w:tcPr>
          <w:p w14:paraId="39E8FE91">
            <w:pPr>
              <w:spacing w:line="305" w:lineRule="auto"/>
              <w:jc w:val="center"/>
              <w:rPr>
                <w:rFonts w:ascii="Times New Roman" w:hAnsi="Times New Roman" w:eastAsia="宋体" w:cs="宋体"/>
                <w:szCs w:val="21"/>
              </w:rPr>
            </w:pPr>
            <w:r>
              <w:rPr>
                <w:rFonts w:hint="eastAsia" w:ascii="Times New Roman" w:hAnsi="Times New Roman" w:eastAsia="宋体" w:cs="宋体"/>
                <w:szCs w:val="21"/>
              </w:rPr>
              <w:t>加强车间通风。</w:t>
            </w:r>
          </w:p>
        </w:tc>
        <w:tc>
          <w:tcPr>
            <w:tcW w:w="1151" w:type="pct"/>
            <w:tcBorders>
              <w:top w:val="single" w:color="auto" w:sz="4" w:space="0"/>
              <w:bottom w:val="single" w:color="auto" w:sz="4" w:space="0"/>
            </w:tcBorders>
            <w:vAlign w:val="center"/>
          </w:tcPr>
          <w:p w14:paraId="3A7AE694">
            <w:pPr>
              <w:spacing w:line="300" w:lineRule="auto"/>
              <w:rPr>
                <w:rFonts w:ascii="Times New Roman" w:hAnsi="Times New Roman" w:eastAsia="宋体" w:cs="宋体"/>
                <w:szCs w:val="21"/>
              </w:rPr>
            </w:pPr>
            <w:r>
              <w:rPr>
                <w:rFonts w:ascii="Times New Roman" w:hAnsi="Times New Roman" w:eastAsia="宋体" w:cs="Times New Roman"/>
              </w:rPr>
              <w:t>《挥发性有机物无组织排放控制标准》（GB 37822-2019）</w:t>
            </w:r>
          </w:p>
        </w:tc>
      </w:tr>
      <w:tr w14:paraId="2A4E9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3" w:hRule="atLeast"/>
          <w:jc w:val="center"/>
        </w:trPr>
        <w:tc>
          <w:tcPr>
            <w:tcW w:w="853" w:type="pct"/>
            <w:vMerge w:val="continue"/>
            <w:vAlign w:val="center"/>
          </w:tcPr>
          <w:p w14:paraId="6A622AE9">
            <w:pPr>
              <w:spacing w:before="78" w:beforeLines="25" w:after="78" w:afterLines="25" w:line="264" w:lineRule="auto"/>
              <w:jc w:val="center"/>
              <w:rPr>
                <w:rFonts w:ascii="Times New Roman" w:hAnsi="Times New Roman" w:eastAsia="宋体" w:cs="宋体"/>
                <w:b/>
                <w:bCs/>
                <w:sz w:val="24"/>
              </w:rPr>
            </w:pPr>
          </w:p>
        </w:tc>
        <w:tc>
          <w:tcPr>
            <w:tcW w:w="891" w:type="pct"/>
            <w:vAlign w:val="center"/>
          </w:tcPr>
          <w:p w14:paraId="531510D3">
            <w:pPr>
              <w:pStyle w:val="11"/>
              <w:snapToGrid/>
              <w:spacing w:before="0" w:after="0" w:line="264" w:lineRule="auto"/>
              <w:ind w:right="0"/>
              <w:jc w:val="center"/>
              <w:rPr>
                <w:rFonts w:ascii="Times New Roman" w:hAnsi="Times New Roman" w:eastAsia="宋体"/>
                <w:sz w:val="21"/>
                <w:szCs w:val="21"/>
              </w:rPr>
            </w:pPr>
            <w:r>
              <w:rPr>
                <w:rFonts w:hint="eastAsia" w:ascii="Times New Roman" w:hAnsi="Times New Roman" w:eastAsia="宋体"/>
                <w:sz w:val="21"/>
                <w:szCs w:val="21"/>
              </w:rPr>
              <w:t>厂界</w:t>
            </w:r>
          </w:p>
        </w:tc>
        <w:tc>
          <w:tcPr>
            <w:tcW w:w="538" w:type="pct"/>
            <w:vAlign w:val="center"/>
          </w:tcPr>
          <w:p w14:paraId="6A3342DF">
            <w:pPr>
              <w:spacing w:line="264" w:lineRule="auto"/>
              <w:jc w:val="center"/>
              <w:rPr>
                <w:rFonts w:hint="eastAsia" w:ascii="Times New Roman" w:hAnsi="Times New Roman" w:eastAsia="宋体"/>
                <w:szCs w:val="21"/>
                <w:lang w:eastAsia="zh-CN"/>
              </w:rPr>
            </w:pPr>
            <w:r>
              <w:rPr>
                <w:rFonts w:hint="eastAsia" w:ascii="Times New Roman" w:hAnsi="Times New Roman" w:eastAsia="宋体"/>
                <w:szCs w:val="21"/>
              </w:rPr>
              <w:t>颗粒物</w:t>
            </w:r>
            <w:r>
              <w:rPr>
                <w:rFonts w:hint="eastAsia" w:ascii="Times New Roman" w:hAnsi="Times New Roman" w:eastAsia="宋体"/>
                <w:szCs w:val="21"/>
                <w:lang w:eastAsia="zh-CN"/>
              </w:rPr>
              <w:t>、非甲烷总烃、甲醛</w:t>
            </w:r>
          </w:p>
        </w:tc>
        <w:tc>
          <w:tcPr>
            <w:tcW w:w="1565" w:type="pct"/>
            <w:vMerge w:val="continue"/>
            <w:vAlign w:val="center"/>
          </w:tcPr>
          <w:p w14:paraId="4B994525">
            <w:pPr>
              <w:spacing w:line="305" w:lineRule="auto"/>
              <w:rPr>
                <w:rFonts w:ascii="Times New Roman" w:hAnsi="Times New Roman" w:eastAsia="宋体"/>
                <w:kern w:val="44"/>
                <w:szCs w:val="21"/>
              </w:rPr>
            </w:pPr>
          </w:p>
        </w:tc>
        <w:tc>
          <w:tcPr>
            <w:tcW w:w="1151" w:type="pct"/>
            <w:tcBorders>
              <w:top w:val="single" w:color="auto" w:sz="4" w:space="0"/>
              <w:bottom w:val="single" w:color="auto" w:sz="4" w:space="0"/>
            </w:tcBorders>
            <w:vAlign w:val="center"/>
          </w:tcPr>
          <w:p w14:paraId="51FE7801">
            <w:pPr>
              <w:spacing w:line="300" w:lineRule="auto"/>
              <w:rPr>
                <w:rFonts w:ascii="Times New Roman" w:hAnsi="Times New Roman" w:eastAsia="宋体" w:cs="宋体"/>
                <w:szCs w:val="21"/>
              </w:rPr>
            </w:pPr>
            <w:r>
              <w:rPr>
                <w:rFonts w:hint="eastAsia" w:ascii="Times New Roman" w:hAnsi="Times New Roman" w:eastAsia="宋体" w:cs="Times New Roman"/>
                <w:lang w:val="en-US" w:eastAsia="zh-CN"/>
              </w:rPr>
              <w:t>《家具制造业大气污染物排放标准》（DB 50/757-2017）</w:t>
            </w:r>
          </w:p>
        </w:tc>
      </w:tr>
      <w:tr w14:paraId="59DCB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3" w:type="pct"/>
            <w:vMerge w:val="restart"/>
            <w:vAlign w:val="center"/>
          </w:tcPr>
          <w:p w14:paraId="3A408D0E">
            <w:pPr>
              <w:spacing w:before="78" w:beforeLines="25" w:after="78" w:afterLines="25" w:line="264" w:lineRule="auto"/>
              <w:jc w:val="center"/>
              <w:rPr>
                <w:rFonts w:ascii="Times New Roman" w:hAnsi="Times New Roman" w:eastAsia="宋体" w:cs="宋体"/>
                <w:b/>
                <w:bCs/>
                <w:sz w:val="24"/>
              </w:rPr>
            </w:pPr>
            <w:r>
              <w:rPr>
                <w:rFonts w:hint="eastAsia" w:ascii="Times New Roman" w:hAnsi="Times New Roman" w:eastAsia="宋体" w:cs="宋体"/>
                <w:b/>
                <w:bCs/>
                <w:sz w:val="24"/>
              </w:rPr>
              <w:t>地表水环境</w:t>
            </w:r>
          </w:p>
        </w:tc>
        <w:tc>
          <w:tcPr>
            <w:tcW w:w="891" w:type="pct"/>
            <w:vMerge w:val="restart"/>
            <w:vAlign w:val="center"/>
          </w:tcPr>
          <w:p w14:paraId="597034C4">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生活污水（DW001）</w:t>
            </w:r>
          </w:p>
        </w:tc>
        <w:tc>
          <w:tcPr>
            <w:tcW w:w="538" w:type="pct"/>
            <w:vAlign w:val="center"/>
          </w:tcPr>
          <w:p w14:paraId="40A52582">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pH</w:t>
            </w:r>
          </w:p>
        </w:tc>
        <w:tc>
          <w:tcPr>
            <w:tcW w:w="1565" w:type="pct"/>
            <w:vMerge w:val="restart"/>
            <w:vAlign w:val="center"/>
          </w:tcPr>
          <w:p w14:paraId="1A9CD20F">
            <w:pPr>
              <w:spacing w:before="78" w:beforeLines="25" w:after="78" w:afterLines="25" w:line="305" w:lineRule="auto"/>
              <w:rPr>
                <w:rFonts w:ascii="Times New Roman" w:hAnsi="Times New Roman" w:eastAsia="宋体" w:cs="宋体"/>
                <w:szCs w:val="21"/>
              </w:rPr>
            </w:pPr>
            <w:r>
              <w:rPr>
                <w:rFonts w:hint="eastAsia" w:ascii="Times New Roman" w:hAnsi="Times New Roman" w:eastAsia="宋体" w:cs="宋体"/>
                <w:szCs w:val="21"/>
              </w:rPr>
              <w:t>项目生活污水</w:t>
            </w:r>
            <w:r>
              <w:rPr>
                <w:rFonts w:hint="eastAsia" w:ascii="Times New Roman" w:hAnsi="Times New Roman" w:eastAsia="宋体" w:cs="宋体"/>
                <w:szCs w:val="21"/>
                <w:lang w:eastAsia="zh-CN"/>
              </w:rPr>
              <w:t>盛德佳</w:t>
            </w:r>
            <w:r>
              <w:rPr>
                <w:rFonts w:hint="eastAsia" w:ascii="Times New Roman" w:hAnsi="Times New Roman" w:eastAsia="宋体" w:cs="宋体"/>
                <w:szCs w:val="21"/>
              </w:rPr>
              <w:t>公司现有生化池预处理达《污水综合排放标准》（</w:t>
            </w:r>
            <w:r>
              <w:rPr>
                <w:rFonts w:ascii="Times New Roman" w:hAnsi="Times New Roman" w:eastAsia="宋体" w:cs="宋体"/>
                <w:szCs w:val="21"/>
              </w:rPr>
              <w:t>GB8978-1996</w:t>
            </w:r>
            <w:r>
              <w:rPr>
                <w:rFonts w:hint="eastAsia" w:ascii="Times New Roman" w:hAnsi="Times New Roman" w:eastAsia="宋体" w:cs="宋体"/>
                <w:szCs w:val="21"/>
              </w:rPr>
              <w:t>）三级标准后，进入西彭污水处理厂处理达《污水综合排放标准》（</w:t>
            </w:r>
            <w:r>
              <w:rPr>
                <w:rFonts w:ascii="Times New Roman" w:hAnsi="Times New Roman" w:eastAsia="宋体" w:cs="宋体"/>
                <w:szCs w:val="21"/>
              </w:rPr>
              <w:t>GB</w:t>
            </w:r>
            <w:r>
              <w:rPr>
                <w:rFonts w:hint="eastAsia" w:ascii="Times New Roman" w:hAnsi="Times New Roman" w:eastAsia="宋体" w:cs="宋体"/>
                <w:szCs w:val="21"/>
              </w:rPr>
              <w:t xml:space="preserve"> </w:t>
            </w:r>
            <w:r>
              <w:rPr>
                <w:rFonts w:ascii="Times New Roman" w:hAnsi="Times New Roman" w:eastAsia="宋体" w:cs="宋体"/>
                <w:szCs w:val="21"/>
              </w:rPr>
              <w:t>8978-1996</w:t>
            </w:r>
            <w:r>
              <w:rPr>
                <w:rFonts w:hint="eastAsia" w:ascii="Times New Roman" w:hAnsi="Times New Roman" w:eastAsia="宋体" w:cs="宋体"/>
                <w:szCs w:val="21"/>
              </w:rPr>
              <w:t>）一级标准后排放，最终汇入长江。</w:t>
            </w:r>
          </w:p>
        </w:tc>
        <w:tc>
          <w:tcPr>
            <w:tcW w:w="1151" w:type="pct"/>
            <w:vMerge w:val="restart"/>
            <w:tcBorders>
              <w:top w:val="single" w:color="auto" w:sz="4" w:space="0"/>
              <w:bottom w:val="single" w:color="auto" w:sz="4" w:space="0"/>
            </w:tcBorders>
            <w:vAlign w:val="center"/>
          </w:tcPr>
          <w:p w14:paraId="0D333729">
            <w:pPr>
              <w:spacing w:before="78" w:beforeLines="25" w:after="78" w:afterLines="25" w:line="264" w:lineRule="auto"/>
              <w:jc w:val="center"/>
              <w:rPr>
                <w:rFonts w:ascii="Times New Roman" w:hAnsi="Times New Roman" w:eastAsia="宋体"/>
                <w:szCs w:val="21"/>
              </w:rPr>
            </w:pPr>
            <w:r>
              <w:rPr>
                <w:rFonts w:hint="eastAsia" w:ascii="Times New Roman" w:hAnsi="Times New Roman" w:eastAsia="宋体"/>
                <w:szCs w:val="21"/>
              </w:rPr>
              <w:t>《污水综合排放标准》（GB8978-1996）三级标准</w:t>
            </w:r>
          </w:p>
          <w:p w14:paraId="00D7CBBB">
            <w:pPr>
              <w:pStyle w:val="39"/>
              <w:autoSpaceDE/>
              <w:autoSpaceDN/>
              <w:adjustRightInd/>
              <w:ind w:firstLine="420" w:firstLineChars="200"/>
              <w:rPr>
                <w:rFonts w:ascii="Times New Roman"/>
                <w:color w:val="auto"/>
                <w:sz w:val="21"/>
                <w:szCs w:val="21"/>
              </w:rPr>
            </w:pPr>
            <w:r>
              <w:rPr>
                <w:rFonts w:hint="eastAsia" w:ascii="Times New Roman"/>
                <w:color w:val="auto"/>
                <w:sz w:val="21"/>
                <w:szCs w:val="21"/>
              </w:rPr>
              <w:t>pH6</w:t>
            </w:r>
            <w:r>
              <w:rPr>
                <w:rFonts w:hint="eastAsia" w:ascii="Times New Roman"/>
                <w:color w:val="auto"/>
                <w:sz w:val="21"/>
                <w:szCs w:val="21"/>
                <w:lang w:eastAsia="zh-CN"/>
              </w:rPr>
              <w:t>~</w:t>
            </w:r>
            <w:r>
              <w:rPr>
                <w:rFonts w:hint="eastAsia" w:ascii="Times New Roman"/>
                <w:color w:val="auto"/>
                <w:sz w:val="21"/>
                <w:szCs w:val="21"/>
              </w:rPr>
              <w:t>9</w:t>
            </w:r>
          </w:p>
          <w:p w14:paraId="71AF825F">
            <w:pPr>
              <w:pStyle w:val="39"/>
              <w:autoSpaceDE/>
              <w:autoSpaceDN/>
              <w:adjustRightInd/>
              <w:ind w:firstLine="420" w:firstLineChars="200"/>
              <w:rPr>
                <w:rFonts w:ascii="Times New Roman"/>
                <w:color w:val="auto"/>
                <w:sz w:val="21"/>
                <w:szCs w:val="21"/>
              </w:rPr>
            </w:pPr>
            <w:r>
              <w:rPr>
                <w:rFonts w:hint="eastAsia" w:ascii="Times New Roman"/>
                <w:color w:val="auto"/>
                <w:sz w:val="21"/>
                <w:szCs w:val="21"/>
              </w:rPr>
              <w:t>COD≤500</w:t>
            </w:r>
          </w:p>
          <w:p w14:paraId="7529749D">
            <w:pPr>
              <w:pStyle w:val="39"/>
              <w:autoSpaceDE/>
              <w:autoSpaceDN/>
              <w:adjustRightInd/>
              <w:ind w:firstLine="420" w:firstLineChars="200"/>
              <w:rPr>
                <w:rFonts w:ascii="Times New Roman"/>
                <w:color w:val="auto"/>
                <w:sz w:val="21"/>
                <w:szCs w:val="21"/>
              </w:rPr>
            </w:pPr>
            <w:r>
              <w:rPr>
                <w:rFonts w:hint="eastAsia" w:ascii="Times New Roman"/>
                <w:color w:val="auto"/>
                <w:sz w:val="21"/>
                <w:szCs w:val="21"/>
              </w:rPr>
              <w:t>BOD</w:t>
            </w:r>
            <w:r>
              <w:rPr>
                <w:rFonts w:hint="eastAsia" w:ascii="Times New Roman"/>
                <w:color w:val="auto"/>
                <w:sz w:val="21"/>
                <w:szCs w:val="21"/>
                <w:vertAlign w:val="subscript"/>
              </w:rPr>
              <w:t>5</w:t>
            </w:r>
            <w:r>
              <w:rPr>
                <w:rFonts w:hint="eastAsia" w:ascii="Times New Roman"/>
                <w:color w:val="auto"/>
                <w:sz w:val="21"/>
                <w:szCs w:val="21"/>
              </w:rPr>
              <w:t>≤300</w:t>
            </w:r>
          </w:p>
          <w:p w14:paraId="526BAB63">
            <w:pPr>
              <w:pStyle w:val="39"/>
              <w:autoSpaceDE/>
              <w:autoSpaceDN/>
              <w:adjustRightInd/>
              <w:ind w:firstLine="420" w:firstLineChars="200"/>
              <w:rPr>
                <w:rFonts w:ascii="Times New Roman"/>
                <w:color w:val="auto"/>
                <w:sz w:val="21"/>
                <w:szCs w:val="21"/>
              </w:rPr>
            </w:pPr>
            <w:r>
              <w:rPr>
                <w:rFonts w:hint="eastAsia" w:ascii="Times New Roman"/>
                <w:color w:val="auto"/>
                <w:sz w:val="21"/>
                <w:szCs w:val="21"/>
              </w:rPr>
              <w:t>SS≤400</w:t>
            </w:r>
          </w:p>
          <w:p w14:paraId="079AD4A7">
            <w:pPr>
              <w:pStyle w:val="39"/>
              <w:autoSpaceDE/>
              <w:autoSpaceDN/>
              <w:adjustRightInd/>
              <w:ind w:firstLine="420" w:firstLineChars="200"/>
              <w:rPr>
                <w:rFonts w:ascii="Times New Roman"/>
                <w:color w:val="auto"/>
                <w:sz w:val="21"/>
                <w:szCs w:val="21"/>
              </w:rPr>
            </w:pPr>
            <w:r>
              <w:rPr>
                <w:rFonts w:hint="eastAsia" w:ascii="Times New Roman"/>
                <w:color w:val="auto"/>
                <w:sz w:val="21"/>
                <w:szCs w:val="21"/>
              </w:rPr>
              <w:t>氨氮≤45</w:t>
            </w:r>
          </w:p>
        </w:tc>
      </w:tr>
      <w:tr w14:paraId="033B6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3" w:type="pct"/>
            <w:vMerge w:val="continue"/>
            <w:vAlign w:val="center"/>
          </w:tcPr>
          <w:p w14:paraId="04354617">
            <w:pPr>
              <w:spacing w:before="78" w:beforeLines="25" w:after="78" w:afterLines="25" w:line="264" w:lineRule="auto"/>
              <w:jc w:val="left"/>
              <w:rPr>
                <w:rFonts w:ascii="Times New Roman" w:hAnsi="Times New Roman" w:eastAsia="宋体"/>
              </w:rPr>
            </w:pPr>
          </w:p>
        </w:tc>
        <w:tc>
          <w:tcPr>
            <w:tcW w:w="891" w:type="pct"/>
            <w:vMerge w:val="continue"/>
            <w:vAlign w:val="center"/>
          </w:tcPr>
          <w:p w14:paraId="0ACEA571">
            <w:pPr>
              <w:spacing w:before="78" w:beforeLines="25" w:after="78" w:afterLines="25" w:line="264" w:lineRule="auto"/>
              <w:jc w:val="left"/>
              <w:rPr>
                <w:rFonts w:ascii="Times New Roman" w:hAnsi="Times New Roman" w:eastAsia="宋体"/>
              </w:rPr>
            </w:pPr>
          </w:p>
        </w:tc>
        <w:tc>
          <w:tcPr>
            <w:tcW w:w="538" w:type="pct"/>
            <w:vAlign w:val="center"/>
          </w:tcPr>
          <w:p w14:paraId="34ADA5A9">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COD</w:t>
            </w:r>
          </w:p>
        </w:tc>
        <w:tc>
          <w:tcPr>
            <w:tcW w:w="1565" w:type="pct"/>
            <w:vMerge w:val="continue"/>
            <w:vAlign w:val="center"/>
          </w:tcPr>
          <w:p w14:paraId="04B9146C">
            <w:pPr>
              <w:spacing w:before="78" w:beforeLines="25" w:after="78" w:afterLines="25" w:line="264" w:lineRule="auto"/>
              <w:jc w:val="left"/>
              <w:rPr>
                <w:rFonts w:ascii="Times New Roman" w:hAnsi="Times New Roman" w:eastAsia="宋体" w:cs="宋体"/>
                <w:szCs w:val="21"/>
              </w:rPr>
            </w:pPr>
          </w:p>
        </w:tc>
        <w:tc>
          <w:tcPr>
            <w:tcW w:w="1151" w:type="pct"/>
            <w:vMerge w:val="continue"/>
            <w:tcBorders>
              <w:top w:val="single" w:color="auto" w:sz="4" w:space="0"/>
              <w:bottom w:val="single" w:color="auto" w:sz="4" w:space="0"/>
            </w:tcBorders>
            <w:vAlign w:val="center"/>
          </w:tcPr>
          <w:p w14:paraId="4B512669">
            <w:pPr>
              <w:spacing w:before="78" w:beforeLines="25" w:after="78" w:afterLines="25" w:line="264" w:lineRule="auto"/>
              <w:jc w:val="left"/>
              <w:rPr>
                <w:rFonts w:ascii="Times New Roman" w:hAnsi="Times New Roman" w:eastAsia="宋体" w:cs="宋体"/>
                <w:szCs w:val="21"/>
              </w:rPr>
            </w:pPr>
          </w:p>
        </w:tc>
      </w:tr>
      <w:tr w14:paraId="5BD2D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3" w:type="pct"/>
            <w:vMerge w:val="continue"/>
            <w:vAlign w:val="center"/>
          </w:tcPr>
          <w:p w14:paraId="18D0A836">
            <w:pPr>
              <w:spacing w:before="78" w:beforeLines="25" w:after="78" w:afterLines="25" w:line="264" w:lineRule="auto"/>
              <w:jc w:val="left"/>
              <w:rPr>
                <w:rFonts w:ascii="Times New Roman" w:hAnsi="Times New Roman" w:eastAsia="宋体" w:cs="宋体"/>
                <w:szCs w:val="21"/>
              </w:rPr>
            </w:pPr>
          </w:p>
        </w:tc>
        <w:tc>
          <w:tcPr>
            <w:tcW w:w="891" w:type="pct"/>
            <w:vMerge w:val="continue"/>
            <w:vAlign w:val="center"/>
          </w:tcPr>
          <w:p w14:paraId="17D1EC59">
            <w:pPr>
              <w:spacing w:before="78" w:beforeLines="25" w:after="78" w:afterLines="25" w:line="264" w:lineRule="auto"/>
              <w:jc w:val="left"/>
              <w:rPr>
                <w:rFonts w:ascii="Times New Roman" w:hAnsi="Times New Roman" w:eastAsia="宋体" w:cs="宋体"/>
                <w:szCs w:val="21"/>
              </w:rPr>
            </w:pPr>
          </w:p>
        </w:tc>
        <w:tc>
          <w:tcPr>
            <w:tcW w:w="538" w:type="pct"/>
            <w:vAlign w:val="center"/>
          </w:tcPr>
          <w:p w14:paraId="6B64DCCF">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BOD</w:t>
            </w:r>
            <w:r>
              <w:rPr>
                <w:rFonts w:hint="eastAsia" w:ascii="Times New Roman" w:hAnsi="Times New Roman" w:eastAsia="宋体" w:cs="宋体"/>
                <w:szCs w:val="21"/>
                <w:vertAlign w:val="subscript"/>
              </w:rPr>
              <w:t>5</w:t>
            </w:r>
          </w:p>
        </w:tc>
        <w:tc>
          <w:tcPr>
            <w:tcW w:w="1565" w:type="pct"/>
            <w:vMerge w:val="continue"/>
            <w:vAlign w:val="center"/>
          </w:tcPr>
          <w:p w14:paraId="1777E02C">
            <w:pPr>
              <w:spacing w:before="78" w:beforeLines="25" w:after="78" w:afterLines="25" w:line="264" w:lineRule="auto"/>
              <w:jc w:val="left"/>
              <w:rPr>
                <w:rFonts w:ascii="Times New Roman" w:hAnsi="Times New Roman" w:eastAsia="宋体" w:cs="宋体"/>
                <w:szCs w:val="21"/>
              </w:rPr>
            </w:pPr>
          </w:p>
        </w:tc>
        <w:tc>
          <w:tcPr>
            <w:tcW w:w="1151" w:type="pct"/>
            <w:vMerge w:val="continue"/>
            <w:tcBorders>
              <w:top w:val="single" w:color="auto" w:sz="4" w:space="0"/>
              <w:bottom w:val="single" w:color="auto" w:sz="4" w:space="0"/>
            </w:tcBorders>
            <w:vAlign w:val="center"/>
          </w:tcPr>
          <w:p w14:paraId="6CDFABE8">
            <w:pPr>
              <w:spacing w:before="78" w:beforeLines="25" w:after="78" w:afterLines="25" w:line="264" w:lineRule="auto"/>
              <w:jc w:val="left"/>
              <w:rPr>
                <w:rFonts w:ascii="Times New Roman" w:hAnsi="Times New Roman" w:eastAsia="宋体" w:cs="宋体"/>
                <w:szCs w:val="21"/>
              </w:rPr>
            </w:pPr>
          </w:p>
        </w:tc>
      </w:tr>
      <w:tr w14:paraId="3190B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3" w:type="pct"/>
            <w:vMerge w:val="continue"/>
            <w:vAlign w:val="center"/>
          </w:tcPr>
          <w:p w14:paraId="43B8C5DE">
            <w:pPr>
              <w:spacing w:before="78" w:beforeLines="25" w:after="78" w:afterLines="25" w:line="264" w:lineRule="auto"/>
              <w:jc w:val="left"/>
              <w:rPr>
                <w:rFonts w:ascii="Times New Roman" w:hAnsi="Times New Roman" w:eastAsia="宋体" w:cs="宋体"/>
                <w:szCs w:val="21"/>
              </w:rPr>
            </w:pPr>
          </w:p>
        </w:tc>
        <w:tc>
          <w:tcPr>
            <w:tcW w:w="891" w:type="pct"/>
            <w:vMerge w:val="continue"/>
            <w:vAlign w:val="center"/>
          </w:tcPr>
          <w:p w14:paraId="228BA620">
            <w:pPr>
              <w:spacing w:before="78" w:beforeLines="25" w:after="78" w:afterLines="25" w:line="264" w:lineRule="auto"/>
              <w:jc w:val="left"/>
              <w:rPr>
                <w:rFonts w:ascii="Times New Roman" w:hAnsi="Times New Roman" w:eastAsia="宋体" w:cs="宋体"/>
                <w:szCs w:val="21"/>
              </w:rPr>
            </w:pPr>
          </w:p>
        </w:tc>
        <w:tc>
          <w:tcPr>
            <w:tcW w:w="538" w:type="pct"/>
            <w:vAlign w:val="center"/>
          </w:tcPr>
          <w:p w14:paraId="6270D03F">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SS</w:t>
            </w:r>
          </w:p>
        </w:tc>
        <w:tc>
          <w:tcPr>
            <w:tcW w:w="1565" w:type="pct"/>
            <w:vMerge w:val="continue"/>
            <w:vAlign w:val="center"/>
          </w:tcPr>
          <w:p w14:paraId="1CF1EAB0">
            <w:pPr>
              <w:spacing w:before="78" w:beforeLines="25" w:after="78" w:afterLines="25" w:line="264" w:lineRule="auto"/>
              <w:jc w:val="left"/>
              <w:rPr>
                <w:rFonts w:ascii="Times New Roman" w:hAnsi="Times New Roman" w:eastAsia="宋体" w:cs="宋体"/>
                <w:szCs w:val="21"/>
              </w:rPr>
            </w:pPr>
          </w:p>
        </w:tc>
        <w:tc>
          <w:tcPr>
            <w:tcW w:w="1151" w:type="pct"/>
            <w:vMerge w:val="continue"/>
            <w:tcBorders>
              <w:top w:val="single" w:color="auto" w:sz="4" w:space="0"/>
              <w:bottom w:val="single" w:color="auto" w:sz="4" w:space="0"/>
            </w:tcBorders>
            <w:vAlign w:val="center"/>
          </w:tcPr>
          <w:p w14:paraId="07C527B3">
            <w:pPr>
              <w:spacing w:before="78" w:beforeLines="25" w:after="78" w:afterLines="25" w:line="264" w:lineRule="auto"/>
              <w:jc w:val="left"/>
              <w:rPr>
                <w:rFonts w:ascii="Times New Roman" w:hAnsi="Times New Roman" w:eastAsia="宋体" w:cs="宋体"/>
                <w:szCs w:val="21"/>
              </w:rPr>
            </w:pPr>
          </w:p>
        </w:tc>
      </w:tr>
      <w:tr w14:paraId="08A77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3" w:type="pct"/>
            <w:vMerge w:val="continue"/>
            <w:vAlign w:val="center"/>
          </w:tcPr>
          <w:p w14:paraId="17948C6D">
            <w:pPr>
              <w:spacing w:before="78" w:beforeLines="25" w:after="78" w:afterLines="25" w:line="264" w:lineRule="auto"/>
              <w:jc w:val="left"/>
              <w:rPr>
                <w:rFonts w:ascii="Times New Roman" w:hAnsi="Times New Roman" w:eastAsia="宋体" w:cs="宋体"/>
                <w:szCs w:val="21"/>
              </w:rPr>
            </w:pPr>
          </w:p>
        </w:tc>
        <w:tc>
          <w:tcPr>
            <w:tcW w:w="891" w:type="pct"/>
            <w:vMerge w:val="continue"/>
            <w:vAlign w:val="center"/>
          </w:tcPr>
          <w:p w14:paraId="38DBE825">
            <w:pPr>
              <w:spacing w:before="78" w:beforeLines="25" w:after="78" w:afterLines="25" w:line="264" w:lineRule="auto"/>
              <w:jc w:val="left"/>
              <w:rPr>
                <w:rFonts w:ascii="Times New Roman" w:hAnsi="Times New Roman" w:eastAsia="宋体" w:cs="宋体"/>
                <w:szCs w:val="21"/>
              </w:rPr>
            </w:pPr>
          </w:p>
        </w:tc>
        <w:tc>
          <w:tcPr>
            <w:tcW w:w="538" w:type="pct"/>
            <w:vAlign w:val="center"/>
          </w:tcPr>
          <w:p w14:paraId="6765B645">
            <w:pPr>
              <w:spacing w:before="78" w:beforeLines="25" w:after="78" w:afterLines="25" w:line="264" w:lineRule="auto"/>
              <w:jc w:val="center"/>
              <w:rPr>
                <w:rFonts w:ascii="Times New Roman" w:hAnsi="Times New Roman" w:eastAsia="宋体" w:cs="宋体"/>
                <w:szCs w:val="21"/>
              </w:rPr>
            </w:pPr>
            <w:r>
              <w:rPr>
                <w:rFonts w:hint="eastAsia" w:ascii="Times New Roman" w:hAnsi="Times New Roman" w:eastAsia="宋体" w:cs="宋体"/>
                <w:szCs w:val="21"/>
              </w:rPr>
              <w:t>氨氮</w:t>
            </w:r>
          </w:p>
        </w:tc>
        <w:tc>
          <w:tcPr>
            <w:tcW w:w="1565" w:type="pct"/>
            <w:vMerge w:val="continue"/>
            <w:vAlign w:val="center"/>
          </w:tcPr>
          <w:p w14:paraId="440E654F">
            <w:pPr>
              <w:spacing w:before="78" w:beforeLines="25" w:after="78" w:afterLines="25" w:line="264" w:lineRule="auto"/>
              <w:jc w:val="left"/>
              <w:rPr>
                <w:rFonts w:ascii="Times New Roman" w:hAnsi="Times New Roman" w:eastAsia="宋体" w:cs="宋体"/>
                <w:szCs w:val="21"/>
              </w:rPr>
            </w:pPr>
          </w:p>
        </w:tc>
        <w:tc>
          <w:tcPr>
            <w:tcW w:w="1151" w:type="pct"/>
            <w:vMerge w:val="continue"/>
            <w:tcBorders>
              <w:top w:val="single" w:color="auto" w:sz="4" w:space="0"/>
              <w:bottom w:val="single" w:color="auto" w:sz="4" w:space="0"/>
            </w:tcBorders>
            <w:vAlign w:val="center"/>
          </w:tcPr>
          <w:p w14:paraId="77516548">
            <w:pPr>
              <w:spacing w:before="78" w:beforeLines="25" w:after="78" w:afterLines="25" w:line="264" w:lineRule="auto"/>
              <w:jc w:val="left"/>
              <w:rPr>
                <w:rFonts w:ascii="Times New Roman" w:hAnsi="Times New Roman" w:eastAsia="宋体" w:cs="宋体"/>
                <w:szCs w:val="21"/>
              </w:rPr>
            </w:pPr>
          </w:p>
        </w:tc>
      </w:tr>
      <w:tr w14:paraId="5620D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Align w:val="center"/>
          </w:tcPr>
          <w:p w14:paraId="1B73B2C3">
            <w:pPr>
              <w:spacing w:line="264" w:lineRule="auto"/>
              <w:jc w:val="center"/>
              <w:rPr>
                <w:rFonts w:ascii="Times New Roman" w:hAnsi="Times New Roman" w:eastAsia="宋体" w:cs="宋体"/>
                <w:b/>
                <w:bCs/>
                <w:sz w:val="24"/>
              </w:rPr>
            </w:pPr>
            <w:r>
              <w:rPr>
                <w:rFonts w:hint="eastAsia" w:ascii="Times New Roman" w:hAnsi="Times New Roman" w:eastAsia="宋体" w:cs="宋体"/>
                <w:b/>
                <w:bCs/>
                <w:sz w:val="24"/>
              </w:rPr>
              <w:t>声环境</w:t>
            </w:r>
          </w:p>
        </w:tc>
        <w:tc>
          <w:tcPr>
            <w:tcW w:w="891" w:type="pct"/>
            <w:vAlign w:val="center"/>
          </w:tcPr>
          <w:p w14:paraId="409D9D6F">
            <w:pPr>
              <w:spacing w:line="288" w:lineRule="auto"/>
              <w:jc w:val="center"/>
              <w:rPr>
                <w:rFonts w:ascii="Times New Roman" w:hAnsi="Times New Roman" w:eastAsia="宋体" w:cs="宋体"/>
                <w:szCs w:val="21"/>
              </w:rPr>
            </w:pPr>
            <w:r>
              <w:rPr>
                <w:rFonts w:hint="eastAsia" w:ascii="Times New Roman" w:hAnsi="Times New Roman" w:eastAsia="宋体" w:cs="宋体"/>
                <w:szCs w:val="21"/>
              </w:rPr>
              <w:t>设备噪声</w:t>
            </w:r>
          </w:p>
        </w:tc>
        <w:tc>
          <w:tcPr>
            <w:tcW w:w="538" w:type="pct"/>
            <w:vAlign w:val="center"/>
          </w:tcPr>
          <w:p w14:paraId="79AD86CF">
            <w:pPr>
              <w:spacing w:line="288" w:lineRule="auto"/>
              <w:jc w:val="center"/>
              <w:rPr>
                <w:rFonts w:ascii="Times New Roman" w:hAnsi="Times New Roman" w:eastAsia="宋体" w:cs="宋体"/>
                <w:szCs w:val="21"/>
              </w:rPr>
            </w:pPr>
            <w:r>
              <w:rPr>
                <w:rFonts w:hint="eastAsia" w:ascii="Times New Roman" w:hAnsi="Times New Roman" w:eastAsia="宋体" w:cs="宋体"/>
                <w:szCs w:val="21"/>
              </w:rPr>
              <w:t>连续等效A声级</w:t>
            </w:r>
          </w:p>
        </w:tc>
        <w:tc>
          <w:tcPr>
            <w:tcW w:w="1565" w:type="pct"/>
            <w:vAlign w:val="center"/>
          </w:tcPr>
          <w:p w14:paraId="1119AB16">
            <w:pPr>
              <w:spacing w:line="293" w:lineRule="auto"/>
              <w:jc w:val="center"/>
              <w:rPr>
                <w:rFonts w:ascii="Times New Roman" w:hAnsi="Times New Roman" w:eastAsia="宋体" w:cs="宋体"/>
                <w:szCs w:val="21"/>
              </w:rPr>
            </w:pPr>
            <w:r>
              <w:rPr>
                <w:rFonts w:hint="eastAsia" w:ascii="Times New Roman" w:hAnsi="Times New Roman" w:eastAsia="宋体" w:cs="宋体"/>
                <w:szCs w:val="21"/>
              </w:rPr>
              <w:t>隔声、减震等措施。</w:t>
            </w:r>
          </w:p>
        </w:tc>
        <w:tc>
          <w:tcPr>
            <w:tcW w:w="1151" w:type="pct"/>
            <w:tcBorders>
              <w:top w:val="single" w:color="auto" w:sz="4" w:space="0"/>
            </w:tcBorders>
            <w:vAlign w:val="center"/>
          </w:tcPr>
          <w:p w14:paraId="20C53672">
            <w:pPr>
              <w:spacing w:line="293" w:lineRule="auto"/>
              <w:jc w:val="center"/>
              <w:rPr>
                <w:rFonts w:ascii="Times New Roman" w:hAnsi="Times New Roman" w:eastAsia="宋体" w:cs="宋体"/>
                <w:szCs w:val="21"/>
              </w:rPr>
            </w:pPr>
            <w:r>
              <w:rPr>
                <w:rFonts w:hint="eastAsia" w:ascii="Times New Roman" w:hAnsi="Times New Roman" w:eastAsia="宋体" w:cs="宋体"/>
                <w:szCs w:val="21"/>
              </w:rPr>
              <w:t>《工业企业厂界环境噪声排放标准》（GB12348-2008）3</w:t>
            </w:r>
            <w:r>
              <w:rPr>
                <w:rFonts w:ascii="Times New Roman" w:hAnsi="Times New Roman" w:eastAsia="宋体" w:cs="宋体"/>
                <w:szCs w:val="21"/>
              </w:rPr>
              <w:t xml:space="preserve"> </w:t>
            </w:r>
            <w:r>
              <w:rPr>
                <w:rFonts w:hint="eastAsia" w:ascii="Times New Roman" w:hAnsi="Times New Roman" w:eastAsia="宋体" w:cs="宋体"/>
                <w:szCs w:val="21"/>
              </w:rPr>
              <w:t>类标准</w:t>
            </w:r>
          </w:p>
          <w:p w14:paraId="48C689E2">
            <w:pPr>
              <w:spacing w:line="293" w:lineRule="auto"/>
              <w:jc w:val="center"/>
              <w:rPr>
                <w:rFonts w:ascii="Times New Roman" w:hAnsi="Times New Roman" w:eastAsia="宋体" w:cs="宋体"/>
                <w:szCs w:val="21"/>
              </w:rPr>
            </w:pPr>
            <w:r>
              <w:rPr>
                <w:rFonts w:hint="eastAsia" w:ascii="Times New Roman" w:hAnsi="Times New Roman" w:eastAsia="宋体" w:cs="宋体"/>
                <w:szCs w:val="21"/>
              </w:rPr>
              <w:t>昼间≤</w:t>
            </w:r>
            <w:r>
              <w:rPr>
                <w:rFonts w:ascii="Times New Roman" w:hAnsi="Times New Roman" w:eastAsia="宋体" w:cs="宋体"/>
                <w:szCs w:val="21"/>
              </w:rPr>
              <w:t>6</w:t>
            </w:r>
            <w:r>
              <w:rPr>
                <w:rFonts w:hint="eastAsia" w:ascii="Times New Roman" w:hAnsi="Times New Roman" w:eastAsia="宋体" w:cs="宋体"/>
                <w:szCs w:val="21"/>
              </w:rPr>
              <w:t>5</w:t>
            </w:r>
            <w:r>
              <w:rPr>
                <w:rFonts w:ascii="Times New Roman" w:hAnsi="Times New Roman" w:eastAsia="宋体" w:cs="宋体"/>
                <w:szCs w:val="21"/>
              </w:rPr>
              <w:t>dB</w:t>
            </w:r>
            <w:r>
              <w:rPr>
                <w:rFonts w:hint="eastAsia" w:ascii="Times New Roman" w:hAnsi="Times New Roman" w:eastAsia="宋体" w:cs="宋体"/>
                <w:szCs w:val="21"/>
              </w:rPr>
              <w:t>（A）</w:t>
            </w:r>
          </w:p>
          <w:p w14:paraId="03A46E1C">
            <w:pPr>
              <w:spacing w:line="293" w:lineRule="auto"/>
              <w:jc w:val="center"/>
              <w:rPr>
                <w:rFonts w:ascii="Times New Roman" w:hAnsi="Times New Roman" w:eastAsia="宋体" w:cs="宋体"/>
                <w:szCs w:val="21"/>
              </w:rPr>
            </w:pPr>
            <w:r>
              <w:rPr>
                <w:rFonts w:hint="eastAsia" w:ascii="Times New Roman" w:hAnsi="Times New Roman" w:eastAsia="宋体" w:cs="宋体"/>
                <w:szCs w:val="21"/>
              </w:rPr>
              <w:t>夜间≤</w:t>
            </w:r>
            <w:r>
              <w:rPr>
                <w:rFonts w:ascii="Times New Roman" w:hAnsi="Times New Roman" w:eastAsia="宋体" w:cs="宋体"/>
                <w:szCs w:val="21"/>
              </w:rPr>
              <w:t>5</w:t>
            </w:r>
            <w:r>
              <w:rPr>
                <w:rFonts w:hint="eastAsia" w:ascii="Times New Roman" w:hAnsi="Times New Roman" w:eastAsia="宋体" w:cs="宋体"/>
                <w:szCs w:val="21"/>
              </w:rPr>
              <w:t>5</w:t>
            </w:r>
            <w:r>
              <w:rPr>
                <w:rFonts w:ascii="Times New Roman" w:hAnsi="Times New Roman" w:eastAsia="宋体" w:cs="宋体"/>
                <w:szCs w:val="21"/>
              </w:rPr>
              <w:t>dB</w:t>
            </w:r>
            <w:r>
              <w:rPr>
                <w:rFonts w:hint="eastAsia" w:ascii="Times New Roman" w:hAnsi="Times New Roman" w:eastAsia="宋体" w:cs="宋体"/>
                <w:szCs w:val="21"/>
              </w:rPr>
              <w:t>（A）</w:t>
            </w:r>
          </w:p>
        </w:tc>
      </w:tr>
      <w:tr w14:paraId="561CB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853" w:type="pct"/>
            <w:vAlign w:val="center"/>
          </w:tcPr>
          <w:p w14:paraId="4491ACBF">
            <w:pPr>
              <w:spacing w:line="264" w:lineRule="auto"/>
              <w:jc w:val="center"/>
              <w:rPr>
                <w:rFonts w:ascii="Times New Roman" w:hAnsi="Times New Roman" w:eastAsia="宋体" w:cs="宋体"/>
                <w:b/>
                <w:bCs/>
                <w:sz w:val="24"/>
              </w:rPr>
            </w:pPr>
            <w:r>
              <w:rPr>
                <w:rFonts w:hint="eastAsia" w:ascii="Times New Roman" w:hAnsi="Times New Roman" w:eastAsia="宋体" w:cs="宋体"/>
                <w:b/>
                <w:bCs/>
                <w:sz w:val="24"/>
              </w:rPr>
              <w:t>电磁辐射</w:t>
            </w:r>
          </w:p>
        </w:tc>
        <w:tc>
          <w:tcPr>
            <w:tcW w:w="4146" w:type="pct"/>
            <w:gridSpan w:val="4"/>
            <w:vAlign w:val="center"/>
          </w:tcPr>
          <w:p w14:paraId="239CEC29">
            <w:pPr>
              <w:spacing w:line="288" w:lineRule="auto"/>
              <w:jc w:val="center"/>
              <w:rPr>
                <w:rFonts w:ascii="Times New Roman" w:hAnsi="Times New Roman" w:eastAsia="宋体" w:cs="宋体"/>
                <w:szCs w:val="21"/>
              </w:rPr>
            </w:pPr>
            <w:r>
              <w:rPr>
                <w:rFonts w:hint="eastAsia" w:ascii="Times New Roman" w:hAnsi="Times New Roman" w:eastAsia="宋体" w:cs="宋体"/>
                <w:szCs w:val="21"/>
              </w:rPr>
              <w:t>无</w:t>
            </w:r>
          </w:p>
        </w:tc>
      </w:tr>
      <w:tr w14:paraId="1FBF0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Align w:val="center"/>
          </w:tcPr>
          <w:p w14:paraId="261ADCA5">
            <w:pPr>
              <w:spacing w:line="264" w:lineRule="auto"/>
              <w:jc w:val="center"/>
              <w:rPr>
                <w:rFonts w:ascii="Times New Roman" w:hAnsi="Times New Roman" w:eastAsia="宋体" w:cs="宋体"/>
                <w:b/>
                <w:bCs/>
                <w:sz w:val="24"/>
              </w:rPr>
            </w:pPr>
            <w:r>
              <w:rPr>
                <w:rFonts w:hint="eastAsia" w:ascii="Times New Roman" w:hAnsi="Times New Roman" w:eastAsia="宋体" w:cs="宋体"/>
                <w:b/>
                <w:bCs/>
                <w:sz w:val="24"/>
              </w:rPr>
              <w:t>固体废物</w:t>
            </w:r>
          </w:p>
        </w:tc>
        <w:tc>
          <w:tcPr>
            <w:tcW w:w="4146" w:type="pct"/>
            <w:gridSpan w:val="4"/>
            <w:vAlign w:val="center"/>
          </w:tcPr>
          <w:p w14:paraId="6F8F6D32">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 xml:space="preserve">① </w:t>
            </w:r>
            <w:r>
              <w:rPr>
                <w:rFonts w:hint="eastAsia" w:ascii="Times New Roman" w:hAnsi="Times New Roman" w:eastAsia="宋体"/>
                <w:szCs w:val="21"/>
                <w:u w:val="single"/>
              </w:rPr>
              <w:t>一般固废</w:t>
            </w:r>
            <w:r>
              <w:rPr>
                <w:rFonts w:hint="eastAsia" w:ascii="Times New Roman" w:hAnsi="Times New Roman" w:eastAsia="宋体"/>
                <w:szCs w:val="21"/>
              </w:rPr>
              <w:t>：运营期一般固废主要为</w:t>
            </w:r>
            <w:r>
              <w:rPr>
                <w:rFonts w:hint="eastAsia" w:ascii="Times New Roman" w:hAnsi="Times New Roman" w:eastAsia="宋体"/>
                <w:szCs w:val="21"/>
                <w:lang w:eastAsia="zh-CN"/>
              </w:rPr>
              <w:t>边角料</w:t>
            </w:r>
            <w:r>
              <w:rPr>
                <w:rFonts w:hint="eastAsia" w:ascii="Times New Roman" w:hAnsi="Times New Roman" w:eastAsia="宋体"/>
                <w:szCs w:val="21"/>
              </w:rPr>
              <w:t>、除尘灰等，收集后分类暂存于厂区一般固废暂存区（面积约</w:t>
            </w:r>
            <w:r>
              <w:rPr>
                <w:rFonts w:hint="eastAsia" w:ascii="Times New Roman" w:hAnsi="Times New Roman" w:eastAsia="宋体"/>
                <w:szCs w:val="21"/>
                <w:lang w:val="en-US" w:eastAsia="zh-CN"/>
              </w:rPr>
              <w:t>5</w:t>
            </w:r>
            <w:r>
              <w:rPr>
                <w:rFonts w:hint="eastAsia" w:ascii="Times New Roman" w:hAnsi="Times New Roman" w:eastAsia="宋体"/>
                <w:szCs w:val="21"/>
              </w:rPr>
              <w:t>m</w:t>
            </w:r>
            <w:r>
              <w:rPr>
                <w:rFonts w:hint="eastAsia" w:ascii="Times New Roman" w:hAnsi="Times New Roman" w:eastAsia="宋体"/>
                <w:szCs w:val="21"/>
                <w:vertAlign w:val="superscript"/>
              </w:rPr>
              <w:t>2</w:t>
            </w:r>
            <w:r>
              <w:rPr>
                <w:rFonts w:hint="eastAsia" w:ascii="Times New Roman" w:hAnsi="Times New Roman" w:eastAsia="宋体"/>
                <w:szCs w:val="21"/>
              </w:rPr>
              <w:t>），定期外售综合利用。项目一般固废暂存区设置应符合《一般工业固体废物贮存和填埋污染控制标准》（GB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6C5D0D66">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 xml:space="preserve">② </w:t>
            </w:r>
            <w:r>
              <w:rPr>
                <w:rFonts w:hint="eastAsia" w:ascii="Times New Roman" w:hAnsi="Times New Roman" w:eastAsia="宋体"/>
                <w:szCs w:val="21"/>
                <w:u w:val="single"/>
              </w:rPr>
              <w:t>危险废物</w:t>
            </w:r>
            <w:r>
              <w:rPr>
                <w:rFonts w:hint="eastAsia" w:ascii="Times New Roman" w:hAnsi="Times New Roman" w:eastAsia="宋体"/>
                <w:szCs w:val="21"/>
              </w:rPr>
              <w:t>：主要为废活性炭、废过滤棉、</w:t>
            </w:r>
            <w:r>
              <w:rPr>
                <w:rFonts w:hint="eastAsia" w:ascii="Times New Roman" w:hAnsi="Times New Roman" w:eastAsia="宋体"/>
                <w:szCs w:val="21"/>
                <w:lang w:eastAsia="zh-CN"/>
              </w:rPr>
              <w:t>废液压油、废导热油</w:t>
            </w:r>
            <w:r>
              <w:rPr>
                <w:rFonts w:hint="eastAsia" w:ascii="Times New Roman" w:hAnsi="Times New Roman" w:eastAsia="宋体"/>
                <w:szCs w:val="21"/>
              </w:rPr>
              <w:t>、废油桶、空压机含油废液、含油废棉纱手套等，危废统一收集后，分类暂存于厂区危废贮存点，定期</w:t>
            </w:r>
            <w:r>
              <w:rPr>
                <w:rFonts w:hint="eastAsia" w:ascii="Times New Roman" w:hAnsi="Times New Roman" w:eastAsia="宋体"/>
                <w:szCs w:val="21"/>
                <w:lang w:eastAsia="zh-CN"/>
              </w:rPr>
              <w:t>交由</w:t>
            </w:r>
            <w:r>
              <w:rPr>
                <w:rFonts w:hint="eastAsia" w:ascii="Times New Roman" w:hAnsi="Times New Roman" w:eastAsia="宋体"/>
                <w:szCs w:val="21"/>
              </w:rPr>
              <w:t>相应危险废物处理资质单位转运处置。</w:t>
            </w:r>
          </w:p>
          <w:p w14:paraId="48D7F42C">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项目危废贮存点面积约5m</w:t>
            </w:r>
            <w:r>
              <w:rPr>
                <w:rFonts w:hint="eastAsia" w:ascii="Times New Roman" w:hAnsi="Times New Roman" w:eastAsia="宋体"/>
                <w:szCs w:val="21"/>
                <w:vertAlign w:val="superscript"/>
              </w:rPr>
              <w:t>2</w:t>
            </w:r>
            <w:r>
              <w:rPr>
                <w:rFonts w:hint="eastAsia" w:ascii="Times New Roman" w:hAnsi="Times New Roman" w:eastAsia="宋体"/>
                <w:szCs w:val="21"/>
              </w:rPr>
              <w:t>，应满足《危险废物贮存污染控制标准》（</w:t>
            </w:r>
            <w:r>
              <w:rPr>
                <w:rFonts w:ascii="Times New Roman" w:hAnsi="Times New Roman" w:eastAsia="宋体"/>
                <w:szCs w:val="21"/>
              </w:rPr>
              <w:t>GB</w:t>
            </w:r>
            <w:r>
              <w:rPr>
                <w:rFonts w:hint="eastAsia" w:ascii="Times New Roman" w:hAnsi="Times New Roman" w:eastAsia="宋体"/>
                <w:szCs w:val="21"/>
              </w:rPr>
              <w:t xml:space="preserve"> </w:t>
            </w:r>
            <w:r>
              <w:rPr>
                <w:rFonts w:ascii="Times New Roman" w:hAnsi="Times New Roman" w:eastAsia="宋体"/>
                <w:szCs w:val="21"/>
              </w:rPr>
              <w:t>18597-</w:t>
            </w:r>
            <w:r>
              <w:rPr>
                <w:rFonts w:hint="eastAsia" w:ascii="Times New Roman" w:hAnsi="Times New Roman" w:eastAsia="宋体"/>
                <w:szCs w:val="21"/>
              </w:rPr>
              <w:t>2023）的相关设置要求。运营期应严格按《中华人民共和国固体废物污染环境防治法》、《危险废物转移联单管理办法》等的规定，对厂区危险废物进行处置。危险废物转运处置前，厂内临时储存和运输也应按照危险废物管理和处置相关要求进行。</w:t>
            </w:r>
          </w:p>
        </w:tc>
      </w:tr>
      <w:tr w14:paraId="627D5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Align w:val="center"/>
          </w:tcPr>
          <w:p w14:paraId="7EA4291E">
            <w:pPr>
              <w:spacing w:line="360" w:lineRule="auto"/>
              <w:jc w:val="center"/>
              <w:rPr>
                <w:rFonts w:ascii="Times New Roman" w:hAnsi="Times New Roman" w:eastAsia="宋体" w:cs="宋体"/>
                <w:b/>
                <w:bCs/>
                <w:sz w:val="24"/>
              </w:rPr>
            </w:pPr>
            <w:r>
              <w:rPr>
                <w:rFonts w:hint="eastAsia" w:ascii="Times New Roman" w:hAnsi="Times New Roman" w:eastAsia="宋体" w:cs="宋体"/>
                <w:b/>
                <w:bCs/>
                <w:sz w:val="24"/>
              </w:rPr>
              <w:t>土壤及地下水</w:t>
            </w:r>
          </w:p>
          <w:p w14:paraId="7ACA5AA8">
            <w:pPr>
              <w:spacing w:line="360" w:lineRule="auto"/>
              <w:jc w:val="center"/>
              <w:rPr>
                <w:rFonts w:ascii="Times New Roman" w:hAnsi="Times New Roman" w:eastAsia="宋体" w:cs="宋体"/>
                <w:b/>
                <w:bCs/>
                <w:sz w:val="24"/>
              </w:rPr>
            </w:pPr>
            <w:r>
              <w:rPr>
                <w:rFonts w:hint="eastAsia" w:ascii="Times New Roman" w:hAnsi="Times New Roman" w:eastAsia="宋体" w:cs="宋体"/>
                <w:b/>
                <w:bCs/>
                <w:sz w:val="24"/>
              </w:rPr>
              <w:t>污染防治措施</w:t>
            </w:r>
          </w:p>
        </w:tc>
        <w:tc>
          <w:tcPr>
            <w:tcW w:w="4146" w:type="pct"/>
            <w:gridSpan w:val="4"/>
            <w:vAlign w:val="center"/>
          </w:tcPr>
          <w:p w14:paraId="4004DB7D">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危废贮存点地面采取防渗处理，废油、废液容器下方应设置防漏托盘（托盘容积应大于托盘内废油容器最大盛装量）。</w:t>
            </w:r>
          </w:p>
          <w:p w14:paraId="15651903">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危废贮存点等为重点防渗区：防渗性能不低于6.0m厚渗透系数为</w:t>
            </w:r>
            <w:r>
              <w:rPr>
                <w:rFonts w:ascii="Times New Roman" w:hAnsi="Times New Roman" w:eastAsia="宋体"/>
                <w:szCs w:val="21"/>
              </w:rPr>
              <w:t>1.0×10</w:t>
            </w:r>
            <w:r>
              <w:rPr>
                <w:rFonts w:ascii="Times New Roman" w:hAnsi="Times New Roman" w:eastAsia="宋体"/>
                <w:szCs w:val="21"/>
                <w:vertAlign w:val="superscript"/>
              </w:rPr>
              <w:t>-7</w:t>
            </w:r>
            <w:r>
              <w:rPr>
                <w:rFonts w:ascii="Times New Roman" w:hAnsi="Times New Roman" w:eastAsia="宋体"/>
                <w:szCs w:val="21"/>
              </w:rPr>
              <w:t>cm/s</w:t>
            </w:r>
            <w:r>
              <w:rPr>
                <w:rFonts w:hint="eastAsia" w:ascii="Times New Roman" w:hAnsi="Times New Roman" w:eastAsia="宋体"/>
                <w:szCs w:val="21"/>
              </w:rPr>
              <w:t>的黏土层防渗性能。</w:t>
            </w:r>
          </w:p>
        </w:tc>
      </w:tr>
      <w:tr w14:paraId="0F3E7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853" w:type="pct"/>
            <w:vAlign w:val="center"/>
          </w:tcPr>
          <w:p w14:paraId="7C7F3785">
            <w:pPr>
              <w:spacing w:line="360" w:lineRule="auto"/>
              <w:jc w:val="center"/>
              <w:rPr>
                <w:rFonts w:ascii="Times New Roman" w:hAnsi="Times New Roman" w:eastAsia="宋体" w:cs="宋体"/>
                <w:b/>
                <w:bCs/>
                <w:sz w:val="24"/>
              </w:rPr>
            </w:pPr>
            <w:r>
              <w:rPr>
                <w:rFonts w:hint="eastAsia" w:ascii="Times New Roman" w:hAnsi="Times New Roman" w:eastAsia="宋体" w:cs="宋体"/>
                <w:b/>
                <w:bCs/>
                <w:sz w:val="24"/>
              </w:rPr>
              <w:t>生态保护措施</w:t>
            </w:r>
          </w:p>
        </w:tc>
        <w:tc>
          <w:tcPr>
            <w:tcW w:w="4146" w:type="pct"/>
            <w:gridSpan w:val="4"/>
            <w:vAlign w:val="center"/>
          </w:tcPr>
          <w:p w14:paraId="3781F270">
            <w:pPr>
              <w:spacing w:line="300" w:lineRule="auto"/>
              <w:jc w:val="center"/>
              <w:rPr>
                <w:rFonts w:ascii="Times New Roman" w:hAnsi="Times New Roman" w:eastAsia="宋体" w:cs="宋体"/>
                <w:szCs w:val="21"/>
              </w:rPr>
            </w:pPr>
            <w:r>
              <w:rPr>
                <w:rFonts w:hint="eastAsia" w:ascii="Times New Roman" w:hAnsi="Times New Roman" w:eastAsia="宋体" w:cs="宋体"/>
                <w:szCs w:val="21"/>
              </w:rPr>
              <w:t>无</w:t>
            </w:r>
          </w:p>
        </w:tc>
      </w:tr>
      <w:tr w14:paraId="3AC9B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 w:type="pct"/>
            <w:vAlign w:val="center"/>
          </w:tcPr>
          <w:p w14:paraId="6A381007">
            <w:pPr>
              <w:spacing w:line="360" w:lineRule="auto"/>
              <w:jc w:val="center"/>
              <w:rPr>
                <w:rFonts w:ascii="Times New Roman" w:hAnsi="Times New Roman" w:eastAsia="宋体" w:cs="宋体"/>
                <w:b/>
                <w:bCs/>
                <w:spacing w:val="-8"/>
                <w:sz w:val="24"/>
              </w:rPr>
            </w:pPr>
            <w:r>
              <w:rPr>
                <w:rFonts w:hint="eastAsia" w:ascii="Times New Roman" w:hAnsi="Times New Roman" w:eastAsia="宋体" w:cs="宋体"/>
                <w:b/>
                <w:bCs/>
                <w:spacing w:val="-8"/>
                <w:sz w:val="24"/>
              </w:rPr>
              <w:t>环境风险</w:t>
            </w:r>
          </w:p>
          <w:p w14:paraId="03CBCF1D">
            <w:pPr>
              <w:spacing w:line="360" w:lineRule="auto"/>
              <w:jc w:val="center"/>
              <w:rPr>
                <w:rFonts w:ascii="Times New Roman" w:hAnsi="Times New Roman" w:eastAsia="宋体" w:cs="宋体"/>
                <w:b/>
                <w:bCs/>
                <w:spacing w:val="-8"/>
                <w:sz w:val="24"/>
              </w:rPr>
            </w:pPr>
            <w:r>
              <w:rPr>
                <w:rFonts w:hint="eastAsia" w:ascii="Times New Roman" w:hAnsi="Times New Roman" w:eastAsia="宋体" w:cs="宋体"/>
                <w:b/>
                <w:bCs/>
                <w:spacing w:val="-8"/>
                <w:sz w:val="24"/>
              </w:rPr>
              <w:t>防范措施</w:t>
            </w:r>
          </w:p>
        </w:tc>
        <w:tc>
          <w:tcPr>
            <w:tcW w:w="4146" w:type="pct"/>
            <w:gridSpan w:val="4"/>
            <w:vAlign w:val="center"/>
          </w:tcPr>
          <w:p w14:paraId="3CD53499">
            <w:pPr>
              <w:adjustRightIn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危废贮存点做重点防渗处理；防渗性能参照《危险废物贮存污染控制标准》（GB/T18597-2023）。</w:t>
            </w:r>
          </w:p>
          <w:p w14:paraId="5A4F99BD">
            <w:pPr>
              <w:spacing w:line="360" w:lineRule="auto"/>
              <w:ind w:firstLine="420" w:firstLineChars="200"/>
              <w:rPr>
                <w:rFonts w:ascii="Times New Roman" w:hAnsi="Times New Roman" w:eastAsia="宋体"/>
                <w:szCs w:val="21"/>
              </w:rPr>
            </w:pPr>
            <w:r>
              <w:rPr>
                <w:rFonts w:hint="eastAsia" w:ascii="Times New Roman" w:hAnsi="Times New Roman" w:cs="Times New Roman"/>
                <w:color w:val="000000" w:themeColor="text1"/>
                <w:szCs w:val="21"/>
                <w:lang w:eastAsia="zh-CN"/>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做好员工培训：</w:t>
            </w:r>
            <w:r>
              <w:rPr>
                <w:rFonts w:ascii="Times New Roman" w:hAnsi="Times New Roman" w:cs="Times New Roman"/>
                <w:color w:val="000000" w:themeColor="text1"/>
                <w:szCs w:val="21"/>
                <w:lang w:val="zh-CN"/>
                <w14:textFill>
                  <w14:solidFill>
                    <w14:schemeClr w14:val="tx1"/>
                  </w14:solidFill>
                </w14:textFill>
              </w:rPr>
              <w:t>坚持“安全第一，预防为主”的方针，积极推行全员预防性管理，经常性地开展安全日、安全周和安全知识竞赛等活动，实行安全工作责任制，建立安全规章制度，设立安全机构，</w:t>
            </w:r>
            <w:r>
              <w:rPr>
                <w:rFonts w:ascii="Times New Roman" w:hAnsi="Times New Roman" w:cs="Times New Roman"/>
                <w:color w:val="000000" w:themeColor="text1"/>
                <w:szCs w:val="21"/>
                <w14:textFill>
                  <w14:solidFill>
                    <w14:schemeClr w14:val="tx1"/>
                  </w14:solidFill>
                </w14:textFill>
              </w:rPr>
              <w:t>加强员工培训。工作</w:t>
            </w:r>
            <w:r>
              <w:rPr>
                <w:rFonts w:ascii="Times New Roman" w:hAnsi="Times New Roman" w:cs="Times New Roman"/>
                <w:color w:val="000000" w:themeColor="text1"/>
                <w:szCs w:val="21"/>
                <w:lang w:val="zh-CN"/>
                <w14:textFill>
                  <w14:solidFill>
                    <w14:schemeClr w14:val="tx1"/>
                  </w14:solidFill>
                </w14:textFill>
              </w:rPr>
              <w:t>人员必须经过专业知识培训，熟悉贮存物品的特性、事故处理办法和防护知识，必须配备有关的个人防护用品。</w:t>
            </w:r>
          </w:p>
        </w:tc>
      </w:tr>
      <w:tr w14:paraId="00D0A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85" w:hRule="atLeast"/>
          <w:jc w:val="center"/>
        </w:trPr>
        <w:tc>
          <w:tcPr>
            <w:tcW w:w="853" w:type="pct"/>
            <w:vAlign w:val="center"/>
          </w:tcPr>
          <w:p w14:paraId="689B4279">
            <w:pPr>
              <w:spacing w:before="62" w:beforeLines="20" w:after="62" w:afterLines="20" w:line="264" w:lineRule="auto"/>
              <w:jc w:val="center"/>
              <w:rPr>
                <w:rFonts w:ascii="Times New Roman" w:hAnsi="Times New Roman" w:eastAsia="宋体" w:cs="宋体"/>
                <w:b/>
                <w:bCs/>
                <w:spacing w:val="-8"/>
                <w:sz w:val="24"/>
              </w:rPr>
            </w:pPr>
            <w:r>
              <w:rPr>
                <w:rFonts w:hint="eastAsia" w:ascii="Times New Roman" w:hAnsi="Times New Roman" w:eastAsia="宋体" w:cs="宋体"/>
                <w:b/>
                <w:bCs/>
                <w:spacing w:val="-8"/>
                <w:sz w:val="24"/>
              </w:rPr>
              <w:t>其他环境</w:t>
            </w:r>
          </w:p>
          <w:p w14:paraId="275204DC">
            <w:pPr>
              <w:spacing w:before="62" w:beforeLines="20" w:after="62" w:afterLines="20" w:line="264" w:lineRule="auto"/>
              <w:jc w:val="center"/>
              <w:rPr>
                <w:rFonts w:ascii="Times New Roman" w:hAnsi="Times New Roman" w:eastAsia="宋体" w:cs="宋体"/>
                <w:b/>
                <w:bCs/>
                <w:spacing w:val="-8"/>
                <w:sz w:val="24"/>
              </w:rPr>
            </w:pPr>
            <w:r>
              <w:rPr>
                <w:rFonts w:hint="eastAsia" w:ascii="Times New Roman" w:hAnsi="Times New Roman" w:eastAsia="宋体" w:cs="宋体"/>
                <w:b/>
                <w:bCs/>
                <w:spacing w:val="-8"/>
                <w:sz w:val="24"/>
              </w:rPr>
              <w:t>管理要求</w:t>
            </w:r>
          </w:p>
        </w:tc>
        <w:tc>
          <w:tcPr>
            <w:tcW w:w="4146" w:type="pct"/>
            <w:gridSpan w:val="4"/>
            <w:vAlign w:val="center"/>
          </w:tcPr>
          <w:p w14:paraId="10912ACA">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建设单位应加强企业的环境管理，安排专人负责日常环境管理工作，配合环境保护行政主管部门做好营运期的环保工作。应对专职环保人员进行定期培训，确保环保设施的正常运行和污染物达标排放。</w:t>
            </w:r>
          </w:p>
          <w:p w14:paraId="2C234A12">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应根据《排污单位污染物排放口监测点位设置技术规范要求设置》（HJ 1405-2024）要求设置排污口。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w:t>
            </w:r>
          </w:p>
          <w:p w14:paraId="60DD6157">
            <w:pPr>
              <w:adjustRightIn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规范化排污口的有关设置（如图形标志牌、计量装置、监控装置等）</w:t>
            </w:r>
            <w:r>
              <w:rPr>
                <w:rFonts w:hint="eastAsia" w:ascii="Times New Roman" w:hAnsi="Times New Roman" w:eastAsia="宋体" w:cs="Times New Roman"/>
                <w:szCs w:val="21"/>
                <w:lang w:eastAsia="zh-CN"/>
              </w:rPr>
              <w:t>属于</w:t>
            </w:r>
            <w:r>
              <w:rPr>
                <w:rFonts w:ascii="Times New Roman" w:hAnsi="Times New Roman" w:eastAsia="宋体" w:cs="Times New Roman"/>
                <w:szCs w:val="21"/>
              </w:rPr>
              <w:t>环保设施，排污单位必须负责日常的维护保养，任何单位和个人不得擅自拆除，如需变更的须报环境监理部门同意并办理变更手续。</w:t>
            </w:r>
          </w:p>
          <w:p w14:paraId="27EC276A">
            <w:pPr>
              <w:adjustRightIn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建设单位应在项目产生排污行为之前，按照《排污许可管理条例》要求，应当在全国排污许可证管理信息平台上</w:t>
            </w:r>
            <w:r>
              <w:rPr>
                <w:rFonts w:hint="eastAsia"/>
                <w:color w:val="000000" w:themeColor="text1"/>
                <w14:textFill>
                  <w14:solidFill>
                    <w14:schemeClr w14:val="tx1"/>
                  </w14:solidFill>
                </w14:textFill>
              </w:rPr>
              <w:t>填报或变更</w:t>
            </w:r>
            <w:r>
              <w:rPr>
                <w:color w:val="000000" w:themeColor="text1"/>
                <w14:textFill>
                  <w14:solidFill>
                    <w14:schemeClr w14:val="tx1"/>
                  </w14:solidFill>
                </w14:textFill>
              </w:rPr>
              <w:t>基本信息、污染物排放去向、执行的污染物排放标准以及采取的污染防治措施等信息。</w:t>
            </w:r>
          </w:p>
          <w:p w14:paraId="29B0DB0F">
            <w:pPr>
              <w:adjustRightInd w:val="0"/>
              <w:spacing w:line="360" w:lineRule="auto"/>
              <w:ind w:firstLine="420" w:firstLineChars="200"/>
              <w:rPr>
                <w:rFonts w:ascii="Times New Roman" w:hAnsi="Times New Roman" w:eastAsia="宋体" w:cs="宋体"/>
                <w:szCs w:val="21"/>
              </w:rPr>
            </w:pPr>
            <w:r>
              <w:rPr>
                <w:color w:val="000000" w:themeColor="text1"/>
                <w14:textFill>
                  <w14:solidFill>
                    <w14:schemeClr w14:val="tx1"/>
                  </w14:solidFill>
                </w14:textFill>
              </w:rPr>
              <w:t>建设项目竣工后建设单位应自主开展项目环境保护验收。配套建设的环境保护设施经验收合格后，其主体工程方可投入生产或者使用；未经验收或者验收不合格的，不得投入生产或者使用</w:t>
            </w:r>
            <w:r>
              <w:rPr>
                <w:rFonts w:hint="eastAsia"/>
                <w:color w:val="000000" w:themeColor="text1"/>
                <w14:textFill>
                  <w14:solidFill>
                    <w14:schemeClr w14:val="tx1"/>
                  </w14:solidFill>
                </w14:textFill>
              </w:rPr>
              <w:t>。</w:t>
            </w:r>
          </w:p>
        </w:tc>
      </w:tr>
    </w:tbl>
    <w:p w14:paraId="44F37B23">
      <w:pPr>
        <w:pStyle w:val="22"/>
        <w:spacing w:before="31" w:beforeLines="10" w:beforeAutospacing="0" w:after="31" w:afterLines="10" w:afterAutospacing="0"/>
        <w:jc w:val="center"/>
        <w:outlineLvl w:val="0"/>
        <w:rPr>
          <w:rFonts w:ascii="Times New Roman" w:hAnsi="Times New Roman" w:eastAsia="黑体"/>
          <w:snapToGrid w:val="0"/>
          <w:sz w:val="30"/>
          <w:szCs w:val="30"/>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15" w:name="_Toc20594"/>
    </w:p>
    <w:p w14:paraId="18D6E717">
      <w:pPr>
        <w:pStyle w:val="22"/>
        <w:spacing w:before="31" w:beforeLines="10" w:beforeAutospacing="0" w:after="31" w:afterLines="10" w:afterAutospacing="0"/>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六、结论</w:t>
      </w:r>
      <w:bookmarkEnd w:id="15"/>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9162"/>
      </w:tblGrid>
      <w:tr w14:paraId="57BA6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877" w:hRule="atLeast"/>
          <w:jc w:val="center"/>
        </w:trPr>
        <w:tc>
          <w:tcPr>
            <w:tcW w:w="5000" w:type="pct"/>
          </w:tcPr>
          <w:p w14:paraId="076C104F">
            <w:pPr>
              <w:spacing w:line="360" w:lineRule="auto"/>
              <w:ind w:firstLine="480" w:firstLineChars="200"/>
              <w:rPr>
                <w:rFonts w:ascii="Times New Roman" w:hAnsi="Times New Roman" w:cs="宋体"/>
                <w:sz w:val="24"/>
              </w:rPr>
            </w:pPr>
            <w:r>
              <w:rPr>
                <w:rFonts w:hint="eastAsia" w:ascii="Times New Roman" w:hAnsi="Times New Roman"/>
                <w:sz w:val="24"/>
              </w:rPr>
              <w:t>综上所述，项目选址合理、符合国家及地方产业政策。项目运营期如能采取积极措施不断提高企业循环经济水平，推行清洁生产，并严格执行“三同时”制度，严格控制污染物排放量，将产生的各项污染物按报告中提出的污染治理措施进行治理，加强污染治理设施和设备的运行管理，则项目营运期对周围环境不会产生明显的影响。从环境保护角度分析，项目建设是可行的。</w:t>
            </w:r>
          </w:p>
        </w:tc>
      </w:tr>
    </w:tbl>
    <w:p w14:paraId="26191FE1">
      <w:pPr>
        <w:spacing w:line="40" w:lineRule="exact"/>
        <w:rPr>
          <w:rFonts w:ascii="Times New Roman" w:hAnsi="Times New Roman" w:eastAsia="宋体"/>
        </w:rPr>
      </w:pPr>
    </w:p>
    <w:p w14:paraId="2CE8C658">
      <w:pPr>
        <w:pStyle w:val="35"/>
        <w:spacing w:line="40" w:lineRule="exact"/>
        <w:rPr>
          <w:rFonts w:ascii="Times New Roman" w:hAnsi="Times New Roman" w:eastAsia="宋体"/>
          <w:color w:val="auto"/>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90DDC02">
      <w:pPr>
        <w:pStyle w:val="22"/>
        <w:spacing w:before="0" w:beforeAutospacing="0" w:after="0" w:afterAutospacing="0" w:line="360" w:lineRule="auto"/>
        <w:outlineLvl w:val="0"/>
        <w:rPr>
          <w:rFonts w:ascii="Times New Roman" w:hAnsi="Times New Roman" w:eastAsia="黑体"/>
          <w:snapToGrid w:val="0"/>
          <w:sz w:val="32"/>
          <w:szCs w:val="32"/>
        </w:rPr>
      </w:pPr>
      <w:bookmarkStart w:id="16" w:name="_Toc15714"/>
      <w:r>
        <w:rPr>
          <w:rFonts w:hint="eastAsia" w:ascii="Times New Roman" w:hAnsi="Times New Roman" w:eastAsia="黑体"/>
          <w:snapToGrid w:val="0"/>
          <w:sz w:val="32"/>
          <w:szCs w:val="32"/>
        </w:rPr>
        <w:t>附表</w:t>
      </w:r>
      <w:bookmarkEnd w:id="16"/>
    </w:p>
    <w:p w14:paraId="23BE21DA">
      <w:pPr>
        <w:pStyle w:val="22"/>
        <w:spacing w:before="62" w:beforeLines="20" w:beforeAutospacing="0" w:after="62" w:afterLines="20" w:afterAutospacing="0"/>
        <w:jc w:val="center"/>
        <w:rPr>
          <w:rFonts w:ascii="Times New Roman" w:hAnsi="Times New Roman" w:eastAsia="黑体"/>
          <w:snapToGrid w:val="0"/>
          <w:sz w:val="36"/>
          <w:szCs w:val="36"/>
        </w:rPr>
      </w:pPr>
      <w:r>
        <w:rPr>
          <w:rFonts w:hint="eastAsia" w:ascii="Times New Roman" w:hAnsi="Times New Roman" w:eastAsia="黑体"/>
          <w:snapToGrid w:val="0"/>
          <w:sz w:val="36"/>
          <w:szCs w:val="36"/>
        </w:rPr>
        <w:t>建设项目污染物排放量汇总表</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785"/>
        <w:gridCol w:w="1446"/>
        <w:gridCol w:w="1468"/>
        <w:gridCol w:w="1617"/>
        <w:gridCol w:w="1513"/>
        <w:gridCol w:w="1698"/>
        <w:gridCol w:w="1679"/>
        <w:gridCol w:w="1615"/>
      </w:tblGrid>
      <w:tr w14:paraId="0DADC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tcBorders>
              <w:tl2br w:val="single" w:color="auto" w:sz="4" w:space="0"/>
            </w:tcBorders>
            <w:tcMar>
              <w:left w:w="28" w:type="dxa"/>
              <w:right w:w="28" w:type="dxa"/>
            </w:tcMar>
            <w:vAlign w:val="center"/>
          </w:tcPr>
          <w:p w14:paraId="50257C0A">
            <w:pPr>
              <w:pStyle w:val="40"/>
              <w:adjustRightInd/>
              <w:snapToGrid/>
              <w:spacing w:beforeLines="0" w:afterLines="0" w:line="360" w:lineRule="auto"/>
              <w:ind w:firstLine="0" w:firstLineChars="0"/>
              <w:jc w:val="right"/>
              <w:rPr>
                <w:rFonts w:ascii="Times New Roman" w:cs="宋体"/>
                <w:b/>
                <w:bCs/>
                <w:snapToGrid w:val="0"/>
                <w:spacing w:val="-6"/>
                <w:kern w:val="21"/>
                <w:szCs w:val="21"/>
              </w:rPr>
            </w:pPr>
            <w:r>
              <w:rPr>
                <w:rFonts w:hint="eastAsia" w:ascii="Times New Roman" w:cs="宋体"/>
                <w:b/>
                <w:bCs/>
                <w:snapToGrid w:val="0"/>
                <w:spacing w:val="-6"/>
                <w:kern w:val="21"/>
                <w:szCs w:val="21"/>
              </w:rPr>
              <w:t>项目</w:t>
            </w:r>
          </w:p>
          <w:p w14:paraId="49146F4A">
            <w:pPr>
              <w:pStyle w:val="40"/>
              <w:adjustRightInd/>
              <w:snapToGrid/>
              <w:spacing w:beforeLines="0" w:afterLines="0" w:line="360" w:lineRule="auto"/>
              <w:ind w:firstLine="0" w:firstLineChars="0"/>
              <w:jc w:val="left"/>
              <w:rPr>
                <w:rFonts w:ascii="Times New Roman" w:cs="宋体"/>
                <w:b/>
                <w:bCs/>
                <w:snapToGrid w:val="0"/>
                <w:spacing w:val="-6"/>
                <w:kern w:val="21"/>
                <w:szCs w:val="21"/>
              </w:rPr>
            </w:pPr>
            <w:r>
              <w:rPr>
                <w:rFonts w:hint="eastAsia" w:ascii="Times New Roman" w:cs="宋体"/>
                <w:b/>
                <w:bCs/>
                <w:snapToGrid w:val="0"/>
                <w:spacing w:val="-6"/>
                <w:kern w:val="21"/>
                <w:szCs w:val="21"/>
              </w:rPr>
              <w:t>分类</w:t>
            </w:r>
          </w:p>
        </w:tc>
        <w:tc>
          <w:tcPr>
            <w:tcW w:w="637" w:type="pct"/>
            <w:tcMar>
              <w:left w:w="28" w:type="dxa"/>
              <w:right w:w="28" w:type="dxa"/>
            </w:tcMar>
            <w:vAlign w:val="center"/>
          </w:tcPr>
          <w:p w14:paraId="2FFE33B0">
            <w:pPr>
              <w:pStyle w:val="40"/>
              <w:adjustRightInd/>
              <w:snapToGrid/>
              <w:spacing w:beforeLines="0" w:afterLines="0" w:line="288" w:lineRule="auto"/>
              <w:ind w:firstLine="0" w:firstLineChars="0"/>
              <w:rPr>
                <w:rFonts w:ascii="Times New Roman" w:cs="宋体"/>
                <w:b/>
                <w:bCs/>
                <w:snapToGrid w:val="0"/>
                <w:spacing w:val="-6"/>
                <w:kern w:val="21"/>
                <w:szCs w:val="21"/>
              </w:rPr>
            </w:pPr>
            <w:r>
              <w:rPr>
                <w:rFonts w:hint="eastAsia" w:ascii="Times New Roman" w:cs="宋体"/>
                <w:b/>
                <w:bCs/>
                <w:snapToGrid w:val="0"/>
                <w:spacing w:val="-6"/>
                <w:kern w:val="21"/>
                <w:szCs w:val="21"/>
              </w:rPr>
              <w:t>污染物名称</w:t>
            </w:r>
          </w:p>
        </w:tc>
        <w:tc>
          <w:tcPr>
            <w:tcW w:w="516" w:type="pct"/>
            <w:tcMar>
              <w:left w:w="28" w:type="dxa"/>
              <w:right w:w="28" w:type="dxa"/>
            </w:tcMar>
            <w:vAlign w:val="center"/>
          </w:tcPr>
          <w:p w14:paraId="4611BD8E">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现有工程</w:t>
            </w:r>
          </w:p>
          <w:p w14:paraId="31A1C987">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排放量（固</w:t>
            </w:r>
            <w:r>
              <w:rPr>
                <w:rFonts w:hint="eastAsia" w:ascii="Times New Roman"/>
                <w:b/>
                <w:bCs/>
                <w:snapToGrid w:val="0"/>
                <w:spacing w:val="-6"/>
                <w:kern w:val="21"/>
                <w:szCs w:val="21"/>
              </w:rPr>
              <w:t>体</w:t>
            </w:r>
            <w:r>
              <w:rPr>
                <w:rFonts w:ascii="Times New Roman"/>
                <w:b/>
                <w:bCs/>
                <w:snapToGrid w:val="0"/>
                <w:spacing w:val="-6"/>
                <w:kern w:val="21"/>
                <w:szCs w:val="21"/>
              </w:rPr>
              <w:t>废</w:t>
            </w:r>
            <w:r>
              <w:rPr>
                <w:rFonts w:hint="eastAsia" w:ascii="Times New Roman"/>
                <w:b/>
                <w:bCs/>
                <w:snapToGrid w:val="0"/>
                <w:spacing w:val="-6"/>
                <w:kern w:val="21"/>
                <w:szCs w:val="21"/>
              </w:rPr>
              <w:t>物</w:t>
            </w:r>
            <w:r>
              <w:rPr>
                <w:rFonts w:ascii="Times New Roman"/>
                <w:b/>
                <w:bCs/>
                <w:snapToGrid w:val="0"/>
                <w:spacing w:val="-6"/>
                <w:kern w:val="21"/>
                <w:szCs w:val="21"/>
              </w:rPr>
              <w:t>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1 \* GB3 \* MERGEFORMAT </w:instrText>
            </w:r>
            <w:r>
              <w:rPr>
                <w:rFonts w:ascii="Times New Roman"/>
                <w:b/>
                <w:bCs/>
                <w:snapToGrid w:val="0"/>
                <w:spacing w:val="-6"/>
                <w:kern w:val="21"/>
                <w:szCs w:val="21"/>
              </w:rPr>
              <w:fldChar w:fldCharType="separate"/>
            </w:r>
            <w:r>
              <w:rPr>
                <w:rFonts w:hint="eastAsia" w:ascii="Times New Roman" w:cs="宋体"/>
                <w:b/>
                <w:bCs/>
                <w:kern w:val="2"/>
                <w:szCs w:val="21"/>
              </w:rPr>
              <w:t>①</w:t>
            </w:r>
            <w:r>
              <w:rPr>
                <w:rFonts w:ascii="Times New Roman"/>
                <w:b/>
                <w:bCs/>
                <w:snapToGrid w:val="0"/>
                <w:spacing w:val="-6"/>
                <w:kern w:val="21"/>
                <w:szCs w:val="21"/>
              </w:rPr>
              <w:fldChar w:fldCharType="end"/>
            </w:r>
          </w:p>
        </w:tc>
        <w:tc>
          <w:tcPr>
            <w:tcW w:w="524" w:type="pct"/>
            <w:tcMar>
              <w:left w:w="28" w:type="dxa"/>
              <w:right w:w="28" w:type="dxa"/>
            </w:tcMar>
            <w:vAlign w:val="center"/>
          </w:tcPr>
          <w:p w14:paraId="26BD0AD3">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现有工程</w:t>
            </w:r>
          </w:p>
          <w:p w14:paraId="3D54FEC5">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许可排放量</w:t>
            </w:r>
          </w:p>
          <w:p w14:paraId="00BE954D">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2 \* GB3 \* MERGEFORMAT </w:instrText>
            </w:r>
            <w:r>
              <w:rPr>
                <w:rFonts w:ascii="Times New Roman"/>
                <w:b/>
                <w:bCs/>
                <w:snapToGrid w:val="0"/>
                <w:spacing w:val="-6"/>
                <w:kern w:val="21"/>
                <w:szCs w:val="21"/>
              </w:rPr>
              <w:fldChar w:fldCharType="separate"/>
            </w:r>
            <w:r>
              <w:rPr>
                <w:rFonts w:hint="eastAsia" w:ascii="Times New Roman" w:cs="宋体"/>
                <w:b/>
                <w:bCs/>
                <w:snapToGrid w:val="0"/>
                <w:spacing w:val="-6"/>
                <w:kern w:val="21"/>
                <w:szCs w:val="21"/>
              </w:rPr>
              <w:t>②</w:t>
            </w:r>
            <w:r>
              <w:rPr>
                <w:rFonts w:ascii="Times New Roman"/>
                <w:b/>
                <w:bCs/>
                <w:snapToGrid w:val="0"/>
                <w:spacing w:val="-6"/>
                <w:kern w:val="21"/>
                <w:szCs w:val="21"/>
              </w:rPr>
              <w:fldChar w:fldCharType="end"/>
            </w:r>
          </w:p>
        </w:tc>
        <w:tc>
          <w:tcPr>
            <w:tcW w:w="577" w:type="pct"/>
            <w:tcMar>
              <w:left w:w="28" w:type="dxa"/>
              <w:right w:w="28" w:type="dxa"/>
            </w:tcMar>
            <w:vAlign w:val="center"/>
          </w:tcPr>
          <w:p w14:paraId="2A725443">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在建工程</w:t>
            </w:r>
          </w:p>
          <w:p w14:paraId="7F174509">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排放量（固</w:t>
            </w:r>
            <w:r>
              <w:rPr>
                <w:rFonts w:hint="eastAsia" w:ascii="Times New Roman"/>
                <w:b/>
                <w:bCs/>
                <w:snapToGrid w:val="0"/>
                <w:spacing w:val="-6"/>
                <w:kern w:val="21"/>
                <w:szCs w:val="21"/>
              </w:rPr>
              <w:t>体</w:t>
            </w:r>
            <w:r>
              <w:rPr>
                <w:rFonts w:ascii="Times New Roman"/>
                <w:b/>
                <w:bCs/>
                <w:snapToGrid w:val="0"/>
                <w:spacing w:val="-6"/>
                <w:kern w:val="21"/>
                <w:szCs w:val="21"/>
              </w:rPr>
              <w:t>废</w:t>
            </w:r>
            <w:r>
              <w:rPr>
                <w:rFonts w:hint="eastAsia" w:ascii="Times New Roman"/>
                <w:b/>
                <w:bCs/>
                <w:snapToGrid w:val="0"/>
                <w:spacing w:val="-6"/>
                <w:kern w:val="21"/>
                <w:szCs w:val="21"/>
              </w:rPr>
              <w:t>物</w:t>
            </w:r>
            <w:r>
              <w:rPr>
                <w:rFonts w:ascii="Times New Roman"/>
                <w:b/>
                <w:bCs/>
                <w:snapToGrid w:val="0"/>
                <w:spacing w:val="-6"/>
                <w:kern w:val="21"/>
                <w:szCs w:val="21"/>
              </w:rPr>
              <w:t>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3 \* GB3 \* MERGEFORMAT </w:instrText>
            </w:r>
            <w:r>
              <w:rPr>
                <w:rFonts w:ascii="Times New Roman"/>
                <w:b/>
                <w:bCs/>
                <w:snapToGrid w:val="0"/>
                <w:spacing w:val="-6"/>
                <w:kern w:val="21"/>
                <w:szCs w:val="21"/>
              </w:rPr>
              <w:fldChar w:fldCharType="separate"/>
            </w:r>
            <w:r>
              <w:rPr>
                <w:rFonts w:hint="eastAsia" w:ascii="Times New Roman" w:cs="宋体"/>
                <w:b/>
                <w:bCs/>
                <w:kern w:val="2"/>
                <w:szCs w:val="21"/>
              </w:rPr>
              <w:t>③</w:t>
            </w:r>
            <w:r>
              <w:rPr>
                <w:rFonts w:ascii="Times New Roman"/>
                <w:b/>
                <w:bCs/>
                <w:snapToGrid w:val="0"/>
                <w:spacing w:val="-6"/>
                <w:kern w:val="21"/>
                <w:szCs w:val="21"/>
              </w:rPr>
              <w:fldChar w:fldCharType="end"/>
            </w:r>
          </w:p>
        </w:tc>
        <w:tc>
          <w:tcPr>
            <w:tcW w:w="540" w:type="pct"/>
            <w:tcMar>
              <w:left w:w="28" w:type="dxa"/>
              <w:right w:w="28" w:type="dxa"/>
            </w:tcMar>
            <w:vAlign w:val="center"/>
          </w:tcPr>
          <w:p w14:paraId="3AC0668A">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本项目</w:t>
            </w:r>
          </w:p>
          <w:p w14:paraId="022A8C89">
            <w:pPr>
              <w:pStyle w:val="40"/>
              <w:adjustRightInd/>
              <w:snapToGrid/>
              <w:spacing w:beforeLines="0" w:afterLines="0" w:line="288" w:lineRule="auto"/>
              <w:ind w:firstLine="0" w:firstLineChars="0"/>
              <w:rPr>
                <w:rFonts w:ascii="Times New Roman"/>
                <w:b/>
                <w:bCs/>
                <w:snapToGrid w:val="0"/>
                <w:spacing w:val="-6"/>
                <w:kern w:val="21"/>
                <w:szCs w:val="21"/>
              </w:rPr>
            </w:pPr>
            <w:r>
              <w:rPr>
                <w:rFonts w:ascii="Times New Roman"/>
                <w:b/>
                <w:bCs/>
                <w:snapToGrid w:val="0"/>
                <w:spacing w:val="-6"/>
                <w:kern w:val="21"/>
                <w:szCs w:val="21"/>
              </w:rPr>
              <w:t>排放量（固</w:t>
            </w:r>
            <w:r>
              <w:rPr>
                <w:rFonts w:hint="eastAsia" w:ascii="Times New Roman"/>
                <w:b/>
                <w:bCs/>
                <w:snapToGrid w:val="0"/>
                <w:spacing w:val="-6"/>
                <w:kern w:val="21"/>
                <w:szCs w:val="21"/>
              </w:rPr>
              <w:t>体</w:t>
            </w:r>
            <w:r>
              <w:rPr>
                <w:rFonts w:ascii="Times New Roman"/>
                <w:b/>
                <w:bCs/>
                <w:snapToGrid w:val="0"/>
                <w:spacing w:val="-6"/>
                <w:kern w:val="21"/>
                <w:szCs w:val="21"/>
              </w:rPr>
              <w:t>废</w:t>
            </w:r>
            <w:r>
              <w:rPr>
                <w:rFonts w:hint="eastAsia" w:ascii="Times New Roman"/>
                <w:b/>
                <w:bCs/>
                <w:snapToGrid w:val="0"/>
                <w:spacing w:val="-6"/>
                <w:kern w:val="21"/>
                <w:szCs w:val="21"/>
              </w:rPr>
              <w:t>物</w:t>
            </w:r>
            <w:r>
              <w:rPr>
                <w:rFonts w:ascii="Times New Roman"/>
                <w:b/>
                <w:bCs/>
                <w:snapToGrid w:val="0"/>
                <w:spacing w:val="-6"/>
                <w:kern w:val="21"/>
                <w:szCs w:val="21"/>
              </w:rPr>
              <w:t>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4 \* GB3 \* MERGEFORMAT </w:instrText>
            </w:r>
            <w:r>
              <w:rPr>
                <w:rFonts w:ascii="Times New Roman"/>
                <w:b/>
                <w:bCs/>
                <w:snapToGrid w:val="0"/>
                <w:spacing w:val="-6"/>
                <w:kern w:val="21"/>
                <w:szCs w:val="21"/>
              </w:rPr>
              <w:fldChar w:fldCharType="separate"/>
            </w:r>
            <w:r>
              <w:rPr>
                <w:rFonts w:hint="eastAsia" w:ascii="Times New Roman" w:cs="宋体"/>
                <w:b/>
                <w:bCs/>
                <w:kern w:val="2"/>
                <w:szCs w:val="21"/>
              </w:rPr>
              <w:t>④</w:t>
            </w:r>
            <w:r>
              <w:rPr>
                <w:rFonts w:ascii="Times New Roman"/>
                <w:b/>
                <w:bCs/>
                <w:snapToGrid w:val="0"/>
                <w:spacing w:val="-6"/>
                <w:kern w:val="21"/>
                <w:szCs w:val="21"/>
              </w:rPr>
              <w:fldChar w:fldCharType="end"/>
            </w:r>
          </w:p>
        </w:tc>
        <w:tc>
          <w:tcPr>
            <w:tcW w:w="606" w:type="pct"/>
            <w:tcMar>
              <w:left w:w="28" w:type="dxa"/>
              <w:right w:w="28" w:type="dxa"/>
            </w:tcMar>
            <w:vAlign w:val="center"/>
          </w:tcPr>
          <w:p w14:paraId="355E136D">
            <w:pPr>
              <w:pStyle w:val="40"/>
              <w:adjustRightInd/>
              <w:snapToGrid/>
              <w:spacing w:beforeLines="0" w:afterLines="0" w:line="288" w:lineRule="auto"/>
              <w:ind w:firstLine="0" w:firstLineChars="0"/>
              <w:rPr>
                <w:rFonts w:ascii="Times New Roman"/>
                <w:b/>
                <w:bCs/>
                <w:snapToGrid w:val="0"/>
                <w:spacing w:val="-16"/>
                <w:kern w:val="21"/>
                <w:szCs w:val="21"/>
              </w:rPr>
            </w:pPr>
            <w:r>
              <w:rPr>
                <w:rFonts w:ascii="Times New Roman"/>
                <w:b/>
                <w:bCs/>
                <w:snapToGrid w:val="0"/>
                <w:spacing w:val="-16"/>
                <w:kern w:val="21"/>
                <w:szCs w:val="21"/>
              </w:rPr>
              <w:t>以新带老削减量</w:t>
            </w:r>
          </w:p>
          <w:p w14:paraId="751C0427">
            <w:pPr>
              <w:pStyle w:val="40"/>
              <w:adjustRightInd/>
              <w:snapToGrid/>
              <w:spacing w:beforeLines="0" w:afterLines="0" w:line="288" w:lineRule="auto"/>
              <w:ind w:firstLine="0" w:firstLineChars="0"/>
              <w:rPr>
                <w:rFonts w:ascii="Times New Roman"/>
                <w:b/>
                <w:bCs/>
                <w:snapToGrid w:val="0"/>
                <w:spacing w:val="-16"/>
                <w:kern w:val="21"/>
                <w:szCs w:val="21"/>
              </w:rPr>
            </w:pPr>
            <w:r>
              <w:rPr>
                <w:rFonts w:ascii="Times New Roman"/>
                <w:b/>
                <w:bCs/>
                <w:snapToGrid w:val="0"/>
                <w:spacing w:val="-16"/>
                <w:kern w:val="21"/>
                <w:szCs w:val="21"/>
              </w:rPr>
              <w:t>（新建项目不填）</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5 \* GB3 \* MERGEFORMAT </w:instrText>
            </w:r>
            <w:r>
              <w:rPr>
                <w:rFonts w:ascii="Times New Roman"/>
                <w:b/>
                <w:bCs/>
                <w:snapToGrid w:val="0"/>
                <w:spacing w:val="-16"/>
                <w:kern w:val="21"/>
                <w:szCs w:val="21"/>
              </w:rPr>
              <w:fldChar w:fldCharType="separate"/>
            </w:r>
            <w:r>
              <w:rPr>
                <w:rFonts w:hint="eastAsia" w:ascii="Times New Roman" w:cs="宋体"/>
                <w:b/>
                <w:bCs/>
                <w:kern w:val="2"/>
                <w:szCs w:val="21"/>
              </w:rPr>
              <w:t>⑤</w:t>
            </w:r>
            <w:r>
              <w:rPr>
                <w:rFonts w:ascii="Times New Roman"/>
                <w:b/>
                <w:bCs/>
                <w:snapToGrid w:val="0"/>
                <w:spacing w:val="-16"/>
                <w:kern w:val="21"/>
                <w:szCs w:val="21"/>
              </w:rPr>
              <w:fldChar w:fldCharType="end"/>
            </w:r>
          </w:p>
        </w:tc>
        <w:tc>
          <w:tcPr>
            <w:tcW w:w="599" w:type="pct"/>
            <w:tcMar>
              <w:left w:w="28" w:type="dxa"/>
              <w:right w:w="28" w:type="dxa"/>
            </w:tcMar>
            <w:vAlign w:val="center"/>
          </w:tcPr>
          <w:p w14:paraId="4ED84EEB">
            <w:pPr>
              <w:pStyle w:val="40"/>
              <w:adjustRightInd/>
              <w:snapToGrid/>
              <w:spacing w:beforeLines="0" w:afterLines="0" w:line="288" w:lineRule="auto"/>
              <w:ind w:firstLine="0" w:firstLineChars="0"/>
              <w:rPr>
                <w:rFonts w:ascii="Times New Roman"/>
                <w:b/>
                <w:bCs/>
                <w:snapToGrid w:val="0"/>
                <w:spacing w:val="-16"/>
                <w:kern w:val="21"/>
                <w:szCs w:val="21"/>
              </w:rPr>
            </w:pPr>
            <w:r>
              <w:rPr>
                <w:rFonts w:ascii="Times New Roman"/>
                <w:b/>
                <w:bCs/>
                <w:snapToGrid w:val="0"/>
                <w:spacing w:val="-16"/>
                <w:kern w:val="21"/>
                <w:szCs w:val="21"/>
              </w:rPr>
              <w:t>本项目建成后</w:t>
            </w:r>
          </w:p>
          <w:p w14:paraId="5B5865DC">
            <w:pPr>
              <w:pStyle w:val="40"/>
              <w:adjustRightInd/>
              <w:snapToGrid/>
              <w:spacing w:beforeLines="0" w:afterLines="0" w:line="288" w:lineRule="auto"/>
              <w:ind w:firstLine="0" w:firstLineChars="0"/>
              <w:rPr>
                <w:rFonts w:ascii="Times New Roman"/>
                <w:b/>
                <w:bCs/>
                <w:snapToGrid w:val="0"/>
                <w:spacing w:val="-16"/>
                <w:kern w:val="21"/>
                <w:szCs w:val="21"/>
              </w:rPr>
            </w:pPr>
            <w:r>
              <w:rPr>
                <w:rFonts w:hint="eastAsia" w:ascii="Times New Roman"/>
                <w:b/>
                <w:bCs/>
                <w:snapToGrid w:val="0"/>
                <w:spacing w:val="-16"/>
                <w:kern w:val="21"/>
                <w:szCs w:val="21"/>
              </w:rPr>
              <w:t>全厂</w:t>
            </w:r>
            <w:r>
              <w:rPr>
                <w:rFonts w:ascii="Times New Roman"/>
                <w:b/>
                <w:bCs/>
                <w:snapToGrid w:val="0"/>
                <w:spacing w:val="-16"/>
                <w:kern w:val="21"/>
                <w:szCs w:val="21"/>
              </w:rPr>
              <w:t>排放量（固</w:t>
            </w:r>
            <w:r>
              <w:rPr>
                <w:rFonts w:hint="eastAsia" w:ascii="Times New Roman"/>
                <w:b/>
                <w:bCs/>
                <w:snapToGrid w:val="0"/>
                <w:spacing w:val="-16"/>
                <w:kern w:val="21"/>
                <w:szCs w:val="21"/>
              </w:rPr>
              <w:t>体</w:t>
            </w:r>
            <w:r>
              <w:rPr>
                <w:rFonts w:ascii="Times New Roman"/>
                <w:b/>
                <w:bCs/>
                <w:snapToGrid w:val="0"/>
                <w:spacing w:val="-16"/>
                <w:kern w:val="21"/>
                <w:szCs w:val="21"/>
              </w:rPr>
              <w:t>废</w:t>
            </w:r>
            <w:r>
              <w:rPr>
                <w:rFonts w:hint="eastAsia" w:ascii="Times New Roman"/>
                <w:b/>
                <w:bCs/>
                <w:snapToGrid w:val="0"/>
                <w:spacing w:val="-16"/>
                <w:kern w:val="21"/>
                <w:szCs w:val="21"/>
              </w:rPr>
              <w:t>物</w:t>
            </w:r>
            <w:r>
              <w:rPr>
                <w:rFonts w:ascii="Times New Roman"/>
                <w:b/>
                <w:bCs/>
                <w:snapToGrid w:val="0"/>
                <w:spacing w:val="-16"/>
                <w:kern w:val="21"/>
                <w:szCs w:val="21"/>
              </w:rPr>
              <w:t>产生量）</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6 \* GB3 \* MERGEFORMAT </w:instrText>
            </w:r>
            <w:r>
              <w:rPr>
                <w:rFonts w:ascii="Times New Roman"/>
                <w:b/>
                <w:bCs/>
                <w:snapToGrid w:val="0"/>
                <w:spacing w:val="-16"/>
                <w:kern w:val="21"/>
                <w:szCs w:val="21"/>
              </w:rPr>
              <w:fldChar w:fldCharType="separate"/>
            </w:r>
            <w:r>
              <w:rPr>
                <w:rFonts w:hint="eastAsia" w:ascii="Times New Roman" w:cs="宋体"/>
                <w:b/>
                <w:bCs/>
                <w:kern w:val="2"/>
                <w:szCs w:val="21"/>
              </w:rPr>
              <w:t>⑥</w:t>
            </w:r>
            <w:r>
              <w:rPr>
                <w:rFonts w:ascii="Times New Roman"/>
                <w:b/>
                <w:bCs/>
                <w:snapToGrid w:val="0"/>
                <w:spacing w:val="-16"/>
                <w:kern w:val="21"/>
                <w:szCs w:val="21"/>
              </w:rPr>
              <w:fldChar w:fldCharType="end"/>
            </w:r>
          </w:p>
        </w:tc>
        <w:tc>
          <w:tcPr>
            <w:tcW w:w="576" w:type="pct"/>
            <w:tcMar>
              <w:left w:w="28" w:type="dxa"/>
              <w:right w:w="28" w:type="dxa"/>
            </w:tcMar>
            <w:vAlign w:val="center"/>
          </w:tcPr>
          <w:p w14:paraId="6948969D">
            <w:pPr>
              <w:pStyle w:val="40"/>
              <w:adjustRightInd/>
              <w:snapToGrid/>
              <w:spacing w:beforeLines="0" w:afterLines="0" w:line="252" w:lineRule="auto"/>
              <w:ind w:firstLine="0" w:firstLineChars="0"/>
              <w:rPr>
                <w:rFonts w:ascii="Times New Roman"/>
                <w:b/>
                <w:bCs/>
                <w:snapToGrid w:val="0"/>
                <w:spacing w:val="-6"/>
                <w:kern w:val="21"/>
                <w:szCs w:val="21"/>
              </w:rPr>
            </w:pPr>
            <w:r>
              <w:rPr>
                <w:rFonts w:ascii="Times New Roman"/>
                <w:b/>
                <w:bCs/>
                <w:snapToGrid w:val="0"/>
                <w:spacing w:val="-6"/>
                <w:kern w:val="21"/>
                <w:szCs w:val="21"/>
              </w:rPr>
              <w:t>变化量</w:t>
            </w:r>
          </w:p>
          <w:p w14:paraId="20C7023E">
            <w:pPr>
              <w:pStyle w:val="40"/>
              <w:adjustRightInd/>
              <w:snapToGrid/>
              <w:spacing w:beforeLines="0" w:afterLines="0" w:line="252" w:lineRule="auto"/>
              <w:ind w:firstLine="0" w:firstLineChars="0"/>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7 \* GB3 \* MERGEFORMAT </w:instrText>
            </w:r>
            <w:r>
              <w:rPr>
                <w:rFonts w:ascii="Times New Roman"/>
                <w:b/>
                <w:bCs/>
                <w:snapToGrid w:val="0"/>
                <w:spacing w:val="-6"/>
                <w:kern w:val="21"/>
                <w:szCs w:val="21"/>
              </w:rPr>
              <w:fldChar w:fldCharType="separate"/>
            </w:r>
            <w:r>
              <w:rPr>
                <w:rFonts w:hint="eastAsia" w:ascii="Times New Roman" w:cs="宋体"/>
                <w:b/>
                <w:bCs/>
                <w:kern w:val="2"/>
                <w:szCs w:val="21"/>
              </w:rPr>
              <w:t>⑦</w:t>
            </w:r>
            <w:r>
              <w:rPr>
                <w:rFonts w:ascii="Times New Roman"/>
                <w:b/>
                <w:bCs/>
                <w:snapToGrid w:val="0"/>
                <w:spacing w:val="-6"/>
                <w:kern w:val="21"/>
                <w:szCs w:val="21"/>
              </w:rPr>
              <w:fldChar w:fldCharType="end"/>
            </w:r>
          </w:p>
        </w:tc>
      </w:tr>
      <w:tr w14:paraId="11E61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restart"/>
            <w:vAlign w:val="center"/>
          </w:tcPr>
          <w:p w14:paraId="5F782724">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废气</w:t>
            </w:r>
          </w:p>
        </w:tc>
        <w:tc>
          <w:tcPr>
            <w:tcW w:w="637" w:type="pct"/>
            <w:vAlign w:val="center"/>
          </w:tcPr>
          <w:p w14:paraId="1F8275AF">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颗粒物</w:t>
            </w:r>
          </w:p>
        </w:tc>
        <w:tc>
          <w:tcPr>
            <w:tcW w:w="516" w:type="pct"/>
            <w:vAlign w:val="center"/>
          </w:tcPr>
          <w:p w14:paraId="6AE979BD">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19F0263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2CF7152D">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1DF4293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0.022</w:t>
            </w:r>
          </w:p>
        </w:tc>
        <w:tc>
          <w:tcPr>
            <w:tcW w:w="606" w:type="pct"/>
            <w:vAlign w:val="center"/>
          </w:tcPr>
          <w:p w14:paraId="3ADE73A8">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0307C8D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0.022</w:t>
            </w:r>
          </w:p>
        </w:tc>
        <w:tc>
          <w:tcPr>
            <w:tcW w:w="1615" w:type="dxa"/>
            <w:vAlign w:val="center"/>
          </w:tcPr>
          <w:p w14:paraId="5CB11E5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+0.022</w:t>
            </w:r>
          </w:p>
        </w:tc>
      </w:tr>
      <w:tr w14:paraId="37651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43FE9260">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18423555">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非甲烷总烃</w:t>
            </w:r>
          </w:p>
        </w:tc>
        <w:tc>
          <w:tcPr>
            <w:tcW w:w="516" w:type="pct"/>
            <w:vAlign w:val="center"/>
          </w:tcPr>
          <w:p w14:paraId="3F04CA28">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35CC36ED">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7663E621">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71807D7E">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0.259</w:t>
            </w:r>
          </w:p>
        </w:tc>
        <w:tc>
          <w:tcPr>
            <w:tcW w:w="606" w:type="pct"/>
            <w:vAlign w:val="center"/>
          </w:tcPr>
          <w:p w14:paraId="695B2E33">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6A085C3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0.259</w:t>
            </w:r>
          </w:p>
        </w:tc>
        <w:tc>
          <w:tcPr>
            <w:tcW w:w="1615" w:type="dxa"/>
            <w:vAlign w:val="center"/>
          </w:tcPr>
          <w:p w14:paraId="5DC70704">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+0.259</w:t>
            </w:r>
          </w:p>
        </w:tc>
      </w:tr>
      <w:tr w14:paraId="2C9E8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3D505D4F">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4F1871BF">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二氧化硫</w:t>
            </w:r>
          </w:p>
        </w:tc>
        <w:tc>
          <w:tcPr>
            <w:tcW w:w="516" w:type="pct"/>
            <w:vAlign w:val="center"/>
          </w:tcPr>
          <w:p w14:paraId="77D08240">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1521D79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4E58D648">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41216FD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0.036</w:t>
            </w:r>
          </w:p>
        </w:tc>
        <w:tc>
          <w:tcPr>
            <w:tcW w:w="606" w:type="pct"/>
            <w:vAlign w:val="center"/>
          </w:tcPr>
          <w:p w14:paraId="3ACD0D62">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678746DC">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0.036</w:t>
            </w:r>
          </w:p>
        </w:tc>
        <w:tc>
          <w:tcPr>
            <w:tcW w:w="1615" w:type="dxa"/>
            <w:vAlign w:val="center"/>
          </w:tcPr>
          <w:p w14:paraId="4BB65318">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+0.036</w:t>
            </w:r>
          </w:p>
        </w:tc>
      </w:tr>
      <w:tr w14:paraId="3273C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9734BC5">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372EA6B9">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氮氧化物</w:t>
            </w:r>
          </w:p>
        </w:tc>
        <w:tc>
          <w:tcPr>
            <w:tcW w:w="516" w:type="pct"/>
            <w:vAlign w:val="center"/>
          </w:tcPr>
          <w:p w14:paraId="13BEDF1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1C819E65">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33A65A24">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0FDCDB91">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0.058</w:t>
            </w:r>
          </w:p>
        </w:tc>
        <w:tc>
          <w:tcPr>
            <w:tcW w:w="606" w:type="pct"/>
            <w:vAlign w:val="center"/>
          </w:tcPr>
          <w:p w14:paraId="26DFFDE7">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7A1C518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0.058</w:t>
            </w:r>
          </w:p>
        </w:tc>
        <w:tc>
          <w:tcPr>
            <w:tcW w:w="1615" w:type="dxa"/>
            <w:vAlign w:val="center"/>
          </w:tcPr>
          <w:p w14:paraId="2B713E67">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+0.058</w:t>
            </w:r>
          </w:p>
        </w:tc>
      </w:tr>
      <w:tr w14:paraId="0D1A0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6678BD11">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4A3CCE7E">
            <w:pPr>
              <w:pStyle w:val="40"/>
              <w:adjustRightInd/>
              <w:snapToGrid/>
              <w:spacing w:beforeLines="0" w:afterLines="0" w:line="360" w:lineRule="auto"/>
              <w:ind w:firstLine="0" w:firstLineChars="0"/>
              <w:rPr>
                <w:rFonts w:hint="eastAsia" w:ascii="Times New Roman" w:eastAsia="宋体" w:cs="宋体"/>
                <w:snapToGrid w:val="0"/>
                <w:kern w:val="21"/>
                <w:szCs w:val="21"/>
                <w:lang w:eastAsia="zh-CN"/>
              </w:rPr>
            </w:pPr>
            <w:r>
              <w:rPr>
                <w:rFonts w:hint="eastAsia" w:ascii="Times New Roman" w:cs="宋体"/>
                <w:snapToGrid w:val="0"/>
                <w:kern w:val="21"/>
                <w:szCs w:val="21"/>
                <w:lang w:eastAsia="zh-CN"/>
              </w:rPr>
              <w:t>甲醛</w:t>
            </w:r>
          </w:p>
        </w:tc>
        <w:tc>
          <w:tcPr>
            <w:tcW w:w="516" w:type="pct"/>
            <w:shd w:val="clear" w:color="auto" w:fill="auto"/>
            <w:vAlign w:val="center"/>
          </w:tcPr>
          <w:p w14:paraId="7FC71DA8">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rPr>
              <w:t>/</w:t>
            </w:r>
          </w:p>
        </w:tc>
        <w:tc>
          <w:tcPr>
            <w:tcW w:w="524" w:type="pct"/>
            <w:shd w:val="clear" w:color="auto" w:fill="auto"/>
            <w:vAlign w:val="center"/>
          </w:tcPr>
          <w:p w14:paraId="3DF48410">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rPr>
              <w:t>/</w:t>
            </w:r>
          </w:p>
        </w:tc>
        <w:tc>
          <w:tcPr>
            <w:tcW w:w="577" w:type="pct"/>
            <w:shd w:val="clear" w:color="auto" w:fill="auto"/>
            <w:vAlign w:val="center"/>
          </w:tcPr>
          <w:p w14:paraId="18B2B04F">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rPr>
              <w:t>/</w:t>
            </w:r>
          </w:p>
        </w:tc>
        <w:tc>
          <w:tcPr>
            <w:tcW w:w="540" w:type="pct"/>
            <w:shd w:val="clear" w:color="auto" w:fill="auto"/>
            <w:vAlign w:val="center"/>
          </w:tcPr>
          <w:p w14:paraId="1E979784">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lang w:val="en-US" w:eastAsia="zh-CN"/>
              </w:rPr>
              <w:t>0.12</w:t>
            </w:r>
          </w:p>
        </w:tc>
        <w:tc>
          <w:tcPr>
            <w:tcW w:w="606" w:type="pct"/>
            <w:shd w:val="clear" w:color="auto" w:fill="auto"/>
            <w:vAlign w:val="center"/>
          </w:tcPr>
          <w:p w14:paraId="7E482C9F">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rPr>
              <w:t>0</w:t>
            </w:r>
          </w:p>
        </w:tc>
        <w:tc>
          <w:tcPr>
            <w:tcW w:w="1679" w:type="dxa"/>
            <w:shd w:val="clear" w:color="auto" w:fill="auto"/>
            <w:vAlign w:val="center"/>
          </w:tcPr>
          <w:p w14:paraId="453E8698">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lang w:val="en-US" w:eastAsia="zh-CN"/>
              </w:rPr>
              <w:t>0.12</w:t>
            </w:r>
          </w:p>
        </w:tc>
        <w:tc>
          <w:tcPr>
            <w:tcW w:w="1615" w:type="dxa"/>
            <w:shd w:val="clear" w:color="auto" w:fill="auto"/>
            <w:vAlign w:val="center"/>
          </w:tcPr>
          <w:p w14:paraId="2527B0A4">
            <w:pPr>
              <w:pStyle w:val="40"/>
              <w:adjustRightInd/>
              <w:snapToGrid/>
              <w:spacing w:beforeLines="0" w:afterLines="0" w:line="360" w:lineRule="auto"/>
              <w:ind w:firstLine="0" w:firstLineChars="0"/>
              <w:rPr>
                <w:rFonts w:hint="eastAsia" w:ascii="Times New Roman" w:hAnsi="Times New Roman" w:eastAsia="宋体" w:cs="宋体"/>
                <w:b/>
                <w:bCs/>
                <w:snapToGrid w:val="0"/>
                <w:kern w:val="21"/>
                <w:sz w:val="21"/>
                <w:szCs w:val="21"/>
                <w:lang w:val="en-US" w:eastAsia="zh-CN" w:bidi="ar-SA"/>
              </w:rPr>
            </w:pPr>
            <w:r>
              <w:rPr>
                <w:rFonts w:hint="eastAsia" w:ascii="Times New Roman" w:cs="宋体"/>
                <w:b/>
                <w:bCs/>
                <w:snapToGrid w:val="0"/>
                <w:kern w:val="21"/>
                <w:szCs w:val="21"/>
                <w:lang w:val="en-US" w:eastAsia="zh-CN"/>
              </w:rPr>
              <w:t>+0.12</w:t>
            </w:r>
          </w:p>
        </w:tc>
      </w:tr>
      <w:tr w14:paraId="36042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1EB7F61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废水</w:t>
            </w:r>
          </w:p>
        </w:tc>
        <w:tc>
          <w:tcPr>
            <w:tcW w:w="637" w:type="pct"/>
            <w:vAlign w:val="center"/>
          </w:tcPr>
          <w:p w14:paraId="1268FD11">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COD</w:t>
            </w:r>
          </w:p>
        </w:tc>
        <w:tc>
          <w:tcPr>
            <w:tcW w:w="516" w:type="pct"/>
            <w:vAlign w:val="center"/>
          </w:tcPr>
          <w:p w14:paraId="60C142CD">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712C9334">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56181ED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7663D5C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0.023</w:t>
            </w:r>
          </w:p>
        </w:tc>
        <w:tc>
          <w:tcPr>
            <w:tcW w:w="606" w:type="pct"/>
            <w:vAlign w:val="center"/>
          </w:tcPr>
          <w:p w14:paraId="6F0D0B8E">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628145E3">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0.023</w:t>
            </w:r>
          </w:p>
        </w:tc>
        <w:tc>
          <w:tcPr>
            <w:tcW w:w="576" w:type="pct"/>
            <w:vAlign w:val="center"/>
          </w:tcPr>
          <w:p w14:paraId="146306AF">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+0.023</w:t>
            </w:r>
          </w:p>
        </w:tc>
      </w:tr>
      <w:tr w14:paraId="3BEF2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9321500">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715C9762">
            <w:pPr>
              <w:pStyle w:val="40"/>
              <w:adjustRightInd/>
              <w:snapToGrid/>
              <w:spacing w:beforeLines="0" w:afterLines="0" w:line="360" w:lineRule="auto"/>
              <w:ind w:firstLine="0" w:firstLineChars="0"/>
              <w:rPr>
                <w:rFonts w:ascii="Times New Roman" w:cs="宋体"/>
                <w:snapToGrid w:val="0"/>
                <w:kern w:val="21"/>
                <w:szCs w:val="21"/>
              </w:rPr>
            </w:pPr>
            <w:r>
              <w:rPr>
                <w:rFonts w:hint="eastAsia" w:ascii="Times New Roman" w:cs="宋体"/>
                <w:snapToGrid w:val="0"/>
                <w:kern w:val="21"/>
                <w:szCs w:val="21"/>
              </w:rPr>
              <w:t>氨氮</w:t>
            </w:r>
          </w:p>
        </w:tc>
        <w:tc>
          <w:tcPr>
            <w:tcW w:w="516" w:type="pct"/>
            <w:vAlign w:val="center"/>
          </w:tcPr>
          <w:p w14:paraId="08288A82">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24" w:type="pct"/>
            <w:vAlign w:val="center"/>
          </w:tcPr>
          <w:p w14:paraId="1656531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77" w:type="pct"/>
            <w:vAlign w:val="center"/>
          </w:tcPr>
          <w:p w14:paraId="08BED6EE">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w:t>
            </w:r>
          </w:p>
        </w:tc>
        <w:tc>
          <w:tcPr>
            <w:tcW w:w="540" w:type="pct"/>
            <w:vAlign w:val="center"/>
          </w:tcPr>
          <w:p w14:paraId="1C480AB5">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0.003</w:t>
            </w:r>
          </w:p>
        </w:tc>
        <w:tc>
          <w:tcPr>
            <w:tcW w:w="606" w:type="pct"/>
            <w:vAlign w:val="center"/>
          </w:tcPr>
          <w:p w14:paraId="12CF759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3BDF897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0.003</w:t>
            </w:r>
          </w:p>
        </w:tc>
        <w:tc>
          <w:tcPr>
            <w:tcW w:w="576" w:type="pct"/>
            <w:vAlign w:val="center"/>
          </w:tcPr>
          <w:p w14:paraId="09A938A8">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lang w:val="en-US" w:eastAsia="zh-CN"/>
              </w:rPr>
              <w:t>+0.003</w:t>
            </w:r>
          </w:p>
        </w:tc>
      </w:tr>
      <w:tr w14:paraId="6497B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61E1F5B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一般工业</w:t>
            </w:r>
          </w:p>
          <w:p w14:paraId="349C1F2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固体废物</w:t>
            </w:r>
          </w:p>
        </w:tc>
        <w:tc>
          <w:tcPr>
            <w:tcW w:w="637" w:type="pct"/>
            <w:vAlign w:val="center"/>
          </w:tcPr>
          <w:p w14:paraId="64642BC7">
            <w:pPr>
              <w:widowControl/>
              <w:spacing w:line="36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边角料</w:t>
            </w:r>
          </w:p>
        </w:tc>
        <w:tc>
          <w:tcPr>
            <w:tcW w:w="516" w:type="pct"/>
            <w:vAlign w:val="center"/>
          </w:tcPr>
          <w:p w14:paraId="71F060DC">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b/>
                <w:bCs/>
                <w:szCs w:val="21"/>
              </w:rPr>
              <w:t>/</w:t>
            </w:r>
          </w:p>
        </w:tc>
        <w:tc>
          <w:tcPr>
            <w:tcW w:w="524" w:type="pct"/>
            <w:vAlign w:val="center"/>
          </w:tcPr>
          <w:p w14:paraId="2DC0C385">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b/>
                <w:bCs/>
                <w:szCs w:val="21"/>
              </w:rPr>
              <w:t>/</w:t>
            </w:r>
          </w:p>
        </w:tc>
        <w:tc>
          <w:tcPr>
            <w:tcW w:w="577" w:type="pct"/>
            <w:vAlign w:val="center"/>
          </w:tcPr>
          <w:p w14:paraId="571998DC">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b/>
                <w:bCs/>
                <w:szCs w:val="21"/>
              </w:rPr>
              <w:t>/</w:t>
            </w:r>
          </w:p>
        </w:tc>
        <w:tc>
          <w:tcPr>
            <w:tcW w:w="540" w:type="pct"/>
            <w:vAlign w:val="center"/>
          </w:tcPr>
          <w:p w14:paraId="0C0A1E12">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0.2</w:t>
            </w:r>
          </w:p>
        </w:tc>
        <w:tc>
          <w:tcPr>
            <w:tcW w:w="606" w:type="pct"/>
            <w:vAlign w:val="center"/>
          </w:tcPr>
          <w:p w14:paraId="7B304C7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06F2465A">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0.2</w:t>
            </w:r>
          </w:p>
        </w:tc>
        <w:tc>
          <w:tcPr>
            <w:tcW w:w="1615" w:type="dxa"/>
            <w:vAlign w:val="center"/>
          </w:tcPr>
          <w:p w14:paraId="1781AB5C">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+0.2</w:t>
            </w:r>
          </w:p>
        </w:tc>
      </w:tr>
      <w:tr w14:paraId="42963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12536A8B">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252B0960">
            <w:pPr>
              <w:widowControl/>
              <w:spacing w:line="360" w:lineRule="auto"/>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除尘灰</w:t>
            </w:r>
          </w:p>
        </w:tc>
        <w:tc>
          <w:tcPr>
            <w:tcW w:w="516" w:type="pct"/>
            <w:vAlign w:val="center"/>
          </w:tcPr>
          <w:p w14:paraId="7F13682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24" w:type="pct"/>
            <w:vAlign w:val="center"/>
          </w:tcPr>
          <w:p w14:paraId="268FE741">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77" w:type="pct"/>
            <w:vAlign w:val="center"/>
          </w:tcPr>
          <w:p w14:paraId="79A773E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40" w:type="pct"/>
            <w:vAlign w:val="center"/>
          </w:tcPr>
          <w:p w14:paraId="2816C6E7">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b/>
                <w:bCs/>
                <w:szCs w:val="21"/>
                <w:lang w:val="en-US" w:eastAsia="zh-CN"/>
              </w:rPr>
              <w:t>0.09</w:t>
            </w:r>
          </w:p>
        </w:tc>
        <w:tc>
          <w:tcPr>
            <w:tcW w:w="606" w:type="pct"/>
            <w:vAlign w:val="center"/>
          </w:tcPr>
          <w:p w14:paraId="0CD95F2B">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1679" w:type="dxa"/>
            <w:vAlign w:val="center"/>
          </w:tcPr>
          <w:p w14:paraId="0A24A088">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b/>
                <w:bCs/>
                <w:szCs w:val="21"/>
                <w:lang w:val="en-US" w:eastAsia="zh-CN"/>
              </w:rPr>
              <w:t>0.09</w:t>
            </w:r>
          </w:p>
        </w:tc>
        <w:tc>
          <w:tcPr>
            <w:tcW w:w="1615" w:type="dxa"/>
            <w:vAlign w:val="center"/>
          </w:tcPr>
          <w:p w14:paraId="3A2F45D1">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b/>
                <w:bCs/>
                <w:szCs w:val="21"/>
                <w:lang w:val="en-US" w:eastAsia="zh-CN"/>
              </w:rPr>
              <w:t>+0.09</w:t>
            </w:r>
          </w:p>
        </w:tc>
      </w:tr>
      <w:tr w14:paraId="0D872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73127CF5">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危险废物</w:t>
            </w:r>
          </w:p>
        </w:tc>
        <w:tc>
          <w:tcPr>
            <w:tcW w:w="637" w:type="pct"/>
            <w:shd w:val="clear" w:color="auto" w:fill="auto"/>
            <w:vAlign w:val="center"/>
          </w:tcPr>
          <w:p w14:paraId="2750AF80">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废</w:t>
            </w:r>
            <w:r>
              <w:rPr>
                <w:rFonts w:hint="eastAsia" w:ascii="Times New Roman" w:hAnsi="Times New Roman" w:eastAsia="宋体" w:cs="宋体"/>
                <w:kern w:val="0"/>
                <w:szCs w:val="21"/>
                <w:lang w:eastAsia="zh-CN" w:bidi="ar"/>
              </w:rPr>
              <w:t>液压</w:t>
            </w:r>
            <w:r>
              <w:rPr>
                <w:rFonts w:hint="eastAsia" w:ascii="Times New Roman" w:hAnsi="Times New Roman" w:eastAsia="宋体" w:cs="宋体"/>
                <w:kern w:val="0"/>
                <w:szCs w:val="21"/>
                <w:lang w:bidi="ar"/>
              </w:rPr>
              <w:t>油</w:t>
            </w:r>
          </w:p>
        </w:tc>
        <w:tc>
          <w:tcPr>
            <w:tcW w:w="516" w:type="pct"/>
            <w:vAlign w:val="center"/>
          </w:tcPr>
          <w:p w14:paraId="5D699BF0">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24" w:type="pct"/>
            <w:vAlign w:val="center"/>
          </w:tcPr>
          <w:p w14:paraId="3790293E">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77" w:type="pct"/>
            <w:vAlign w:val="center"/>
          </w:tcPr>
          <w:p w14:paraId="308B0E4F">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40" w:type="pct"/>
            <w:vAlign w:val="center"/>
          </w:tcPr>
          <w:p w14:paraId="61B0BDEB">
            <w:pPr>
              <w:widowControl/>
              <w:spacing w:line="360" w:lineRule="auto"/>
              <w:jc w:val="center"/>
              <w:rPr>
                <w:rFonts w:hint="default" w:ascii="Times New Roman" w:hAnsi="Times New Roman" w:eastAsia="宋体" w:cs="宋体"/>
                <w:b/>
                <w:bCs/>
                <w:kern w:val="0"/>
                <w:szCs w:val="21"/>
                <w:lang w:val="en-US" w:eastAsia="zh-CN" w:bidi="ar"/>
              </w:rPr>
            </w:pPr>
            <w:r>
              <w:rPr>
                <w:rFonts w:hint="eastAsia" w:ascii="Times New Roman" w:hAnsi="Times New Roman" w:eastAsia="宋体" w:cs="宋体"/>
                <w:b/>
                <w:bCs/>
                <w:kern w:val="0"/>
                <w:szCs w:val="21"/>
                <w:lang w:val="en-US" w:eastAsia="zh-CN" w:bidi="ar"/>
              </w:rPr>
              <w:t>0.2</w:t>
            </w:r>
          </w:p>
        </w:tc>
        <w:tc>
          <w:tcPr>
            <w:tcW w:w="606" w:type="pct"/>
            <w:vAlign w:val="center"/>
          </w:tcPr>
          <w:p w14:paraId="5472DCAD">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5588BFCC">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0.2</w:t>
            </w:r>
          </w:p>
        </w:tc>
        <w:tc>
          <w:tcPr>
            <w:tcW w:w="576" w:type="pct"/>
            <w:vAlign w:val="center"/>
          </w:tcPr>
          <w:p w14:paraId="7A32E4F9">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+0.2</w:t>
            </w:r>
          </w:p>
        </w:tc>
      </w:tr>
      <w:tr w14:paraId="6F821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5B7A739">
            <w:pPr>
              <w:pStyle w:val="40"/>
              <w:adjustRightInd/>
              <w:snapToGrid/>
              <w:spacing w:beforeLines="0" w:afterLines="0" w:line="360" w:lineRule="auto"/>
              <w:ind w:firstLine="0" w:firstLineChars="0"/>
              <w:rPr>
                <w:rFonts w:hint="eastAsia" w:ascii="Times New Roman" w:cs="宋体"/>
                <w:b/>
                <w:bCs/>
                <w:snapToGrid w:val="0"/>
                <w:kern w:val="21"/>
                <w:szCs w:val="21"/>
              </w:rPr>
            </w:pPr>
          </w:p>
        </w:tc>
        <w:tc>
          <w:tcPr>
            <w:tcW w:w="637" w:type="pct"/>
            <w:shd w:val="clear" w:color="auto" w:fill="auto"/>
            <w:vAlign w:val="center"/>
          </w:tcPr>
          <w:p w14:paraId="2CE4694E">
            <w:pPr>
              <w:widowControl/>
              <w:spacing w:before="78" w:beforeLines="25" w:after="78" w:afterLines="25" w:line="300" w:lineRule="auto"/>
              <w:jc w:val="center"/>
              <w:rPr>
                <w:rFonts w:hint="eastAsia" w:ascii="Times New Roman" w:hAnsi="Times New Roman" w:eastAsia="宋体" w:cs="宋体"/>
                <w:kern w:val="0"/>
                <w:szCs w:val="21"/>
                <w:lang w:bidi="ar"/>
              </w:rPr>
            </w:pPr>
            <w:r>
              <w:rPr>
                <w:rFonts w:hint="eastAsia" w:ascii="Times New Roman" w:hAnsi="Times New Roman" w:eastAsia="宋体" w:cs="宋体"/>
                <w:kern w:val="0"/>
                <w:szCs w:val="21"/>
                <w:lang w:bidi="ar"/>
              </w:rPr>
              <w:t>废</w:t>
            </w:r>
            <w:r>
              <w:rPr>
                <w:rFonts w:hint="eastAsia" w:ascii="Times New Roman" w:hAnsi="Times New Roman" w:eastAsia="宋体" w:cs="宋体"/>
                <w:kern w:val="0"/>
                <w:szCs w:val="21"/>
                <w:lang w:eastAsia="zh-CN" w:bidi="ar"/>
              </w:rPr>
              <w:t>导热</w:t>
            </w:r>
            <w:r>
              <w:rPr>
                <w:rFonts w:hint="eastAsia" w:ascii="Times New Roman" w:hAnsi="Times New Roman" w:eastAsia="宋体" w:cs="宋体"/>
                <w:kern w:val="0"/>
                <w:szCs w:val="21"/>
                <w:lang w:bidi="ar"/>
              </w:rPr>
              <w:t>油</w:t>
            </w:r>
          </w:p>
        </w:tc>
        <w:tc>
          <w:tcPr>
            <w:tcW w:w="516" w:type="pct"/>
            <w:vAlign w:val="center"/>
          </w:tcPr>
          <w:p w14:paraId="53CC536B">
            <w:pPr>
              <w:pStyle w:val="40"/>
              <w:adjustRightInd/>
              <w:snapToGrid/>
              <w:spacing w:beforeLines="0" w:afterLines="0" w:line="360" w:lineRule="auto"/>
              <w:ind w:firstLine="0" w:firstLineChars="0"/>
              <w:rPr>
                <w:rFonts w:hint="default" w:ascii="Times New Roman" w:eastAsia="宋体" w:cs="宋体"/>
                <w:b/>
                <w:bCs/>
                <w:szCs w:val="21"/>
                <w:lang w:val="en-US" w:eastAsia="zh-CN" w:bidi="ar"/>
              </w:rPr>
            </w:pPr>
            <w:r>
              <w:rPr>
                <w:rFonts w:hint="eastAsia" w:ascii="Times New Roman" w:cs="宋体"/>
                <w:b/>
                <w:bCs/>
                <w:szCs w:val="21"/>
                <w:lang w:val="en-US" w:eastAsia="zh-CN" w:bidi="ar"/>
              </w:rPr>
              <w:t>/</w:t>
            </w:r>
          </w:p>
        </w:tc>
        <w:tc>
          <w:tcPr>
            <w:tcW w:w="524" w:type="pct"/>
            <w:vAlign w:val="center"/>
          </w:tcPr>
          <w:p w14:paraId="6F0B19F2">
            <w:pPr>
              <w:pStyle w:val="40"/>
              <w:adjustRightInd/>
              <w:snapToGrid/>
              <w:spacing w:beforeLines="0" w:afterLines="0" w:line="360" w:lineRule="auto"/>
              <w:ind w:firstLine="0" w:firstLineChars="0"/>
              <w:rPr>
                <w:rFonts w:hint="eastAsia" w:ascii="Times New Roman" w:eastAsia="宋体" w:cs="宋体"/>
                <w:b/>
                <w:bCs/>
                <w:szCs w:val="21"/>
                <w:lang w:val="en-US" w:eastAsia="zh-CN" w:bidi="ar"/>
              </w:rPr>
            </w:pPr>
            <w:r>
              <w:rPr>
                <w:rFonts w:hint="eastAsia" w:ascii="Times New Roman" w:cs="宋体"/>
                <w:b/>
                <w:bCs/>
                <w:szCs w:val="21"/>
                <w:lang w:val="en-US" w:eastAsia="zh-CN" w:bidi="ar"/>
              </w:rPr>
              <w:t>/</w:t>
            </w:r>
          </w:p>
        </w:tc>
        <w:tc>
          <w:tcPr>
            <w:tcW w:w="577" w:type="pct"/>
            <w:vAlign w:val="center"/>
          </w:tcPr>
          <w:p w14:paraId="381E7218">
            <w:pPr>
              <w:pStyle w:val="40"/>
              <w:adjustRightInd/>
              <w:snapToGrid/>
              <w:spacing w:beforeLines="0" w:afterLines="0" w:line="360" w:lineRule="auto"/>
              <w:ind w:firstLine="0" w:firstLineChars="0"/>
              <w:rPr>
                <w:rFonts w:hint="eastAsia" w:ascii="Times New Roman" w:eastAsia="宋体" w:cs="宋体"/>
                <w:b/>
                <w:bCs/>
                <w:szCs w:val="21"/>
                <w:lang w:val="en-US" w:eastAsia="zh-CN" w:bidi="ar"/>
              </w:rPr>
            </w:pPr>
            <w:r>
              <w:rPr>
                <w:rFonts w:hint="eastAsia" w:ascii="Times New Roman" w:cs="宋体"/>
                <w:b/>
                <w:bCs/>
                <w:szCs w:val="21"/>
                <w:lang w:val="en-US" w:eastAsia="zh-CN" w:bidi="ar"/>
              </w:rPr>
              <w:t>/</w:t>
            </w:r>
          </w:p>
        </w:tc>
        <w:tc>
          <w:tcPr>
            <w:tcW w:w="540" w:type="pct"/>
            <w:vAlign w:val="center"/>
          </w:tcPr>
          <w:p w14:paraId="6514C4E6">
            <w:pPr>
              <w:widowControl/>
              <w:spacing w:line="360" w:lineRule="auto"/>
              <w:jc w:val="center"/>
              <w:rPr>
                <w:rFonts w:hint="default" w:ascii="Times New Roman" w:hAnsi="Times New Roman" w:eastAsia="宋体" w:cs="宋体"/>
                <w:b/>
                <w:bCs/>
                <w:kern w:val="0"/>
                <w:szCs w:val="21"/>
                <w:lang w:val="en-US" w:eastAsia="zh-CN" w:bidi="ar"/>
              </w:rPr>
            </w:pPr>
            <w:r>
              <w:rPr>
                <w:rFonts w:hint="eastAsia" w:ascii="Times New Roman" w:hAnsi="Times New Roman" w:eastAsia="宋体" w:cs="宋体"/>
                <w:b/>
                <w:bCs/>
                <w:kern w:val="0"/>
                <w:szCs w:val="21"/>
                <w:lang w:val="en-US" w:eastAsia="zh-CN" w:bidi="ar"/>
              </w:rPr>
              <w:t>0.6</w:t>
            </w:r>
          </w:p>
        </w:tc>
        <w:tc>
          <w:tcPr>
            <w:tcW w:w="606" w:type="pct"/>
            <w:vAlign w:val="center"/>
          </w:tcPr>
          <w:p w14:paraId="0708E812">
            <w:pPr>
              <w:pStyle w:val="40"/>
              <w:adjustRightInd/>
              <w:snapToGrid/>
              <w:spacing w:beforeLines="0" w:afterLines="0" w:line="360" w:lineRule="auto"/>
              <w:ind w:firstLine="0" w:firstLineChars="0"/>
              <w:rPr>
                <w:rFonts w:hint="eastAsia" w:ascii="Times New Roman" w:eastAsia="宋体" w:cs="宋体"/>
                <w:b/>
                <w:bCs/>
                <w:snapToGrid w:val="0"/>
                <w:kern w:val="21"/>
                <w:szCs w:val="21"/>
                <w:lang w:val="en-US" w:eastAsia="zh-CN"/>
              </w:rPr>
            </w:pPr>
            <w:r>
              <w:rPr>
                <w:rFonts w:hint="eastAsia" w:ascii="Times New Roman" w:cs="宋体"/>
                <w:b/>
                <w:bCs/>
                <w:snapToGrid w:val="0"/>
                <w:kern w:val="21"/>
                <w:szCs w:val="21"/>
                <w:lang w:val="en-US" w:eastAsia="zh-CN"/>
              </w:rPr>
              <w:t>0</w:t>
            </w:r>
          </w:p>
        </w:tc>
        <w:tc>
          <w:tcPr>
            <w:tcW w:w="599" w:type="pct"/>
            <w:vAlign w:val="center"/>
          </w:tcPr>
          <w:p w14:paraId="1876648B">
            <w:pPr>
              <w:widowControl/>
              <w:spacing w:line="360" w:lineRule="auto"/>
              <w:jc w:val="center"/>
              <w:rPr>
                <w:rFonts w:hint="eastAsia" w:ascii="Times New Roman" w:hAnsi="Times New Roman" w:eastAsia="宋体" w:cs="宋体"/>
                <w:b/>
                <w:bCs/>
                <w:kern w:val="0"/>
                <w:szCs w:val="21"/>
                <w:lang w:val="en-US" w:eastAsia="zh-CN" w:bidi="ar"/>
              </w:rPr>
            </w:pPr>
            <w:r>
              <w:rPr>
                <w:rFonts w:hint="eastAsia" w:ascii="Times New Roman" w:hAnsi="Times New Roman" w:eastAsia="宋体" w:cs="宋体"/>
                <w:b/>
                <w:bCs/>
                <w:kern w:val="0"/>
                <w:szCs w:val="21"/>
                <w:lang w:val="en-US" w:eastAsia="zh-CN" w:bidi="ar"/>
              </w:rPr>
              <w:t>0.6</w:t>
            </w:r>
          </w:p>
        </w:tc>
        <w:tc>
          <w:tcPr>
            <w:tcW w:w="576" w:type="pct"/>
            <w:vAlign w:val="center"/>
          </w:tcPr>
          <w:p w14:paraId="7F3F0EC3">
            <w:pPr>
              <w:widowControl/>
              <w:spacing w:line="360" w:lineRule="auto"/>
              <w:jc w:val="center"/>
              <w:rPr>
                <w:rFonts w:hint="eastAsia" w:ascii="Times New Roman" w:hAnsi="Times New Roman" w:eastAsia="宋体"/>
                <w:b/>
                <w:bCs/>
                <w:szCs w:val="21"/>
              </w:rPr>
            </w:pPr>
            <w:r>
              <w:rPr>
                <w:rFonts w:hint="eastAsia" w:ascii="Times New Roman" w:hAnsi="Times New Roman" w:eastAsia="宋体" w:cs="宋体"/>
                <w:b/>
                <w:bCs/>
                <w:kern w:val="0"/>
                <w:szCs w:val="21"/>
                <w:lang w:val="en-US" w:eastAsia="zh-CN" w:bidi="ar"/>
              </w:rPr>
              <w:t>+0.6</w:t>
            </w:r>
          </w:p>
        </w:tc>
      </w:tr>
      <w:tr w14:paraId="1EAA8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7C3A0965">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shd w:val="clear" w:color="auto" w:fill="auto"/>
            <w:vAlign w:val="center"/>
          </w:tcPr>
          <w:p w14:paraId="2AC639F6">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废 油 桶</w:t>
            </w:r>
          </w:p>
        </w:tc>
        <w:tc>
          <w:tcPr>
            <w:tcW w:w="516" w:type="pct"/>
            <w:vAlign w:val="center"/>
          </w:tcPr>
          <w:p w14:paraId="11AA5E93">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24" w:type="pct"/>
            <w:vAlign w:val="center"/>
          </w:tcPr>
          <w:p w14:paraId="4FFAD676">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77" w:type="pct"/>
            <w:vAlign w:val="center"/>
          </w:tcPr>
          <w:p w14:paraId="65025B62">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40" w:type="pct"/>
            <w:vAlign w:val="center"/>
          </w:tcPr>
          <w:p w14:paraId="2678BBBC">
            <w:pPr>
              <w:widowControl/>
              <w:spacing w:line="360" w:lineRule="auto"/>
              <w:jc w:val="center"/>
              <w:rPr>
                <w:rFonts w:hint="default" w:ascii="Times New Roman" w:hAnsi="Times New Roman" w:eastAsia="宋体" w:cs="宋体"/>
                <w:b/>
                <w:bCs/>
                <w:kern w:val="0"/>
                <w:szCs w:val="21"/>
                <w:lang w:val="en-US" w:eastAsia="zh-CN" w:bidi="ar"/>
              </w:rPr>
            </w:pPr>
            <w:r>
              <w:rPr>
                <w:rFonts w:hint="eastAsia" w:ascii="Times New Roman" w:hAnsi="Times New Roman" w:eastAsia="宋体" w:cs="宋体"/>
                <w:b/>
                <w:bCs/>
                <w:kern w:val="0"/>
                <w:szCs w:val="21"/>
                <w:lang w:val="en-US" w:eastAsia="zh-CN" w:bidi="ar"/>
              </w:rPr>
              <w:t>0.1</w:t>
            </w:r>
          </w:p>
        </w:tc>
        <w:tc>
          <w:tcPr>
            <w:tcW w:w="606" w:type="pct"/>
            <w:vAlign w:val="center"/>
          </w:tcPr>
          <w:p w14:paraId="00C6DBD0">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67EB7D19">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0.1</w:t>
            </w:r>
          </w:p>
        </w:tc>
        <w:tc>
          <w:tcPr>
            <w:tcW w:w="576" w:type="pct"/>
            <w:vAlign w:val="center"/>
          </w:tcPr>
          <w:p w14:paraId="502B0D50">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+0.1</w:t>
            </w:r>
          </w:p>
        </w:tc>
      </w:tr>
      <w:tr w14:paraId="060E5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23" w:type="pct"/>
            <w:vMerge w:val="continue"/>
            <w:vAlign w:val="center"/>
          </w:tcPr>
          <w:p w14:paraId="0E9EF6C5">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shd w:val="clear" w:color="auto" w:fill="auto"/>
            <w:vAlign w:val="center"/>
          </w:tcPr>
          <w:p w14:paraId="036D8D4E">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含油废棉纱手套</w:t>
            </w:r>
          </w:p>
        </w:tc>
        <w:tc>
          <w:tcPr>
            <w:tcW w:w="516" w:type="pct"/>
            <w:vAlign w:val="center"/>
          </w:tcPr>
          <w:p w14:paraId="1CD2A37C">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24" w:type="pct"/>
            <w:vAlign w:val="center"/>
          </w:tcPr>
          <w:p w14:paraId="57D67DB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77" w:type="pct"/>
            <w:vAlign w:val="center"/>
          </w:tcPr>
          <w:p w14:paraId="5AA20C74">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zCs w:val="21"/>
                <w:lang w:bidi="ar"/>
              </w:rPr>
              <w:t>/</w:t>
            </w:r>
          </w:p>
        </w:tc>
        <w:tc>
          <w:tcPr>
            <w:tcW w:w="540" w:type="pct"/>
            <w:vAlign w:val="center"/>
          </w:tcPr>
          <w:p w14:paraId="15C4ADB6">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0.05</w:t>
            </w:r>
          </w:p>
        </w:tc>
        <w:tc>
          <w:tcPr>
            <w:tcW w:w="606" w:type="pct"/>
            <w:vAlign w:val="center"/>
          </w:tcPr>
          <w:p w14:paraId="3548E45A">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486D243D">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0.05</w:t>
            </w:r>
          </w:p>
        </w:tc>
        <w:tc>
          <w:tcPr>
            <w:tcW w:w="576" w:type="pct"/>
            <w:vAlign w:val="center"/>
          </w:tcPr>
          <w:p w14:paraId="1E14264F">
            <w:pPr>
              <w:widowControl/>
              <w:spacing w:line="360" w:lineRule="auto"/>
              <w:jc w:val="center"/>
              <w:rPr>
                <w:rFonts w:hint="default" w:ascii="Times New Roman" w:hAnsi="Times New Roman" w:eastAsia="宋体" w:cs="宋体"/>
                <w:b/>
                <w:bCs/>
                <w:kern w:val="0"/>
                <w:szCs w:val="21"/>
                <w:lang w:val="en-US" w:bidi="ar"/>
              </w:rPr>
            </w:pPr>
            <w:r>
              <w:rPr>
                <w:rFonts w:hint="eastAsia" w:ascii="Times New Roman" w:hAnsi="Times New Roman" w:eastAsia="宋体" w:cs="宋体"/>
                <w:b/>
                <w:bCs/>
                <w:kern w:val="0"/>
                <w:szCs w:val="21"/>
                <w:lang w:val="en-US" w:eastAsia="zh-CN" w:bidi="ar"/>
              </w:rPr>
              <w:t>+0.05</w:t>
            </w:r>
          </w:p>
        </w:tc>
      </w:tr>
      <w:tr w14:paraId="346B7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F1EEAD9">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shd w:val="clear" w:color="auto" w:fill="auto"/>
            <w:vAlign w:val="center"/>
          </w:tcPr>
          <w:p w14:paraId="4024653E">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废活性炭</w:t>
            </w:r>
          </w:p>
        </w:tc>
        <w:tc>
          <w:tcPr>
            <w:tcW w:w="516" w:type="pct"/>
            <w:vAlign w:val="center"/>
          </w:tcPr>
          <w:p w14:paraId="4F4CD044">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24" w:type="pct"/>
            <w:vAlign w:val="center"/>
          </w:tcPr>
          <w:p w14:paraId="50DEAB40">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77" w:type="pct"/>
            <w:vAlign w:val="center"/>
          </w:tcPr>
          <w:p w14:paraId="095C9B55">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40" w:type="pct"/>
            <w:vAlign w:val="center"/>
          </w:tcPr>
          <w:p w14:paraId="40BFC0A1">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5.716</w:t>
            </w:r>
          </w:p>
        </w:tc>
        <w:tc>
          <w:tcPr>
            <w:tcW w:w="606" w:type="pct"/>
            <w:vAlign w:val="center"/>
          </w:tcPr>
          <w:p w14:paraId="174DB589">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1B3A0278">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5.716</w:t>
            </w:r>
          </w:p>
        </w:tc>
        <w:tc>
          <w:tcPr>
            <w:tcW w:w="576" w:type="pct"/>
            <w:vAlign w:val="center"/>
          </w:tcPr>
          <w:p w14:paraId="1B7D63D4">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+5.716</w:t>
            </w:r>
          </w:p>
        </w:tc>
      </w:tr>
      <w:tr w14:paraId="46C47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90B61AA">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shd w:val="clear" w:color="auto" w:fill="auto"/>
            <w:vAlign w:val="center"/>
          </w:tcPr>
          <w:p w14:paraId="64AE6AC2">
            <w:pPr>
              <w:widowControl/>
              <w:spacing w:before="78" w:beforeLines="25" w:after="78" w:afterLines="25" w:line="300" w:lineRule="auto"/>
              <w:jc w:val="center"/>
              <w:rPr>
                <w:rFonts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废过滤棉</w:t>
            </w:r>
          </w:p>
        </w:tc>
        <w:tc>
          <w:tcPr>
            <w:tcW w:w="516" w:type="pct"/>
            <w:vAlign w:val="center"/>
          </w:tcPr>
          <w:p w14:paraId="12427091">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24" w:type="pct"/>
            <w:vAlign w:val="center"/>
          </w:tcPr>
          <w:p w14:paraId="19E52738">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77" w:type="pct"/>
            <w:vAlign w:val="center"/>
          </w:tcPr>
          <w:p w14:paraId="071E6032">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40" w:type="pct"/>
            <w:vAlign w:val="center"/>
          </w:tcPr>
          <w:p w14:paraId="335D1144">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0.0</w:t>
            </w:r>
            <w:r>
              <w:rPr>
                <w:rFonts w:hint="eastAsia" w:ascii="Times New Roman" w:hAnsi="Times New Roman" w:eastAsia="宋体" w:cs="宋体"/>
                <w:b/>
                <w:bCs/>
                <w:kern w:val="0"/>
                <w:szCs w:val="21"/>
                <w:lang w:val="en-US" w:eastAsia="zh-CN" w:bidi="ar"/>
              </w:rPr>
              <w:t>5</w:t>
            </w:r>
          </w:p>
        </w:tc>
        <w:tc>
          <w:tcPr>
            <w:tcW w:w="606" w:type="pct"/>
            <w:vAlign w:val="center"/>
          </w:tcPr>
          <w:p w14:paraId="146C32E6">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15E96930">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bidi="ar"/>
              </w:rPr>
              <w:t>0.0</w:t>
            </w:r>
            <w:r>
              <w:rPr>
                <w:rFonts w:hint="eastAsia" w:ascii="Times New Roman" w:hAnsi="Times New Roman" w:eastAsia="宋体" w:cs="宋体"/>
                <w:b/>
                <w:bCs/>
                <w:kern w:val="0"/>
                <w:szCs w:val="21"/>
                <w:lang w:val="en-US" w:eastAsia="zh-CN" w:bidi="ar"/>
              </w:rPr>
              <w:t>5</w:t>
            </w:r>
          </w:p>
        </w:tc>
        <w:tc>
          <w:tcPr>
            <w:tcW w:w="576" w:type="pct"/>
            <w:vAlign w:val="center"/>
          </w:tcPr>
          <w:p w14:paraId="367522CA">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w:t>
            </w:r>
            <w:r>
              <w:rPr>
                <w:rFonts w:hint="eastAsia" w:ascii="Times New Roman" w:hAnsi="Times New Roman" w:eastAsia="宋体" w:cs="宋体"/>
                <w:b/>
                <w:bCs/>
                <w:kern w:val="0"/>
                <w:szCs w:val="21"/>
                <w:lang w:bidi="ar"/>
              </w:rPr>
              <w:t>0.0</w:t>
            </w:r>
            <w:r>
              <w:rPr>
                <w:rFonts w:hint="eastAsia" w:ascii="Times New Roman" w:hAnsi="Times New Roman" w:eastAsia="宋体" w:cs="宋体"/>
                <w:b/>
                <w:bCs/>
                <w:kern w:val="0"/>
                <w:szCs w:val="21"/>
                <w:lang w:val="en-US" w:eastAsia="zh-CN" w:bidi="ar"/>
              </w:rPr>
              <w:t>5</w:t>
            </w:r>
          </w:p>
        </w:tc>
      </w:tr>
      <w:tr w14:paraId="3F998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AF68FD0">
            <w:pPr>
              <w:pStyle w:val="40"/>
              <w:adjustRightInd/>
              <w:snapToGrid/>
              <w:spacing w:beforeLines="0" w:afterLines="0" w:line="360" w:lineRule="auto"/>
              <w:ind w:firstLine="0" w:firstLineChars="0"/>
              <w:rPr>
                <w:rFonts w:ascii="Times New Roman" w:cs="宋体"/>
                <w:b/>
                <w:bCs/>
                <w:snapToGrid w:val="0"/>
                <w:kern w:val="21"/>
                <w:szCs w:val="21"/>
              </w:rPr>
            </w:pPr>
          </w:p>
        </w:tc>
        <w:tc>
          <w:tcPr>
            <w:tcW w:w="637" w:type="pct"/>
            <w:vAlign w:val="center"/>
          </w:tcPr>
          <w:p w14:paraId="3FF7F40E">
            <w:pPr>
              <w:widowControl/>
              <w:spacing w:line="360" w:lineRule="auto"/>
              <w:jc w:val="center"/>
              <w:rPr>
                <w:rFonts w:hint="eastAsia" w:ascii="Times New Roman" w:hAnsi="Times New Roman" w:eastAsia="宋体" w:cs="宋体"/>
                <w:kern w:val="0"/>
                <w:szCs w:val="21"/>
                <w:lang w:eastAsia="zh-CN" w:bidi="ar"/>
              </w:rPr>
            </w:pPr>
            <w:r>
              <w:rPr>
                <w:rFonts w:hint="eastAsia" w:ascii="Times New Roman" w:hAnsi="Times New Roman" w:eastAsia="宋体" w:cs="宋体"/>
                <w:kern w:val="0"/>
                <w:szCs w:val="21"/>
                <w:lang w:eastAsia="zh-CN" w:bidi="ar"/>
              </w:rPr>
              <w:t>空压机废油液</w:t>
            </w:r>
          </w:p>
        </w:tc>
        <w:tc>
          <w:tcPr>
            <w:tcW w:w="516" w:type="pct"/>
            <w:vAlign w:val="center"/>
          </w:tcPr>
          <w:p w14:paraId="265AA098">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24" w:type="pct"/>
            <w:vAlign w:val="center"/>
          </w:tcPr>
          <w:p w14:paraId="7DCFA315">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77" w:type="pct"/>
            <w:vAlign w:val="center"/>
          </w:tcPr>
          <w:p w14:paraId="21B061DB">
            <w:pPr>
              <w:pStyle w:val="40"/>
              <w:adjustRightInd/>
              <w:snapToGrid/>
              <w:spacing w:beforeLines="0" w:afterLines="0" w:line="360" w:lineRule="auto"/>
              <w:ind w:firstLine="0" w:firstLineChars="0"/>
              <w:rPr>
                <w:rFonts w:ascii="Times New Roman" w:cs="宋体"/>
                <w:b/>
                <w:bCs/>
                <w:szCs w:val="21"/>
                <w:lang w:bidi="ar"/>
              </w:rPr>
            </w:pPr>
            <w:r>
              <w:rPr>
                <w:rFonts w:hint="eastAsia" w:ascii="Times New Roman" w:cs="宋体"/>
                <w:b/>
                <w:bCs/>
                <w:szCs w:val="21"/>
                <w:lang w:bidi="ar"/>
              </w:rPr>
              <w:t>/</w:t>
            </w:r>
          </w:p>
        </w:tc>
        <w:tc>
          <w:tcPr>
            <w:tcW w:w="540" w:type="pct"/>
            <w:vAlign w:val="center"/>
          </w:tcPr>
          <w:p w14:paraId="06A6C08A">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0.02</w:t>
            </w:r>
          </w:p>
        </w:tc>
        <w:tc>
          <w:tcPr>
            <w:tcW w:w="606" w:type="pct"/>
            <w:vAlign w:val="center"/>
          </w:tcPr>
          <w:p w14:paraId="46352787">
            <w:pPr>
              <w:pStyle w:val="40"/>
              <w:adjustRightInd/>
              <w:snapToGrid/>
              <w:spacing w:beforeLines="0" w:afterLines="0" w:line="360" w:lineRule="auto"/>
              <w:ind w:firstLine="0" w:firstLineChars="0"/>
              <w:rPr>
                <w:rFonts w:ascii="Times New Roman" w:cs="宋体"/>
                <w:b/>
                <w:bCs/>
                <w:snapToGrid w:val="0"/>
                <w:kern w:val="21"/>
                <w:szCs w:val="21"/>
              </w:rPr>
            </w:pPr>
            <w:r>
              <w:rPr>
                <w:rFonts w:hint="eastAsia" w:ascii="Times New Roman" w:cs="宋体"/>
                <w:b/>
                <w:bCs/>
                <w:snapToGrid w:val="0"/>
                <w:kern w:val="21"/>
                <w:szCs w:val="21"/>
              </w:rPr>
              <w:t>0</w:t>
            </w:r>
          </w:p>
        </w:tc>
        <w:tc>
          <w:tcPr>
            <w:tcW w:w="599" w:type="pct"/>
            <w:vAlign w:val="center"/>
          </w:tcPr>
          <w:p w14:paraId="003A4522">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0.02</w:t>
            </w:r>
          </w:p>
        </w:tc>
        <w:tc>
          <w:tcPr>
            <w:tcW w:w="576" w:type="pct"/>
            <w:vAlign w:val="center"/>
          </w:tcPr>
          <w:p w14:paraId="567AC9B8">
            <w:pPr>
              <w:widowControl/>
              <w:spacing w:line="360" w:lineRule="auto"/>
              <w:jc w:val="center"/>
              <w:rPr>
                <w:rFonts w:ascii="Times New Roman" w:hAnsi="Times New Roman" w:eastAsia="宋体" w:cs="宋体"/>
                <w:b/>
                <w:bCs/>
                <w:kern w:val="0"/>
                <w:szCs w:val="21"/>
                <w:lang w:bidi="ar"/>
              </w:rPr>
            </w:pPr>
            <w:r>
              <w:rPr>
                <w:rFonts w:hint="eastAsia" w:ascii="Times New Roman" w:hAnsi="Times New Roman" w:eastAsia="宋体" w:cs="宋体"/>
                <w:b/>
                <w:bCs/>
                <w:kern w:val="0"/>
                <w:szCs w:val="21"/>
                <w:lang w:val="en-US" w:eastAsia="zh-CN" w:bidi="ar"/>
              </w:rPr>
              <w:t>+0.02</w:t>
            </w:r>
          </w:p>
        </w:tc>
      </w:tr>
    </w:tbl>
    <w:p w14:paraId="7F5D0797">
      <w:pPr>
        <w:pStyle w:val="40"/>
        <w:adjustRightInd/>
        <w:snapToGrid/>
        <w:spacing w:beforeLines="0" w:afterLines="0" w:line="360" w:lineRule="auto"/>
        <w:jc w:val="both"/>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p>
    <w:sectPr>
      <w:footerReference r:id="rId4" w:type="default"/>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10" w:usb3="00000000" w:csb0="0006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155B2">
    <w:pPr>
      <w:pStyle w:val="15"/>
    </w:pPr>
    <w:r>
      <mc:AlternateContent>
        <mc:Choice Requires="wps">
          <w:drawing>
            <wp:anchor distT="0" distB="0" distL="114300" distR="114300" simplePos="0" relativeHeight="251659264" behindDoc="0" locked="0" layoutInCell="1" allowOverlap="1">
              <wp:simplePos x="0" y="0"/>
              <wp:positionH relativeFrom="margin">
                <wp:posOffset>2742565</wp:posOffset>
              </wp:positionH>
              <wp:positionV relativeFrom="paragraph">
                <wp:posOffset>-25400</wp:posOffset>
              </wp:positionV>
              <wp:extent cx="50673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67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94E13">
                          <w:pPr>
                            <w:pStyle w:val="15"/>
                            <w:snapToGrid/>
                            <w:spacing w:line="360" w:lineRule="auto"/>
                            <w:jc w:val="center"/>
                            <w:rPr>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5.95pt;margin-top:-2pt;height:144pt;width:39.9pt;mso-position-horizontal-relative:margin;z-index:251659264;mso-width-relative:page;mso-height-relative:page;" filled="f" stroked="f" coordsize="21600,21600" o:gfxdata="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1IZRj2QAAAAoBAAAPAAAAAAAAAAEAIAAAACIAAABkcnMvZG93bnJldi54&#10;bWxQSwECFAAUAAAACACHTuJAQ2uwLjICAABWBAAADgAAAAAAAAABACAAAAAoAQAAZHJzL2Uyb0Rv&#10;Yy54bWxQSwUGAAAAAAYABgBZAQAAzAUAAAAA&#10;">
              <v:fill on="f" focussize="0,0"/>
              <v:stroke on="f" weight="0.5pt"/>
              <v:imagedata o:title=""/>
              <o:lock v:ext="edit" aspectratio="f"/>
              <v:textbox inset="0mm,0mm,0mm,0mm" style="mso-fit-shape-to-text:t;">
                <w:txbxContent>
                  <w:p w14:paraId="7AE94E13">
                    <w:pPr>
                      <w:pStyle w:val="15"/>
                      <w:snapToGrid/>
                      <w:spacing w:line="360" w:lineRule="auto"/>
                      <w:jc w:val="center"/>
                      <w:rPr>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0490F">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C0EC0"/>
    <w:multiLevelType w:val="singleLevel"/>
    <w:tmpl w:val="8A0C0EC0"/>
    <w:lvl w:ilvl="0" w:tentative="0">
      <w:start w:val="1"/>
      <w:numFmt w:val="decimal"/>
      <w:lvlText w:val="%1."/>
      <w:lvlJc w:val="left"/>
      <w:pPr>
        <w:tabs>
          <w:tab w:val="left" w:pos="312"/>
        </w:tabs>
      </w:pPr>
    </w:lvl>
  </w:abstractNum>
  <w:abstractNum w:abstractNumId="1">
    <w:nsid w:val="993ABDE9"/>
    <w:multiLevelType w:val="singleLevel"/>
    <w:tmpl w:val="993ABDE9"/>
    <w:lvl w:ilvl="0" w:tentative="0">
      <w:start w:val="1"/>
      <w:numFmt w:val="decimal"/>
      <w:suff w:val="nothing"/>
      <w:lvlText w:val="%1、"/>
      <w:lvlJc w:val="left"/>
    </w:lvl>
  </w:abstractNum>
  <w:abstractNum w:abstractNumId="2">
    <w:nsid w:val="AD4D4898"/>
    <w:multiLevelType w:val="singleLevel"/>
    <w:tmpl w:val="AD4D4898"/>
    <w:lvl w:ilvl="0" w:tentative="0">
      <w:start w:val="1"/>
      <w:numFmt w:val="decimal"/>
      <w:suff w:val="nothing"/>
      <w:lvlText w:val="%1）"/>
      <w:lvlJc w:val="left"/>
      <w:rPr>
        <w:rFonts w:hint="default"/>
        <w:b/>
        <w:bCs/>
      </w:rPr>
    </w:lvl>
  </w:abstractNum>
  <w:abstractNum w:abstractNumId="3">
    <w:nsid w:val="D5412BB8"/>
    <w:multiLevelType w:val="singleLevel"/>
    <w:tmpl w:val="D5412BB8"/>
    <w:lvl w:ilvl="0" w:tentative="0">
      <w:start w:val="1"/>
      <w:numFmt w:val="decimal"/>
      <w:lvlText w:val="%1."/>
      <w:lvlJc w:val="left"/>
      <w:pPr>
        <w:tabs>
          <w:tab w:val="left" w:pos="312"/>
        </w:tabs>
      </w:pPr>
    </w:lvl>
  </w:abstractNum>
  <w:abstractNum w:abstractNumId="4">
    <w:nsid w:val="0732809E"/>
    <w:multiLevelType w:val="singleLevel"/>
    <w:tmpl w:val="0732809E"/>
    <w:lvl w:ilvl="0" w:tentative="0">
      <w:start w:val="1"/>
      <w:numFmt w:val="decimal"/>
      <w:lvlText w:val="%1."/>
      <w:lvlJc w:val="left"/>
      <w:pPr>
        <w:tabs>
          <w:tab w:val="left" w:pos="312"/>
        </w:tabs>
      </w:pPr>
    </w:lvl>
  </w:abstractNum>
  <w:abstractNum w:abstractNumId="5">
    <w:nsid w:val="23AF70FD"/>
    <w:multiLevelType w:val="singleLevel"/>
    <w:tmpl w:val="23AF70FD"/>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6">
    <w:nsid w:val="7223DCE3"/>
    <w:multiLevelType w:val="singleLevel"/>
    <w:tmpl w:val="7223DCE3"/>
    <w:lvl w:ilvl="0" w:tentative="0">
      <w:start w:val="1"/>
      <w:numFmt w:val="bullet"/>
      <w:lvlText w:val=""/>
      <w:lvlJc w:val="left"/>
      <w:pPr>
        <w:ind w:left="420" w:hanging="420"/>
      </w:pPr>
      <w:rPr>
        <w:rFonts w:hint="default" w:ascii="Wingdings" w:hAnsi="Wingdings"/>
      </w:r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ZWJiMTk3ZDc4ZDhiMGI4MzhlOGUxZDFjZTNmNGUifQ=="/>
  </w:docVars>
  <w:rsids>
    <w:rsidRoot w:val="59432FD2"/>
    <w:rsid w:val="000273EC"/>
    <w:rsid w:val="0002776C"/>
    <w:rsid w:val="00053F92"/>
    <w:rsid w:val="00056E9B"/>
    <w:rsid w:val="00076FFB"/>
    <w:rsid w:val="0011760F"/>
    <w:rsid w:val="00124228"/>
    <w:rsid w:val="001B30A2"/>
    <w:rsid w:val="001E0884"/>
    <w:rsid w:val="001E39D2"/>
    <w:rsid w:val="0021759E"/>
    <w:rsid w:val="002200F8"/>
    <w:rsid w:val="002232FE"/>
    <w:rsid w:val="0023190F"/>
    <w:rsid w:val="00257CE8"/>
    <w:rsid w:val="00272266"/>
    <w:rsid w:val="00313F91"/>
    <w:rsid w:val="003819E1"/>
    <w:rsid w:val="003C4C8A"/>
    <w:rsid w:val="00423F72"/>
    <w:rsid w:val="004C2262"/>
    <w:rsid w:val="004E2418"/>
    <w:rsid w:val="00575E70"/>
    <w:rsid w:val="00597433"/>
    <w:rsid w:val="005A4686"/>
    <w:rsid w:val="005C13A3"/>
    <w:rsid w:val="005C74BF"/>
    <w:rsid w:val="00666E5B"/>
    <w:rsid w:val="00734E3E"/>
    <w:rsid w:val="007D470B"/>
    <w:rsid w:val="007E55BB"/>
    <w:rsid w:val="008322BB"/>
    <w:rsid w:val="0083333F"/>
    <w:rsid w:val="0089540A"/>
    <w:rsid w:val="00907E67"/>
    <w:rsid w:val="009339CD"/>
    <w:rsid w:val="00963AC9"/>
    <w:rsid w:val="00986A9B"/>
    <w:rsid w:val="009B2C03"/>
    <w:rsid w:val="009F3231"/>
    <w:rsid w:val="009F49BA"/>
    <w:rsid w:val="00A16861"/>
    <w:rsid w:val="00AA7CFF"/>
    <w:rsid w:val="00AB7CAF"/>
    <w:rsid w:val="00AC6BF1"/>
    <w:rsid w:val="00B5311A"/>
    <w:rsid w:val="00B814F0"/>
    <w:rsid w:val="00B86D8C"/>
    <w:rsid w:val="00BD08F9"/>
    <w:rsid w:val="00D72258"/>
    <w:rsid w:val="00D95977"/>
    <w:rsid w:val="00E92BEC"/>
    <w:rsid w:val="00ED2098"/>
    <w:rsid w:val="00F7024C"/>
    <w:rsid w:val="00FC4FB8"/>
    <w:rsid w:val="00FF7C0E"/>
    <w:rsid w:val="01072267"/>
    <w:rsid w:val="01207C23"/>
    <w:rsid w:val="01273BEB"/>
    <w:rsid w:val="01437051"/>
    <w:rsid w:val="014F0398"/>
    <w:rsid w:val="015152F8"/>
    <w:rsid w:val="016C6E37"/>
    <w:rsid w:val="01D505DE"/>
    <w:rsid w:val="01DE4F25"/>
    <w:rsid w:val="01EB1405"/>
    <w:rsid w:val="01F276D2"/>
    <w:rsid w:val="01F57643"/>
    <w:rsid w:val="01F80A87"/>
    <w:rsid w:val="02091FE0"/>
    <w:rsid w:val="02314B61"/>
    <w:rsid w:val="025B5E97"/>
    <w:rsid w:val="02624152"/>
    <w:rsid w:val="0297204E"/>
    <w:rsid w:val="02B26E88"/>
    <w:rsid w:val="02BF0D61"/>
    <w:rsid w:val="02C44E0D"/>
    <w:rsid w:val="02E334E5"/>
    <w:rsid w:val="030F4150"/>
    <w:rsid w:val="031217FD"/>
    <w:rsid w:val="031A4A2D"/>
    <w:rsid w:val="032558AB"/>
    <w:rsid w:val="033F2F13"/>
    <w:rsid w:val="03452979"/>
    <w:rsid w:val="034D4E02"/>
    <w:rsid w:val="035F22B0"/>
    <w:rsid w:val="03600692"/>
    <w:rsid w:val="03626499"/>
    <w:rsid w:val="03653EFA"/>
    <w:rsid w:val="037D61DE"/>
    <w:rsid w:val="03967E96"/>
    <w:rsid w:val="03B66B3A"/>
    <w:rsid w:val="03C639C8"/>
    <w:rsid w:val="03D177FD"/>
    <w:rsid w:val="042C0EBC"/>
    <w:rsid w:val="045A1585"/>
    <w:rsid w:val="04A71B2E"/>
    <w:rsid w:val="04C9670A"/>
    <w:rsid w:val="05071DB4"/>
    <w:rsid w:val="05214BE3"/>
    <w:rsid w:val="05232E4B"/>
    <w:rsid w:val="05341DD6"/>
    <w:rsid w:val="05427A88"/>
    <w:rsid w:val="059A22D4"/>
    <w:rsid w:val="05AA02EA"/>
    <w:rsid w:val="05ED58B4"/>
    <w:rsid w:val="05F002E4"/>
    <w:rsid w:val="06067F94"/>
    <w:rsid w:val="060D0FFA"/>
    <w:rsid w:val="064650C7"/>
    <w:rsid w:val="065C6991"/>
    <w:rsid w:val="0679151E"/>
    <w:rsid w:val="067D59FE"/>
    <w:rsid w:val="06A04125"/>
    <w:rsid w:val="06A80EB6"/>
    <w:rsid w:val="06B37672"/>
    <w:rsid w:val="06B736DC"/>
    <w:rsid w:val="06DF5305"/>
    <w:rsid w:val="06E10084"/>
    <w:rsid w:val="06E20D47"/>
    <w:rsid w:val="072B7F42"/>
    <w:rsid w:val="0730192B"/>
    <w:rsid w:val="074A3B33"/>
    <w:rsid w:val="075515E9"/>
    <w:rsid w:val="075D7DCE"/>
    <w:rsid w:val="07A34FF1"/>
    <w:rsid w:val="07A93109"/>
    <w:rsid w:val="07AC3A8E"/>
    <w:rsid w:val="07FF744E"/>
    <w:rsid w:val="082878F9"/>
    <w:rsid w:val="084542FA"/>
    <w:rsid w:val="08602580"/>
    <w:rsid w:val="087B41C0"/>
    <w:rsid w:val="088968DD"/>
    <w:rsid w:val="08955281"/>
    <w:rsid w:val="08A74FB5"/>
    <w:rsid w:val="08CF72C6"/>
    <w:rsid w:val="08F403BC"/>
    <w:rsid w:val="08FD4BD5"/>
    <w:rsid w:val="09006494"/>
    <w:rsid w:val="09075A53"/>
    <w:rsid w:val="0920478D"/>
    <w:rsid w:val="09246605"/>
    <w:rsid w:val="094B245B"/>
    <w:rsid w:val="09657E30"/>
    <w:rsid w:val="09955E1A"/>
    <w:rsid w:val="09972CBF"/>
    <w:rsid w:val="09C1299A"/>
    <w:rsid w:val="09DE0562"/>
    <w:rsid w:val="09E42637"/>
    <w:rsid w:val="09ED2E9B"/>
    <w:rsid w:val="0A195A3E"/>
    <w:rsid w:val="0A287A2F"/>
    <w:rsid w:val="0A310FDA"/>
    <w:rsid w:val="0A4C4338"/>
    <w:rsid w:val="0A924302"/>
    <w:rsid w:val="0ABA6B90"/>
    <w:rsid w:val="0AED7922"/>
    <w:rsid w:val="0B14145C"/>
    <w:rsid w:val="0B3F14D4"/>
    <w:rsid w:val="0B3F4299"/>
    <w:rsid w:val="0B472961"/>
    <w:rsid w:val="0B7A250D"/>
    <w:rsid w:val="0B8B45C5"/>
    <w:rsid w:val="0B95573B"/>
    <w:rsid w:val="0B980BE5"/>
    <w:rsid w:val="0BC67500"/>
    <w:rsid w:val="0BFD4C00"/>
    <w:rsid w:val="0C0E7CC4"/>
    <w:rsid w:val="0C3A2BCE"/>
    <w:rsid w:val="0C450D6C"/>
    <w:rsid w:val="0C48260B"/>
    <w:rsid w:val="0C651B4A"/>
    <w:rsid w:val="0C9C6B5C"/>
    <w:rsid w:val="0CAA3BC4"/>
    <w:rsid w:val="0CC33225"/>
    <w:rsid w:val="0CFE7B00"/>
    <w:rsid w:val="0D2A2B52"/>
    <w:rsid w:val="0D2D5468"/>
    <w:rsid w:val="0D3025D6"/>
    <w:rsid w:val="0D4525A2"/>
    <w:rsid w:val="0D5F2B11"/>
    <w:rsid w:val="0DB77A48"/>
    <w:rsid w:val="0DBA1AAF"/>
    <w:rsid w:val="0DD35F4D"/>
    <w:rsid w:val="0DD759F4"/>
    <w:rsid w:val="0E26003F"/>
    <w:rsid w:val="0E2A1FC8"/>
    <w:rsid w:val="0E356576"/>
    <w:rsid w:val="0E3966AF"/>
    <w:rsid w:val="0E516D51"/>
    <w:rsid w:val="0E7742F1"/>
    <w:rsid w:val="0EAA1260"/>
    <w:rsid w:val="0EE23282"/>
    <w:rsid w:val="0EF14996"/>
    <w:rsid w:val="0F0071CD"/>
    <w:rsid w:val="0F051746"/>
    <w:rsid w:val="0F184516"/>
    <w:rsid w:val="0F57387A"/>
    <w:rsid w:val="0F7F3490"/>
    <w:rsid w:val="0F8F2378"/>
    <w:rsid w:val="0FAD1102"/>
    <w:rsid w:val="0FAE692A"/>
    <w:rsid w:val="0FB75ADD"/>
    <w:rsid w:val="0FBD54FC"/>
    <w:rsid w:val="0FC65D20"/>
    <w:rsid w:val="0FDA5C70"/>
    <w:rsid w:val="0FF80960"/>
    <w:rsid w:val="0FFD6F1F"/>
    <w:rsid w:val="1006130B"/>
    <w:rsid w:val="102C164B"/>
    <w:rsid w:val="10341769"/>
    <w:rsid w:val="105053C6"/>
    <w:rsid w:val="10524978"/>
    <w:rsid w:val="10696DF4"/>
    <w:rsid w:val="1097590F"/>
    <w:rsid w:val="10DB1CB0"/>
    <w:rsid w:val="11047F88"/>
    <w:rsid w:val="1110186D"/>
    <w:rsid w:val="1131366D"/>
    <w:rsid w:val="113B6AD9"/>
    <w:rsid w:val="114F7F97"/>
    <w:rsid w:val="116D2210"/>
    <w:rsid w:val="116F37FB"/>
    <w:rsid w:val="11701DC9"/>
    <w:rsid w:val="117B5139"/>
    <w:rsid w:val="11B84B99"/>
    <w:rsid w:val="11CA3CC3"/>
    <w:rsid w:val="11D20C23"/>
    <w:rsid w:val="11E76422"/>
    <w:rsid w:val="122028BC"/>
    <w:rsid w:val="1235718D"/>
    <w:rsid w:val="12427689"/>
    <w:rsid w:val="12464D80"/>
    <w:rsid w:val="12575356"/>
    <w:rsid w:val="12595987"/>
    <w:rsid w:val="12724255"/>
    <w:rsid w:val="12891287"/>
    <w:rsid w:val="129D771A"/>
    <w:rsid w:val="12BB2F1D"/>
    <w:rsid w:val="12CB18A0"/>
    <w:rsid w:val="12D544CC"/>
    <w:rsid w:val="12FB37F0"/>
    <w:rsid w:val="130328E2"/>
    <w:rsid w:val="13116BA3"/>
    <w:rsid w:val="131955DF"/>
    <w:rsid w:val="133828A6"/>
    <w:rsid w:val="139F1029"/>
    <w:rsid w:val="13BA2040"/>
    <w:rsid w:val="13BA3984"/>
    <w:rsid w:val="13CE1647"/>
    <w:rsid w:val="13D22566"/>
    <w:rsid w:val="13DA543F"/>
    <w:rsid w:val="13E7095B"/>
    <w:rsid w:val="13E70E2E"/>
    <w:rsid w:val="14225C3D"/>
    <w:rsid w:val="142676D5"/>
    <w:rsid w:val="14477D6F"/>
    <w:rsid w:val="14481D3D"/>
    <w:rsid w:val="144C103D"/>
    <w:rsid w:val="144D4C62"/>
    <w:rsid w:val="14576279"/>
    <w:rsid w:val="14830684"/>
    <w:rsid w:val="1485628D"/>
    <w:rsid w:val="148A7C64"/>
    <w:rsid w:val="149B39D2"/>
    <w:rsid w:val="14A718D7"/>
    <w:rsid w:val="14A75934"/>
    <w:rsid w:val="14AB1989"/>
    <w:rsid w:val="14C52A4A"/>
    <w:rsid w:val="14CB5B87"/>
    <w:rsid w:val="14F96B98"/>
    <w:rsid w:val="152D1520"/>
    <w:rsid w:val="153951E6"/>
    <w:rsid w:val="154F6D36"/>
    <w:rsid w:val="15934D58"/>
    <w:rsid w:val="159F6641"/>
    <w:rsid w:val="15B036FB"/>
    <w:rsid w:val="15D31197"/>
    <w:rsid w:val="15E45152"/>
    <w:rsid w:val="15F4486A"/>
    <w:rsid w:val="15F75724"/>
    <w:rsid w:val="164A04E0"/>
    <w:rsid w:val="164E20A4"/>
    <w:rsid w:val="16504596"/>
    <w:rsid w:val="16585B40"/>
    <w:rsid w:val="16B07EDF"/>
    <w:rsid w:val="16B16455"/>
    <w:rsid w:val="16CF7BB0"/>
    <w:rsid w:val="16DC74A2"/>
    <w:rsid w:val="172D2A2F"/>
    <w:rsid w:val="175E690F"/>
    <w:rsid w:val="17C81D4D"/>
    <w:rsid w:val="17DB07D7"/>
    <w:rsid w:val="17ED4832"/>
    <w:rsid w:val="17F92A89"/>
    <w:rsid w:val="18097A97"/>
    <w:rsid w:val="18393634"/>
    <w:rsid w:val="189D5A8C"/>
    <w:rsid w:val="18D771EB"/>
    <w:rsid w:val="191304FC"/>
    <w:rsid w:val="19265A82"/>
    <w:rsid w:val="19285D6D"/>
    <w:rsid w:val="19455539"/>
    <w:rsid w:val="194B27D0"/>
    <w:rsid w:val="19567F39"/>
    <w:rsid w:val="19631874"/>
    <w:rsid w:val="196D2F8D"/>
    <w:rsid w:val="197E67D1"/>
    <w:rsid w:val="19C5529B"/>
    <w:rsid w:val="19F5349B"/>
    <w:rsid w:val="1A0873EE"/>
    <w:rsid w:val="1A0B783C"/>
    <w:rsid w:val="1A1862D0"/>
    <w:rsid w:val="1A25318C"/>
    <w:rsid w:val="1A3B010B"/>
    <w:rsid w:val="1A6C5716"/>
    <w:rsid w:val="1A9315F3"/>
    <w:rsid w:val="1AAD645B"/>
    <w:rsid w:val="1AB34182"/>
    <w:rsid w:val="1AE50ED5"/>
    <w:rsid w:val="1AEE0919"/>
    <w:rsid w:val="1AF8344E"/>
    <w:rsid w:val="1AFF4CA5"/>
    <w:rsid w:val="1B196182"/>
    <w:rsid w:val="1B242214"/>
    <w:rsid w:val="1B410951"/>
    <w:rsid w:val="1B875782"/>
    <w:rsid w:val="1B8847D2"/>
    <w:rsid w:val="1B8A5CC2"/>
    <w:rsid w:val="1B8B03B5"/>
    <w:rsid w:val="1BBE091B"/>
    <w:rsid w:val="1BFB31F6"/>
    <w:rsid w:val="1C121F5C"/>
    <w:rsid w:val="1C38023E"/>
    <w:rsid w:val="1C44743E"/>
    <w:rsid w:val="1C4A52E1"/>
    <w:rsid w:val="1C4B07BF"/>
    <w:rsid w:val="1C4B5294"/>
    <w:rsid w:val="1C5016FA"/>
    <w:rsid w:val="1C7F4184"/>
    <w:rsid w:val="1C84143D"/>
    <w:rsid w:val="1C9A0C60"/>
    <w:rsid w:val="1CA23D6F"/>
    <w:rsid w:val="1CC31703"/>
    <w:rsid w:val="1D201627"/>
    <w:rsid w:val="1D24677C"/>
    <w:rsid w:val="1D41732E"/>
    <w:rsid w:val="1D4806BC"/>
    <w:rsid w:val="1D493750"/>
    <w:rsid w:val="1D5B3188"/>
    <w:rsid w:val="1DA95085"/>
    <w:rsid w:val="1DB44EAA"/>
    <w:rsid w:val="1DD7559C"/>
    <w:rsid w:val="1DE27A9B"/>
    <w:rsid w:val="1E00168F"/>
    <w:rsid w:val="1E396257"/>
    <w:rsid w:val="1E401394"/>
    <w:rsid w:val="1E4427E1"/>
    <w:rsid w:val="1E7135D0"/>
    <w:rsid w:val="1E7A67ED"/>
    <w:rsid w:val="1EA21FDF"/>
    <w:rsid w:val="1EEA3E98"/>
    <w:rsid w:val="1EFB4FE8"/>
    <w:rsid w:val="1EFC5B76"/>
    <w:rsid w:val="1F074B01"/>
    <w:rsid w:val="1F3516FD"/>
    <w:rsid w:val="1F4B6242"/>
    <w:rsid w:val="1F503858"/>
    <w:rsid w:val="1F521022"/>
    <w:rsid w:val="1F563F02"/>
    <w:rsid w:val="1F670A9D"/>
    <w:rsid w:val="1FA53BA4"/>
    <w:rsid w:val="1FB1462D"/>
    <w:rsid w:val="1FB635F7"/>
    <w:rsid w:val="1FC72100"/>
    <w:rsid w:val="1FCA6C57"/>
    <w:rsid w:val="20003331"/>
    <w:rsid w:val="202B15C3"/>
    <w:rsid w:val="202C43E4"/>
    <w:rsid w:val="203A702A"/>
    <w:rsid w:val="203E5453"/>
    <w:rsid w:val="204C5B97"/>
    <w:rsid w:val="206E2046"/>
    <w:rsid w:val="20C55F90"/>
    <w:rsid w:val="20EB1A8B"/>
    <w:rsid w:val="211344C0"/>
    <w:rsid w:val="21162880"/>
    <w:rsid w:val="214331F3"/>
    <w:rsid w:val="217428B7"/>
    <w:rsid w:val="217A4BBD"/>
    <w:rsid w:val="21862017"/>
    <w:rsid w:val="2194133D"/>
    <w:rsid w:val="21B87493"/>
    <w:rsid w:val="21C978F2"/>
    <w:rsid w:val="21D51EED"/>
    <w:rsid w:val="21FC1A76"/>
    <w:rsid w:val="222D60D3"/>
    <w:rsid w:val="223B69ED"/>
    <w:rsid w:val="2277734E"/>
    <w:rsid w:val="228F46A5"/>
    <w:rsid w:val="22A04AF7"/>
    <w:rsid w:val="22AD0665"/>
    <w:rsid w:val="22C00CF5"/>
    <w:rsid w:val="22C73E32"/>
    <w:rsid w:val="22E12560"/>
    <w:rsid w:val="22FE16EC"/>
    <w:rsid w:val="23140EEC"/>
    <w:rsid w:val="23157720"/>
    <w:rsid w:val="23303578"/>
    <w:rsid w:val="23836CCE"/>
    <w:rsid w:val="23AC6A02"/>
    <w:rsid w:val="23AE0B4E"/>
    <w:rsid w:val="23DD70FB"/>
    <w:rsid w:val="23F70746"/>
    <w:rsid w:val="24201258"/>
    <w:rsid w:val="24216771"/>
    <w:rsid w:val="2422439F"/>
    <w:rsid w:val="24296611"/>
    <w:rsid w:val="24424E18"/>
    <w:rsid w:val="246165B7"/>
    <w:rsid w:val="24743B45"/>
    <w:rsid w:val="24831D07"/>
    <w:rsid w:val="24EA2C30"/>
    <w:rsid w:val="24FC4CE5"/>
    <w:rsid w:val="253A5C70"/>
    <w:rsid w:val="25457290"/>
    <w:rsid w:val="254C6FAD"/>
    <w:rsid w:val="255C0ABF"/>
    <w:rsid w:val="255C0E44"/>
    <w:rsid w:val="256516E0"/>
    <w:rsid w:val="2579278C"/>
    <w:rsid w:val="25AB3597"/>
    <w:rsid w:val="25B032A3"/>
    <w:rsid w:val="25B173A7"/>
    <w:rsid w:val="25CD5C03"/>
    <w:rsid w:val="25DC5E46"/>
    <w:rsid w:val="25E43467"/>
    <w:rsid w:val="26263565"/>
    <w:rsid w:val="265754CC"/>
    <w:rsid w:val="265A6D6B"/>
    <w:rsid w:val="266516BA"/>
    <w:rsid w:val="266F4F0F"/>
    <w:rsid w:val="268E4D63"/>
    <w:rsid w:val="269229A8"/>
    <w:rsid w:val="26975780"/>
    <w:rsid w:val="26FB3118"/>
    <w:rsid w:val="270F01E8"/>
    <w:rsid w:val="270F6E0D"/>
    <w:rsid w:val="27105248"/>
    <w:rsid w:val="2730596F"/>
    <w:rsid w:val="273332C4"/>
    <w:rsid w:val="275E042F"/>
    <w:rsid w:val="27642C26"/>
    <w:rsid w:val="27653C19"/>
    <w:rsid w:val="277567C0"/>
    <w:rsid w:val="277B51EB"/>
    <w:rsid w:val="277D1809"/>
    <w:rsid w:val="27871DE1"/>
    <w:rsid w:val="2790513A"/>
    <w:rsid w:val="27A85123"/>
    <w:rsid w:val="27D175DC"/>
    <w:rsid w:val="28151FC1"/>
    <w:rsid w:val="28212236"/>
    <w:rsid w:val="28381C5F"/>
    <w:rsid w:val="28417C31"/>
    <w:rsid w:val="28483005"/>
    <w:rsid w:val="288B3B53"/>
    <w:rsid w:val="28AA20CB"/>
    <w:rsid w:val="28B26B0F"/>
    <w:rsid w:val="28B93C10"/>
    <w:rsid w:val="28C80E08"/>
    <w:rsid w:val="28D73993"/>
    <w:rsid w:val="295B2501"/>
    <w:rsid w:val="29694E58"/>
    <w:rsid w:val="296D0CD1"/>
    <w:rsid w:val="2985086F"/>
    <w:rsid w:val="2996455E"/>
    <w:rsid w:val="29A75078"/>
    <w:rsid w:val="29A85004"/>
    <w:rsid w:val="29AF73CD"/>
    <w:rsid w:val="29B23F98"/>
    <w:rsid w:val="29B50155"/>
    <w:rsid w:val="29CF13F3"/>
    <w:rsid w:val="29E90B31"/>
    <w:rsid w:val="29F92BBD"/>
    <w:rsid w:val="29FF7471"/>
    <w:rsid w:val="2A0B4A8F"/>
    <w:rsid w:val="2A1D2496"/>
    <w:rsid w:val="2A21637A"/>
    <w:rsid w:val="2A2878AC"/>
    <w:rsid w:val="2A2B739C"/>
    <w:rsid w:val="2A6C7EF6"/>
    <w:rsid w:val="2A8B4C8A"/>
    <w:rsid w:val="2ADD37A4"/>
    <w:rsid w:val="2AFC7841"/>
    <w:rsid w:val="2B121E9A"/>
    <w:rsid w:val="2B2E7A6E"/>
    <w:rsid w:val="2B91654B"/>
    <w:rsid w:val="2B9A7E5F"/>
    <w:rsid w:val="2BBE50F8"/>
    <w:rsid w:val="2BC26331"/>
    <w:rsid w:val="2BC26E2B"/>
    <w:rsid w:val="2C484A78"/>
    <w:rsid w:val="2C700C92"/>
    <w:rsid w:val="2C7728FD"/>
    <w:rsid w:val="2C793980"/>
    <w:rsid w:val="2CC80ED2"/>
    <w:rsid w:val="2CED77DE"/>
    <w:rsid w:val="2CF54038"/>
    <w:rsid w:val="2D0637A8"/>
    <w:rsid w:val="2D1E6D44"/>
    <w:rsid w:val="2D285E15"/>
    <w:rsid w:val="2D2F0F51"/>
    <w:rsid w:val="2D7D024C"/>
    <w:rsid w:val="2D811081"/>
    <w:rsid w:val="2DD815E9"/>
    <w:rsid w:val="2DDC0906"/>
    <w:rsid w:val="2DFA703E"/>
    <w:rsid w:val="2E0C3DEB"/>
    <w:rsid w:val="2E240FFB"/>
    <w:rsid w:val="2E272F6B"/>
    <w:rsid w:val="2E2E4DE6"/>
    <w:rsid w:val="2E62055B"/>
    <w:rsid w:val="2E652751"/>
    <w:rsid w:val="2E71050C"/>
    <w:rsid w:val="2E7C4082"/>
    <w:rsid w:val="2E841394"/>
    <w:rsid w:val="2E8928E3"/>
    <w:rsid w:val="2E93697C"/>
    <w:rsid w:val="2EB103AC"/>
    <w:rsid w:val="2F281646"/>
    <w:rsid w:val="2F2F5238"/>
    <w:rsid w:val="2F3A598B"/>
    <w:rsid w:val="2FEE3B30"/>
    <w:rsid w:val="2FF558A8"/>
    <w:rsid w:val="30234671"/>
    <w:rsid w:val="30422D49"/>
    <w:rsid w:val="30532F8E"/>
    <w:rsid w:val="3062163D"/>
    <w:rsid w:val="30710775"/>
    <w:rsid w:val="3093171A"/>
    <w:rsid w:val="30AD6DFB"/>
    <w:rsid w:val="30BB7842"/>
    <w:rsid w:val="30CD0F52"/>
    <w:rsid w:val="3115045E"/>
    <w:rsid w:val="312863E3"/>
    <w:rsid w:val="316311C9"/>
    <w:rsid w:val="31FA3731"/>
    <w:rsid w:val="320F30FF"/>
    <w:rsid w:val="321330B3"/>
    <w:rsid w:val="321B497C"/>
    <w:rsid w:val="32261EDD"/>
    <w:rsid w:val="3263489C"/>
    <w:rsid w:val="326413A9"/>
    <w:rsid w:val="32763509"/>
    <w:rsid w:val="328E083B"/>
    <w:rsid w:val="32AB72CC"/>
    <w:rsid w:val="32B326B3"/>
    <w:rsid w:val="32BF2D77"/>
    <w:rsid w:val="32D2023D"/>
    <w:rsid w:val="32DF2AD1"/>
    <w:rsid w:val="32E7407C"/>
    <w:rsid w:val="33226BEB"/>
    <w:rsid w:val="332D08D7"/>
    <w:rsid w:val="33505FAA"/>
    <w:rsid w:val="335A6721"/>
    <w:rsid w:val="335C5A00"/>
    <w:rsid w:val="336B0809"/>
    <w:rsid w:val="33770F5C"/>
    <w:rsid w:val="33865643"/>
    <w:rsid w:val="33955886"/>
    <w:rsid w:val="33A866C0"/>
    <w:rsid w:val="33C817B8"/>
    <w:rsid w:val="341A0655"/>
    <w:rsid w:val="34392647"/>
    <w:rsid w:val="34483255"/>
    <w:rsid w:val="348479D5"/>
    <w:rsid w:val="34993154"/>
    <w:rsid w:val="349B45D8"/>
    <w:rsid w:val="34BE1E25"/>
    <w:rsid w:val="34E3324B"/>
    <w:rsid w:val="34EA00F5"/>
    <w:rsid w:val="34F62354"/>
    <w:rsid w:val="35133C86"/>
    <w:rsid w:val="35335662"/>
    <w:rsid w:val="3538384E"/>
    <w:rsid w:val="354C1729"/>
    <w:rsid w:val="355500F2"/>
    <w:rsid w:val="355C7475"/>
    <w:rsid w:val="35672C2A"/>
    <w:rsid w:val="35683252"/>
    <w:rsid w:val="35854DD5"/>
    <w:rsid w:val="3587712D"/>
    <w:rsid w:val="35D206ED"/>
    <w:rsid w:val="35DA288A"/>
    <w:rsid w:val="35E46651"/>
    <w:rsid w:val="35E84251"/>
    <w:rsid w:val="362C73AC"/>
    <w:rsid w:val="3641614E"/>
    <w:rsid w:val="3652180C"/>
    <w:rsid w:val="368D0A96"/>
    <w:rsid w:val="36D66244"/>
    <w:rsid w:val="36D8196E"/>
    <w:rsid w:val="36E033FA"/>
    <w:rsid w:val="371A717A"/>
    <w:rsid w:val="372F308B"/>
    <w:rsid w:val="37511204"/>
    <w:rsid w:val="37647A49"/>
    <w:rsid w:val="37930739"/>
    <w:rsid w:val="37AF5A96"/>
    <w:rsid w:val="37C86D9B"/>
    <w:rsid w:val="37CA427B"/>
    <w:rsid w:val="37FE1C4C"/>
    <w:rsid w:val="380F51A3"/>
    <w:rsid w:val="38147C4C"/>
    <w:rsid w:val="38303DCF"/>
    <w:rsid w:val="387C0DC3"/>
    <w:rsid w:val="388C54AA"/>
    <w:rsid w:val="389C5523"/>
    <w:rsid w:val="38C629D8"/>
    <w:rsid w:val="38C63216"/>
    <w:rsid w:val="38FC4775"/>
    <w:rsid w:val="39007C46"/>
    <w:rsid w:val="399F2FBB"/>
    <w:rsid w:val="39B867CF"/>
    <w:rsid w:val="39B90520"/>
    <w:rsid w:val="39E35982"/>
    <w:rsid w:val="39E64FFB"/>
    <w:rsid w:val="39E82BB3"/>
    <w:rsid w:val="39F33E3D"/>
    <w:rsid w:val="39F63EFF"/>
    <w:rsid w:val="3A5E2E76"/>
    <w:rsid w:val="3A647142"/>
    <w:rsid w:val="3A666D2F"/>
    <w:rsid w:val="3A7A59B6"/>
    <w:rsid w:val="3AA0523C"/>
    <w:rsid w:val="3AA11540"/>
    <w:rsid w:val="3AA76370"/>
    <w:rsid w:val="3ADB1DC4"/>
    <w:rsid w:val="3AF630AE"/>
    <w:rsid w:val="3AFB681C"/>
    <w:rsid w:val="3B224EB7"/>
    <w:rsid w:val="3B5060F8"/>
    <w:rsid w:val="3B506C62"/>
    <w:rsid w:val="3B6C3370"/>
    <w:rsid w:val="3B892174"/>
    <w:rsid w:val="3B912DD7"/>
    <w:rsid w:val="3B9308FD"/>
    <w:rsid w:val="3BAB0EC3"/>
    <w:rsid w:val="3BEB698B"/>
    <w:rsid w:val="3C09351D"/>
    <w:rsid w:val="3C1934F8"/>
    <w:rsid w:val="3C4007DF"/>
    <w:rsid w:val="3CA1704A"/>
    <w:rsid w:val="3CA3496E"/>
    <w:rsid w:val="3CE37662"/>
    <w:rsid w:val="3CFB49AC"/>
    <w:rsid w:val="3D1B607F"/>
    <w:rsid w:val="3D2C2DB7"/>
    <w:rsid w:val="3D412692"/>
    <w:rsid w:val="3D51281E"/>
    <w:rsid w:val="3D632551"/>
    <w:rsid w:val="3D646363"/>
    <w:rsid w:val="3DAA4C63"/>
    <w:rsid w:val="3DAC2770"/>
    <w:rsid w:val="3DB41B96"/>
    <w:rsid w:val="3DE8120D"/>
    <w:rsid w:val="3E16560C"/>
    <w:rsid w:val="3E330175"/>
    <w:rsid w:val="3E38233A"/>
    <w:rsid w:val="3E62602A"/>
    <w:rsid w:val="3E6E1261"/>
    <w:rsid w:val="3E735ED2"/>
    <w:rsid w:val="3EA846BF"/>
    <w:rsid w:val="3EC87242"/>
    <w:rsid w:val="3ECA2A1D"/>
    <w:rsid w:val="3EE6343A"/>
    <w:rsid w:val="3EF42E38"/>
    <w:rsid w:val="3EFA594C"/>
    <w:rsid w:val="3F081602"/>
    <w:rsid w:val="3F0D2EBA"/>
    <w:rsid w:val="3F22678D"/>
    <w:rsid w:val="3F2611C2"/>
    <w:rsid w:val="3F3D0D89"/>
    <w:rsid w:val="3F4546EB"/>
    <w:rsid w:val="3F4965A1"/>
    <w:rsid w:val="3F5860E5"/>
    <w:rsid w:val="3FFB24B0"/>
    <w:rsid w:val="4002773F"/>
    <w:rsid w:val="403C5F3C"/>
    <w:rsid w:val="4043742F"/>
    <w:rsid w:val="40662F3C"/>
    <w:rsid w:val="40821EB1"/>
    <w:rsid w:val="40896BC7"/>
    <w:rsid w:val="40A351F4"/>
    <w:rsid w:val="40E65973"/>
    <w:rsid w:val="40F36398"/>
    <w:rsid w:val="40FA31CC"/>
    <w:rsid w:val="411C0B2E"/>
    <w:rsid w:val="412C1E99"/>
    <w:rsid w:val="4159531D"/>
    <w:rsid w:val="417B0399"/>
    <w:rsid w:val="41866FFD"/>
    <w:rsid w:val="418B69E8"/>
    <w:rsid w:val="418D4040"/>
    <w:rsid w:val="41A06456"/>
    <w:rsid w:val="41BA3087"/>
    <w:rsid w:val="41F5422C"/>
    <w:rsid w:val="42075BA1"/>
    <w:rsid w:val="42132798"/>
    <w:rsid w:val="42632909"/>
    <w:rsid w:val="426856B3"/>
    <w:rsid w:val="42794574"/>
    <w:rsid w:val="42AC47E3"/>
    <w:rsid w:val="42C6780A"/>
    <w:rsid w:val="42CB2301"/>
    <w:rsid w:val="42CC2E2D"/>
    <w:rsid w:val="4344711A"/>
    <w:rsid w:val="43593652"/>
    <w:rsid w:val="436B215F"/>
    <w:rsid w:val="439B2A45"/>
    <w:rsid w:val="43A454D0"/>
    <w:rsid w:val="43E07893"/>
    <w:rsid w:val="43F108B7"/>
    <w:rsid w:val="43F92C8E"/>
    <w:rsid w:val="4403299E"/>
    <w:rsid w:val="4413082D"/>
    <w:rsid w:val="4427077C"/>
    <w:rsid w:val="44611A27"/>
    <w:rsid w:val="4475773A"/>
    <w:rsid w:val="44BB2B9C"/>
    <w:rsid w:val="44BC7116"/>
    <w:rsid w:val="44C63AF1"/>
    <w:rsid w:val="44E673BF"/>
    <w:rsid w:val="450E5498"/>
    <w:rsid w:val="457A4B71"/>
    <w:rsid w:val="45FA4F7F"/>
    <w:rsid w:val="46146ADE"/>
    <w:rsid w:val="462C6CAE"/>
    <w:rsid w:val="46333408"/>
    <w:rsid w:val="4689107F"/>
    <w:rsid w:val="4698770F"/>
    <w:rsid w:val="46B362F7"/>
    <w:rsid w:val="46C16C66"/>
    <w:rsid w:val="46CD63F2"/>
    <w:rsid w:val="46E67CE2"/>
    <w:rsid w:val="46FA3F26"/>
    <w:rsid w:val="471E03DE"/>
    <w:rsid w:val="472D26D5"/>
    <w:rsid w:val="47411B55"/>
    <w:rsid w:val="474A246F"/>
    <w:rsid w:val="479E36FE"/>
    <w:rsid w:val="479F28C2"/>
    <w:rsid w:val="47A0687C"/>
    <w:rsid w:val="47A81BD4"/>
    <w:rsid w:val="47B916EB"/>
    <w:rsid w:val="47DA45FF"/>
    <w:rsid w:val="47EB02A8"/>
    <w:rsid w:val="486E2264"/>
    <w:rsid w:val="489D100D"/>
    <w:rsid w:val="489F2FD7"/>
    <w:rsid w:val="48A26623"/>
    <w:rsid w:val="48D93007"/>
    <w:rsid w:val="48E704DA"/>
    <w:rsid w:val="48F047E2"/>
    <w:rsid w:val="490A06B4"/>
    <w:rsid w:val="49406D1A"/>
    <w:rsid w:val="49540453"/>
    <w:rsid w:val="4972249A"/>
    <w:rsid w:val="49897E4A"/>
    <w:rsid w:val="49A34401"/>
    <w:rsid w:val="49D55F29"/>
    <w:rsid w:val="49DC11DB"/>
    <w:rsid w:val="4A144292"/>
    <w:rsid w:val="4A2B194F"/>
    <w:rsid w:val="4A2C72C0"/>
    <w:rsid w:val="4A315EB1"/>
    <w:rsid w:val="4A4C2CEB"/>
    <w:rsid w:val="4A657E11"/>
    <w:rsid w:val="4A821FE5"/>
    <w:rsid w:val="4A857ED6"/>
    <w:rsid w:val="4AC05487"/>
    <w:rsid w:val="4ADB406F"/>
    <w:rsid w:val="4AED2F52"/>
    <w:rsid w:val="4B08335B"/>
    <w:rsid w:val="4B19711F"/>
    <w:rsid w:val="4B3F0E94"/>
    <w:rsid w:val="4B4A76A9"/>
    <w:rsid w:val="4BB24DCF"/>
    <w:rsid w:val="4BD242D1"/>
    <w:rsid w:val="4BD67FAE"/>
    <w:rsid w:val="4BF61160"/>
    <w:rsid w:val="4C387642"/>
    <w:rsid w:val="4C61525D"/>
    <w:rsid w:val="4CBB2BD7"/>
    <w:rsid w:val="4CD3324F"/>
    <w:rsid w:val="4CF82ACD"/>
    <w:rsid w:val="4D0061B1"/>
    <w:rsid w:val="4D023B34"/>
    <w:rsid w:val="4D5C182F"/>
    <w:rsid w:val="4D617C51"/>
    <w:rsid w:val="4D6D0D6D"/>
    <w:rsid w:val="4D994499"/>
    <w:rsid w:val="4DB43081"/>
    <w:rsid w:val="4DBB4542"/>
    <w:rsid w:val="4DC40DEA"/>
    <w:rsid w:val="4DDC25D7"/>
    <w:rsid w:val="4DF25957"/>
    <w:rsid w:val="4E016CE7"/>
    <w:rsid w:val="4E270FC7"/>
    <w:rsid w:val="4E314D77"/>
    <w:rsid w:val="4E435B17"/>
    <w:rsid w:val="4E6525CD"/>
    <w:rsid w:val="4E797E26"/>
    <w:rsid w:val="4E7D4D0E"/>
    <w:rsid w:val="4EBE0A4E"/>
    <w:rsid w:val="4EE74D90"/>
    <w:rsid w:val="4F033A9A"/>
    <w:rsid w:val="4F4514B9"/>
    <w:rsid w:val="4F666482"/>
    <w:rsid w:val="4F7A4CC0"/>
    <w:rsid w:val="4F870321"/>
    <w:rsid w:val="4FA54621"/>
    <w:rsid w:val="4FA9552E"/>
    <w:rsid w:val="4FB76E58"/>
    <w:rsid w:val="4FD2017C"/>
    <w:rsid w:val="4FD6155C"/>
    <w:rsid w:val="4FF6167E"/>
    <w:rsid w:val="501E5109"/>
    <w:rsid w:val="50230A6C"/>
    <w:rsid w:val="5044333E"/>
    <w:rsid w:val="50464E42"/>
    <w:rsid w:val="504A7CCC"/>
    <w:rsid w:val="50740CF9"/>
    <w:rsid w:val="508C7456"/>
    <w:rsid w:val="509F0570"/>
    <w:rsid w:val="50C64592"/>
    <w:rsid w:val="50C82F7B"/>
    <w:rsid w:val="50EF19EA"/>
    <w:rsid w:val="50FB388D"/>
    <w:rsid w:val="51416F08"/>
    <w:rsid w:val="51434D02"/>
    <w:rsid w:val="51543108"/>
    <w:rsid w:val="515B3813"/>
    <w:rsid w:val="515D0C55"/>
    <w:rsid w:val="51651CBF"/>
    <w:rsid w:val="51A0391C"/>
    <w:rsid w:val="51C413B8"/>
    <w:rsid w:val="51FC1166"/>
    <w:rsid w:val="52020133"/>
    <w:rsid w:val="521142C4"/>
    <w:rsid w:val="52174C88"/>
    <w:rsid w:val="521D4628"/>
    <w:rsid w:val="52263E21"/>
    <w:rsid w:val="52383B54"/>
    <w:rsid w:val="52593581"/>
    <w:rsid w:val="52662EE7"/>
    <w:rsid w:val="52755359"/>
    <w:rsid w:val="528559C7"/>
    <w:rsid w:val="529169C4"/>
    <w:rsid w:val="52B23930"/>
    <w:rsid w:val="52E52E33"/>
    <w:rsid w:val="536A5F90"/>
    <w:rsid w:val="536F7A4A"/>
    <w:rsid w:val="53AE5120"/>
    <w:rsid w:val="53B10C27"/>
    <w:rsid w:val="53B8538B"/>
    <w:rsid w:val="53E26490"/>
    <w:rsid w:val="54001406"/>
    <w:rsid w:val="540964D0"/>
    <w:rsid w:val="543C4781"/>
    <w:rsid w:val="54853CAF"/>
    <w:rsid w:val="54AE31B8"/>
    <w:rsid w:val="54C57ACE"/>
    <w:rsid w:val="54C73958"/>
    <w:rsid w:val="54D25A42"/>
    <w:rsid w:val="54D759E3"/>
    <w:rsid w:val="54E104D3"/>
    <w:rsid w:val="54E24C3E"/>
    <w:rsid w:val="54FD7021"/>
    <w:rsid w:val="5503669C"/>
    <w:rsid w:val="551B77FE"/>
    <w:rsid w:val="55515659"/>
    <w:rsid w:val="55562174"/>
    <w:rsid w:val="55AF6E93"/>
    <w:rsid w:val="55CC2C88"/>
    <w:rsid w:val="55D95F14"/>
    <w:rsid w:val="55FF3307"/>
    <w:rsid w:val="5684380C"/>
    <w:rsid w:val="56E20BD2"/>
    <w:rsid w:val="56EC78F8"/>
    <w:rsid w:val="56F52014"/>
    <w:rsid w:val="572F5526"/>
    <w:rsid w:val="573B211D"/>
    <w:rsid w:val="574434FF"/>
    <w:rsid w:val="574D4690"/>
    <w:rsid w:val="576D604E"/>
    <w:rsid w:val="57715EA0"/>
    <w:rsid w:val="5776389C"/>
    <w:rsid w:val="57913CD7"/>
    <w:rsid w:val="57C245EC"/>
    <w:rsid w:val="57E74053"/>
    <w:rsid w:val="57FB7AFE"/>
    <w:rsid w:val="58306639"/>
    <w:rsid w:val="58392D17"/>
    <w:rsid w:val="584F3E1B"/>
    <w:rsid w:val="58632745"/>
    <w:rsid w:val="5864418B"/>
    <w:rsid w:val="58721B1C"/>
    <w:rsid w:val="58943CD1"/>
    <w:rsid w:val="58AB24D3"/>
    <w:rsid w:val="58B07B38"/>
    <w:rsid w:val="58C3061C"/>
    <w:rsid w:val="58C93BEA"/>
    <w:rsid w:val="58E65EC9"/>
    <w:rsid w:val="59432FD2"/>
    <w:rsid w:val="594B5A6F"/>
    <w:rsid w:val="594B663A"/>
    <w:rsid w:val="59545718"/>
    <w:rsid w:val="595B0854"/>
    <w:rsid w:val="59E52814"/>
    <w:rsid w:val="59F9246F"/>
    <w:rsid w:val="5A861180"/>
    <w:rsid w:val="5A8C2C8F"/>
    <w:rsid w:val="5B17428E"/>
    <w:rsid w:val="5B417F1E"/>
    <w:rsid w:val="5B42308F"/>
    <w:rsid w:val="5B597015"/>
    <w:rsid w:val="5B6102EF"/>
    <w:rsid w:val="5B951B8F"/>
    <w:rsid w:val="5BB31314"/>
    <w:rsid w:val="5BD0008C"/>
    <w:rsid w:val="5BF31218"/>
    <w:rsid w:val="5BF40AEC"/>
    <w:rsid w:val="5C0827EA"/>
    <w:rsid w:val="5C2B0170"/>
    <w:rsid w:val="5C466C57"/>
    <w:rsid w:val="5C733286"/>
    <w:rsid w:val="5CB14C2F"/>
    <w:rsid w:val="5D0C0E5A"/>
    <w:rsid w:val="5D2C58CF"/>
    <w:rsid w:val="5D6952E9"/>
    <w:rsid w:val="5D752101"/>
    <w:rsid w:val="5D9669D9"/>
    <w:rsid w:val="5DA317AD"/>
    <w:rsid w:val="5DD94B0E"/>
    <w:rsid w:val="5E05075A"/>
    <w:rsid w:val="5E084D23"/>
    <w:rsid w:val="5E167DD0"/>
    <w:rsid w:val="5E201093"/>
    <w:rsid w:val="5E5341F0"/>
    <w:rsid w:val="5E706136"/>
    <w:rsid w:val="5E8E666A"/>
    <w:rsid w:val="5E940365"/>
    <w:rsid w:val="5E950D16"/>
    <w:rsid w:val="5E9661F5"/>
    <w:rsid w:val="5E993BCD"/>
    <w:rsid w:val="5E9C37CB"/>
    <w:rsid w:val="5F382B14"/>
    <w:rsid w:val="5F69359F"/>
    <w:rsid w:val="5F763632"/>
    <w:rsid w:val="5FB213EA"/>
    <w:rsid w:val="5FBE162A"/>
    <w:rsid w:val="5FDC5FF4"/>
    <w:rsid w:val="60271F21"/>
    <w:rsid w:val="602E338E"/>
    <w:rsid w:val="60485D7E"/>
    <w:rsid w:val="60491AD3"/>
    <w:rsid w:val="605D5D6F"/>
    <w:rsid w:val="605F444D"/>
    <w:rsid w:val="60643E4F"/>
    <w:rsid w:val="60807703"/>
    <w:rsid w:val="60A81950"/>
    <w:rsid w:val="60AF592A"/>
    <w:rsid w:val="60C17B45"/>
    <w:rsid w:val="60CE7528"/>
    <w:rsid w:val="60E60223"/>
    <w:rsid w:val="60EB23E6"/>
    <w:rsid w:val="610022B0"/>
    <w:rsid w:val="610533D3"/>
    <w:rsid w:val="6128013F"/>
    <w:rsid w:val="61330309"/>
    <w:rsid w:val="6154583C"/>
    <w:rsid w:val="61563C2A"/>
    <w:rsid w:val="615E35D8"/>
    <w:rsid w:val="61A301E4"/>
    <w:rsid w:val="61B825BC"/>
    <w:rsid w:val="61BF2C52"/>
    <w:rsid w:val="61C115B1"/>
    <w:rsid w:val="61F42052"/>
    <w:rsid w:val="61FB0E26"/>
    <w:rsid w:val="620F4DEC"/>
    <w:rsid w:val="62347FA2"/>
    <w:rsid w:val="62404A8B"/>
    <w:rsid w:val="62791D4B"/>
    <w:rsid w:val="62A34590"/>
    <w:rsid w:val="62AF14B9"/>
    <w:rsid w:val="62BD3F4B"/>
    <w:rsid w:val="62D10E17"/>
    <w:rsid w:val="62D6719E"/>
    <w:rsid w:val="62DD052C"/>
    <w:rsid w:val="62EF05ED"/>
    <w:rsid w:val="62F15D85"/>
    <w:rsid w:val="63251A0D"/>
    <w:rsid w:val="635D4FEB"/>
    <w:rsid w:val="635E49B1"/>
    <w:rsid w:val="638D1F52"/>
    <w:rsid w:val="63A453F3"/>
    <w:rsid w:val="63A70B3A"/>
    <w:rsid w:val="63B05C41"/>
    <w:rsid w:val="64177A6E"/>
    <w:rsid w:val="642301C1"/>
    <w:rsid w:val="64293AB3"/>
    <w:rsid w:val="642A77A1"/>
    <w:rsid w:val="64664551"/>
    <w:rsid w:val="646F23BD"/>
    <w:rsid w:val="64736E98"/>
    <w:rsid w:val="64800B74"/>
    <w:rsid w:val="64860DFB"/>
    <w:rsid w:val="64A81AF8"/>
    <w:rsid w:val="64B61035"/>
    <w:rsid w:val="64EB797F"/>
    <w:rsid w:val="65404DA2"/>
    <w:rsid w:val="65971F08"/>
    <w:rsid w:val="65B03CD6"/>
    <w:rsid w:val="65B71508"/>
    <w:rsid w:val="65CD3B3F"/>
    <w:rsid w:val="65DF6369"/>
    <w:rsid w:val="662B7A83"/>
    <w:rsid w:val="662C3C0B"/>
    <w:rsid w:val="664B13E6"/>
    <w:rsid w:val="664C70FB"/>
    <w:rsid w:val="6650370B"/>
    <w:rsid w:val="666B5E4F"/>
    <w:rsid w:val="667016B7"/>
    <w:rsid w:val="668803EF"/>
    <w:rsid w:val="66B61212"/>
    <w:rsid w:val="66C942E8"/>
    <w:rsid w:val="66D460EA"/>
    <w:rsid w:val="66ED5970"/>
    <w:rsid w:val="66F72C2F"/>
    <w:rsid w:val="671F5868"/>
    <w:rsid w:val="672633AB"/>
    <w:rsid w:val="67380427"/>
    <w:rsid w:val="673E6D00"/>
    <w:rsid w:val="67C7218E"/>
    <w:rsid w:val="68304737"/>
    <w:rsid w:val="68550B65"/>
    <w:rsid w:val="6856322D"/>
    <w:rsid w:val="68914EB4"/>
    <w:rsid w:val="68CD4B9F"/>
    <w:rsid w:val="692364F5"/>
    <w:rsid w:val="69355B0B"/>
    <w:rsid w:val="69502D4F"/>
    <w:rsid w:val="695F2778"/>
    <w:rsid w:val="69B471CE"/>
    <w:rsid w:val="6A121EDE"/>
    <w:rsid w:val="6A1C5DDE"/>
    <w:rsid w:val="6A352BFB"/>
    <w:rsid w:val="6A401178"/>
    <w:rsid w:val="6A7061D6"/>
    <w:rsid w:val="6A7259FE"/>
    <w:rsid w:val="6A7A48B2"/>
    <w:rsid w:val="6AB30379"/>
    <w:rsid w:val="6ADB5DB0"/>
    <w:rsid w:val="6ADF0BB9"/>
    <w:rsid w:val="6AFB3CEC"/>
    <w:rsid w:val="6AFC5C0F"/>
    <w:rsid w:val="6B2C2051"/>
    <w:rsid w:val="6B3B6738"/>
    <w:rsid w:val="6B3D1F73"/>
    <w:rsid w:val="6B40008B"/>
    <w:rsid w:val="6B412BAA"/>
    <w:rsid w:val="6B5C2F3A"/>
    <w:rsid w:val="6B5C74E2"/>
    <w:rsid w:val="6B824366"/>
    <w:rsid w:val="6B87197D"/>
    <w:rsid w:val="6B945E63"/>
    <w:rsid w:val="6B9D4684"/>
    <w:rsid w:val="6BD9385B"/>
    <w:rsid w:val="6BEE37AA"/>
    <w:rsid w:val="6C236D92"/>
    <w:rsid w:val="6C301509"/>
    <w:rsid w:val="6C38247E"/>
    <w:rsid w:val="6C6A2978"/>
    <w:rsid w:val="6C9635BE"/>
    <w:rsid w:val="6CAE4771"/>
    <w:rsid w:val="6CD81344"/>
    <w:rsid w:val="6CF40DC4"/>
    <w:rsid w:val="6D0A5ED5"/>
    <w:rsid w:val="6D0F4639"/>
    <w:rsid w:val="6D107750"/>
    <w:rsid w:val="6D17512A"/>
    <w:rsid w:val="6D6C707E"/>
    <w:rsid w:val="6D77157D"/>
    <w:rsid w:val="6D877D55"/>
    <w:rsid w:val="6DC04F2C"/>
    <w:rsid w:val="6DEA0083"/>
    <w:rsid w:val="6DF60F92"/>
    <w:rsid w:val="6E056B89"/>
    <w:rsid w:val="6E2B01CE"/>
    <w:rsid w:val="6E503CC3"/>
    <w:rsid w:val="6E533D98"/>
    <w:rsid w:val="6E5408EB"/>
    <w:rsid w:val="6E5F098F"/>
    <w:rsid w:val="6E9028F6"/>
    <w:rsid w:val="6E905A17"/>
    <w:rsid w:val="6EE02910"/>
    <w:rsid w:val="6F08033E"/>
    <w:rsid w:val="6F644F94"/>
    <w:rsid w:val="6FAA79E8"/>
    <w:rsid w:val="6FAC7C04"/>
    <w:rsid w:val="6FC96E67"/>
    <w:rsid w:val="6FD11419"/>
    <w:rsid w:val="6FD5355F"/>
    <w:rsid w:val="6FE0340A"/>
    <w:rsid w:val="6FF70359"/>
    <w:rsid w:val="70042E38"/>
    <w:rsid w:val="70554EDA"/>
    <w:rsid w:val="7080699B"/>
    <w:rsid w:val="7092448F"/>
    <w:rsid w:val="70C60851"/>
    <w:rsid w:val="70D51487"/>
    <w:rsid w:val="70EF1C35"/>
    <w:rsid w:val="713855A1"/>
    <w:rsid w:val="71397275"/>
    <w:rsid w:val="713E3413"/>
    <w:rsid w:val="714902BE"/>
    <w:rsid w:val="71535E5D"/>
    <w:rsid w:val="716C1A81"/>
    <w:rsid w:val="717E3F66"/>
    <w:rsid w:val="71B32570"/>
    <w:rsid w:val="71BB5EDC"/>
    <w:rsid w:val="71C31235"/>
    <w:rsid w:val="71C34D91"/>
    <w:rsid w:val="71CC2390"/>
    <w:rsid w:val="722327BB"/>
    <w:rsid w:val="72347A3D"/>
    <w:rsid w:val="723F63AD"/>
    <w:rsid w:val="725D3437"/>
    <w:rsid w:val="727D7636"/>
    <w:rsid w:val="72995E06"/>
    <w:rsid w:val="72A52AD4"/>
    <w:rsid w:val="72B648F6"/>
    <w:rsid w:val="72C557C0"/>
    <w:rsid w:val="73117D7E"/>
    <w:rsid w:val="7319291E"/>
    <w:rsid w:val="7327796A"/>
    <w:rsid w:val="733D31FE"/>
    <w:rsid w:val="7366593F"/>
    <w:rsid w:val="737B28B9"/>
    <w:rsid w:val="739F66EC"/>
    <w:rsid w:val="73DA21D9"/>
    <w:rsid w:val="73F64131"/>
    <w:rsid w:val="74160B04"/>
    <w:rsid w:val="744D73A7"/>
    <w:rsid w:val="745A113A"/>
    <w:rsid w:val="745A3A51"/>
    <w:rsid w:val="74654825"/>
    <w:rsid w:val="74B77C0A"/>
    <w:rsid w:val="74C815F2"/>
    <w:rsid w:val="750E6C6B"/>
    <w:rsid w:val="75106193"/>
    <w:rsid w:val="752D2DAE"/>
    <w:rsid w:val="75344045"/>
    <w:rsid w:val="756B5E6B"/>
    <w:rsid w:val="75726995"/>
    <w:rsid w:val="75736F6F"/>
    <w:rsid w:val="759D7527"/>
    <w:rsid w:val="75E023B5"/>
    <w:rsid w:val="75E11C8A"/>
    <w:rsid w:val="75EE7D64"/>
    <w:rsid w:val="75FA2B38"/>
    <w:rsid w:val="762229CE"/>
    <w:rsid w:val="766528BB"/>
    <w:rsid w:val="76692C0E"/>
    <w:rsid w:val="76832D41"/>
    <w:rsid w:val="76B72856"/>
    <w:rsid w:val="76D44A1D"/>
    <w:rsid w:val="76ED5F8C"/>
    <w:rsid w:val="76FA0DEC"/>
    <w:rsid w:val="77173AF0"/>
    <w:rsid w:val="771F44CD"/>
    <w:rsid w:val="775D02F8"/>
    <w:rsid w:val="77634E80"/>
    <w:rsid w:val="776B561E"/>
    <w:rsid w:val="77726987"/>
    <w:rsid w:val="77784870"/>
    <w:rsid w:val="77AE3DED"/>
    <w:rsid w:val="77C71A27"/>
    <w:rsid w:val="783D222D"/>
    <w:rsid w:val="785E722E"/>
    <w:rsid w:val="786170B2"/>
    <w:rsid w:val="78866B18"/>
    <w:rsid w:val="7896539C"/>
    <w:rsid w:val="78987FE7"/>
    <w:rsid w:val="78CF6711"/>
    <w:rsid w:val="78D33330"/>
    <w:rsid w:val="78DD4C01"/>
    <w:rsid w:val="790068CB"/>
    <w:rsid w:val="79077C59"/>
    <w:rsid w:val="790955F7"/>
    <w:rsid w:val="79102392"/>
    <w:rsid w:val="792E3BA3"/>
    <w:rsid w:val="794669D3"/>
    <w:rsid w:val="794C0316"/>
    <w:rsid w:val="795850C6"/>
    <w:rsid w:val="79AC7D95"/>
    <w:rsid w:val="7A400B42"/>
    <w:rsid w:val="7A8407A1"/>
    <w:rsid w:val="7A8719DC"/>
    <w:rsid w:val="7A88366E"/>
    <w:rsid w:val="7A9E639B"/>
    <w:rsid w:val="7ABE07EB"/>
    <w:rsid w:val="7AC74081"/>
    <w:rsid w:val="7B0D3426"/>
    <w:rsid w:val="7B4C4049"/>
    <w:rsid w:val="7B562F57"/>
    <w:rsid w:val="7B690757"/>
    <w:rsid w:val="7B784E3E"/>
    <w:rsid w:val="7BF81ADB"/>
    <w:rsid w:val="7C09018C"/>
    <w:rsid w:val="7C456945"/>
    <w:rsid w:val="7C5E4757"/>
    <w:rsid w:val="7C6A53A9"/>
    <w:rsid w:val="7C920181"/>
    <w:rsid w:val="7CBC0AC4"/>
    <w:rsid w:val="7CC43D31"/>
    <w:rsid w:val="7CEF723D"/>
    <w:rsid w:val="7D060228"/>
    <w:rsid w:val="7D455C33"/>
    <w:rsid w:val="7D511DEB"/>
    <w:rsid w:val="7D6815C0"/>
    <w:rsid w:val="7D781125"/>
    <w:rsid w:val="7D883F06"/>
    <w:rsid w:val="7D955142"/>
    <w:rsid w:val="7DAC5379"/>
    <w:rsid w:val="7DB0632D"/>
    <w:rsid w:val="7DEC38C1"/>
    <w:rsid w:val="7DED3EC4"/>
    <w:rsid w:val="7DFD5ACF"/>
    <w:rsid w:val="7E1C633B"/>
    <w:rsid w:val="7E24305B"/>
    <w:rsid w:val="7E311DCB"/>
    <w:rsid w:val="7E4952DC"/>
    <w:rsid w:val="7E6B0256"/>
    <w:rsid w:val="7E6B47E6"/>
    <w:rsid w:val="7E747D04"/>
    <w:rsid w:val="7E9975A5"/>
    <w:rsid w:val="7EB106DC"/>
    <w:rsid w:val="7EBC7738"/>
    <w:rsid w:val="7EC32874"/>
    <w:rsid w:val="7ED07423"/>
    <w:rsid w:val="7EE3571E"/>
    <w:rsid w:val="7EEA5C45"/>
    <w:rsid w:val="7EEB1240"/>
    <w:rsid w:val="7F196938"/>
    <w:rsid w:val="7F1A2236"/>
    <w:rsid w:val="7F1A527D"/>
    <w:rsid w:val="7F2826D7"/>
    <w:rsid w:val="7F3472CE"/>
    <w:rsid w:val="7F6C6A68"/>
    <w:rsid w:val="7F8F09A8"/>
    <w:rsid w:val="7FB34697"/>
    <w:rsid w:val="7FC03CF4"/>
    <w:rsid w:val="7FD12D6F"/>
    <w:rsid w:val="7FD35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unhideWhenUsed/>
    <w:qFormat/>
    <w:uiPriority w:val="0"/>
    <w:pPr>
      <w:keepNext/>
      <w:keepLines/>
      <w:ind w:firstLine="600" w:firstLineChars="200"/>
      <w:outlineLvl w:val="1"/>
    </w:pPr>
    <w:rPr>
      <w:rFonts w:cs="Times New Roman"/>
      <w:b/>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sz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rmal Indent"/>
    <w:basedOn w:val="1"/>
    <w:unhideWhenUsed/>
    <w:qFormat/>
    <w:uiPriority w:val="0"/>
    <w:pPr>
      <w:adjustRightInd w:val="0"/>
      <w:snapToGrid w:val="0"/>
      <w:spacing w:line="360" w:lineRule="auto"/>
      <w:ind w:firstLine="420" w:firstLineChars="200"/>
    </w:pPr>
    <w:rPr>
      <w:rFonts w:ascii="Times New Roman" w:hAnsi="Times New Roman" w:eastAsia="宋体" w:cs="Times New Roman"/>
      <w:kern w:val="0"/>
    </w:rPr>
  </w:style>
  <w:style w:type="paragraph" w:styleId="9">
    <w:name w:val="caption"/>
    <w:basedOn w:val="5"/>
    <w:next w:val="1"/>
    <w:unhideWhenUsed/>
    <w:qFormat/>
    <w:uiPriority w:val="0"/>
    <w:pPr>
      <w:topLinePunct/>
      <w:spacing w:beforeLines="50" w:line="240" w:lineRule="auto"/>
      <w:jc w:val="center"/>
    </w:pPr>
    <w:rPr>
      <w:rFonts w:ascii="Times New Roman" w:hAnsi="Times New Roman"/>
      <w:sz w:val="21"/>
    </w:rPr>
  </w:style>
  <w:style w:type="paragraph" w:styleId="10">
    <w:name w:val="annotation text"/>
    <w:basedOn w:val="1"/>
    <w:link w:val="53"/>
    <w:semiHidden/>
    <w:qFormat/>
    <w:uiPriority w:val="0"/>
    <w:pPr>
      <w:jc w:val="left"/>
    </w:pPr>
    <w:rPr>
      <w:kern w:val="0"/>
      <w:sz w:val="24"/>
      <w:szCs w:val="20"/>
    </w:rPr>
  </w:style>
  <w:style w:type="paragraph" w:styleId="11">
    <w:name w:val="Body Text"/>
    <w:basedOn w:val="1"/>
    <w:next w:val="1"/>
    <w:qFormat/>
    <w:uiPriority w:val="0"/>
    <w:pPr>
      <w:widowControl/>
      <w:snapToGrid w:val="0"/>
      <w:spacing w:before="60" w:after="160" w:line="259" w:lineRule="auto"/>
      <w:ind w:right="113"/>
    </w:pPr>
    <w:rPr>
      <w:kern w:val="0"/>
      <w:sz w:val="18"/>
      <w:szCs w:val="20"/>
    </w:rPr>
  </w:style>
  <w:style w:type="paragraph" w:styleId="12">
    <w:name w:val="Body Text Indent"/>
    <w:basedOn w:val="1"/>
    <w:qFormat/>
    <w:uiPriority w:val="0"/>
    <w:pPr>
      <w:spacing w:after="120"/>
      <w:ind w:left="420" w:leftChars="200"/>
    </w:pPr>
    <w:rPr>
      <w:kern w:val="0"/>
      <w:szCs w:val="20"/>
    </w:rPr>
  </w:style>
  <w:style w:type="paragraph" w:styleId="13">
    <w:name w:val="List Bullet 5"/>
    <w:basedOn w:val="1"/>
    <w:qFormat/>
    <w:uiPriority w:val="0"/>
    <w:pPr>
      <w:numPr>
        <w:ilvl w:val="0"/>
        <w:numId w:val="1"/>
      </w:numPr>
    </w:pPr>
  </w:style>
  <w:style w:type="paragraph" w:styleId="14">
    <w:name w:val="Body Text Indent 2"/>
    <w:basedOn w:val="1"/>
    <w:qFormat/>
    <w:uiPriority w:val="0"/>
    <w:pPr>
      <w:spacing w:after="120" w:line="480" w:lineRule="auto"/>
      <w:ind w:left="420" w:leftChars="2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index heading"/>
    <w:basedOn w:val="1"/>
    <w:next w:val="1"/>
    <w:qFormat/>
    <w:uiPriority w:val="0"/>
    <w:rPr>
      <w:rFonts w:ascii="Arial" w:hAnsi="Arial"/>
      <w:b/>
    </w:rPr>
  </w:style>
  <w:style w:type="paragraph" w:styleId="19">
    <w:name w:val="Body Text Indent 3"/>
    <w:basedOn w:val="1"/>
    <w:next w:val="18"/>
    <w:qFormat/>
    <w:uiPriority w:val="0"/>
    <w:pPr>
      <w:spacing w:line="400" w:lineRule="exact"/>
      <w:ind w:firstLine="567"/>
    </w:pPr>
    <w:rPr>
      <w:rFonts w:ascii="宋体"/>
      <w:sz w:val="28"/>
    </w:rPr>
  </w:style>
  <w:style w:type="paragraph" w:styleId="20">
    <w:name w:val="table of figures"/>
    <w:basedOn w:val="1"/>
    <w:next w:val="1"/>
    <w:qFormat/>
    <w:uiPriority w:val="0"/>
    <w:pPr>
      <w:topLinePunct/>
      <w:spacing w:line="240" w:lineRule="exact"/>
    </w:pPr>
    <w:rPr>
      <w:rFonts w:ascii="宋体" w:hAnsi="宋体"/>
      <w:szCs w:val="21"/>
    </w:rPr>
  </w:style>
  <w:style w:type="paragraph" w:styleId="21">
    <w:name w:val="Body Text 2"/>
    <w:basedOn w:val="1"/>
    <w:qFormat/>
    <w:uiPriority w:val="0"/>
    <w:pPr>
      <w:spacing w:after="120" w:line="480" w:lineRule="auto"/>
      <w:ind w:firstLine="480" w:firstLineChars="200"/>
    </w:pPr>
    <w:rPr>
      <w:sz w:val="24"/>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qFormat/>
    <w:uiPriority w:val="0"/>
    <w:pPr>
      <w:spacing w:before="240" w:after="60"/>
      <w:jc w:val="center"/>
      <w:outlineLvl w:val="0"/>
    </w:pPr>
    <w:rPr>
      <w:b/>
      <w:bCs/>
      <w:sz w:val="32"/>
      <w:szCs w:val="32"/>
    </w:rPr>
  </w:style>
  <w:style w:type="paragraph" w:styleId="24">
    <w:name w:val="annotation subject"/>
    <w:basedOn w:val="10"/>
    <w:next w:val="10"/>
    <w:link w:val="54"/>
    <w:qFormat/>
    <w:uiPriority w:val="0"/>
    <w:rPr>
      <w:b/>
      <w:bCs/>
      <w:kern w:val="2"/>
      <w:sz w:val="21"/>
      <w:szCs w:val="24"/>
    </w:rPr>
  </w:style>
  <w:style w:type="paragraph" w:styleId="25">
    <w:name w:val="Body Text First Indent"/>
    <w:basedOn w:val="11"/>
    <w:qFormat/>
    <w:uiPriority w:val="0"/>
    <w:pPr>
      <w:adjustRightInd w:val="0"/>
      <w:spacing w:after="120" w:line="360" w:lineRule="auto"/>
      <w:ind w:firstLine="420"/>
      <w:textAlignment w:val="baseline"/>
    </w:pPr>
    <w:rPr>
      <w:rFonts w:ascii="宋体"/>
      <w:sz w:val="24"/>
    </w:rPr>
  </w:style>
  <w:style w:type="paragraph" w:styleId="26">
    <w:name w:val="Body Text First Indent 2"/>
    <w:basedOn w:val="12"/>
    <w:next w:val="1"/>
    <w:unhideWhenUsed/>
    <w:qFormat/>
    <w:uiPriority w:val="99"/>
    <w:pPr>
      <w:spacing w:line="360" w:lineRule="auto"/>
      <w:ind w:firstLine="210"/>
    </w:pPr>
    <w:rPr>
      <w:rFonts w:ascii="Times New Roman" w:hAnsi="Times New Roman" w:eastAsia="楷体_GB2312"/>
      <w:kern w:val="2"/>
      <w:sz w:val="28"/>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Emphasis"/>
    <w:basedOn w:val="29"/>
    <w:qFormat/>
    <w:uiPriority w:val="0"/>
    <w:rPr>
      <w:i/>
    </w:rPr>
  </w:style>
  <w:style w:type="character" w:styleId="32">
    <w:name w:val="Hyperlink"/>
    <w:basedOn w:val="29"/>
    <w:qFormat/>
    <w:uiPriority w:val="0"/>
    <w:rPr>
      <w:color w:val="0000FF"/>
      <w:u w:val="single"/>
    </w:rPr>
  </w:style>
  <w:style w:type="character" w:styleId="33">
    <w:name w:val="annotation reference"/>
    <w:semiHidden/>
    <w:qFormat/>
    <w:uiPriority w:val="0"/>
    <w:rPr>
      <w:sz w:val="21"/>
    </w:rPr>
  </w:style>
  <w:style w:type="paragraph" w:customStyle="1" w:styleId="34">
    <w:name w:val="正文样式"/>
    <w:basedOn w:val="1"/>
    <w:qFormat/>
    <w:uiPriority w:val="0"/>
    <w:pPr>
      <w:ind w:firstLine="480" w:firstLineChars="200"/>
    </w:pPr>
    <w:rPr>
      <w:rFonts w:ascii="Times New Roman" w:hAnsi="Times New Roman" w:eastAsia="宋体" w:cs="Times New Roman"/>
    </w:rPr>
  </w:style>
  <w:style w:type="paragraph" w:customStyle="1" w:styleId="35">
    <w:name w:val="Default"/>
    <w:basedOn w:val="36"/>
    <w:qFormat/>
    <w:uiPriority w:val="99"/>
    <w:pPr>
      <w:autoSpaceDE w:val="0"/>
      <w:autoSpaceDN w:val="0"/>
    </w:pPr>
    <w:rPr>
      <w:rFonts w:ascii="方正小标宋_GBK" w:hAnsi="方正小标宋_GBK" w:eastAsia="方正小标宋_GBK" w:cs="Times New Roman"/>
      <w:color w:val="000000"/>
      <w:sz w:val="24"/>
      <w:szCs w:val="22"/>
    </w:rPr>
  </w:style>
  <w:style w:type="paragraph" w:customStyle="1" w:styleId="36">
    <w:name w:val="纯文本1"/>
    <w:basedOn w:val="1"/>
    <w:qFormat/>
    <w:uiPriority w:val="0"/>
    <w:pPr>
      <w:adjustRightInd w:val="0"/>
    </w:pPr>
    <w:rPr>
      <w:rFonts w:hAnsi="Courier New"/>
      <w:szCs w:val="20"/>
    </w:rPr>
  </w:style>
  <w:style w:type="paragraph" w:customStyle="1" w:styleId="3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表头"/>
    <w:basedOn w:val="11"/>
    <w:qFormat/>
    <w:uiPriority w:val="0"/>
    <w:pPr>
      <w:adjustRightInd w:val="0"/>
      <w:spacing w:line="400" w:lineRule="exact"/>
      <w:jc w:val="center"/>
    </w:pPr>
    <w:rPr>
      <w:rFonts w:eastAsia="宋体"/>
      <w:b/>
      <w:szCs w:val="24"/>
    </w:rPr>
  </w:style>
  <w:style w:type="paragraph" w:customStyle="1" w:styleId="3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表格"/>
    <w:basedOn w:val="8"/>
    <w:qFormat/>
    <w:uiPriority w:val="0"/>
    <w:pPr>
      <w:spacing w:beforeLines="10" w:afterLines="10" w:line="259" w:lineRule="auto"/>
      <w:jc w:val="center"/>
    </w:pPr>
    <w:rPr>
      <w:rFonts w:ascii="宋体"/>
      <w:szCs w:val="20"/>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格"/>
    <w:basedOn w:val="1"/>
    <w:qFormat/>
    <w:uiPriority w:val="0"/>
    <w:pPr>
      <w:widowControl/>
      <w:spacing w:beforeLines="10"/>
      <w:jc w:val="center"/>
    </w:pPr>
    <w:rPr>
      <w:rFonts w:cs="宋体"/>
      <w:szCs w:val="21"/>
    </w:rPr>
  </w:style>
  <w:style w:type="paragraph" w:customStyle="1" w:styleId="43">
    <w:name w:val="表格体"/>
    <w:basedOn w:val="1"/>
    <w:qFormat/>
    <w:uiPriority w:val="0"/>
    <w:pPr>
      <w:jc w:val="center"/>
    </w:pPr>
    <w:rPr>
      <w:szCs w:val="18"/>
    </w:rPr>
  </w:style>
  <w:style w:type="paragraph" w:customStyle="1" w:styleId="44">
    <w:name w:val="正文 首行缩进:  2 字符"/>
    <w:basedOn w:val="1"/>
    <w:qFormat/>
    <w:uiPriority w:val="0"/>
    <w:pPr>
      <w:spacing w:line="360" w:lineRule="auto"/>
      <w:ind w:firstLine="480" w:firstLineChars="200"/>
    </w:pPr>
    <w:rPr>
      <w:sz w:val="24"/>
    </w:rPr>
  </w:style>
  <w:style w:type="paragraph" w:customStyle="1" w:styleId="45">
    <w:name w:val="A这篇正文"/>
    <w:basedOn w:val="1"/>
    <w:link w:val="48"/>
    <w:autoRedefine/>
    <w:qFormat/>
    <w:uiPriority w:val="0"/>
    <w:pPr>
      <w:widowControl/>
      <w:ind w:firstLine="480" w:firstLineChars="200"/>
    </w:pPr>
    <w:rPr>
      <w:rFonts w:cs="宋体"/>
      <w:kern w:val="0"/>
    </w:rPr>
  </w:style>
  <w:style w:type="paragraph" w:customStyle="1" w:styleId="46">
    <w:name w:val="这个题注"/>
    <w:basedOn w:val="1"/>
    <w:autoRedefine/>
    <w:qFormat/>
    <w:uiPriority w:val="0"/>
    <w:pPr>
      <w:spacing w:beforeLines="50"/>
      <w:jc w:val="center"/>
    </w:pPr>
    <w:rPr>
      <w:rFonts w:eastAsia="黑体" w:cs="Times New Roman"/>
    </w:rPr>
  </w:style>
  <w:style w:type="paragraph" w:customStyle="1" w:styleId="47">
    <w:name w:val="图注"/>
    <w:basedOn w:val="1"/>
    <w:next w:val="45"/>
    <w:autoRedefine/>
    <w:qFormat/>
    <w:uiPriority w:val="0"/>
    <w:pPr>
      <w:spacing w:afterLines="50"/>
      <w:jc w:val="center"/>
    </w:pPr>
    <w:rPr>
      <w:rFonts w:eastAsia="黑体"/>
    </w:rPr>
  </w:style>
  <w:style w:type="character" w:customStyle="1" w:styleId="48">
    <w:name w:val="这篇正文 Char"/>
    <w:link w:val="45"/>
    <w:autoRedefine/>
    <w:qFormat/>
    <w:uiPriority w:val="0"/>
    <w:rPr>
      <w:rFonts w:cs="宋体"/>
      <w:kern w:val="0"/>
    </w:rPr>
  </w:style>
  <w:style w:type="paragraph" w:customStyle="1" w:styleId="49">
    <w:name w:val="表格格式"/>
    <w:basedOn w:val="1"/>
    <w:autoRedefine/>
    <w:qFormat/>
    <w:uiPriority w:val="0"/>
    <w:pPr>
      <w:jc w:val="center"/>
    </w:pPr>
  </w:style>
  <w:style w:type="paragraph" w:customStyle="1" w:styleId="50">
    <w:name w:val="大表大字"/>
    <w:basedOn w:val="1"/>
    <w:autoRedefine/>
    <w:qFormat/>
    <w:uiPriority w:val="0"/>
    <w:pPr>
      <w:widowControl/>
      <w:spacing w:beforeLines="30" w:afterLines="30" w:line="264" w:lineRule="auto"/>
      <w:jc w:val="center"/>
    </w:pPr>
    <w:rPr>
      <w:rFonts w:cs="Times New Roman"/>
      <w:kern w:val="0"/>
    </w:rPr>
  </w:style>
  <w:style w:type="paragraph" w:customStyle="1" w:styleId="51">
    <w:name w:val="L正文"/>
    <w:basedOn w:val="1"/>
    <w:autoRedefine/>
    <w:qFormat/>
    <w:uiPriority w:val="0"/>
    <w:pPr>
      <w:adjustRightInd w:val="0"/>
      <w:snapToGrid w:val="0"/>
      <w:spacing w:line="360" w:lineRule="auto"/>
      <w:ind w:firstLine="200" w:firstLineChars="200"/>
    </w:pPr>
    <w:rPr>
      <w:sz w:val="24"/>
    </w:rPr>
  </w:style>
  <w:style w:type="paragraph" w:customStyle="1" w:styleId="52">
    <w:name w:val="表格文字"/>
    <w:basedOn w:val="38"/>
    <w:autoRedefine/>
    <w:qFormat/>
    <w:uiPriority w:val="0"/>
    <w:pPr>
      <w:spacing w:line="360" w:lineRule="auto"/>
      <w:textAlignment w:val="baseline"/>
    </w:pPr>
    <w:rPr>
      <w:szCs w:val="21"/>
    </w:rPr>
  </w:style>
  <w:style w:type="character" w:customStyle="1" w:styleId="53">
    <w:name w:val="批注文字 字符"/>
    <w:basedOn w:val="29"/>
    <w:link w:val="10"/>
    <w:semiHidden/>
    <w:qFormat/>
    <w:uiPriority w:val="0"/>
    <w:rPr>
      <w:rFonts w:asciiTheme="minorHAnsi" w:hAnsiTheme="minorHAnsi" w:eastAsiaTheme="minorEastAsia" w:cstheme="minorBidi"/>
      <w:sz w:val="24"/>
    </w:rPr>
  </w:style>
  <w:style w:type="character" w:customStyle="1" w:styleId="54">
    <w:name w:val="批注主题 字符"/>
    <w:basedOn w:val="53"/>
    <w:link w:val="24"/>
    <w:qFormat/>
    <w:uiPriority w:val="0"/>
    <w:rPr>
      <w:rFonts w:asciiTheme="minorHAnsi" w:hAnsiTheme="minorHAnsi" w:eastAsiaTheme="minorEastAsia" w:cstheme="minorBidi"/>
      <w:b/>
      <w:bCs/>
      <w:kern w:val="2"/>
      <w:sz w:val="21"/>
      <w:szCs w:val="24"/>
    </w:rPr>
  </w:style>
  <w:style w:type="character" w:customStyle="1" w:styleId="55">
    <w:name w:val="NormalCharacter"/>
    <w:semiHidden/>
    <w:qFormat/>
    <w:uiPriority w:val="99"/>
  </w:style>
  <w:style w:type="paragraph" w:customStyle="1" w:styleId="56">
    <w:name w:val="UserStyle_55"/>
    <w:basedOn w:val="1"/>
    <w:qFormat/>
    <w:uiPriority w:val="99"/>
    <w:pPr>
      <w:snapToGrid w:val="0"/>
      <w:spacing w:line="360" w:lineRule="auto"/>
      <w:ind w:firstLine="20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3.bin"/><Relationship Id="rId12" Type="http://schemas.openxmlformats.org/officeDocument/2006/relationships/image" Target="media/image5.emf"/><Relationship Id="rId11" Type="http://schemas.openxmlformats.org/officeDocument/2006/relationships/oleObject" Target="embeddings/oleObject2.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44ec3520-5136-49d1-87d2-1d72f73d88ac</errorID>
      <errorWord>-</errorWord>
      <group>L1_Format</group>
      <groupName>格式问题</groupName>
      <ability>L2_HalfPunc</ability>
      <abilityName>全半角检查</abilityName>
      <candidateList>
        <item>－</item>
      </candidateList>
      <explain>文本全半角错误。</explain>
      <paraID> C6835D9</paraID>
      <start>29</start>
      <end>30</end>
      <status>ignored</status>
      <modifiedWord/>
      <trackRevisions>false</trackRevisions>
    </reviewItem>
    <reviewItem>
      <errorID>dbeb37b3-1a3b-4e7e-ac36-87a2c2fa1936</errorID>
      <errorWord>其他；</errorWord>
      <group>L1_AI</group>
      <groupName>深度校对</groupName>
      <ability>L2_AI_Word</ability>
      <abilityName>字词纠错</abilityName>
      <candidateList>
        <item>其他</item>
      </candidateList>
      <explain/>
      <paraID> C6835D9</paraID>
      <start>30</start>
      <end>33</end>
      <status>ignored</status>
      <modifiedWord/>
      <trackRevisions>false</trackRevisions>
    </reviewItem>
    <reviewItem>
      <errorID>e2c01c09-fef9-4bdb-bc65-41f2bb728bcf</errorID>
      <errorWord>危险物质</errorWord>
      <group>L1_Word</group>
      <groupName>字词问题</groupName>
      <ability>L2_Typo</ability>
      <abilityName>字词错误</abilityName>
      <candidateList>
        <item>危险物资</item>
      </candidateList>
      <explain/>
      <paraID>11CD5169</paraID>
      <start>3</start>
      <end>7</end>
      <status>ignored</status>
      <modifiedWord/>
      <trackRevisions>false</trackRevisions>
    </reviewItem>
    <reviewItem>
      <errorID>917e3ab0-ada6-46d0-a726-0e83d7ead300</errorID>
      <errorWord>[2023]439号</errorWord>
      <group>L1_Knowledge</group>
      <groupName>知识性问题</groupName>
      <ability>L2_Knowledge</ability>
      <abilityName>其他知识</abilityName>
      <candidateList>
        <item>〔2023〕439号</item>
      </candidateList>
      <explain>发文字号格式错误。</explain>
      <paraID>4057B334</paraID>
      <start>49</start>
      <end>59</end>
      <status>modified</status>
      <modifiedWord>〔2023〕439号</modifiedWord>
      <trackRevisions>false</trackRevisions>
    </reviewItem>
    <reviewItem>
      <errorID>8f79a110-b654-4cd2-992b-bba32fa15b1d</errorID>
      <errorWord>材料等</errorWord>
      <group>L1_AI</group>
      <groupName>深度校对</groupName>
      <ability>L2_AI_Word</ability>
      <abilityName>字词纠错</abilityName>
      <candidateList>
        <item>材料</item>
      </candidateList>
      <explain/>
      <paraID> 2384EB5</paraID>
      <start>176</start>
      <end>179</end>
      <status>ignored</status>
      <modifiedWord/>
      <trackRevisions>false</trackRevisions>
    </reviewItem>
    <reviewItem>
      <errorID>53793277-e1eb-4f99-b8fb-dfdbef008628</errorID>
      <errorWord>（</errorWord>
      <group>L1_Punc</group>
      <groupName>标点问题</groupName>
      <ability>L2_Punc</ability>
      <abilityName>标点符号检查</abilityName>
      <candidateList/>
      <explain/>
      <paraID>4530367E</paraID>
      <start>29</start>
      <end>30</end>
      <status>ignored</status>
      <modifiedWord/>
      <trackRevisions>false</trackRevisions>
    </reviewItem>
    <reviewItem>
      <errorID>d98c1014-f8dc-4947-a996-ec04558a2447</errorID>
      <errorWord>》及其审查意见</errorWord>
      <group>L1_AI</group>
      <groupName>深度校对</groupName>
      <ability>L2_AI_Grammar</ability>
      <abilityName>语法纠错</abilityName>
      <candidateList>
        <item>》</item>
      </candidateList>
      <explain/>
      <paraID>65A75737</paraID>
      <start>25</start>
      <end>32</end>
      <status>ignored</status>
      <modifiedWord/>
      <trackRevisions>false</trackRevisions>
    </reviewItem>
    <reviewItem>
      <errorID>eab24374-adb8-457c-8ad2-e3e2f86ad056</errorID>
      <errorWord>[2023]439号</errorWord>
      <group>L1_Knowledge</group>
      <groupName>知识性问题</groupName>
      <ability>L2_Knowledge</ability>
      <abilityName>其他知识</abilityName>
      <candidateList>
        <item>〔2023〕439号</item>
      </candidateList>
      <explain>发文字号格式错误。</explain>
      <paraID>65A75737</paraID>
      <start>36</start>
      <end>46</end>
      <status>modified</status>
      <modifiedWord>〔2023〕439号</modifiedWord>
      <trackRevisions>false</trackRevisions>
    </reviewItem>
    <reviewItem>
      <errorID>52f8dbb1-645b-4eb8-8393-17d163dacb2c</errorID>
      <errorWord>）及其审查意见函</errorWord>
      <group>L1_AI</group>
      <groupName>深度校对</groupName>
      <ability>L2_AI_Grammar</ability>
      <abilityName>语法纠错</abilityName>
      <candidateList>
        <item>审查意见）</item>
      </candidateList>
      <explain/>
      <paraID>65A75737</paraID>
      <start>46</start>
      <end>54</end>
      <status>ignored</status>
      <modifiedWord/>
      <trackRevisions>false</trackRevisions>
    </reviewItem>
    <reviewItem>
      <errorID>193ea61d-99ee-453b-9354-c5d58e099ea4</errorID>
      <errorWord>木质家具</errorWord>
      <group>L1_Word</group>
      <groupName>字词问题</groupName>
      <ability>L2_Typo</ability>
      <abilityName>字词错误</abilityName>
      <candidateList>
        <item>木制家具</item>
      </candidateList>
      <explain/>
      <paraID>3A35D71A</paraID>
      <start>8</start>
      <end>12</end>
      <status>ignored</status>
      <modifiedWord/>
      <trackRevisions>false</trackRevisions>
    </reviewItem>
    <reviewItem>
      <errorID>0eec2ee0-143c-4a6e-8099-0585a984103f</errorID>
      <errorWord>位于位于</errorWord>
      <group>L1_AI</group>
      <groupName>深度校对</groupName>
      <ability>L2_AI_Grammar</ability>
      <abilityName>语法纠错</abilityName>
      <candidateList>
        <item>位于</item>
      </candidateList>
      <explain/>
      <paraID>2857EEB6</paraID>
      <start>20</start>
      <end>22</end>
      <status>modified</status>
      <modifiedWord>位于</modifiedWord>
      <trackRevisions>false</trackRevisions>
    </reviewItem>
    <reviewItem>
      <errorID>4e93989c-92e7-457e-8182-2b4f74fdf828</errorID>
      <errorWord>(</errorWord>
      <group>L1_Format</group>
      <groupName>格式问题</groupName>
      <ability>L2_HalfPunc</ability>
      <abilityName>全半角检查</abilityName>
      <candidateList>
        <item>（</item>
      </candidateList>
      <explain>文本全半角错误。</explain>
      <paraID>515D05B7</paraID>
      <start>281</start>
      <end>282</end>
      <status>ignored</status>
      <modifiedWord/>
      <trackRevisions>false</trackRevisions>
    </reviewItem>
    <reviewItem>
      <errorID>3140f4b8-3457-49ae-bbe4-4db0e3990957</errorID>
      <errorWord>位于位于</errorWord>
      <group>L1_Word</group>
      <groupName>字词问题</groupName>
      <ability>L2_Typo</ability>
      <abilityName>字词错误</abilityName>
      <candidateList>
        <item>位于</item>
      </candidateList>
      <explain/>
      <paraID>78B10CD4</paraID>
      <start>20</start>
      <end>22</end>
      <status>modified</status>
      <modifiedWord>位于</modifiedWord>
      <trackRevisions>false</trackRevisions>
    </reviewItem>
    <reviewItem>
      <errorID>aecf7750-b441-453b-bfaa-19537875896f</errorID>
      <errorWord>达</errorWord>
      <group>L1_Word</group>
      <groupName>字词问题</groupName>
      <ability>L2_Typo</ability>
      <abilityName>字词错误</abilityName>
      <candidateList>
        <item>达到</item>
      </candidateList>
      <explain>〈动〉到（多指抽象事物或程度）：达得到｜达不到｜目的没有～｜～国际水平。</explain>
      <paraID>40D6CD6C</paraID>
      <start>126</start>
      <end>127</end>
      <status>ignored</status>
      <modifiedWord/>
      <trackRevisions>false</trackRevisions>
    </reviewItem>
    <reviewItem>
      <errorID>5a7d1540-fbc3-4ec1-a9cd-dd2bbee9948d</errorID>
      <errorWord>(</errorWord>
      <group>L1_Format</group>
      <groupName>格式问题</groupName>
      <ability>L2_HalfPunc</ability>
      <abilityName>全半角检查</abilityName>
      <candidateList>
        <item>（</item>
      </candidateList>
      <explain>文本全半角错误。</explain>
      <paraID>40D6CD6C</paraID>
      <start>143</start>
      <end>144</end>
      <status>ignored</status>
      <modifiedWord/>
      <trackRevisions>false</trackRevisions>
    </reviewItem>
    <reviewItem>
      <errorID>94cadcb9-93a3-490b-a117-e1a2893e151b</errorID>
      <errorWord>达</errorWord>
      <group>L1_Word</group>
      <groupName>字词问题</groupName>
      <ability>L2_Typo</ability>
      <abilityName>字词错误</abilityName>
      <candidateList>
        <item>达到</item>
      </candidateList>
      <explain>〈动〉到（多指抽象事物或程度）：达得到｜达不到｜目的没有～｜～国际水平。</explain>
      <paraID>40D6CD6C</paraID>
      <start>209</start>
      <end>210</end>
      <status>ignored</status>
      <modifiedWord/>
      <trackRevisions>false</trackRevisions>
    </reviewItem>
    <reviewItem>
      <errorID>8264c227-8d9a-4509-891d-ab7333ad352d</errorID>
      <errorWord>(</errorWord>
      <group>L1_Format</group>
      <groupName>格式问题</groupName>
      <ability>L2_HalfPunc</ability>
      <abilityName>全半角检查</abilityName>
      <candidateList>
        <item>（</item>
      </candidateList>
      <explain>文本全半角错误。</explain>
      <paraID>40D6CD6C</paraID>
      <start>226</start>
      <end>227</end>
      <status>ignored</status>
      <modifiedWord/>
      <trackRevisions>false</trackRevisions>
    </reviewItem>
    <reviewItem>
      <errorID>0fe16fa9-20cf-4b6f-b780-b6120f2cc655</errorID>
      <errorWord>(</errorWord>
      <group>L1_Format</group>
      <groupName>格式问题</groupName>
      <ability>L2_HalfPunc</ability>
      <abilityName>全半角检查</abilityName>
      <candidateList>
        <item>（</item>
      </candidateList>
      <explain>文本全半角错误。</explain>
      <paraID>40D6CD6C</paraID>
      <start>278</start>
      <end>279</end>
      <status>ignored</status>
      <modifiedWord/>
      <trackRevisions>false</trackRevisions>
    </reviewItem>
    <reviewItem>
      <errorID>1ba37cb5-308f-48dc-b6ca-1e4bf2501aee</errorID>
      <errorWord>达</errorWord>
      <group>L1_Word</group>
      <groupName>字词问题</groupName>
      <ability>L2_Typo</ability>
      <abilityName>字词错误</abilityName>
      <candidateList>
        <item>达到</item>
      </candidateList>
      <explain>〈动〉到（多指抽象事物或程度）：达得到｜达不到｜目的没有～｜～国际水平。</explain>
      <paraID>40D6CD6C</paraID>
      <start>315</start>
      <end>316</end>
      <status>ignored</status>
      <modifiedWord/>
      <trackRevisions>false</trackRevisions>
    </reviewItem>
    <reviewItem>
      <errorID>04939b64-42a1-49f5-a404-18695caa2b48</errorID>
      <errorWord>(</errorWord>
      <group>L1_Format</group>
      <groupName>格式问题</groupName>
      <ability>L2_HalfPunc</ability>
      <abilityName>全半角检查</abilityName>
      <candidateList>
        <item>（</item>
      </candidateList>
      <explain>文本全半角错误。</explain>
      <paraID>40D6CD6C</paraID>
      <start>326</start>
      <end>327</end>
      <status>ignored</status>
      <modifiedWord/>
      <trackRevisions>false</trackRevisions>
    </reviewItem>
    <reviewItem>
      <errorID>4bef4a42-4914-4f87-9202-c5904b70b3a5</errorID>
      <errorWord>达</errorWord>
      <group>L1_Word</group>
      <groupName>字词问题</groupName>
      <ability>L2_Typo</ability>
      <abilityName>字词错误</abilityName>
      <candidateList>
        <item>达到</item>
      </candidateList>
      <explain>〈动〉到（多指抽象事物或程度）：达得到｜达不到｜目的没有～｜～国际水平。</explain>
      <paraID>40D6CD6C</paraID>
      <start>375</start>
      <end>376</end>
      <status>ignored</status>
      <modifiedWord/>
      <trackRevisions>false</trackRevisions>
    </reviewItem>
    <reviewItem>
      <errorID>e027d710-1ac0-4916-9518-2a33b03807bb</errorID>
      <errorWord>(</errorWord>
      <group>L1_Format</group>
      <groupName>格式问题</groupName>
      <ability>L2_HalfPunc</ability>
      <abilityName>全半角检查</abilityName>
      <candidateList>
        <item>（</item>
      </candidateList>
      <explain>文本全半角错误。</explain>
      <paraID>40D6CD6C</paraID>
      <start>392</start>
      <end>393</end>
      <status>ignored</status>
      <modifiedWord/>
      <trackRevisions>false</trackRevisions>
    </reviewItem>
    <reviewItem>
      <errorID>10d5fd0e-f684-4a08-b63f-a03f29f2cfd7</errorID>
      <errorWord>(</errorWord>
      <group>L1_Format</group>
      <groupName>格式问题</groupName>
      <ability>L2_HalfPunc</ability>
      <abilityName>全半角检查</abilityName>
      <candidateList>
        <item>（</item>
      </candidateList>
      <explain>文本全半角错误。</explain>
      <paraID>40D6CD6C</paraID>
      <start>464</start>
      <end>465</end>
      <status>ignored</status>
      <modifiedWord/>
      <trackRevisions>false</trackRevisions>
    </reviewItem>
    <reviewItem>
      <errorID>5ec5fa9f-f893-4582-9201-3ea9e87da8c4</errorID>
      <errorWord>(</errorWord>
      <group>L1_Format</group>
      <groupName>格式问题</groupName>
      <ability>L2_HalfPunc</ability>
      <abilityName>全半角检查</abilityName>
      <candidateList>
        <item>（</item>
      </candidateList>
      <explain>文本全半角错误。</explain>
      <paraID>40D6CD6C</paraID>
      <start>523</start>
      <end>524</end>
      <status>ignored</status>
      <modifiedWord/>
      <trackRevisions>false</trackRevisions>
    </reviewItem>
    <reviewItem>
      <errorID>f5a0ef7e-42b1-4f59-9081-3e32ca642c7b</errorID>
      <errorWord>达</errorWord>
      <group>L1_Word</group>
      <groupName>字词问题</groupName>
      <ability>L2_Typo</ability>
      <abilityName>字词错误</abilityName>
      <candidateList>
        <item>达到</item>
      </candidateList>
      <explain>〈动〉到（多指抽象事物或程度）：达得到｜达不到｜目的没有～｜～国际水平。</explain>
      <paraID>40D6CD6C</paraID>
      <start>588</start>
      <end>589</end>
      <status>ignored</status>
      <modifiedWord/>
      <trackRevisions>false</trackRevisions>
    </reviewItem>
    <reviewItem>
      <errorID>53d527ab-0ba0-4470-b09c-788052511c86</errorID>
      <errorWord>(</errorWord>
      <group>L1_Format</group>
      <groupName>格式问题</groupName>
      <ability>L2_HalfPunc</ability>
      <abilityName>全半角检查</abilityName>
      <candidateList>
        <item>（</item>
      </candidateList>
      <explain>文本全半角错误。</explain>
      <paraID>40D6CD6C</paraID>
      <start>600</start>
      <end>601</end>
      <status>ignored</status>
      <modifiedWord/>
      <trackRevisions>false</trackRevisions>
    </reviewItem>
    <reviewItem>
      <errorID>200739a2-e0ad-4299-ad5c-eee1b24d4546</errorID>
      <errorWord>(</errorWord>
      <group>L1_Format</group>
      <groupName>格式问题</groupName>
      <ability>L2_HalfPunc</ability>
      <abilityName>全半角检查</abilityName>
      <candidateList>
        <item>（</item>
      </candidateList>
      <explain>文本全半角错误。</explain>
      <paraID>40D6CD6C</paraID>
      <start>668</start>
      <end>669</end>
      <status>ignored</status>
      <modifiedWord/>
      <trackRevisions>false</trackRevisions>
    </reviewItem>
    <reviewItem>
      <errorID>f53b9575-63db-41d3-bc29-8a2d49eb607c</errorID>
      <errorWord>达</errorWord>
      <group>L1_Word</group>
      <groupName>字词问题</groupName>
      <ability>L2_Typo</ability>
      <abilityName>字词错误</abilityName>
      <candidateList>
        <item>达到</item>
      </candidateList>
      <explain>〈动〉到（多指抽象事物或程度）：达得到｜达不到｜目的没有～｜～国际水平。</explain>
      <paraID> B93885F</paraID>
      <start>41</start>
      <end>42</end>
      <status>ignored</status>
      <modifiedWord/>
      <trackRevisions>false</trackRevisions>
    </reviewItem>
    <reviewItem>
      <errorID>65338d10-fda8-40c0-b526-784b146c97a9</errorID>
      <errorWord>(</errorWord>
      <group>L1_Format</group>
      <groupName>格式问题</groupName>
      <ability>L2_HalfPunc</ability>
      <abilityName>全半角检查</abilityName>
      <candidateList>
        <item>（</item>
      </candidateList>
      <explain>文本全半角错误。</explain>
      <paraID>5D5147E6</paraID>
      <start>169</start>
      <end>170</end>
      <status>ignored</status>
      <modifiedWord/>
      <trackRevisions>false</trackRevisions>
    </reviewItem>
    <reviewItem>
      <errorID>d5334740-da99-4730-98bd-90c05e392956</errorID>
      <errorWord>项目为</errorWord>
      <group>L1_Word</group>
      <groupName>字词问题</groupName>
      <ability>L2_Typo</ability>
      <abilityName>字词错误</abilityName>
      <candidateList>
        <item>项目</item>
      </candidateList>
      <explain>〈名〉事物分成的门类：服务～｜体育～｜建设～。</explain>
      <paraID>4EF25CA9</paraID>
      <start>1</start>
      <end>3</end>
      <status>modified</status>
      <modifiedWord>项目</modifiedWord>
      <trackRevisions>false</trackRevisions>
    </reviewItem>
    <reviewItem>
      <errorID>ba4a7b95-f871-4b91-b412-1dc7dec4c049</errorID>
      <errorWord>-</errorWord>
      <group>L1_Format</group>
      <groupName>格式问题</groupName>
      <ability>L2_HalfPunc</ability>
      <abilityName>全半角检查</abilityName>
      <candidateList>
        <item>－</item>
      </candidateList>
      <explain>文本全半角错误。</explain>
      <paraID>2AFEA2F6</paraID>
      <start>73</start>
      <end>74</end>
      <status>ignored</status>
      <modifiedWord/>
      <trackRevisions>false</trackRevisions>
    </reviewItem>
    <reviewItem>
      <errorID>e7b451e1-e82c-4259-ad9a-2997f00193c4</errorID>
      <errorWord>-</errorWord>
      <group>L1_Format</group>
      <groupName>格式问题</groupName>
      <ability>L2_HalfPunc</ability>
      <abilityName>全半角检查</abilityName>
      <candidateList>
        <item>－</item>
      </candidateList>
      <explain>文本全半角错误。</explain>
      <paraID>5C5575BF</paraID>
      <start>14</start>
      <end>15</end>
      <status>ignored</status>
      <modifiedWord/>
      <trackRevisions>false</trackRevisions>
    </reviewItem>
    <reviewItem>
      <errorID>2ebc2180-8132-441b-917e-dbf1f9f4da93</errorID>
      <errorWord>，</errorWord>
      <group>L1_Word</group>
      <groupName>字词问题</groupName>
      <ability>L2_Typo</ability>
      <abilityName>字词错误</abilityName>
      <candidateList>
        <item>，对</item>
      </candidateList>
      <explain/>
      <paraID>4813205B</paraID>
      <start>36</start>
      <end>37</end>
      <status>ignored</status>
      <modifiedWord/>
      <trackRevisions>false</trackRevisions>
    </reviewItem>
    <reviewItem>
      <errorID>11fd08a6-de87-4629-84ae-8bf0e3026108</errorID>
      <errorWord>截留</errorWord>
      <group>L1_Word</group>
      <groupName>字词问题</groupName>
      <ability>L2_Typo</ability>
      <abilityName>字词错误</abilityName>
      <candidateList>
        <item>截流</item>
      </candidateList>
      <explain/>
      <paraID> CBB4554</paraID>
      <start>89</start>
      <end>91</end>
      <status>ignored</status>
      <modifiedWord/>
      <trackRevisions>false</trackRevisions>
    </reviewItem>
    <reviewItem>
      <errorID>ce938290-2810-4bd4-b229-c00ba9d17e14</errorID>
      <errorWord>企业拟</errorWord>
      <group>L1_Word</group>
      <groupName>字词问题</groupName>
      <ability>L2_Typo</ability>
      <abilityName>字词错误</abilityName>
      <candidateList>
        <item>企业</item>
      </candidateList>
      <explain>〈名〉从事生产、运输、贸易等经济活动的部门，如工厂、矿山、铁路、公司等。</explain>
      <paraID>3B2AF3A6</paraID>
      <start>27</start>
      <end>30</end>
      <status>ignored</status>
      <modifiedWord/>
      <trackRevisions>false</trackRevisions>
    </reviewItem>
    <reviewItem>
      <errorID>b987bfac-13bb-48ea-9804-bd8bef1fabf3</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 A8FC9A6</paraID>
      <start>105</start>
      <end>108</end>
      <status>ignored</status>
      <modifiedWord/>
      <trackRevisions>false</trackRevisions>
    </reviewItem>
    <reviewItem>
      <errorID>67cfd14f-2f21-41e1-be9e-752c82956cf5</errorID>
      <errorWord>，</errorWord>
      <group>L1_Word</group>
      <groupName>字词问题</groupName>
      <ability>L2_Typo</ability>
      <abilityName>字词错误</abilityName>
      <candidateList>
        <item>，要</item>
      </candidateList>
      <explain/>
      <paraID>62749ECF</paraID>
      <start>139</start>
      <end>140</end>
      <status>ignored</status>
      <modifiedWord/>
      <trackRevisions>false</trackRevisions>
    </reviewItem>
    <reviewItem>
      <errorID>a64b6cec-3e37-4a68-b6cb-e95c02f3e87b</errorID>
      <errorWord>，</errorWord>
      <group>L1_Word</group>
      <groupName>字词问题</groupName>
      <ability>L2_Typo</ability>
      <abilityName>字词错误</abilityName>
      <candidateList>
        <item>，对</item>
      </candidateList>
      <explain/>
      <paraID>12C71D57</paraID>
      <start>14</start>
      <end>15</end>
      <status>ignored</status>
      <modifiedWord/>
      <trackRevisions>false</trackRevisions>
    </reviewItem>
    <reviewItem>
      <errorID>a8f77393-0a37-4093-9831-6c156a79a2fd</errorID>
      <errorWord>-</errorWord>
      <group>L1_Format</group>
      <groupName>格式问题</groupName>
      <ability>L2_HalfPunc</ability>
      <abilityName>全半角检查</abilityName>
      <candidateList>
        <item>－</item>
      </candidateList>
      <explain>文本全半角错误。</explain>
      <paraID>63DE3817</paraID>
      <start>14</start>
      <end>15</end>
      <status>ignored</status>
      <modifiedWord/>
      <trackRevisions>false</trackRevisions>
    </reviewItem>
    <reviewItem>
      <errorID>fb3babec-03ac-490d-9116-f38ee9fc8564</errorID>
      <errorWord>达</errorWord>
      <group>L1_Word</group>
      <groupName>字词问题</groupName>
      <ability>L2_Typo</ability>
      <abilityName>字词错误</abilityName>
      <candidateList>
        <item>达到</item>
      </candidateList>
      <explain>〈动〉到（多指抽象事物或程度）：达得到｜达不到｜目的没有～｜～国际水平。</explain>
      <paraID>63AA0962</paraID>
      <start>26</start>
      <end>27</end>
      <status>ignored</status>
      <modifiedWord/>
      <trackRevisions>false</trackRevisions>
    </reviewItem>
    <reviewItem>
      <errorID>c3f5b014-bad6-4ec2-9cf1-3e8e98d68e46</errorID>
      <errorWord>法律、法规</errorWord>
      <group>L1_Word</group>
      <groupName>字词问题</groupName>
      <ability>L2_Typo</ability>
      <abilityName>字词错误</abilityName>
      <candidateList>
        <item>法律法规</item>
      </candidateList>
      <explain/>
      <paraID>116CA7CA</paraID>
      <start>145</start>
      <end>149</end>
      <status>modified</status>
      <modifiedWord>法律法规</modifiedWord>
      <trackRevisions>false</trackRevisions>
    </reviewItem>
    <reviewItem>
      <errorID>34b15bfc-7c62-452e-8639-02be730f8259</errorID>
      <errorWord>规</errorWord>
      <group>L1_Word</group>
      <groupName>字词问题</groupName>
      <ability>L2_Typo</ability>
      <abilityName>字词错误</abilityName>
      <candidateList>
        <item>规和</item>
      </candidateList>
      <explain/>
      <paraID>5ADD6D74</paraID>
      <start>17</start>
      <end>19</end>
      <status>modified</status>
      <modifiedWord>规和</modifiedWord>
      <trackRevisions>false</trackRevisions>
    </reviewItem>
    <reviewItem>
      <errorID>a9b4efac-698e-4600-aa90-31e2b50c2b06</errorID>
      <errorWord>[2022]1436号</errorWord>
      <group>L1_Knowledge</group>
      <groupName>知识性问题</groupName>
      <ability>L2_Knowledge</ability>
      <abilityName>其他知识</abilityName>
      <candidateList>
        <item>〔2022〕1436号</item>
      </candidateList>
      <explain>发文字号格式错误。</explain>
      <paraID>7BBCD86C</paraID>
      <start>24</start>
      <end>35</end>
      <status>modified</status>
      <modifiedWord>〔2022〕1436号</modifiedWord>
      <trackRevisions>false</trackRevisions>
    </reviewItem>
    <reviewItem>
      <errorID>3882b7ba-00e0-46b9-8722-c23d4510394d</errorID>
      <errorWord>[2022]1436号</errorWord>
      <group>L1_Knowledge</group>
      <groupName>知识性问题</groupName>
      <ability>L2_Knowledge</ability>
      <abilityName>其他知识</abilityName>
      <candidateList>
        <item>〔2022〕1436号</item>
      </candidateList>
      <explain>发文字号格式错误。</explain>
      <paraID>2DD8E5D5</paraID>
      <start>5</start>
      <end>16</end>
      <status>modified</status>
      <modifiedWord>〔2022〕1436号</modifiedWord>
      <trackRevisions>false</trackRevisions>
    </reviewItem>
    <reviewItem>
      <errorID>add30ae5-f8ab-4856-921a-099d7173c044</errorID>
      <errorWord>[2022]1436号</errorWord>
      <group>L1_Knowledge</group>
      <groupName>知识性问题</groupName>
      <ability>L2_Knowledge</ability>
      <abilityName>其他知识</abilityName>
      <candidateList>
        <item>〔2022〕1436号</item>
      </candidateList>
      <explain>发文字号格式错误。</explain>
      <paraID>15EF26D8</paraID>
      <start>74</start>
      <end>85</end>
      <status>modified</status>
      <modifiedWord>〔2022〕1436号</modifiedWord>
      <trackRevisions>false</trackRevisions>
    </reviewItem>
    <reviewItem>
      <errorID>4a036c94-42c1-4a59-aca3-ad6eadaea342</errorID>
      <errorWord>胜</errorWord>
      <group>L1_Word</group>
      <groupName>字词问题</groupName>
      <ability>L2_Typo</ability>
      <abilityName>字词错误</abilityName>
      <candidateList>
        <item>胜区</item>
      </candidateList>
      <explain/>
      <paraID>291E79F1</paraID>
      <start>67</start>
      <end>68</end>
      <status>ignored</status>
      <modifiedWord/>
      <trackRevisions>false</trackRevisions>
    </reviewItem>
    <reviewItem>
      <errorID>da1dba99-aeb1-4df0-b7f4-3f18da89850f</errorID>
      <errorWord>、也</errorWord>
      <group>L1_Punc</group>
      <groupName>标点问题</groupName>
      <ability>L2_Punc</ability>
      <abilityName>标点符号检查</abilityName>
      <candidateList>
        <item>，也</item>
      </candidateList>
      <explain>连接词前后不宜使用顿号，建议使用逗号。</explain>
      <paraID>4440633A</paraID>
      <start>41</start>
      <end>43</end>
      <status>modified</status>
      <modifiedWord>，也</modifiedWord>
      <trackRevisions>false</trackRevisions>
    </reviewItem>
    <reviewItem>
      <errorID>936f2265-8bdc-4ed0-b240-13ff458c4e1e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5F875C2D</paraID>
      <start>31</start>
      <end>32</end>
      <status>ignored</status>
      <modifiedWord/>
      <trackRevisions>false</trackRevisions>
    </reviewItem>
    <reviewItem>
      <errorID>2f4623dc-c27f-476f-9338-2791320a4b1e</errorID>
      <errorWord>胜</errorWord>
      <group>L1_Word</group>
      <groupName>字词问题</groupName>
      <ability>L2_Typo</ability>
      <abilityName>字词错误</abilityName>
      <candidateList>
        <item>胜区</item>
      </candidateList>
      <explain/>
      <paraID>19262669</paraID>
      <start>71</start>
      <end>72</end>
      <status>ignored</status>
      <modifiedWord/>
      <trackRevisions>false</trackRevisions>
    </reviewItem>
    <reviewItem>
      <errorID>c3a5cf86-4b72-4f22-9032-436469e25297</errorID>
      <errorWord>；</errorWord>
      <group>L1_Word</group>
      <groupName>字词问题</groupName>
      <ability>L2_Typo</ability>
      <abilityName>字词错误</abilityName>
      <candidateList>
        <item>；对</item>
      </candidateList>
      <explain/>
      <paraID>556BE4EE</paraID>
      <start>52</start>
      <end>53</end>
      <status>ignored</status>
      <modifiedWord/>
      <trackRevisions>false</trackRevisions>
    </reviewItem>
    <reviewItem>
      <errorID>35c1a4c3-542d-4a55-b544-23a99e117314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F1CDDAA</paraID>
      <start>39</start>
      <end>40</end>
      <status>ignored</status>
      <modifiedWord/>
      <trackRevisions>false</trackRevisions>
    </reviewItem>
    <reviewItem>
      <errorID>c2dc3a86-8b4d-42cc-a8b8-c4f534b35638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F1CDDAA</paraID>
      <start>89</start>
      <end>90</end>
      <status>ignored</status>
      <modifiedWord/>
      <trackRevisions>false</trackRevisions>
    </reviewItem>
    <reviewItem>
      <errorID>2aa0b725-60d8-4c6f-8cf0-79f3416639ed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5B0148C6</paraID>
      <start>25</start>
      <end>26</end>
      <status>ignored</status>
      <modifiedWord/>
      <trackRevisions>false</trackRevisions>
    </reviewItem>
    <reviewItem>
      <errorID>7822068a-dce0-4f18-b64f-c85406b769c1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5B51C30C</paraID>
      <start>22</start>
      <end>23</end>
      <status>ignored</status>
      <modifiedWord/>
      <trackRevisions>false</trackRevisions>
    </reviewItem>
    <reviewItem>
      <errorID>565f6745-2af8-4ea0-8011-01902ba69771</errorID>
      <errorWord>程</errorWord>
      <group>L1_Word</group>
      <groupName>字词问题</groupName>
      <ability>L2_Typo</ability>
      <abilityName>字词错误</abilityName>
      <candidateList>
        <item>程中</item>
      </candidateList>
      <explain/>
      <paraID>27F770A1</paraID>
      <start>26</start>
      <end>28</end>
      <status>modified</status>
      <modifiedWord>程中</modifiedWord>
      <trackRevisions>false</trackRevisions>
    </reviewItem>
    <reviewItem>
      <errorID>1672026e-151e-4fd1-80be-2f2a67daeba6</errorID>
      <errorWord>接防</errorWord>
      <group>L1_Word</group>
      <groupName>字词问题</groupName>
      <ability>L2_Typo</ability>
      <abilityName>字词错误</abilityName>
      <candidateList>
        <item>防</item>
      </candidateList>
      <explain/>
      <paraID>4443C041</paraID>
      <start>42</start>
      <end>44</end>
      <status>ignored</status>
      <modifiedWord/>
      <trackRevisions>false</trackRevisions>
    </reviewItem>
    <reviewItem>
      <errorID>47bb2f39-8134-445c-9eca-67057f92202e</errorID>
      <errorWord>风险防范预警体系</errorWord>
      <group>L1_Political</group>
      <groupName>政治性问题</groupName>
      <ability>L2_Keyword</ability>
      <abilityName>固定表述</abilityName>
      <candidateList>
        <item>风险监测预警体系</item>
      </candidateList>
      <explain>词汇“风险监测预警体系”在特定场景下为固定表述形式，请确认此处的“风险防范预警体系”是否存在不当。</explain>
      <paraID> 142F0E1</paraID>
      <start>67</start>
      <end>75</end>
      <status>ignored</status>
      <modifiedWord/>
      <trackRevisions>false</trackRevisions>
    </reviewItem>
    <reviewItem>
      <errorID>6b7c2604-605f-4f0d-ade6-5d9968f9d0c3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175FF400</paraID>
      <start>5</start>
      <end>6</end>
      <status>ignored</status>
      <modifiedWord/>
      <trackRevisions>false</trackRevisions>
    </reviewItem>
    <reviewItem>
      <errorID>66c530e4-b585-42b9-a790-34b49334f448</errorID>
      <errorWord>（</errorWord>
      <group>L1_Punc</group>
      <groupName>标点问题</groupName>
      <ability>L2_Punc</ability>
      <abilityName>标点符号检查</abilityName>
      <candidateList/>
      <explain/>
      <paraID>69647462</paraID>
      <start>229</start>
      <end>230</end>
      <status>ignored</status>
      <modifiedWord/>
      <trackRevisions>false</trackRevisions>
    </reviewItem>
    <reviewItem>
      <errorID>b10794fd-05dc-45b0-a60d-20d4f52ddb8e</errorID>
      <errorWord>-</errorWord>
      <group>L1_Format</group>
      <groupName>格式问题</groupName>
      <ability>L2_HalfPunc</ability>
      <abilityName>全半角检查</abilityName>
      <candidateList>
        <item>－</item>
      </candidateList>
      <explain>文本全半角错误。</explain>
      <paraID>17532FD8</paraID>
      <start>569</start>
      <end>570</end>
      <status>ignored</status>
      <modifiedWord/>
      <trackRevisions>false</trackRevisions>
    </reviewItem>
    <reviewItem>
      <errorID>9df257db-32dc-4820-85d7-a7df4ea736a8</errorID>
      <errorWord>-</errorWord>
      <group>L1_Format</group>
      <groupName>格式问题</groupName>
      <ability>L2_HalfPunc</ability>
      <abilityName>全半角检查</abilityName>
      <candidateList>
        <item>－</item>
      </candidateList>
      <explain>文本全半角错误。</explain>
      <paraID>17532FD8</paraID>
      <start>576</start>
      <end>577</end>
      <status>ignored</status>
      <modifiedWord/>
      <trackRevisions>false</trackRevisions>
    </reviewItem>
    <reviewItem>
      <errorID>ba11d63c-4468-469a-b87d-71ef46809ca3</errorID>
      <errorWord>-</errorWord>
      <group>L1_Format</group>
      <groupName>格式问题</groupName>
      <ability>L2_HalfPunc</ability>
      <abilityName>全半角检查</abilityName>
      <candidateList>
        <item>－</item>
      </candidateList>
      <explain>文本全半角错误。</explain>
      <paraID>17532FD8</paraID>
      <start>583</start>
      <end>584</end>
      <status>ignored</status>
      <modifiedWord/>
      <trackRevisions>false</trackRevisions>
    </reviewItem>
    <reviewItem>
      <errorID>3b88416a-e179-404a-a5ae-fedf8b8c276f</errorID>
      <errorWord>末段</errorWord>
      <group>L1_Word</group>
      <groupName>字词问题</groupName>
      <ability>L2_Typo</ability>
      <abilityName>字词错误</abilityName>
      <candidateList>
        <item>末端</item>
      </candidateList>
      <explain/>
      <paraID>6D5F283D</paraID>
      <start>82</start>
      <end>84</end>
      <status>ignored</status>
      <modifiedWord/>
      <trackRevisions>false</trackRevisions>
    </reviewItem>
    <reviewItem>
      <errorID>b5ae315c-6a55-49be-9997-b0fc0355e05b</errorID>
      <errorWord>强</errorWord>
      <group>L1_Word</group>
      <groupName>字词问题</groupName>
      <ability>L2_Typo</ability>
      <abilityName>字词错误</abilityName>
      <candidateList>
        <item>强对</item>
      </candidateList>
      <explain/>
      <paraID>6D5F283D</paraID>
      <start>214</start>
      <end>215</end>
      <status>ignored</status>
      <modifiedWord/>
      <trackRevisions>false</trackRevisions>
    </reviewItem>
    <reviewItem>
      <errorID>5739f3a1-def0-4f70-a06b-7b2458326891</errorID>
      <errorWord>权过程</errorWord>
      <group>L1_Word</group>
      <groupName>字词问题</groupName>
      <ability>L2_Typo</ability>
      <abilityName>字词错误</abilityName>
      <candidateList>
        <item>全过程</item>
      </candidateList>
      <explain/>
      <paraID>6D5F283D</paraID>
      <start>290</start>
      <end>293</end>
      <status>ignored</status>
      <modifiedWord/>
      <trackRevisions>false</trackRevisions>
    </reviewItem>
    <reviewItem>
      <errorID>e6556cb2-82e8-44dc-997c-70bf1827090b</errorID>
      <errorWord>接防</errorWord>
      <group>L1_Word</group>
      <groupName>字词问题</groupName>
      <ability>L2_Typo</ability>
      <abilityName>字词错误</abilityName>
      <candidateList>
        <item>防</item>
      </candidateList>
      <explain/>
      <paraID>7697A3E4</paraID>
      <start>42</start>
      <end>44</end>
      <status>ignored</status>
      <modifiedWord/>
      <trackRevisions>false</trackRevisions>
    </reviewItem>
    <reviewItem>
      <errorID>69e7a445-0de3-4221-90ca-0a811c13c6cd</errorID>
      <errorWord>自动监测系统</errorWord>
      <group>L1_Knowledge</group>
      <groupName>知识性问题</groupName>
      <ability>L2_Term</ability>
      <abilityName>专业术语</abilityName>
      <candidateList>
        <item>自动检测系统</item>
      </candidateList>
      <explain/>
      <paraID>7A538E27</paraID>
      <start>74</start>
      <end>80</end>
      <status>ignored</status>
      <modifiedWord/>
      <trackRevisions>false</trackRevisions>
    </reviewItem>
    <reviewItem>
      <errorID>4ffecc73-57e6-4b10-8972-6d3f2d8284c8</errorID>
      <errorWord>染</errorWord>
      <group>L1_Word</group>
      <groupName>字词问题</groupName>
      <ability>L2_Typo</ability>
      <abilityName>字词错误</abilityName>
      <candidateList>
        <item>染纳</item>
      </candidateList>
      <explain/>
      <paraID>7A538E27</paraID>
      <start>256</start>
      <end>257</end>
      <status>ignored</status>
      <modifiedWord/>
      <trackRevisions>false</trackRevisions>
    </reviewItem>
    <reviewItem>
      <errorID>2a3329fe-8746-407b-bbab-d6612d52ab1b</errorID>
      <errorWord>全免</errorWord>
      <group>L1_Word</group>
      <groupName>字词问题</groupName>
      <ability>L2_Typo</ability>
      <abilityName>字词错误</abilityName>
      <candidateList>
        <item>全面</item>
      </candidateList>
      <explain>❶〈名〉所有方面；各个方面的总和：照顾～｜～情况。❷〈形〉完整周密；兼顾各方面的（跟“片面”相对）：～发展｜他的讲话很～。</explain>
      <paraID>  FFBCB4</paraID>
      <start>106</start>
      <end>108</end>
      <status>ignored</status>
      <modifiedWord/>
      <trackRevisions>false</trackRevisions>
    </reviewItem>
    <reviewItem>
      <errorID>3f05056c-e2b1-4eab-bd94-bb51d438b010</errorID>
      <errorWord>进</errorWord>
      <group>L1_Word</group>
      <groupName>字词问题</groupName>
      <ability>L2_Typo</ability>
      <abilityName>字词错误</abilityName>
      <candidateList>
        <item>进环</item>
      </candidateList>
      <explain/>
      <paraID>  FFBCB4</paraID>
      <start>188</start>
      <end>189</end>
      <status>ignored</status>
      <modifiedWord/>
      <trackRevisions>false</trackRevisions>
    </reviewItem>
    <reviewItem>
      <errorID>e01d0677-db04-4b8b-bca2-155be319c092</errorID>
      <errorWord>公园区</errorWord>
      <group>L1_Word</group>
      <groupName>字词问题</groupName>
      <ability>L2_Typo</ability>
      <abilityName>字词错误</abilityName>
      <candidateList>
        <item>园区</item>
      </candidateList>
      <explain/>
      <paraID>  FFBCB4</paraID>
      <start>314</start>
      <end>317</end>
      <status>ignored</status>
      <modifiedWord/>
      <trackRevisions>false</trackRevisions>
    </reviewItem>
    <reviewItem>
      <errorID>58657356-6504-4dea-a4a7-ee4ec274ab0a</errorID>
      <errorWord>紫外光</errorWord>
      <group>L1_Word</group>
      <groupName>字词问题</groupName>
      <ability>L2_Typo</ability>
      <abilityName>字词错误</abilityName>
      <candidateList>
        <item>紫外线</item>
      </candidateList>
      <explain/>
      <paraID>374D52A7</paraID>
      <start>32</start>
      <end>35</end>
      <status>ignored</status>
      <modifiedWord/>
      <trackRevisions>false</trackRevisions>
    </reviewItem>
    <reviewItem>
      <errorID>5c988381-ce62-4573-b09f-0ae284f8725b</errorID>
      <errorWord>紫外光</errorWord>
      <group>L1_Word</group>
      <groupName>字词问题</groupName>
      <ability>L2_Typo</ability>
      <abilityName>字词错误</abilityName>
      <candidateList>
        <item>紫外线</item>
      </candidateList>
      <explain/>
      <paraID>2C689468</paraID>
      <start>27</start>
      <end>30</end>
      <status>ignored</status>
      <modifiedWord/>
      <trackRevisions>false</trackRevisions>
    </reviewItem>
    <reviewItem>
      <errorID>550cdc58-de45-4421-b6fa-1182cedb838c</errorID>
      <errorWord>紫外光</errorWord>
      <group>L1_Word</group>
      <groupName>字词问题</groupName>
      <ability>L2_Typo</ability>
      <abilityName>字词错误</abilityName>
      <candidateList>
        <item>紫外线</item>
      </candidateList>
      <explain/>
      <paraID>574425E8</paraID>
      <start>59</start>
      <end>62</end>
      <status>ignored</status>
      <modifiedWord/>
      <trackRevisions>false</trackRevisions>
    </reviewItem>
    <reviewItem>
      <errorID>d3ea8f18-ef66-44ae-809e-c030dc4643b0</errorID>
      <errorWord>和台帐</errorWord>
      <group>L1_Word</group>
      <groupName>字词问题</groupName>
      <ability>L2_Alias</ability>
      <abilityName>也作/曾用词</abilityName>
      <candidateList>
        <item>和台账</item>
      </candidateList>
      <explain>词汇[和台帐]为不规范表述或旧称，其规范书面表述为[和台账]。</explain>
      <paraID>1E138470</paraID>
      <start>22</start>
      <end>25</end>
      <status>ignored</status>
      <modifiedWord/>
      <trackRevisions>false</trackRevisions>
    </reviewItem>
    <reviewItem>
      <errorID>69c81347-7743-4019-9c61-5331aee36ef3</errorID>
      <errorWord>和台帐</errorWord>
      <group>L1_Word</group>
      <groupName>字词问题</groupName>
      <ability>L2_Alias</ability>
      <abilityName>也作/曾用词</abilityName>
      <candidateList>
        <item>和台账</item>
      </candidateList>
      <explain>词汇[和台帐]为不规范表述或旧称，其规范书面表述为[和台账]。</explain>
      <paraID>6DCC8D75</paraID>
      <start>34</start>
      <end>37</end>
      <status>modified</status>
      <modifiedWord>和台账</modifiedWord>
      <trackRevisions>false</trackRevisions>
    </reviewItem>
    <reviewItem>
      <errorID>7c108777-e1c4-4373-ae5e-50038ca3baae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188AF4ED</paraID>
      <start>15</start>
      <end>18</end>
      <status>ignored</status>
      <modifiedWord/>
      <trackRevisions>false</trackRevisions>
    </reviewItem>
    <reviewItem>
      <errorID>563bc779-e074-4678-9c3b-7241b56c547b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188AF4ED</paraID>
      <start>32</start>
      <end>35</end>
      <status>ignored</status>
      <modifiedWord/>
      <trackRevisions>false</trackRevisions>
    </reviewItem>
    <reviewItem>
      <errorID>8d72b428-e0f2-4e10-8c9c-add1d5da20f6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188AF4ED</paraID>
      <start>47</start>
      <end>50</end>
      <status>ignored</status>
      <modifiedWord/>
      <trackRevisions>false</trackRevisions>
    </reviewItem>
    <reviewItem>
      <errorID>265e0f48-ed74-4db1-b607-7dc96d25c1c0</errorID>
      <errorWord>-</errorWord>
      <group>L1_Format</group>
      <groupName>格式问题</groupName>
      <ability>L2_HalfPunc</ability>
      <abilityName>全半角检查</abilityName>
      <candidateList>
        <item>－</item>
      </candidateList>
      <explain>文本全半角错误。</explain>
      <paraID>188AF4ED</paraID>
      <start>151</start>
      <end>152</end>
      <status>ignored</status>
      <modifiedWord/>
      <trackRevisions>false</trackRevisions>
    </reviewItem>
    <reviewItem>
      <errorID>71cbf809-5409-48cd-abac-6d575931836f</errorID>
      <errorWord>池本</errorWord>
      <group>L1_Word</group>
      <groupName>字词问题</groupName>
      <ability>L2_Typo</ability>
      <abilityName>字词错误</abilityName>
      <candidateList>
        <item>池</item>
      </candidateList>
      <explain/>
      <paraID>651484F1</paraID>
      <start>106</start>
      <end>107</end>
      <status>modified</status>
      <modifiedWord>池</modifiedWord>
      <trackRevisions>false</trackRevisions>
    </reviewItem>
    <reviewItem>
      <errorID>a4b53b15-b70f-4c5b-be25-d417e7c1a98e</errorID>
      <errorWord>，</errorWord>
      <group>L1_Format</group>
      <groupName>格式问题</groupName>
      <ability>L2_HalfPunc</ability>
      <abilityName>全半角检查</abilityName>
      <candidateList>
        <item>,</item>
      </candidateList>
      <explain>文本全半角错误。</explain>
      <paraID>17CCFCD6</paraID>
      <start>9</start>
      <end>10</end>
      <status>ignored</status>
      <modifiedWord/>
      <trackRevisions>false</trackRevisions>
    </reviewItem>
    <reviewItem>
      <errorID>90fe5bb4-2f48-47e7-bf9d-dcbf54e1b041</errorID>
      <errorWord>①产</errorWord>
      <group>L1_Word</group>
      <groupName>字词问题</groupName>
      <ability>L2_Typo</ability>
      <abilityName>字词错误</abilityName>
      <candidateList>
        <item>①</item>
      </candidateList>
      <explain/>
      <paraID>2EA9D31D</paraID>
      <start>2</start>
      <end>3</end>
      <status>modified</status>
      <modifiedWord>①</modifiedWord>
      <trackRevisions>false</trackRevisions>
    </reviewItem>
    <reviewItem>
      <errorID>8bedaae0-a4c6-46f0-be44-fa81b1015274</errorID>
      <errorWord>；</errorWord>
      <group>L1_Format</group>
      <groupName>格式问题</groupName>
      <ability>L2_HalfPunc</ability>
      <abilityName>全半角检查</abilityName>
      <candidateList>
        <item>;</item>
      </candidateList>
      <explain>文本全半角错误。</explain>
      <paraID>74B4A16F</paraID>
      <start>9</start>
      <end>10</end>
      <status>ignored</status>
      <modifiedWord/>
      <trackRevisions>false</trackRevisions>
    </reviewItem>
    <reviewItem>
      <errorID>673f686f-ed7d-4632-af56-f9066aa9d1ad</errorID>
      <errorWord>粘度</errorWord>
      <group>L1_Word</group>
      <groupName>字词问题</groupName>
      <ability>L2_Alias</ability>
      <abilityName>也作/曾用词</abilityName>
      <candidateList>
        <item>黏度</item>
      </candidateList>
      <explain>词汇[粘度]为不规范表述或旧称，其规范书面表述为[黏度]。</explain>
      <paraID> E2E253B</paraID>
      <start>167</start>
      <end>169</end>
      <status>ignored</status>
      <modifiedWord/>
      <trackRevisions>false</trackRevisions>
    </reviewItem>
    <reviewItem>
      <errorID>e5b14b48-5f5c-4954-9a69-16ea17af0e60</errorID>
      <errorWord>0.25%-2%</errorWord>
      <group>L1_Knowledge</group>
      <groupName>知识性问题</groupName>
      <ability>L2_Knowledge</ability>
      <abilityName>其他知识</abilityName>
      <candidateList>
        <item>0.25%—2%</item>
      </candidateList>
      <explain>1. “0.25%-2%”中的单位“%”仅出现在后一个数字上，容易引起歧义；根据《现代汉语标点符号数字用法规范手册》，数字表示范围两边需要使用统一的格式。2. 根据标点国标 4.13 中的规则，数字、时间或地域连接符应使用（视觉上更长的）“—”或“～”。</explain>
      <paraID> E2E253B</paraID>
      <start>191</start>
      <end>199</end>
      <status>ignored</status>
      <modifiedWord/>
      <trackRevisions>false</trackRevisions>
    </reviewItem>
    <reviewItem>
      <errorID>dc908792-eb89-4358-b81e-fa72424257dc</errorID>
      <errorWord>粘接</errorWord>
      <group>L1_Word</group>
      <groupName>字词问题</groupName>
      <ability>L2_Typo</ability>
      <abilityName>字词错误</abilityName>
      <candidateList>
        <item>黏接</item>
      </candidateList>
      <explain>存在发音相同字词的误用。</explain>
      <paraID>1E9C017C</paraID>
      <start>75</start>
      <end>77</end>
      <status>ignored</status>
      <modifiedWord/>
      <trackRevisions>false</trackRevisions>
    </reviewItem>
    <reviewItem>
      <errorID>4d62eb23-807e-4caa-bd1d-cf21d4935650</errorID>
      <errorWord>是用</errorWord>
      <group>L1_Word</group>
      <groupName>字词问题</groupName>
      <ability>L2_Typo</ability>
      <abilityName>字词错误</abilityName>
      <candidateList>
        <item>适用</item>
      </candidateList>
      <explain>〈形〉适合使用：这套耕作方法，在我们这个地区也完全～。</explain>
      <paraID>55C701E6</paraID>
      <start>7</start>
      <end>9</end>
      <status>ignored</status>
      <modifiedWord/>
      <trackRevisions>false</trackRevisions>
    </reviewItem>
    <reviewItem>
      <errorID>f5fd6033-5c6b-4519-81ca-f509a3cedd7b</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55C701E6</paraID>
      <start>116</start>
      <end>117</end>
      <status>ignored</status>
      <modifiedWord/>
      <trackRevisions>false</trackRevisions>
    </reviewItem>
    <reviewItem>
      <errorID>3e846683-dbef-4574-90eb-7ecc72b96d3f</errorID>
      <errorWord>达</errorWord>
      <group>L1_Word</group>
      <groupName>字词问题</groupName>
      <ability>L2_Typo</ability>
      <abilityName>字词错误</abilityName>
      <candidateList>
        <item>达到</item>
      </candidateList>
      <explain>〈动〉到（多指抽象事物或程度）：达得到｜达不到｜目的没有～｜～国际水平。</explain>
      <paraID>1D3A9FC5</paraID>
      <start>148</start>
      <end>149</end>
      <status>ignored</status>
      <modifiedWord/>
      <trackRevisions>false</trackRevisions>
    </reviewItem>
    <reviewItem>
      <errorID>9fb6f815-442f-492c-baba-232b82e869fb</errorID>
      <errorWord>粘附</errorWord>
      <group>L1_Word</group>
      <groupName>字词问题</groupName>
      <ability>L2_Alias</ability>
      <abilityName>也作/曾用词</abilityName>
      <candidateList>
        <item>黏附</item>
      </candidateList>
      <explain>词汇[粘附]为不规范表述或旧称，其规范书面表述为[黏附]。</explain>
      <paraID>1172AA8A</paraID>
      <start>201</start>
      <end>203</end>
      <status>ignored</status>
      <modifiedWord/>
      <trackRevisions>false</trackRevisions>
    </reviewItem>
    <reviewItem>
      <errorID>aae3a0f2-e1f7-4c73-b592-b493b7698a83</errorID>
      <errorWord>粘附</errorWord>
      <group>L1_Word</group>
      <groupName>字词问题</groupName>
      <ability>L2_Alias</ability>
      <abilityName>也作/曾用词</abilityName>
      <candidateList>
        <item>黏附</item>
      </candidateList>
      <explain>词汇[粘附]为不规范表述或旧称，其规范书面表述为[黏附]。</explain>
      <paraID>713FD84B</paraID>
      <start>178</start>
      <end>180</end>
      <status>ignored</status>
      <modifiedWord/>
      <trackRevisions>false</trackRevisions>
    </reviewItem>
    <reviewItem>
      <errorID>5aa0782c-0f9a-4da8-a6aa-e0a0b7ff83f5</errorID>
      <errorWord>原由</errorWord>
      <group>L1_Word</group>
      <groupName>字词问题</groupName>
      <ability>L2_Variant</ability>
      <abilityName>异形词</abilityName>
      <candidateList>
        <item>缘由</item>
      </candidateList>
      <explain>词汇[原由]的规范词形写作[缘由]。</explain>
      <paraID>449EED5F</paraID>
      <start>86</start>
      <end>88</end>
      <status>ignored</status>
      <modifiedWord/>
      <trackRevisions>false</trackRevisions>
    </reviewItem>
    <reviewItem>
      <errorID>e09a5e70-cf1d-491f-b341-e99f86f28b04</errorID>
      <errorWord>环境大气质量</errorWord>
      <group>L1_Knowledge</group>
      <groupName>知识性问题</groupName>
      <ability>L2_Term</ability>
      <abilityName>专业术语</abilityName>
      <candidateList>
        <item>环境空气质量</item>
      </candidateList>
      <explain/>
      <paraID>67C09F05</paraID>
      <start>37</start>
      <end>43</end>
      <status>modified</status>
      <modifiedWord>环境空气质量</modifiedWord>
      <trackRevisions>false</trackRevisions>
    </reviewItem>
    <reviewItem>
      <errorID>df9f7b30-e5bf-468e-88c3-6ac6421f54c8</errorID>
      <errorWord>年</errorWord>
      <group>L1_Word</group>
      <groupName>字词问题</groupName>
      <ability>L2_Typo</ability>
      <abilityName>字词错误</abilityName>
      <candidateList>
        <item>年度</item>
      </candidateList>
      <explain/>
      <paraID>509F4C88</paraID>
      <start>0</start>
      <end>1</end>
      <status>ignored</status>
      <modifiedWord/>
      <trackRevisions>false</trackRevisions>
    </reviewItem>
    <reviewItem>
      <errorID>b077dcb4-b179-44fd-bc51-f6f7d54cf039</errorID>
      <errorWord>（</errorWord>
      <group>L1_Format</group>
      <groupName>格式问题</groupName>
      <ability>L2_HalfPunc</ability>
      <abilityName>全半角检查</abilityName>
      <candidateList>
        <item>(</item>
      </candidateList>
      <explain>文本全半角错误。</explain>
      <paraID>7CB2D41C</paraID>
      <start>2</start>
      <end>3</end>
      <status>ignored</status>
      <modifiedWord/>
      <trackRevisions>false</trackRevisions>
    </reviewItem>
    <reviewItem>
      <errorID>ed922cef-af03-4d59-9264-5942f95048cc</errorID>
      <errorWord>）</errorWord>
      <group>L1_Format</group>
      <groupName>格式问题</groupName>
      <ability>L2_HalfPunc</ability>
      <abilityName>全半角检查</abilityName>
      <candidateList>
        <item>)</item>
      </candidateList>
      <explain>文本全半角错误。</explain>
      <paraID>7CB2D41C</paraID>
      <start>8</start>
      <end>9</end>
      <status>ignored</status>
      <modifiedWord/>
      <trackRevisions>false</trackRevisions>
    </reviewItem>
    <reviewItem>
      <errorID>5fb19754-44bb-4d29-bd81-13f1825eb7cd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56B00D1A</paraID>
      <start>135</start>
      <end>136</end>
      <status>ignored</status>
      <modifiedWord/>
      <trackRevisions>false</trackRevisions>
    </reviewItem>
    <reviewItem>
      <errorID>7e9f5e97-8205-4e44-a793-da2faa68ff7a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1F989398</paraID>
      <start>18</start>
      <end>19</end>
      <status>ignored</status>
      <modifiedWord/>
      <trackRevisions>false</trackRevisions>
    </reviewItem>
    <reviewItem>
      <errorID>204175eb-744b-44d3-b182-8427eb8cc906</errorID>
      <errorWord>-</errorWord>
      <group>L1_Format</group>
      <groupName>格式问题</groupName>
      <ability>L2_HalfPunc</ability>
      <abilityName>全半角检查</abilityName>
      <candidateList>
        <item>－</item>
      </candidateList>
      <explain>文本全半角错误。</explain>
      <paraID>16BB82F8</paraID>
      <start>83</start>
      <end>84</end>
      <status>ignored</status>
      <modifiedWord/>
      <trackRevisions>false</trackRevisions>
    </reviewItem>
    <reviewItem>
      <errorID>2f0ef099-8002-464d-946f-c721b074ca8f</errorID>
      <errorWord>》（试行）</errorWord>
      <group>L1_Word</group>
      <groupName>字词问题</groupName>
      <ability>L2_Typo</ability>
      <abilityName>字词错误</abilityName>
      <candidateList>
        <item>（试行）》</item>
      </candidateList>
      <explain/>
      <paraID>329C140D</paraID>
      <start>27</start>
      <end>32</end>
      <status>ignored</status>
      <modifiedWord/>
      <trackRevisions>false</trackRevisions>
    </reviewItem>
    <reviewItem>
      <errorID>7e936780-0ae1-43de-9f14-a7a780314e3c</errorID>
      <errorWord>设</errorWord>
      <group>L1_Word</group>
      <groupName>字词问题</groupName>
      <ability>L2_Typo</ability>
      <abilityName>字词错误</abilityName>
      <candidateList>
        <item>设置</item>
      </candidateList>
      <explain>〈动〉❶设立：这座剧院是为儿童～的。❷安放；安装：～障碍。</explain>
      <paraID>6FFD5A66</paraID>
      <start>120</start>
      <end>121</end>
      <status>ignored</status>
      <modifiedWord/>
      <trackRevisions>false</trackRevisions>
    </reviewItem>
    <reviewItem>
      <errorID>5f05ce9b-799b-4c5f-8bb4-3859c85b2c60</errorID>
      <errorWord>(</errorWord>
      <group>L1_Format</group>
      <groupName>格式问题</groupName>
      <ability>L2_HalfPunc</ability>
      <abilityName>全半角检查</abilityName>
      <candidateList>
        <item>（</item>
      </candidateList>
      <explain>文本全半角错误。</explain>
      <paraID>4E3AC62D</paraID>
      <start>258</start>
      <end>259</end>
      <status>ignored</status>
      <modifiedWord/>
      <trackRevisions>false</trackRevisions>
    </reviewItem>
    <reviewItem>
      <errorID>871f2e3f-8036-49eb-bb4d-89c0f78905b9</errorID>
      <errorWord>)</errorWord>
      <group>L1_Format</group>
      <groupName>格式问题</groupName>
      <ability>L2_HalfPunc</ability>
      <abilityName>全半角检查</abilityName>
      <candidateList>
        <item>）</item>
      </candidateList>
      <explain>文本全半角错误。</explain>
      <paraID>4E3AC62D</paraID>
      <start>272</start>
      <end>273</end>
      <status>ignored</status>
      <modifiedWord/>
      <trackRevisions>false</trackRevisions>
    </reviewItem>
    <reviewItem>
      <errorID>0537be59-6d16-4b31-932c-e0b6bc7323c2</errorID>
      <errorWord>(</errorWord>
      <group>L1_Format</group>
      <groupName>格式问题</groupName>
      <ability>L2_HalfPunc</ability>
      <abilityName>全半角检查</abilityName>
      <candidateList>
        <item>（</item>
      </candidateList>
      <explain>文本全半角错误。</explain>
      <paraID>4E3AC62D</paraID>
      <start>316</start>
      <end>317</end>
      <status>ignored</status>
      <modifiedWord/>
      <trackRevisions>false</trackRevisions>
    </reviewItem>
    <reviewItem>
      <errorID>d93eb64e-ccde-49f8-872d-ba5b0393c123</errorID>
      <errorWord>)</errorWord>
      <group>L1_Format</group>
      <groupName>格式问题</groupName>
      <ability>L2_HalfPunc</ability>
      <abilityName>全半角检查</abilityName>
      <candidateList>
        <item>）</item>
      </candidateList>
      <explain>文本全半角错误。</explain>
      <paraID>4E3AC62D</paraID>
      <start>322</start>
      <end>323</end>
      <status>ignored</status>
      <modifiedWord/>
      <trackRevisions>false</trackRevisions>
    </reviewItem>
    <reviewItem>
      <errorID>dde56b76-f4fd-48f2-9759-309a02955ecb</errorID>
      <errorWord>(</errorWord>
      <group>L1_Format</group>
      <groupName>格式问题</groupName>
      <ability>L2_HalfPunc</ability>
      <abilityName>全半角检查</abilityName>
      <candidateList>
        <item>（</item>
      </candidateList>
      <explain>文本全半角错误。</explain>
      <paraID>4E3AC62D</paraID>
      <start>369</start>
      <end>370</end>
      <status>ignored</status>
      <modifiedWord/>
      <trackRevisions>false</trackRevisions>
    </reviewItem>
    <reviewItem>
      <errorID>3fd40d17-220d-445b-b6c8-ee764aeaaabd</errorID>
      <errorWord>)</errorWord>
      <group>L1_Format</group>
      <groupName>格式问题</groupName>
      <ability>L2_HalfPunc</ability>
      <abilityName>全半角检查</abilityName>
      <candidateList>
        <item>）</item>
      </candidateList>
      <explain>文本全半角错误。</explain>
      <paraID>4E3AC62D</paraID>
      <start>383</start>
      <end>384</end>
      <status>ignored</status>
      <modifiedWord/>
      <trackRevisions>false</trackRevisions>
    </reviewItem>
    <reviewItem>
      <errorID>dd13b2cc-4fef-44a0-ae12-a4235acdd2f7</errorID>
      <errorWord>达</errorWord>
      <group>L1_Word</group>
      <groupName>字词问题</groupName>
      <ability>L2_Typo</ability>
      <abilityName>字词错误</abilityName>
      <candidateList>
        <item>达到</item>
      </candidateList>
      <explain>〈动〉到（多指抽象事物或程度）：达得到｜达不到｜目的没有～｜～国际水平。</explain>
      <paraID>2666980F</paraID>
      <start>50</start>
      <end>51</end>
      <status>ignored</status>
      <modifiedWord/>
      <trackRevisions>false</trackRevisions>
    </reviewItem>
    <reviewItem>
      <errorID>9f5e21c5-70b1-496c-9b08-bfa0a73db0ef</errorID>
      <errorWord>IV类</errorWord>
      <group>L1_Knowledge</group>
      <groupName>知识性问题</groupName>
      <ability>L2_Knowledge</ability>
      <abilityName>其他知识</abilityName>
      <candidateList>
        <item>Ⅳ类</item>
      </candidateList>
      <explain/>
      <paraID>48E44287</paraID>
      <start>108</start>
      <end>110</end>
      <status>modified</status>
      <modifiedWord>Ⅳ类</modifiedWord>
      <trackRevisions>false</trackRevisions>
    </reviewItem>
    <reviewItem>
      <errorID>6a087b06-dfd4-4c42-b8fe-25aa762d34bb</errorID>
      <errorWord>（</errorWord>
      <group>L1_Punc</group>
      <groupName>标点问题</groupName>
      <ability>L2_Punc</ability>
      <abilityName>标点符号检查</abilityName>
      <candidateList/>
      <explain>同一形式括号套用。</explain>
      <paraID>77D90F07</paraID>
      <start>106</start>
      <end>107</end>
      <status>ignored</status>
      <modifiedWord/>
      <trackRevisions>false</trackRevisions>
    </reviewItem>
    <reviewItem>
      <errorID>72f31b58-1d4f-44f3-9611-79feb0e9a680</errorID>
      <errorWord>）</errorWord>
      <group>L1_Punc</group>
      <groupName>标点问题</groupName>
      <ability>L2_Punc</ability>
      <abilityName>标点符号检查</abilityName>
      <candidateList/>
      <explain>同一形式括号套用。</explain>
      <paraID>77D90F07</paraID>
      <start>118</start>
      <end>119</end>
      <status>ignored</status>
      <modifiedWord/>
      <trackRevisions>false</trackRevisions>
    </reviewItem>
    <reviewItem>
      <errorID>7ea362b6-e2f4-4d92-b277-3f25e2df35b2</errorID>
      <errorWord>IV类</errorWord>
      <group>L1_Knowledge</group>
      <groupName>知识性问题</groupName>
      <ability>L2_Knowledge</ability>
      <abilityName>其他知识</abilityName>
      <candidateList>
        <item>Ⅳ类</item>
      </candidateList>
      <explain/>
      <paraID>77D90F07</paraID>
      <start>119</start>
      <end>122</end>
      <status>ignored</status>
      <modifiedWord/>
      <trackRevisions>false</trackRevisions>
    </reviewItem>
    <reviewItem>
      <errorID>9c158b0a-993c-4cce-839d-537ffeacd857</errorID>
      <errorWord>IV类</errorWord>
      <group>L1_Knowledge</group>
      <groupName>知识性问题</groupName>
      <ability>L2_Knowledge</ability>
      <abilityName>其他知识</abilityName>
      <candidateList>
        <item>Ⅳ类</item>
      </candidateList>
      <explain/>
      <paraID>25E8AA6F</paraID>
      <start>30</start>
      <end>33</end>
      <status>ignored</status>
      <modifiedWord/>
      <trackRevisions>false</trackRevisions>
    </reviewItem>
    <reviewItem>
      <errorID>2c02570b-04ee-4f20-9fe9-b11c09439438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2FF415E3</paraID>
      <start>0</start>
      <end>2</end>
      <status>ignored</status>
      <modifiedWord/>
      <trackRevisions>false</trackRevisions>
    </reviewItem>
    <reviewItem>
      <errorID>687f59a7-8afe-4227-a00b-314c01051d62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2B2A508F</paraID>
      <start>0</start>
      <end>2</end>
      <status>modified</status>
      <modifiedWord>4.</modifiedWord>
      <trackRevisions>false</trackRevisions>
    </reviewItem>
    <reviewItem>
      <errorID>bfc7f696-eeff-4d28-9cc3-c00949c9085a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56CD9F8B</paraID>
      <start>0</start>
      <end>3</end>
      <status>modified</status>
      <modifiedWord>（1）</modifiedWord>
      <trackRevisions>false</trackRevisions>
    </reviewItem>
    <reviewItem>
      <errorID>fe349317-b8d0-4888-ba26-2bf05c8ff5ce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E4C32EA</paraID>
      <start>0</start>
      <end>3</end>
      <status>modified</status>
      <modifiedWord>（2）</modifiedWord>
      <trackRevisions>false</trackRevisions>
    </reviewItem>
    <reviewItem>
      <errorID>81cd8e1e-b3e2-4987-8e47-4bb639b99a99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5E56F9CD</paraID>
      <start>0</start>
      <end>3</end>
      <status>modified</status>
      <modifiedWord>（3）</modifiedWord>
      <trackRevisions>false</trackRevisions>
    </reviewItem>
    <reviewItem>
      <errorID>b3f885d8-77a4-4f41-948b-9e09d39e4adf</errorID>
      <errorWord>)</errorWord>
      <group>L1_Format</group>
      <groupName>格式问题</groupName>
      <ability>L2_HalfPunc</ability>
      <abilityName>全半角检查</abilityName>
      <candidateList>
        <item>）</item>
      </candidateList>
      <explain>文本全半角错误。</explain>
      <paraID>49BA06B6</paraID>
      <start>42</start>
      <end>43</end>
      <status>ignored</status>
      <modifiedWord/>
      <trackRevisions>false</trackRevisions>
    </reviewItem>
    <reviewItem>
      <errorID>508e2ada-009d-4141-ad32-9708a86493cb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A05AC6</paraID>
      <start>0</start>
      <end>3</end>
      <status>modified</status>
      <modifiedWord>（4）</modifiedWord>
      <trackRevisions>false</trackRevisions>
    </reviewItem>
    <reviewItem>
      <errorID>70ca2a9e-6995-4d6b-843a-b8ebd49ad5d9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391EEE7</paraID>
      <start>0</start>
      <end>2</end>
      <status>modified</status>
      <modifiedWord>2.</modifiedWord>
      <trackRevisions>false</trackRevisions>
    </reviewItem>
    <reviewItem>
      <errorID>fe32d495-475d-4d92-acca-3ee74e02af50</errorID>
      <errorWord>达</errorWord>
      <group>L1_Word</group>
      <groupName>字词问题</groupName>
      <ability>L2_Typo</ability>
      <abilityName>字词错误</abilityName>
      <candidateList>
        <item>达到</item>
      </candidateList>
      <explain>〈动〉到（多指抽象事物或程度）：达得到｜达不到｜目的没有～｜～国际水平。</explain>
      <paraID>339E5D6F</paraID>
      <start>25</start>
      <end>26</end>
      <status>ignored</status>
      <modifiedWord/>
      <trackRevisions>false</trackRevisions>
    </reviewItem>
    <reviewItem>
      <errorID>ea6b1172-3796-4cfd-80dc-43c4bed7a634</errorID>
      <errorWord>（</errorWord>
      <group>L1_Format</group>
      <groupName>格式问题</groupName>
      <ability>L2_HalfPunc</ability>
      <abilityName>全半角检查</abilityName>
      <candidateList>
        <item>(</item>
      </candidateList>
      <explain>文本全半角错误。</explain>
      <paraID>18C6D952</paraID>
      <start>0</start>
      <end>1</end>
      <status>ignored</status>
      <modifiedWord/>
      <trackRevisions>false</trackRevisions>
    </reviewItem>
    <reviewItem>
      <errorID>51dd5819-3cf1-4e88-be22-bd2765e9cc6c</errorID>
      <errorWord>）</errorWord>
      <group>L1_Format</group>
      <groupName>格式问题</groupName>
      <ability>L2_HalfPunc</ability>
      <abilityName>全半角检查</abilityName>
      <candidateList>
        <item>)</item>
      </candidateList>
      <explain>文本全半角错误。</explain>
      <paraID>18C6D952</paraID>
      <start>5</start>
      <end>6</end>
      <status>ignored</status>
      <modifiedWord/>
      <trackRevisions>false</trackRevisions>
    </reviewItem>
    <reviewItem>
      <errorID>21a0018f-a079-462b-bd92-15466a373cf7</errorID>
      <errorWord>（</errorWord>
      <group>L1_Format</group>
      <groupName>格式问题</groupName>
      <ability>L2_HalfPunc</ability>
      <abilityName>全半角检查</abilityName>
      <candidateList>
        <item>(</item>
      </candidateList>
      <explain>文本全半角错误。</explain>
      <paraID>54E86B86</paraID>
      <start>0</start>
      <end>1</end>
      <status>ignored</status>
      <modifiedWord/>
      <trackRevisions>false</trackRevisions>
    </reviewItem>
    <reviewItem>
      <errorID>3f1a9505-d638-4576-8a87-e3e400f70690</errorID>
      <errorWord>）</errorWord>
      <group>L1_Format</group>
      <groupName>格式问题</groupName>
      <ability>L2_HalfPunc</ability>
      <abilityName>全半角检查</abilityName>
      <candidateList>
        <item>)</item>
      </candidateList>
      <explain>文本全半角错误。</explain>
      <paraID>54E86B86</paraID>
      <start>4</start>
      <end>5</end>
      <status>ignored</status>
      <modifiedWord/>
      <trackRevisions>false</trackRevisions>
    </reviewItem>
    <reviewItem>
      <errorID>12219bed-de7c-46f3-b853-26a462ba3e2a</errorID>
      <errorWord>（</errorWord>
      <group>L1_Format</group>
      <groupName>格式问题</groupName>
      <ability>L2_HalfPunc</ability>
      <abilityName>全半角检查</abilityName>
      <candidateList>
        <item>(</item>
      </candidateList>
      <explain>文本全半角错误。</explain>
      <paraID>73F10A6E</paraID>
      <start>0</start>
      <end>1</end>
      <status>ignored</status>
      <modifiedWord/>
      <trackRevisions>false</trackRevisions>
    </reviewItem>
    <reviewItem>
      <errorID>ec10c0f5-5252-4530-a6ec-06ae850f3825</errorID>
      <errorWord>）</errorWord>
      <group>L1_Format</group>
      <groupName>格式问题</groupName>
      <ability>L2_HalfPunc</ability>
      <abilityName>全半角检查</abilityName>
      <candidateList>
        <item>)</item>
      </candidateList>
      <explain>文本全半角错误。</explain>
      <paraID>73F10A6E</paraID>
      <start>5</start>
      <end>6</end>
      <status>ignored</status>
      <modifiedWord/>
      <trackRevisions>false</trackRevisions>
    </reviewItem>
    <reviewItem>
      <errorID>bd9821fc-0239-4fbb-8e70-9ba20565729f</errorID>
      <errorWord>（</errorWord>
      <group>L1_Format</group>
      <groupName>格式问题</groupName>
      <ability>L2_HalfPunc</ability>
      <abilityName>全半角检查</abilityName>
      <candidateList>
        <item>(</item>
      </candidateList>
      <explain>文本全半角错误。</explain>
      <paraID>43EBB003</paraID>
      <start>0</start>
      <end>1</end>
      <status>ignored</status>
      <modifiedWord/>
      <trackRevisions>false</trackRevisions>
    </reviewItem>
    <reviewItem>
      <errorID>97b5eaf2-63dc-4c0f-987c-b3556b7bbd96</errorID>
      <errorWord>）</errorWord>
      <group>L1_Format</group>
      <groupName>格式问题</groupName>
      <ability>L2_HalfPunc</ability>
      <abilityName>全半角检查</abilityName>
      <candidateList>
        <item>)</item>
      </candidateList>
      <explain>文本全半角错误。</explain>
      <paraID>43EBB003</paraID>
      <start>4</start>
      <end>5</end>
      <status>ignored</status>
      <modifiedWord/>
      <trackRevisions>false</trackRevisions>
    </reviewItem>
    <reviewItem>
      <errorID>41c38b84-9ac7-4ab1-aa82-55b52e29d15a</errorID>
      <errorWord>（</errorWord>
      <group>L1_Format</group>
      <groupName>格式问题</groupName>
      <ability>L2_HalfPunc</ability>
      <abilityName>全半角检查</abilityName>
      <candidateList>
        <item>(</item>
      </candidateList>
      <explain>文本全半角错误。</explain>
      <paraID> AB81137</paraID>
      <start>0</start>
      <end>1</end>
      <status>ignored</status>
      <modifiedWord/>
      <trackRevisions>false</trackRevisions>
    </reviewItem>
    <reviewItem>
      <errorID>a72e0bda-1040-4fa9-bcff-f0d5ffcb3dd9</errorID>
      <errorWord>）</errorWord>
      <group>L1_Format</group>
      <groupName>格式问题</groupName>
      <ability>L2_HalfPunc</ability>
      <abilityName>全半角检查</abilityName>
      <candidateList>
        <item>)</item>
      </candidateList>
      <explain>文本全半角错误。</explain>
      <paraID> AB81137</paraID>
      <start>5</start>
      <end>6</end>
      <status>ignored</status>
      <modifiedWord/>
      <trackRevisions>false</trackRevisions>
    </reviewItem>
    <reviewItem>
      <errorID>0a6f2f45-a5ae-4e3c-8265-ebcb7a58ca58</errorID>
      <errorWord>（</errorWord>
      <group>L1_Format</group>
      <groupName>格式问题</groupName>
      <ability>L2_HalfPunc</ability>
      <abilityName>全半角检查</abilityName>
      <candidateList>
        <item>(</item>
      </candidateList>
      <explain>文本全半角错误。</explain>
      <paraID> DBFE717</paraID>
      <start>0</start>
      <end>1</end>
      <status>ignored</status>
      <modifiedWord/>
      <trackRevisions>false</trackRevisions>
    </reviewItem>
    <reviewItem>
      <errorID>c871ae5e-f007-471f-bf27-8a0e4589662d</errorID>
      <errorWord>）</errorWord>
      <group>L1_Format</group>
      <groupName>格式问题</groupName>
      <ability>L2_HalfPunc</ability>
      <abilityName>全半角检查</abilityName>
      <candidateList>
        <item>)</item>
      </candidateList>
      <explain>文本全半角错误。</explain>
      <paraID> DBFE717</paraID>
      <start>4</start>
      <end>5</end>
      <status>ignored</status>
      <modifiedWord/>
      <trackRevisions>false</trackRevisions>
    </reviewItem>
    <reviewItem>
      <errorID>e7bcd6af-486e-4eb0-a78f-ae692788200b</errorID>
      <errorWord>IV类</errorWord>
      <group>L1_Knowledge</group>
      <groupName>知识性问题</groupName>
      <ability>L2_Knowledge</ability>
      <abilityName>其他知识</abilityName>
      <candidateList>
        <item>Ⅳ类</item>
      </candidateList>
      <explain/>
      <paraID>7FD3BF7C</paraID>
      <start>464</start>
      <end>466</end>
      <status>modified</status>
      <modifiedWord>Ⅳ类</modifiedWord>
      <trackRevisions>false</trackRevisions>
    </reviewItem>
    <reviewItem>
      <errorID>e87a46c7-bc92-4f74-8564-e1e58dd97c2e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37C71ACD</paraID>
      <start>0</start>
      <end>2</end>
      <status>modified</status>
      <modifiedWord>3.</modifiedWord>
      <trackRevisions>false</trackRevisions>
    </reviewItem>
    <reviewItem>
      <errorID>c464b74f-6134-405b-8b25-c7bd0b704f98</errorID>
      <errorWord>源源</errorWord>
      <group>L1_Word</group>
      <groupName>字词问题</groupName>
      <ability>L2_Typo</ability>
      <abilityName>字词错误</abilityName>
      <candidateList>
        <item>源</item>
      </candidateList>
      <explain/>
      <paraID>6C5C0522</paraID>
      <start>7</start>
      <end>8</end>
      <status>modified</status>
      <modifiedWord>源</modifiedWord>
      <trackRevisions>false</trackRevisions>
    </reviewItem>
    <reviewItem>
      <errorID>f32e07a5-a0f8-4fce-a817-36a27795b19e</errorID>
      <errorWord>源源</errorWord>
      <group>L1_Word</group>
      <groupName>字词问题</groupName>
      <ability>L2_Typo</ability>
      <abilityName>字词错误</abilityName>
      <candidateList>
        <item>源</item>
      </candidateList>
      <explain/>
      <paraID>3CA71A8C</paraID>
      <start>1</start>
      <end>2</end>
      <status>modified</status>
      <modifiedWord>源</modifiedWord>
      <trackRevisions>false</trackRevisions>
    </reviewItem>
    <reviewItem>
      <errorID>ad7cd584-7543-4460-b6b4-f2f6f98448d2</errorID>
      <errorWord>（</errorWord>
      <group>L1_Punc</group>
      <groupName>标点问题</groupName>
      <ability>L2_Punc</ability>
      <abilityName>标点符号检查</abilityName>
      <candidateList>
        <item/>
      </candidateList>
      <explain>同一形式括号套用。</explain>
      <paraID> 555AEFF</paraID>
      <start>3</start>
      <end>4</end>
      <status>ignored</status>
      <modifiedWord/>
      <trackRevisions>false</trackRevisions>
    </reviewItem>
    <reviewItem>
      <errorID>3bff0abc-1c8f-4ce7-8dc0-d7cefc262666</errorID>
      <errorWord>(</errorWord>
      <group>L1_Punc</group>
      <groupName>标点问题</groupName>
      <ability>L2_Punc</ability>
      <abilityName>标点符号检查</abilityName>
      <candidateList/>
      <explain>同一形式括号套用。</explain>
      <paraID> 555AEFF</paraID>
      <start>6</start>
      <end>7</end>
      <status>ignored</status>
      <modifiedWord/>
      <trackRevisions>false</trackRevisions>
    </reviewItem>
    <reviewItem>
      <errorID>94d9bfa4-3bab-4098-b205-c002237850a7</errorID>
      <errorWord>)</errorWord>
      <group>L1_Punc</group>
      <groupName>标点问题</groupName>
      <ability>L2_Punc</ability>
      <abilityName>标点符号检查</abilityName>
      <candidateList/>
      <explain>同一形式括号套用。</explain>
      <paraID> 555AEFF</paraID>
      <start>8</start>
      <end>9</end>
      <status>ignored</status>
      <modifiedWord/>
      <trackRevisions>false</trackRevisions>
    </reviewItem>
    <reviewItem>
      <errorID>bf0ca536-5fa7-4b8e-b573-0d7d9be50c83</errorID>
      <errorWord>）</errorWord>
      <group>L1_Punc</group>
      <groupName>标点问题</groupName>
      <ability>L2_Punc</ability>
      <abilityName>标点符号检查</abilityName>
      <candidateList/>
      <explain>同一形式括号套用。</explain>
      <paraID> 555AEFF</paraID>
      <start>9</start>
      <end>10</end>
      <status>ignored</status>
      <modifiedWord/>
      <trackRevisions>false</trackRevisions>
    </reviewItem>
    <reviewItem>
      <errorID>44ff09d9-ea57-4dc5-808e-28a6b88a83e0</errorID>
      <errorWord>（</errorWord>
      <group>L1_Punc</group>
      <groupName>标点问题</groupName>
      <ability>L2_Punc</ability>
      <abilityName>标点符号检查</abilityName>
      <candidateList>
        <item/>
      </candidateList>
      <explain>同一形式括号套用。</explain>
      <paraID>432711CD</paraID>
      <start>4</start>
      <end>5</end>
      <status>ignored</status>
      <modifiedWord/>
      <trackRevisions>false</trackRevisions>
    </reviewItem>
    <reviewItem>
      <errorID>01660df2-5f2b-4b9b-809d-b5e9d4f414d6</errorID>
      <errorWord>(</errorWord>
      <group>L1_Punc</group>
      <groupName>标点问题</groupName>
      <ability>L2_Punc</ability>
      <abilityName>标点符号检查</abilityName>
      <candidateList/>
      <explain>同一形式括号套用。</explain>
      <paraID>432711CD</paraID>
      <start>7</start>
      <end>8</end>
      <status>ignored</status>
      <modifiedWord/>
      <trackRevisions>false</trackRevisions>
    </reviewItem>
    <reviewItem>
      <errorID>c20271b4-5c0f-4876-ac25-230f2db678ab</errorID>
      <errorWord>)</errorWord>
      <group>L1_Punc</group>
      <groupName>标点问题</groupName>
      <ability>L2_Punc</ability>
      <abilityName>标点符号检查</abilityName>
      <candidateList/>
      <explain>同一形式括号套用。</explain>
      <paraID>432711CD</paraID>
      <start>9</start>
      <end>10</end>
      <status>ignored</status>
      <modifiedWord/>
      <trackRevisions>false</trackRevisions>
    </reviewItem>
    <reviewItem>
      <errorID>0365c38e-1bcc-4269-b7ac-e1c2ab25cf8d</errorID>
      <errorWord>）</errorWord>
      <group>L1_Punc</group>
      <groupName>标点问题</groupName>
      <ability>L2_Punc</ability>
      <abilityName>标点符号检查</abilityName>
      <candidateList/>
      <explain>同一形式括号套用。</explain>
      <paraID>432711CD</paraID>
      <start>10</start>
      <end>11</end>
      <status>ignored</status>
      <modifiedWord/>
      <trackRevisions>false</trackRevisions>
    </reviewItem>
    <reviewItem>
      <errorID>ed7223bb-0c47-4e38-8e1a-4b828907a51e</errorID>
      <errorWord>震动</errorWord>
      <group>L1_Word</group>
      <groupName>字词问题</groupName>
      <ability>L2_Typo</ability>
      <abilityName>字词错误</abilityName>
      <candidateList>
        <item>振动</item>
      </candidateList>
      <explain>存在发音相同字词的误用。</explain>
      <paraID>456D14C6</paraID>
      <start>27</start>
      <end>29</end>
      <status>modified</status>
      <modifiedWord>振动</modifiedWord>
      <trackRevisions>false</trackRevisions>
    </reviewItem>
    <reviewItem>
      <errorID>79f47fb2-4df0-4b15-8314-ab72489dd3c2</errorID>
      <errorWord>季</errorWord>
      <group>L1_Word</group>
      <groupName>字词问题</groupName>
      <ability>L2_Typo</ability>
      <abilityName>字词错误</abilityName>
      <candidateList>
        <item>季度</item>
      </candidateList>
      <explain/>
      <paraID>5D36E452</paraID>
      <start>1</start>
      <end>2</end>
      <status>ignored</status>
      <modifiedWord/>
      <trackRevisions>false</trackRevisions>
    </reviewItem>
    <reviewItem>
      <errorID>3307a228-9439-4726-8efe-cc3ae648a7b4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7D860729</paraID>
      <start>0</start>
      <end>2</end>
      <status>modified</status>
      <modifiedWord>4.</modifiedWord>
      <trackRevisions>false</trackRevisions>
    </reviewItem>
    <reviewItem>
      <errorID>325b373e-ba9a-4a8b-a3d3-c3be049ec94b</errorID>
      <errorWord>固废物</errorWord>
      <group>L1_Word</group>
      <groupName>字词问题</groupName>
      <ability>L2_Typo</ability>
      <abilityName>字词错误</abilityName>
      <candidateList>
        <item>固体废物</item>
      </candidateList>
      <explain/>
      <paraID> 350FC2D</paraID>
      <start>77</start>
      <end>81</end>
      <status>modified</status>
      <modifiedWord>固体废物</modifiedWord>
      <trackRevisions>false</trackRevisions>
    </reviewItem>
    <reviewItem>
      <errorID>224fac11-46cf-43db-94dc-6547d87b0245</errorID>
      <errorWord>期</errorWord>
      <group>L1_Word</group>
      <groupName>字词问题</groupName>
      <ability>L2_Typo</ability>
      <abilityName>字词错误</abilityName>
      <candidateList>
        <item>期间</item>
      </candidateList>
      <explain>〈名〉某个时期里面：农忙～｜春节～｜抗战～。</explain>
      <paraID>5901CA00</paraID>
      <start>2</start>
      <end>3</end>
      <status>ignored</status>
      <modifiedWord/>
      <trackRevisions>false</trackRevisions>
    </reviewItem>
    <reviewItem>
      <errorID>7042249e-821e-4bc5-8e96-bc7bba1b497a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5901CA00</paraID>
      <start>26</start>
      <end>28</end>
      <status>modified</status>
      <modifiedWord>》《</modifiedWord>
      <trackRevisions>false</trackRevisions>
    </reviewItem>
    <reviewItem>
      <errorID>e9c1f42d-9dbc-4309-b630-fce60d6a46d3</errorID>
      <errorWord>情况表</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34AF5517</paraID>
      <start>16</start>
      <end>18</end>
      <status>modified</status>
      <modifiedWord>情况</modifiedWord>
      <trackRevisions>false</trackRevisions>
    </reviewItem>
    <reviewItem>
      <errorID>0c653159-9815-48f7-90bd-d22c90dff271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11D3D634</paraID>
      <start>0</start>
      <end>2</end>
      <status>modified</status>
      <modifiedWord>a.</modifiedWord>
      <trackRevisions>false</trackRevisions>
    </reviewItem>
    <reviewItem>
      <errorID>e1395bb7-1be3-407e-a01a-867898460ea3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6CD3DDE</paraID>
      <start>0</start>
      <end>2</end>
      <status>modified</status>
      <modifiedWord>b.</modifiedWord>
      <trackRevisions>false</trackRevisions>
    </reviewItem>
    <reviewItem>
      <errorID>0699b71b-95c4-4d04-8cd2-4b86f06bd47d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ACB313D</paraID>
      <start>0</start>
      <end>2</end>
      <status>modified</status>
      <modifiedWord>c.</modifiedWord>
      <trackRevisions>false</trackRevisions>
    </reviewItem>
    <reviewItem>
      <errorID>1bb20230-db55-4e79-9d94-df843f089828</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302C9E7E</paraID>
      <start>0</start>
      <end>2</end>
      <status>modified</status>
      <modifiedWord>d.</modifiedWord>
      <trackRevisions>false</trackRevisions>
    </reviewItem>
    <reviewItem>
      <errorID>175d1d80-41f8-4062-adce-26d9c2480481</errorID>
      <errorWord>必须交</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302C9E7E</paraID>
      <start>36</start>
      <end>38</end>
      <status>modified</status>
      <modifiedWord>必须</modifiedWord>
      <trackRevisions>false</trackRevisions>
    </reviewItem>
    <reviewItem>
      <errorID>642dde5f-4582-4e46-a5d8-6a3098f3c58c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3AC91D7E</paraID>
      <start>0</start>
      <end>2</end>
      <status>modified</status>
      <modifiedWord>e.</modifiedWord>
      <trackRevisions>false</trackRevisions>
    </reviewItem>
    <reviewItem>
      <errorID>56474bed-d839-4276-bb75-4c025f1eae24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6F931A28</paraID>
      <start>0</start>
      <end>2</end>
      <status>modified</status>
      <modifiedWord>5.</modifiedWord>
      <trackRevisions>false</trackRevisions>
    </reviewItem>
    <reviewItem>
      <errorID>a7d8288e-57f8-4374-a212-839efbe10ef0</errorID>
      <errorWord>)</errorWord>
      <group>L1_Format</group>
      <groupName>格式问题</groupName>
      <ability>L2_HalfPunc</ability>
      <abilityName>全半角检查</abilityName>
      <candidateList>
        <item>）</item>
      </candidateList>
      <explain>文本全半角错误。</explain>
      <paraID>6788BAB2</paraID>
      <start>38</start>
      <end>39</end>
      <status>ignored</status>
      <modifiedWord/>
      <trackRevisions>false</trackRevisions>
    </reviewItem>
    <reviewItem>
      <errorID>9722badc-65d0-4fd4-88ad-118cfab8d7fa</errorID>
      <errorWord>（</errorWord>
      <group>L1_Format</group>
      <groupName>格式问题</groupName>
      <ability>L2_HalfPunc</ability>
      <abilityName>全半角检查</abilityName>
      <candidateList>
        <item>(</item>
      </candidateList>
      <explain>文本全半角错误。</explain>
      <paraID>6E16027D</paraID>
      <start>2</start>
      <end>3</end>
      <status>ignored</status>
      <modifiedWord/>
      <trackRevisions>false</trackRevisions>
    </reviewItem>
    <reviewItem>
      <errorID>c187b621-2a73-4a90-b42f-8c76344d4b5e</errorID>
      <errorWord>）</errorWord>
      <group>L1_Format</group>
      <groupName>格式问题</groupName>
      <ability>L2_HalfPunc</ability>
      <abilityName>全半角检查</abilityName>
      <candidateList>
        <item>)</item>
      </candidateList>
      <explain>文本全半角错误。</explain>
      <paraID>6E16027D</paraID>
      <start>4</start>
      <end>5</end>
      <status>ignored</status>
      <modifiedWord/>
      <trackRevisions>false</trackRevisions>
    </reviewItem>
    <reviewItem>
      <errorID>5cabceb6-69f7-4d21-b5a4-6cc47cbe4174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28999C86</paraID>
      <start>0</start>
      <end>2</end>
      <status>modified</status>
      <modifiedWord>6.</modifiedWord>
      <trackRevisions>false</trackRevisions>
    </reviewItem>
    <reviewItem>
      <errorID>af487b01-3031-454b-b96a-a18637b94562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24411B6</paraID>
      <start>23</start>
      <end>24</end>
      <status>ignored</status>
      <modifiedWord/>
      <trackRevisions>false</trackRevisions>
    </reviewItem>
    <reviewItem>
      <errorID>ae2fd1b5-b746-440d-8386-c4dcadc89625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F4BCD81</paraID>
      <start>23</start>
      <end>24</end>
      <status>ignored</status>
      <modifiedWord/>
      <trackRevisions>false</trackRevisions>
    </reviewItem>
    <reviewItem>
      <errorID>1b0725c1-ca66-4a87-85f8-ab3bda7a42ca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21D56346</paraID>
      <start>0</start>
      <end>2</end>
      <status>ignored</status>
      <modifiedWord/>
      <trackRevisions>false</trackRevisions>
    </reviewItem>
    <reviewItem>
      <errorID>3d27156d-5978-4f4a-9fd9-6cf576dfd7da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5C0D1910</paraID>
      <start>0</start>
      <end>2</end>
      <status>modified</status>
      <modifiedWord>8.</modifiedWord>
      <trackRevisions>false</trackRevisions>
    </reviewItem>
    <reviewItem>
      <errorID>39fc2820-5e49-4f9a-aa8f-8dbece5cef36</errorID>
      <errorWord>达</errorWord>
      <group>L1_Word</group>
      <groupName>字词问题</groupName>
      <ability>L2_Typo</ability>
      <abilityName>字词错误</abilityName>
      <candidateList>
        <item>达到</item>
      </candidateList>
      <explain>〈动〉到（多指抽象事物或程度）：达得到｜达不到｜目的没有～｜～国际水平。</explain>
      <paraID>1A9CD20F</paraID>
      <start>60</start>
      <end>61</end>
      <status>ignored</status>
      <modifiedWord/>
      <trackRevisions>false</trackRevisions>
    </reviewItem>
    <reviewItem>
      <errorID>218640ac-6c31-4240-b47f-e8b823b3ecf7</errorID>
      <errorWord>～</errorWord>
      <group>L1_Format</group>
      <groupName>格式问题</groupName>
      <ability>L2_HalfPunc</ability>
      <abilityName>全半角检查</abilityName>
      <candidateList>
        <item>~</item>
      </candidateList>
      <explain>文本全半角错误。</explain>
      <paraID>  D7CBBB</paraID>
      <start>3</start>
      <end>4</end>
      <status>modified</status>
      <modifiedWord>~</modifiedWord>
      <trackRevisions>false</trackRevisions>
    </reviewItem>
    <reviewItem>
      <errorID>48908161-f381-4add-9b66-67b7aa4d69fa</errorID>
      <errorWord>交有</errorWord>
      <group>L1_Word</group>
      <groupName>字词问题</groupName>
      <ability>L2_Typo</ability>
      <abilityName>字词错误</abilityName>
      <candidateList>
        <item>交由</item>
      </candidateList>
      <explain/>
      <paraID>6C5D0D66</paraID>
      <start>74</start>
      <end>76</end>
      <status>modified</status>
      <modifiedWord>交由</modifiedWord>
      <trackRevisions>false</trackRevisions>
    </reviewItem>
    <reviewItem>
      <errorID>c2b33840-c809-4cc0-b406-d3adecf1b7b6</errorID>
      <errorWord>期</errorWord>
      <group>L1_Word</group>
      <groupName>字词问题</groupName>
      <ability>L2_Typo</ability>
      <abilityName>字词错误</abilityName>
      <candidateList>
        <item>期间</item>
      </candidateList>
      <explain>〈名〉某个时期里面：农忙～｜春节～｜抗战～。</explain>
      <paraID>48D7F42C</paraID>
      <start>56</start>
      <end>57</end>
      <status>ignored</status>
      <modifiedWord/>
      <trackRevisions>false</trackRevisions>
    </reviewItem>
    <reviewItem>
      <errorID>4cbd50db-110f-43a7-8c4a-5710243c8ac7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48D7F42C</paraID>
      <start>80</start>
      <end>83</end>
      <status>ignored</status>
      <modifiedWord/>
      <trackRevisions>false</trackRevisions>
    </reviewItem>
    <reviewItem>
      <errorID>e3df0370-5ed9-4c87-985f-e980ae1e8184</errorID>
      <errorWord>厂内</errorWord>
      <group>L1_Word</group>
      <groupName>字词问题</groupName>
      <ability>L2_Typo</ability>
      <abilityName>字词错误</abilityName>
      <candidateList>
        <item>场内</item>
      </candidateList>
      <explain/>
      <paraID>48D7F42C</paraID>
      <start>123</start>
      <end>125</end>
      <status>ignored</status>
      <modifiedWord/>
      <trackRevisions>false</trackRevisions>
    </reviewItem>
    <reviewItem>
      <errorID>14d23d3c-ba97-4ddc-80dc-113e8903a72c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15651903</paraID>
      <start>36</start>
      <end>37</end>
      <status>ignored</status>
      <modifiedWord/>
      <trackRevisions>false</trackRevisions>
    </reviewItem>
    <reviewItem>
      <errorID>a46d5288-9810-401d-9718-578a14d5ae64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3CD53499</paraID>
      <start>0</start>
      <end>2</end>
      <status>modified</status>
      <modifiedWord>1.</modifiedWord>
      <trackRevisions>false</trackRevisions>
    </reviewItem>
    <reviewItem>
      <errorID>5db57f89-d24f-423c-96c7-36cf3c25f18d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5A4F99BD</paraID>
      <start>0</start>
      <end>2</end>
      <status>modified</status>
      <modifiedWord>2.</modifiedWord>
      <trackRevisions>false</trackRevisions>
    </reviewItem>
    <reviewItem>
      <errorID>7d9bc27f-240e-4af2-959b-5b568a1de3f6</errorID>
      <errorWord>属</errorWord>
      <group>L1_Word</group>
      <groupName>字词问题</groupName>
      <ability>L2_Typo</ability>
      <abilityName>字词错误</abilityName>
      <candidateList>
        <item>属于</item>
      </candidateList>
      <explain/>
      <paraID>60DD6157</paraID>
      <start>30</start>
      <end>32</end>
      <status>modified</status>
      <modifiedWord>属于</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851d0-ac68-44b7-ace0-84305b1cd091}">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13243</Words>
  <Characters>14248</Characters>
  <Lines>477</Lines>
  <Paragraphs>134</Paragraphs>
  <TotalTime>3</TotalTime>
  <ScaleCrop>false</ScaleCrop>
  <LinksUpToDate>false</LinksUpToDate>
  <CharactersWithSpaces>14291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2025-08-06T14:16:00Z</dcterms:created>
  <dc:creator>Hello Jerry∼</dc:creator>
  <cp:lastModifiedBy>作者</cp:lastModifiedBy>
  <dcterms:modified xsi:type="dcterms:W3CDTF">2026-01-16T01:28:03Z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5B8A83B0C1A648179D006C76D0D182CA</vt:lpwstr>
  </property>
  <property fmtid="{D5CDD505-2E9C-101B-9397-08002B2CF9AE}" pid="4" name="KSOTemplateDocerSaveRecord">
    <vt:lpwstr>eyJoZGlkIjoiMTY4ZWJiMTk3ZDc4ZDhiMGI4MzhlOGUxZDFjZTNmNGUiLCJ1c2VySWQiOiIyMjgyMDY5NzkifQ==</vt:lpwstr>
  </property>
</Properties>
</file>